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charts/chart6.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7.xml" ContentType="application/vnd.openxmlformats-officedocument.drawingml.chart+xml"/>
  <Override PartName="/word/theme/themeOverride5.xml" ContentType="application/vnd.openxmlformats-officedocument.themeOverride+xml"/>
  <Override PartName="/word/drawings/drawing3.xml" ContentType="application/vnd.openxmlformats-officedocument.drawingml.chartshapes+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drawings/drawing5.xml" ContentType="application/vnd.openxmlformats-officedocument.drawingml.chartshapes+xml"/>
  <Override PartName="/word/charts/chart12.xml" ContentType="application/vnd.openxmlformats-officedocument.drawingml.chart+xml"/>
  <Override PartName="/word/theme/themeOverride9.xml" ContentType="application/vnd.openxmlformats-officedocument.themeOverride+xml"/>
  <Override PartName="/word/drawings/drawing6.xml" ContentType="application/vnd.openxmlformats-officedocument.drawingml.chartshapes+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theme/themeOverride12.xml" ContentType="application/vnd.openxmlformats-officedocument.themeOverride+xml"/>
  <Override PartName="/word/charts/chart16.xml" ContentType="application/vnd.openxmlformats-officedocument.drawingml.chart+xml"/>
  <Override PartName="/word/theme/themeOverride13.xml" ContentType="application/vnd.openxmlformats-officedocument.themeOverride+xml"/>
  <Override PartName="/word/charts/chart17.xml" ContentType="application/vnd.openxmlformats-officedocument.drawingml.chart+xml"/>
  <Override PartName="/word/theme/themeOverride14.xml" ContentType="application/vnd.openxmlformats-officedocument.themeOverride+xml"/>
  <Override PartName="/word/charts/chart18.xml" ContentType="application/vnd.openxmlformats-officedocument.drawingml.chart+xml"/>
  <Override PartName="/word/theme/themeOverride15.xml" ContentType="application/vnd.openxmlformats-officedocument.themeOverride+xml"/>
  <Override PartName="/word/charts/chart19.xml" ContentType="application/vnd.openxmlformats-officedocument.drawingml.chart+xml"/>
  <Override PartName="/word/theme/themeOverride16.xml" ContentType="application/vnd.openxmlformats-officedocument.themeOverride+xml"/>
  <Override PartName="/word/charts/chart20.xml" ContentType="application/vnd.openxmlformats-officedocument.drawingml.chart+xml"/>
  <Override PartName="/word/theme/themeOverride17.xml" ContentType="application/vnd.openxmlformats-officedocument.themeOverride+xml"/>
  <Override PartName="/word/charts/chart21.xml" ContentType="application/vnd.openxmlformats-officedocument.drawingml.chart+xml"/>
  <Override PartName="/word/theme/themeOverride18.xml" ContentType="application/vnd.openxmlformats-officedocument.themeOverride+xml"/>
  <Override PartName="/word/drawings/drawing7.xml" ContentType="application/vnd.openxmlformats-officedocument.drawingml.chartshapes+xml"/>
  <Override PartName="/word/charts/chart22.xml" ContentType="application/vnd.openxmlformats-officedocument.drawingml.chart+xml"/>
  <Override PartName="/word/theme/themeOverride19.xml" ContentType="application/vnd.openxmlformats-officedocument.themeOverride+xml"/>
  <Override PartName="/word/drawings/drawing8.xml" ContentType="application/vnd.openxmlformats-officedocument.drawingml.chartshapes+xml"/>
  <Override PartName="/word/charts/chart23.xml" ContentType="application/vnd.openxmlformats-officedocument.drawingml.chart+xml"/>
  <Override PartName="/word/theme/themeOverride20.xml" ContentType="application/vnd.openxmlformats-officedocument.themeOverride+xml"/>
  <Override PartName="/word/drawings/drawing9.xml" ContentType="application/vnd.openxmlformats-officedocument.drawingml.chartshapes+xml"/>
  <Override PartName="/word/charts/chart24.xml" ContentType="application/vnd.openxmlformats-officedocument.drawingml.chart+xml"/>
  <Override PartName="/word/theme/themeOverride21.xml" ContentType="application/vnd.openxmlformats-officedocument.themeOverride+xml"/>
  <Override PartName="/word/drawings/drawing10.xml" ContentType="application/vnd.openxmlformats-officedocument.drawingml.chartshapes+xml"/>
  <Override PartName="/word/charts/chart25.xml" ContentType="application/vnd.openxmlformats-officedocument.drawingml.chart+xml"/>
  <Override PartName="/word/theme/themeOverride22.xml" ContentType="application/vnd.openxmlformats-officedocument.themeOverride+xml"/>
  <Override PartName="/word/charts/chart26.xml" ContentType="application/vnd.openxmlformats-officedocument.drawingml.chart+xml"/>
  <Override PartName="/word/theme/themeOverride23.xml" ContentType="application/vnd.openxmlformats-officedocument.themeOverride+xml"/>
  <Override PartName="/word/charts/chart27.xml" ContentType="application/vnd.openxmlformats-officedocument.drawingml.chart+xml"/>
  <Override PartName="/word/theme/themeOverride24.xml" ContentType="application/vnd.openxmlformats-officedocument.themeOverride+xml"/>
  <Override PartName="/word/charts/chart28.xml" ContentType="application/vnd.openxmlformats-officedocument.drawingml.chart+xml"/>
  <Override PartName="/word/theme/themeOverride25.xml" ContentType="application/vnd.openxmlformats-officedocument.themeOverride+xml"/>
  <Override PartName="/word/charts/chart29.xml" ContentType="application/vnd.openxmlformats-officedocument.drawingml.chart+xml"/>
  <Override PartName="/word/theme/themeOverride26.xml" ContentType="application/vnd.openxmlformats-officedocument.themeOverride+xml"/>
  <Override PartName="/word/drawings/drawing11.xml" ContentType="application/vnd.openxmlformats-officedocument.drawingml.chartshapes+xml"/>
  <Override PartName="/word/charts/chart30.xml" ContentType="application/vnd.openxmlformats-officedocument.drawingml.chart+xml"/>
  <Override PartName="/word/theme/themeOverride27.xml" ContentType="application/vnd.openxmlformats-officedocument.themeOverride+xml"/>
  <Override PartName="/word/charts/chart31.xml" ContentType="application/vnd.openxmlformats-officedocument.drawingml.chart+xml"/>
  <Override PartName="/word/theme/themeOverride28.xml" ContentType="application/vnd.openxmlformats-officedocument.themeOverride+xml"/>
  <Override PartName="/word/charts/chart32.xml" ContentType="application/vnd.openxmlformats-officedocument.drawingml.chart+xml"/>
  <Override PartName="/word/theme/themeOverride29.xml" ContentType="application/vnd.openxmlformats-officedocument.themeOverride+xml"/>
  <Override PartName="/word/charts/chart33.xml" ContentType="application/vnd.openxmlformats-officedocument.drawingml.chart+xml"/>
  <Override PartName="/word/theme/themeOverride30.xml" ContentType="application/vnd.openxmlformats-officedocument.themeOverride+xml"/>
  <Override PartName="/word/charts/chart34.xml" ContentType="application/vnd.openxmlformats-officedocument.drawingml.chart+xml"/>
  <Override PartName="/word/theme/themeOverride31.xml" ContentType="application/vnd.openxmlformats-officedocument.themeOverride+xml"/>
  <Override PartName="/word/charts/chart35.xml" ContentType="application/vnd.openxmlformats-officedocument.drawingml.chart+xml"/>
  <Override PartName="/word/theme/themeOverride32.xml" ContentType="application/vnd.openxmlformats-officedocument.themeOverride+xml"/>
  <Override PartName="/word/charts/chart36.xml" ContentType="application/vnd.openxmlformats-officedocument.drawingml.chart+xml"/>
  <Override PartName="/word/theme/themeOverride33.xml" ContentType="application/vnd.openxmlformats-officedocument.themeOverride+xml"/>
  <Override PartName="/word/charts/chart37.xml" ContentType="application/vnd.openxmlformats-officedocument.drawingml.chart+xml"/>
  <Override PartName="/word/theme/themeOverride34.xml" ContentType="application/vnd.openxmlformats-officedocument.themeOverride+xml"/>
  <Override PartName="/word/drawings/drawing12.xml" ContentType="application/vnd.openxmlformats-officedocument.drawingml.chartshapes+xml"/>
  <Override PartName="/word/charts/chart38.xml" ContentType="application/vnd.openxmlformats-officedocument.drawingml.chart+xml"/>
  <Override PartName="/word/theme/themeOverride35.xml" ContentType="application/vnd.openxmlformats-officedocument.themeOverride+xml"/>
  <Override PartName="/word/charts/chart39.xml" ContentType="application/vnd.openxmlformats-officedocument.drawingml.chart+xml"/>
  <Override PartName="/word/charts/chart40.xml" ContentType="application/vnd.openxmlformats-officedocument.drawingml.chart+xml"/>
  <Override PartName="/word/theme/themeOverride36.xml" ContentType="application/vnd.openxmlformats-officedocument.themeOverride+xml"/>
  <Override PartName="/word/charts/chart41.xml" ContentType="application/vnd.openxmlformats-officedocument.drawingml.chart+xml"/>
  <Override PartName="/word/theme/themeOverride37.xml" ContentType="application/vnd.openxmlformats-officedocument.themeOverride+xml"/>
  <Override PartName="/word/charts/chart42.xml" ContentType="application/vnd.openxmlformats-officedocument.drawingml.chart+xml"/>
  <Override PartName="/word/theme/themeOverride38.xml" ContentType="application/vnd.openxmlformats-officedocument.themeOverride+xml"/>
  <Override PartName="/word/charts/chart43.xml" ContentType="application/vnd.openxmlformats-officedocument.drawingml.chart+xml"/>
  <Override PartName="/word/charts/chart44.xml" ContentType="application/vnd.openxmlformats-officedocument.drawingml.chart+xml"/>
  <Override PartName="/word/theme/themeOverride39.xml" ContentType="application/vnd.openxmlformats-officedocument.themeOverride+xml"/>
  <Override PartName="/word/charts/chart45.xml" ContentType="application/vnd.openxmlformats-officedocument.drawingml.chart+xml"/>
  <Override PartName="/word/theme/themeOverride40.xml" ContentType="application/vnd.openxmlformats-officedocument.themeOverride+xml"/>
  <Override PartName="/word/charts/chart46.xml" ContentType="application/vnd.openxmlformats-officedocument.drawingml.chart+xml"/>
  <Override PartName="/word/theme/themeOverride41.xml" ContentType="application/vnd.openxmlformats-officedocument.themeOverride+xml"/>
  <Override PartName="/word/charts/chart47.xml" ContentType="application/vnd.openxmlformats-officedocument.drawingml.chart+xml"/>
  <Override PartName="/word/theme/themeOverride42.xml" ContentType="application/vnd.openxmlformats-officedocument.themeOverride+xml"/>
  <Override PartName="/word/charts/chart48.xml" ContentType="application/vnd.openxmlformats-officedocument.drawingml.chart+xml"/>
  <Override PartName="/word/theme/themeOverride43.xml" ContentType="application/vnd.openxmlformats-officedocument.themeOverride+xml"/>
  <Override PartName="/word/charts/chart49.xml" ContentType="application/vnd.openxmlformats-officedocument.drawingml.chart+xml"/>
  <Override PartName="/word/theme/themeOverride44.xml" ContentType="application/vnd.openxmlformats-officedocument.themeOverride+xml"/>
  <Override PartName="/word/charts/chart50.xml" ContentType="application/vnd.openxmlformats-officedocument.drawingml.chart+xml"/>
  <Override PartName="/word/theme/themeOverride45.xml" ContentType="application/vnd.openxmlformats-officedocument.themeOverride+xml"/>
  <Override PartName="/word/charts/chart51.xml" ContentType="application/vnd.openxmlformats-officedocument.drawingml.chart+xml"/>
  <Override PartName="/word/theme/themeOverride46.xml" ContentType="application/vnd.openxmlformats-officedocument.themeOverride+xml"/>
  <Override PartName="/word/drawings/drawing13.xml" ContentType="application/vnd.openxmlformats-officedocument.drawingml.chartshapes+xml"/>
  <Override PartName="/word/charts/chart52.xml" ContentType="application/vnd.openxmlformats-officedocument.drawingml.chart+xml"/>
  <Override PartName="/word/theme/themeOverride47.xml" ContentType="application/vnd.openxmlformats-officedocument.themeOverride+xml"/>
  <Override PartName="/word/charts/chart53.xml" ContentType="application/vnd.openxmlformats-officedocument.drawingml.chart+xml"/>
  <Override PartName="/word/theme/themeOverride48.xml" ContentType="application/vnd.openxmlformats-officedocument.themeOverride+xml"/>
  <Override PartName="/word/drawings/drawing14.xml" ContentType="application/vnd.openxmlformats-officedocument.drawingml.chartshapes+xml"/>
  <Override PartName="/word/charts/chart54.xml" ContentType="application/vnd.openxmlformats-officedocument.drawingml.chart+xml"/>
  <Override PartName="/word/theme/themeOverride4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D51" w:rsidRDefault="00CD7D51" w:rsidP="00CD7D51">
      <w:pPr>
        <w:ind w:left="-567"/>
        <w:rPr>
          <w:rFonts w:ascii="Calibri" w:hAnsi="Calibri" w:cs="Arial"/>
          <w:b/>
          <w:color w:val="76923C"/>
          <w:sz w:val="30"/>
          <w:szCs w:val="30"/>
        </w:rPr>
      </w:pPr>
      <w:bookmarkStart w:id="0" w:name="_Toc470533627"/>
      <w:bookmarkStart w:id="1" w:name="_Toc470534232"/>
      <w:r>
        <w:rPr>
          <w:rFonts w:ascii="Calibri" w:hAnsi="Calibri" w:cs="Calibri"/>
          <w:noProof/>
        </w:rPr>
        <w:drawing>
          <wp:inline distT="0" distB="0" distL="0" distR="0" wp14:anchorId="57396EAE" wp14:editId="5157DCD5">
            <wp:extent cx="6086902" cy="833607"/>
            <wp:effectExtent l="0" t="0" r="0" b="5080"/>
            <wp:docPr id="3" name="Рисунок 63"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D:\OLGA\НАЦБАНК\пакет по фирменному стилю\клиенту\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9015" cy="833896"/>
                    </a:xfrm>
                    <a:prstGeom prst="rect">
                      <a:avLst/>
                    </a:prstGeom>
                    <a:noFill/>
                    <a:ln>
                      <a:noFill/>
                    </a:ln>
                  </pic:spPr>
                </pic:pic>
              </a:graphicData>
            </a:graphic>
          </wp:inline>
        </w:drawing>
      </w:r>
    </w:p>
    <w:p w:rsidR="00CD7D51" w:rsidRDefault="00CD7D51" w:rsidP="00CD7D51">
      <w:pPr>
        <w:ind w:left="360"/>
        <w:rPr>
          <w:rFonts w:ascii="Calibri" w:eastAsia="Calibri" w:hAnsi="Calibri" w:cs="Calibri"/>
          <w:b/>
          <w:color w:val="0E4C28"/>
          <w:sz w:val="70"/>
          <w:szCs w:val="70"/>
          <w:lang w:eastAsia="en-US"/>
        </w:rPr>
      </w:pPr>
    </w:p>
    <w:p w:rsidR="0035580C" w:rsidRDefault="0035580C" w:rsidP="00CD7D51">
      <w:pPr>
        <w:rPr>
          <w:rFonts w:ascii="Calibri" w:eastAsia="Calibri" w:hAnsi="Calibri" w:cs="Calibri"/>
          <w:b/>
          <w:color w:val="0E4C28"/>
          <w:sz w:val="70"/>
          <w:szCs w:val="70"/>
          <w:lang w:eastAsia="en-US"/>
        </w:rPr>
      </w:pPr>
      <w:r>
        <w:rPr>
          <w:rFonts w:ascii="Calibri" w:eastAsia="Calibri" w:hAnsi="Calibri" w:cs="Calibri"/>
          <w:b/>
          <w:color w:val="0E4C28"/>
          <w:sz w:val="70"/>
          <w:szCs w:val="70"/>
          <w:lang w:eastAsia="en-US"/>
        </w:rPr>
        <w:t xml:space="preserve">Обзор </w:t>
      </w:r>
      <w:r w:rsidR="00CD7D51">
        <w:rPr>
          <w:rFonts w:ascii="Calibri" w:eastAsia="Calibri" w:hAnsi="Calibri" w:cs="Calibri"/>
          <w:b/>
          <w:color w:val="0E4C28"/>
          <w:sz w:val="70"/>
          <w:szCs w:val="70"/>
          <w:lang w:eastAsia="en-US"/>
        </w:rPr>
        <w:t>результат</w:t>
      </w:r>
      <w:r>
        <w:rPr>
          <w:rFonts w:ascii="Calibri" w:eastAsia="Calibri" w:hAnsi="Calibri" w:cs="Calibri"/>
          <w:b/>
          <w:color w:val="0E4C28"/>
          <w:sz w:val="70"/>
          <w:szCs w:val="70"/>
          <w:lang w:eastAsia="en-US"/>
        </w:rPr>
        <w:t>ов</w:t>
      </w:r>
      <w:r w:rsidR="00CD7D51">
        <w:rPr>
          <w:rFonts w:ascii="Calibri" w:eastAsia="Calibri" w:hAnsi="Calibri" w:cs="Calibri"/>
          <w:b/>
          <w:color w:val="0E4C28"/>
          <w:sz w:val="70"/>
          <w:szCs w:val="70"/>
          <w:lang w:eastAsia="en-US"/>
        </w:rPr>
        <w:t xml:space="preserve"> </w:t>
      </w:r>
    </w:p>
    <w:p w:rsidR="0035580C" w:rsidRDefault="00CD7D51" w:rsidP="00CD7D51">
      <w:pPr>
        <w:rPr>
          <w:rFonts w:ascii="Calibri" w:eastAsia="Calibri" w:hAnsi="Calibri" w:cs="Calibri"/>
          <w:b/>
          <w:color w:val="0E4C28"/>
          <w:sz w:val="70"/>
          <w:szCs w:val="70"/>
          <w:lang w:eastAsia="en-US"/>
        </w:rPr>
      </w:pPr>
      <w:r>
        <w:rPr>
          <w:rFonts w:ascii="Calibri" w:eastAsia="Calibri" w:hAnsi="Calibri" w:cs="Calibri"/>
          <w:b/>
          <w:color w:val="0E4C28"/>
          <w:sz w:val="70"/>
          <w:szCs w:val="70"/>
          <w:lang w:eastAsia="en-US"/>
        </w:rPr>
        <w:t>надзора (оверсайта) платежных</w:t>
      </w:r>
      <w:r w:rsidR="0035580C">
        <w:rPr>
          <w:rFonts w:ascii="Calibri" w:eastAsia="Calibri" w:hAnsi="Calibri" w:cs="Calibri"/>
          <w:b/>
          <w:color w:val="0E4C28"/>
          <w:sz w:val="70"/>
          <w:szCs w:val="70"/>
          <w:lang w:eastAsia="en-US"/>
        </w:rPr>
        <w:t xml:space="preserve"> </w:t>
      </w:r>
      <w:r>
        <w:rPr>
          <w:rFonts w:ascii="Calibri" w:eastAsia="Calibri" w:hAnsi="Calibri" w:cs="Calibri"/>
          <w:b/>
          <w:color w:val="0E4C28"/>
          <w:sz w:val="70"/>
          <w:szCs w:val="70"/>
          <w:lang w:eastAsia="en-US"/>
        </w:rPr>
        <w:t xml:space="preserve">систем </w:t>
      </w:r>
    </w:p>
    <w:p w:rsidR="00CD7D51" w:rsidRDefault="00CD7D51" w:rsidP="00CD7D51">
      <w:pPr>
        <w:rPr>
          <w:rFonts w:ascii="Calibri" w:eastAsia="Calibri" w:hAnsi="Calibri" w:cs="Calibri"/>
          <w:b/>
          <w:color w:val="0E4C28"/>
          <w:sz w:val="70"/>
          <w:szCs w:val="70"/>
          <w:lang w:eastAsia="en-US"/>
        </w:rPr>
      </w:pPr>
      <w:r>
        <w:rPr>
          <w:rFonts w:ascii="Calibri" w:eastAsia="Calibri" w:hAnsi="Calibri" w:cs="Calibri"/>
          <w:b/>
          <w:color w:val="0E4C28"/>
          <w:sz w:val="70"/>
          <w:szCs w:val="70"/>
          <w:lang w:eastAsia="en-US"/>
        </w:rPr>
        <w:t xml:space="preserve">и развития рынка </w:t>
      </w:r>
    </w:p>
    <w:p w:rsidR="00CD7D51" w:rsidRDefault="00CD7D51" w:rsidP="00CD7D51">
      <w:pPr>
        <w:rPr>
          <w:rFonts w:ascii="Calibri" w:eastAsia="Calibri" w:hAnsi="Calibri" w:cs="Calibri"/>
          <w:b/>
          <w:color w:val="0E4C28"/>
          <w:sz w:val="70"/>
          <w:szCs w:val="70"/>
          <w:lang w:eastAsia="en-US"/>
        </w:rPr>
      </w:pPr>
      <w:r>
        <w:rPr>
          <w:rFonts w:ascii="Calibri" w:eastAsia="Calibri" w:hAnsi="Calibri" w:cs="Calibri"/>
          <w:b/>
          <w:color w:val="0E4C28"/>
          <w:sz w:val="70"/>
          <w:szCs w:val="70"/>
          <w:lang w:eastAsia="en-US"/>
        </w:rPr>
        <w:t xml:space="preserve">платежных услуг </w:t>
      </w:r>
    </w:p>
    <w:p w:rsidR="00CD7D51" w:rsidRPr="00015E28" w:rsidRDefault="00CD7D51" w:rsidP="00CD7D51">
      <w:pPr>
        <w:rPr>
          <w:rFonts w:ascii="Calibri" w:hAnsi="Calibri"/>
          <w:b/>
          <w:snapToGrid w:val="0"/>
          <w:color w:val="0E4C28"/>
          <w:spacing w:val="-2"/>
          <w:sz w:val="36"/>
          <w:szCs w:val="36"/>
        </w:rPr>
      </w:pPr>
      <w:r w:rsidRPr="005D2A5D">
        <w:rPr>
          <w:noProof/>
          <w:sz w:val="28"/>
        </w:rPr>
        <mc:AlternateContent>
          <mc:Choice Requires="wps">
            <w:drawing>
              <wp:anchor distT="0" distB="0" distL="114300" distR="114300" simplePos="0" relativeHeight="251692032" behindDoc="0" locked="0" layoutInCell="1" allowOverlap="1" wp14:anchorId="726F2FF0" wp14:editId="2E8EF0C4">
                <wp:simplePos x="0" y="0"/>
                <wp:positionH relativeFrom="column">
                  <wp:posOffset>1657350</wp:posOffset>
                </wp:positionH>
                <wp:positionV relativeFrom="paragraph">
                  <wp:posOffset>4936490</wp:posOffset>
                </wp:positionV>
                <wp:extent cx="2743200" cy="457200"/>
                <wp:effectExtent l="0" t="0" r="0" b="0"/>
                <wp:wrapNone/>
                <wp:docPr id="73" name="Прямоугольник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457200"/>
                        </a:xfrm>
                        <a:prstGeom prst="rect">
                          <a:avLst/>
                        </a:prstGeom>
                        <a:noFill/>
                        <a:ln w="25400" cap="flat" cmpd="sng" algn="ctr">
                          <a:noFill/>
                          <a:prstDash val="solid"/>
                        </a:ln>
                        <a:effectLst/>
                      </wps:spPr>
                      <wps:txbx>
                        <w:txbxContent>
                          <w:p w:rsidR="00A3494E" w:rsidRPr="00015E28" w:rsidRDefault="00A3494E" w:rsidP="00CD7D51">
                            <w:pPr>
                              <w:jc w:val="center"/>
                              <w:rPr>
                                <w:rFonts w:ascii="Calibri" w:hAnsi="Calibri"/>
                                <w:color w:val="000000"/>
                                <w:sz w:val="36"/>
                              </w:rPr>
                            </w:pPr>
                            <w:r w:rsidRPr="00015E28">
                              <w:rPr>
                                <w:rFonts w:ascii="Calibri" w:hAnsi="Calibri"/>
                                <w:color w:val="000000"/>
                                <w:sz w:val="36"/>
                              </w:rPr>
                              <w:t>Алматы,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78" o:spid="_x0000_s1026" style="position:absolute;margin-left:130.5pt;margin-top:388.7pt;width:3in;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" filled="f" stroked="f" strokeweight="2pt">
                <v:path arrowok="t"/>
                <v:textbox>
                  <w:txbxContent>
                    <w:p w:rsidR="00A3494E" w:rsidRPr="00015E28" w:rsidRDefault="00A3494E" w:rsidP="00CD7D51">
                      <w:pPr>
                        <w:jc w:val="center"/>
                        <w:rPr>
                          <w:rFonts w:ascii="Calibri" w:hAnsi="Calibri"/>
                          <w:color w:val="000000"/>
                          <w:sz w:val="36"/>
                        </w:rPr>
                      </w:pPr>
                      <w:r w:rsidRPr="00015E28">
                        <w:rPr>
                          <w:rFonts w:ascii="Calibri" w:hAnsi="Calibri"/>
                          <w:color w:val="000000"/>
                          <w:sz w:val="36"/>
                        </w:rPr>
                        <w:t>Алматы, 2017</w:t>
                      </w:r>
                    </w:p>
                  </w:txbxContent>
                </v:textbox>
              </v:rect>
            </w:pict>
          </mc:Fallback>
        </mc:AlternateContent>
      </w:r>
      <w:r w:rsidRPr="005D2A5D">
        <w:rPr>
          <w:noProof/>
          <w:sz w:val="28"/>
        </w:rPr>
        <w:drawing>
          <wp:anchor distT="0" distB="0" distL="114300" distR="114300" simplePos="0" relativeHeight="251691008" behindDoc="0" locked="0" layoutInCell="1" allowOverlap="1" wp14:anchorId="3CB75C4E" wp14:editId="615CF2A7">
            <wp:simplePos x="0" y="0"/>
            <wp:positionH relativeFrom="column">
              <wp:posOffset>-462915</wp:posOffset>
            </wp:positionH>
            <wp:positionV relativeFrom="paragraph">
              <wp:posOffset>749300</wp:posOffset>
            </wp:positionV>
            <wp:extent cx="6191250" cy="3581400"/>
            <wp:effectExtent l="0" t="0" r="0" b="0"/>
            <wp:wrapNone/>
            <wp:docPr id="74" name="Диаграмма 29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5D2A5D">
        <w:rPr>
          <w:rFonts w:ascii="Calibri" w:eastAsia="Calibri" w:hAnsi="Calibri" w:cs="Calibri"/>
          <w:b/>
          <w:color w:val="0E4C28"/>
          <w:sz w:val="72"/>
          <w:szCs w:val="70"/>
          <w:lang w:eastAsia="en-US"/>
        </w:rPr>
        <w:t>за 2016 год</w:t>
      </w:r>
      <w:r w:rsidRPr="00015E28">
        <w:rPr>
          <w:rFonts w:ascii="Calibri" w:hAnsi="Calibri"/>
          <w:bCs/>
          <w:snapToGrid w:val="0"/>
          <w:color w:val="0E4C28"/>
          <w:spacing w:val="-2"/>
          <w:sz w:val="36"/>
          <w:szCs w:val="36"/>
        </w:rPr>
        <w:br w:type="page"/>
      </w:r>
    </w:p>
    <w:bookmarkEnd w:id="0"/>
    <w:bookmarkEnd w:id="1"/>
    <w:p w:rsidR="00354088" w:rsidRPr="00157779" w:rsidRDefault="00354088" w:rsidP="00354088">
      <w:pPr>
        <w:jc w:val="center"/>
        <w:rPr>
          <w:rFonts w:ascii="Calibri" w:hAnsi="Calibri"/>
          <w:b/>
          <w:bCs/>
          <w:snapToGrid w:val="0"/>
          <w:color w:val="0E4C28"/>
          <w:spacing w:val="-2"/>
          <w:sz w:val="30"/>
          <w:szCs w:val="30"/>
        </w:rPr>
      </w:pPr>
      <w:r w:rsidRPr="00157779">
        <w:rPr>
          <w:rFonts w:ascii="Calibri" w:hAnsi="Calibri"/>
          <w:b/>
          <w:bCs/>
          <w:snapToGrid w:val="0"/>
          <w:color w:val="0E4C28"/>
          <w:spacing w:val="-2"/>
          <w:sz w:val="30"/>
          <w:szCs w:val="30"/>
        </w:rPr>
        <w:lastRenderedPageBreak/>
        <w:t>СОДЕРЖАНИЕ</w:t>
      </w:r>
    </w:p>
    <w:p w:rsidR="006708F4" w:rsidRPr="00157779" w:rsidRDefault="006708F4" w:rsidP="00157779">
      <w:pPr>
        <w:jc w:val="center"/>
        <w:rPr>
          <w:rFonts w:ascii="Calibri" w:hAnsi="Calibri"/>
          <w:b/>
          <w:bCs/>
          <w:snapToGrid w:val="0"/>
          <w:color w:val="0E4C28"/>
          <w:spacing w:val="-2"/>
          <w:sz w:val="30"/>
          <w:szCs w:val="30"/>
        </w:rPr>
      </w:pPr>
    </w:p>
    <w:p w:rsidR="005C7913" w:rsidRPr="007D383F" w:rsidRDefault="00C00A5C">
      <w:pPr>
        <w:pStyle w:val="12"/>
        <w:tabs>
          <w:tab w:val="right" w:leader="dot" w:pos="9344"/>
        </w:tabs>
        <w:rPr>
          <w:rFonts w:asciiTheme="minorHAnsi" w:eastAsiaTheme="minorEastAsia" w:hAnsiTheme="minorHAnsi" w:cstheme="minorBidi"/>
          <w:noProof/>
          <w:sz w:val="30"/>
          <w:szCs w:val="30"/>
        </w:rPr>
      </w:pPr>
      <w:r w:rsidRPr="007D383F">
        <w:rPr>
          <w:rFonts w:asciiTheme="minorHAnsi" w:hAnsiTheme="minorHAnsi" w:cstheme="minorHAnsi"/>
          <w:color w:val="0E4C28"/>
          <w:sz w:val="30"/>
          <w:szCs w:val="30"/>
        </w:rPr>
        <w:fldChar w:fldCharType="begin"/>
      </w:r>
      <w:r w:rsidRPr="007D383F">
        <w:rPr>
          <w:rFonts w:asciiTheme="minorHAnsi" w:hAnsiTheme="minorHAnsi" w:cstheme="minorHAnsi"/>
          <w:color w:val="0E4C28"/>
          <w:sz w:val="30"/>
          <w:szCs w:val="30"/>
        </w:rPr>
        <w:instrText xml:space="preserve"> TOC \o "1-3" \h \z \u </w:instrText>
      </w:r>
      <w:r w:rsidRPr="007D383F">
        <w:rPr>
          <w:rFonts w:asciiTheme="minorHAnsi" w:hAnsiTheme="minorHAnsi" w:cstheme="minorHAnsi"/>
          <w:color w:val="0E4C28"/>
          <w:sz w:val="30"/>
          <w:szCs w:val="30"/>
        </w:rPr>
        <w:fldChar w:fldCharType="separate"/>
      </w:r>
      <w:hyperlink w:anchor="_Toc481418192" w:history="1">
        <w:r w:rsidR="005C7913" w:rsidRPr="007D383F">
          <w:rPr>
            <w:rStyle w:val="a7"/>
            <w:rFonts w:ascii="Calibri" w:hAnsi="Calibri"/>
            <w:noProof/>
            <w:snapToGrid w:val="0"/>
            <w:spacing w:val="-2"/>
            <w:sz w:val="30"/>
            <w:szCs w:val="30"/>
          </w:rPr>
          <w:t>ВВЕДЕНИЕ</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_Toc481418192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2</w:t>
        </w:r>
        <w:r w:rsidR="005C7913" w:rsidRPr="007D383F">
          <w:rPr>
            <w:noProof/>
            <w:webHidden/>
            <w:sz w:val="30"/>
            <w:szCs w:val="30"/>
          </w:rPr>
          <w:fldChar w:fldCharType="end"/>
        </w:r>
      </w:hyperlink>
    </w:p>
    <w:p w:rsidR="005C7913" w:rsidRPr="007D383F" w:rsidRDefault="005C7913">
      <w:pPr>
        <w:pStyle w:val="12"/>
        <w:tabs>
          <w:tab w:val="right" w:leader="dot" w:pos="9344"/>
        </w:tabs>
        <w:rPr>
          <w:rStyle w:val="a7"/>
          <w:noProof/>
          <w:sz w:val="10"/>
          <w:szCs w:val="10"/>
        </w:rPr>
      </w:pPr>
    </w:p>
    <w:p w:rsidR="005C7913" w:rsidRPr="007D383F" w:rsidRDefault="00A3494E">
      <w:pPr>
        <w:pStyle w:val="12"/>
        <w:tabs>
          <w:tab w:val="right" w:leader="dot" w:pos="9344"/>
        </w:tabs>
        <w:rPr>
          <w:rFonts w:asciiTheme="minorHAnsi" w:eastAsiaTheme="minorEastAsia" w:hAnsiTheme="minorHAnsi" w:cstheme="minorBidi"/>
          <w:noProof/>
          <w:sz w:val="30"/>
          <w:szCs w:val="30"/>
        </w:rPr>
      </w:pPr>
      <w:hyperlink w:anchor="_Toc481418193" w:history="1">
        <w:r w:rsidR="005C7913" w:rsidRPr="007D383F">
          <w:rPr>
            <w:rStyle w:val="a7"/>
            <w:rFonts w:ascii="Calibri" w:hAnsi="Calibri"/>
            <w:noProof/>
            <w:snapToGrid w:val="0"/>
            <w:spacing w:val="-2"/>
            <w:sz w:val="30"/>
            <w:szCs w:val="30"/>
          </w:rPr>
          <w:t xml:space="preserve">РАЗДЕЛ 1. ПЛАТЕЖНЫЕ СИСТЕМЫ НАЦИОНАЛЬНОГО </w:t>
        </w:r>
        <w:r w:rsidR="005C7913" w:rsidRPr="007D383F">
          <w:rPr>
            <w:rStyle w:val="a7"/>
            <w:rFonts w:ascii="Calibri" w:hAnsi="Calibri"/>
            <w:noProof/>
            <w:snapToGrid w:val="0"/>
            <w:spacing w:val="-2"/>
            <w:sz w:val="30"/>
            <w:szCs w:val="30"/>
          </w:rPr>
          <w:br/>
          <w:t>БАНКА КАЗАХСТАНА</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_Toc481418193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6</w:t>
        </w:r>
        <w:r w:rsidR="005C7913" w:rsidRPr="007D383F">
          <w:rPr>
            <w:noProof/>
            <w:webHidden/>
            <w:sz w:val="30"/>
            <w:szCs w:val="30"/>
          </w:rPr>
          <w:fldChar w:fldCharType="end"/>
        </w:r>
      </w:hyperlink>
    </w:p>
    <w:p w:rsidR="005C7913" w:rsidRPr="007D383F" w:rsidRDefault="00A3494E" w:rsidP="005C7913">
      <w:pPr>
        <w:pStyle w:val="12"/>
        <w:tabs>
          <w:tab w:val="right" w:leader="dot" w:pos="9344"/>
        </w:tabs>
        <w:ind w:firstLine="180"/>
        <w:rPr>
          <w:rFonts w:asciiTheme="minorHAnsi" w:eastAsiaTheme="minorEastAsia" w:hAnsiTheme="minorHAnsi" w:cstheme="minorBidi"/>
          <w:noProof/>
          <w:sz w:val="30"/>
          <w:szCs w:val="30"/>
        </w:rPr>
      </w:pPr>
      <w:hyperlink w:anchor="_Toc481418194" w:history="1">
        <w:r w:rsidR="005C7913" w:rsidRPr="007D383F">
          <w:rPr>
            <w:rStyle w:val="a7"/>
            <w:rFonts w:ascii="Calibri" w:hAnsi="Calibri"/>
            <w:noProof/>
            <w:snapToGrid w:val="0"/>
            <w:spacing w:val="-2"/>
            <w:sz w:val="30"/>
            <w:szCs w:val="30"/>
          </w:rPr>
          <w:t>1.1. Краткое описание  платежных систем</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_Toc481418194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7</w:t>
        </w:r>
        <w:r w:rsidR="005C7913" w:rsidRPr="007D383F">
          <w:rPr>
            <w:noProof/>
            <w:webHidden/>
            <w:sz w:val="30"/>
            <w:szCs w:val="30"/>
          </w:rPr>
          <w:fldChar w:fldCharType="end"/>
        </w:r>
      </w:hyperlink>
    </w:p>
    <w:p w:rsidR="005C7913" w:rsidRPr="007D383F" w:rsidRDefault="00A3494E" w:rsidP="005C7913">
      <w:pPr>
        <w:pStyle w:val="12"/>
        <w:tabs>
          <w:tab w:val="right" w:leader="dot" w:pos="9344"/>
        </w:tabs>
        <w:ind w:firstLine="180"/>
        <w:rPr>
          <w:rFonts w:asciiTheme="minorHAnsi" w:eastAsiaTheme="minorEastAsia" w:hAnsiTheme="minorHAnsi" w:cstheme="minorBidi"/>
          <w:noProof/>
          <w:sz w:val="30"/>
          <w:szCs w:val="30"/>
        </w:rPr>
      </w:pPr>
      <w:hyperlink w:anchor="_Toc481418195" w:history="1">
        <w:r w:rsidR="005C7913" w:rsidRPr="007D383F">
          <w:rPr>
            <w:rStyle w:val="a7"/>
            <w:rFonts w:ascii="Calibri" w:hAnsi="Calibri"/>
            <w:noProof/>
            <w:snapToGrid w:val="0"/>
            <w:spacing w:val="-2"/>
            <w:sz w:val="30"/>
            <w:szCs w:val="30"/>
          </w:rPr>
          <w:t>1.2. Соответствие платежных систем Принципам для ИФР</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_Toc481418195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9</w:t>
        </w:r>
        <w:r w:rsidR="005C7913" w:rsidRPr="007D383F">
          <w:rPr>
            <w:noProof/>
            <w:webHidden/>
            <w:sz w:val="30"/>
            <w:szCs w:val="30"/>
          </w:rPr>
          <w:fldChar w:fldCharType="end"/>
        </w:r>
      </w:hyperlink>
    </w:p>
    <w:p w:rsidR="005C7913" w:rsidRPr="007D383F" w:rsidRDefault="00A3494E" w:rsidP="005C7913">
      <w:pPr>
        <w:pStyle w:val="12"/>
        <w:tabs>
          <w:tab w:val="right" w:leader="dot" w:pos="9344"/>
        </w:tabs>
        <w:ind w:firstLine="180"/>
        <w:rPr>
          <w:rFonts w:asciiTheme="minorHAnsi" w:eastAsiaTheme="minorEastAsia" w:hAnsiTheme="minorHAnsi" w:cstheme="minorBidi"/>
          <w:noProof/>
          <w:sz w:val="30"/>
          <w:szCs w:val="30"/>
        </w:rPr>
      </w:pPr>
      <w:hyperlink w:anchor="_Toc481418196" w:history="1">
        <w:r w:rsidR="005C7913" w:rsidRPr="007D383F">
          <w:rPr>
            <w:rStyle w:val="a7"/>
            <w:rFonts w:ascii="Calibri" w:hAnsi="Calibri"/>
            <w:noProof/>
            <w:snapToGrid w:val="0"/>
            <w:spacing w:val="-2"/>
            <w:sz w:val="30"/>
            <w:szCs w:val="30"/>
          </w:rPr>
          <w:t>1.3. Показатели развития платежных систем</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_Toc481418196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19</w:t>
        </w:r>
        <w:r w:rsidR="005C7913" w:rsidRPr="007D383F">
          <w:rPr>
            <w:noProof/>
            <w:webHidden/>
            <w:sz w:val="30"/>
            <w:szCs w:val="30"/>
          </w:rPr>
          <w:fldChar w:fldCharType="end"/>
        </w:r>
      </w:hyperlink>
    </w:p>
    <w:p w:rsidR="005C7913" w:rsidRPr="007D383F" w:rsidRDefault="00A3494E" w:rsidP="005C7913">
      <w:pPr>
        <w:pStyle w:val="12"/>
        <w:tabs>
          <w:tab w:val="right" w:leader="dot" w:pos="9344"/>
        </w:tabs>
        <w:ind w:firstLine="180"/>
        <w:rPr>
          <w:rFonts w:asciiTheme="minorHAnsi" w:eastAsiaTheme="minorEastAsia" w:hAnsiTheme="minorHAnsi" w:cstheme="minorBidi"/>
          <w:noProof/>
          <w:sz w:val="30"/>
          <w:szCs w:val="30"/>
        </w:rPr>
      </w:pPr>
      <w:hyperlink w:anchor="_Toc481418197" w:history="1">
        <w:r w:rsidR="005C7913" w:rsidRPr="007D383F">
          <w:rPr>
            <w:rStyle w:val="a7"/>
            <w:rFonts w:ascii="Calibri" w:hAnsi="Calibri"/>
            <w:noProof/>
            <w:snapToGrid w:val="0"/>
            <w:spacing w:val="-2"/>
            <w:sz w:val="30"/>
            <w:szCs w:val="30"/>
          </w:rPr>
          <w:t>1.4. Показатели МСПД</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_Toc481418197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21</w:t>
        </w:r>
        <w:r w:rsidR="005C7913" w:rsidRPr="007D383F">
          <w:rPr>
            <w:noProof/>
            <w:webHidden/>
            <w:sz w:val="30"/>
            <w:szCs w:val="30"/>
          </w:rPr>
          <w:fldChar w:fldCharType="end"/>
        </w:r>
      </w:hyperlink>
    </w:p>
    <w:p w:rsidR="005C7913" w:rsidRPr="007D383F" w:rsidRDefault="00A3494E" w:rsidP="005C7913">
      <w:pPr>
        <w:pStyle w:val="12"/>
        <w:tabs>
          <w:tab w:val="right" w:leader="dot" w:pos="9344"/>
        </w:tabs>
        <w:ind w:firstLine="180"/>
        <w:rPr>
          <w:rFonts w:asciiTheme="minorHAnsi" w:eastAsiaTheme="minorEastAsia" w:hAnsiTheme="minorHAnsi" w:cstheme="minorBidi"/>
          <w:noProof/>
          <w:sz w:val="30"/>
          <w:szCs w:val="30"/>
        </w:rPr>
      </w:pPr>
      <w:hyperlink w:anchor="_Toc481418198" w:history="1">
        <w:r w:rsidR="005C7913" w:rsidRPr="007D383F">
          <w:rPr>
            <w:rStyle w:val="a7"/>
            <w:rFonts w:ascii="Calibri" w:hAnsi="Calibri"/>
            <w:noProof/>
            <w:snapToGrid w:val="0"/>
            <w:spacing w:val="-2"/>
            <w:sz w:val="30"/>
            <w:szCs w:val="30"/>
          </w:rPr>
          <w:t>1.5. Показатели СМК</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_Toc481418198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23</w:t>
        </w:r>
        <w:r w:rsidR="005C7913" w:rsidRPr="007D383F">
          <w:rPr>
            <w:noProof/>
            <w:webHidden/>
            <w:sz w:val="30"/>
            <w:szCs w:val="30"/>
          </w:rPr>
          <w:fldChar w:fldCharType="end"/>
        </w:r>
      </w:hyperlink>
    </w:p>
    <w:p w:rsidR="005C7913" w:rsidRPr="007D383F" w:rsidRDefault="00A3494E" w:rsidP="005C7913">
      <w:pPr>
        <w:pStyle w:val="12"/>
        <w:tabs>
          <w:tab w:val="right" w:leader="dot" w:pos="9344"/>
        </w:tabs>
        <w:ind w:firstLine="180"/>
        <w:rPr>
          <w:rFonts w:asciiTheme="minorHAnsi" w:eastAsiaTheme="minorEastAsia" w:hAnsiTheme="minorHAnsi" w:cstheme="minorBidi"/>
          <w:noProof/>
          <w:sz w:val="30"/>
          <w:szCs w:val="30"/>
        </w:rPr>
      </w:pPr>
      <w:hyperlink w:anchor="_Toc481418199" w:history="1">
        <w:r w:rsidR="005C7913" w:rsidRPr="007D383F">
          <w:rPr>
            <w:rStyle w:val="a7"/>
            <w:rFonts w:ascii="Calibri" w:hAnsi="Calibri"/>
            <w:noProof/>
            <w:snapToGrid w:val="0"/>
            <w:spacing w:val="-2"/>
            <w:sz w:val="30"/>
            <w:szCs w:val="30"/>
          </w:rPr>
          <w:t>1.6. Ликвидность  и оборачиваемость денег в платежных системах</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_Toc481418199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25</w:t>
        </w:r>
        <w:r w:rsidR="005C7913" w:rsidRPr="007D383F">
          <w:rPr>
            <w:noProof/>
            <w:webHidden/>
            <w:sz w:val="30"/>
            <w:szCs w:val="30"/>
          </w:rPr>
          <w:fldChar w:fldCharType="end"/>
        </w:r>
      </w:hyperlink>
    </w:p>
    <w:p w:rsidR="005C7913" w:rsidRPr="007D383F" w:rsidRDefault="00A3494E" w:rsidP="005C7913">
      <w:pPr>
        <w:pStyle w:val="12"/>
        <w:tabs>
          <w:tab w:val="right" w:leader="dot" w:pos="9344"/>
        </w:tabs>
        <w:ind w:firstLine="180"/>
        <w:rPr>
          <w:rFonts w:asciiTheme="minorHAnsi" w:eastAsiaTheme="minorEastAsia" w:hAnsiTheme="minorHAnsi" w:cstheme="minorBidi"/>
          <w:noProof/>
          <w:sz w:val="30"/>
          <w:szCs w:val="30"/>
        </w:rPr>
      </w:pPr>
      <w:hyperlink w:anchor="_Toc481418200" w:history="1">
        <w:r w:rsidR="005C7913" w:rsidRPr="007D383F">
          <w:rPr>
            <w:rStyle w:val="a7"/>
            <w:rFonts w:ascii="Calibri" w:hAnsi="Calibri"/>
            <w:noProof/>
            <w:snapToGrid w:val="0"/>
            <w:spacing w:val="-2"/>
            <w:sz w:val="30"/>
            <w:szCs w:val="30"/>
          </w:rPr>
          <w:t>1.7. Показатели работоспособности платежных систем</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_Toc481418200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26</w:t>
        </w:r>
        <w:r w:rsidR="005C7913" w:rsidRPr="007D383F">
          <w:rPr>
            <w:noProof/>
            <w:webHidden/>
            <w:sz w:val="30"/>
            <w:szCs w:val="30"/>
          </w:rPr>
          <w:fldChar w:fldCharType="end"/>
        </w:r>
      </w:hyperlink>
    </w:p>
    <w:p w:rsidR="005C7913" w:rsidRPr="007D383F" w:rsidRDefault="00A3494E" w:rsidP="005C7913">
      <w:pPr>
        <w:pStyle w:val="12"/>
        <w:tabs>
          <w:tab w:val="right" w:leader="dot" w:pos="9344"/>
        </w:tabs>
        <w:ind w:firstLine="180"/>
        <w:rPr>
          <w:rFonts w:asciiTheme="minorHAnsi" w:eastAsiaTheme="minorEastAsia" w:hAnsiTheme="minorHAnsi" w:cstheme="minorBidi"/>
          <w:noProof/>
          <w:sz w:val="30"/>
          <w:szCs w:val="30"/>
        </w:rPr>
      </w:pPr>
      <w:hyperlink w:anchor="_Toc481418201" w:history="1">
        <w:r w:rsidR="005C7913" w:rsidRPr="007D383F">
          <w:rPr>
            <w:rStyle w:val="a7"/>
            <w:rFonts w:ascii="Calibri" w:hAnsi="Calibri"/>
            <w:noProof/>
            <w:snapToGrid w:val="0"/>
            <w:spacing w:val="-2"/>
            <w:sz w:val="30"/>
            <w:szCs w:val="30"/>
          </w:rPr>
          <w:t>1.8. Система массовых электронных платежей</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_Toc481418201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27</w:t>
        </w:r>
        <w:r w:rsidR="005C7913" w:rsidRPr="007D383F">
          <w:rPr>
            <w:noProof/>
            <w:webHidden/>
            <w:sz w:val="30"/>
            <w:szCs w:val="30"/>
          </w:rPr>
          <w:fldChar w:fldCharType="end"/>
        </w:r>
      </w:hyperlink>
    </w:p>
    <w:p w:rsidR="005C7913" w:rsidRPr="007D383F" w:rsidRDefault="005C7913">
      <w:pPr>
        <w:pStyle w:val="12"/>
        <w:tabs>
          <w:tab w:val="right" w:leader="dot" w:pos="9344"/>
        </w:tabs>
        <w:rPr>
          <w:rStyle w:val="a7"/>
          <w:noProof/>
          <w:sz w:val="10"/>
          <w:szCs w:val="10"/>
        </w:rPr>
      </w:pPr>
    </w:p>
    <w:p w:rsidR="005C7913" w:rsidRPr="007D383F" w:rsidRDefault="00A3494E">
      <w:pPr>
        <w:pStyle w:val="12"/>
        <w:tabs>
          <w:tab w:val="right" w:leader="dot" w:pos="9344"/>
        </w:tabs>
        <w:rPr>
          <w:rFonts w:asciiTheme="minorHAnsi" w:eastAsiaTheme="minorEastAsia" w:hAnsiTheme="minorHAnsi" w:cstheme="minorBidi"/>
          <w:noProof/>
          <w:sz w:val="30"/>
          <w:szCs w:val="30"/>
        </w:rPr>
      </w:pPr>
      <w:hyperlink w:anchor="_Toc481418202" w:history="1">
        <w:r w:rsidR="005C7913" w:rsidRPr="007D383F">
          <w:rPr>
            <w:rStyle w:val="a7"/>
            <w:rFonts w:ascii="Calibri" w:hAnsi="Calibri"/>
            <w:noProof/>
            <w:snapToGrid w:val="0"/>
            <w:spacing w:val="-2"/>
            <w:sz w:val="30"/>
            <w:szCs w:val="30"/>
          </w:rPr>
          <w:t>РАЗДЕЛ 2. ПЛАТЕЖНЫЕ ИНСТРУМЕНТЫ</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_Toc481418202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29</w:t>
        </w:r>
        <w:r w:rsidR="005C7913" w:rsidRPr="007D383F">
          <w:rPr>
            <w:noProof/>
            <w:webHidden/>
            <w:sz w:val="30"/>
            <w:szCs w:val="30"/>
          </w:rPr>
          <w:fldChar w:fldCharType="end"/>
        </w:r>
      </w:hyperlink>
    </w:p>
    <w:p w:rsidR="005C7913" w:rsidRPr="007D383F" w:rsidRDefault="005C7913">
      <w:pPr>
        <w:pStyle w:val="12"/>
        <w:tabs>
          <w:tab w:val="right" w:leader="dot" w:pos="9344"/>
        </w:tabs>
        <w:rPr>
          <w:rStyle w:val="a7"/>
          <w:noProof/>
          <w:sz w:val="10"/>
          <w:szCs w:val="10"/>
        </w:rPr>
      </w:pPr>
    </w:p>
    <w:p w:rsidR="005C7913" w:rsidRPr="007D383F" w:rsidRDefault="00A3494E">
      <w:pPr>
        <w:pStyle w:val="12"/>
        <w:tabs>
          <w:tab w:val="right" w:leader="dot" w:pos="9344"/>
        </w:tabs>
        <w:rPr>
          <w:rFonts w:asciiTheme="minorHAnsi" w:eastAsiaTheme="minorEastAsia" w:hAnsiTheme="minorHAnsi" w:cstheme="minorBidi"/>
          <w:noProof/>
          <w:sz w:val="30"/>
          <w:szCs w:val="30"/>
        </w:rPr>
      </w:pPr>
      <w:hyperlink w:anchor="_Toc481418203" w:history="1">
        <w:r w:rsidR="005C7913" w:rsidRPr="007D383F">
          <w:rPr>
            <w:rStyle w:val="a7"/>
            <w:rFonts w:ascii="Calibri" w:hAnsi="Calibri"/>
            <w:noProof/>
            <w:snapToGrid w:val="0"/>
            <w:spacing w:val="-2"/>
            <w:sz w:val="30"/>
            <w:szCs w:val="30"/>
          </w:rPr>
          <w:t>РАЗДЕЛ 3. РЫНОК ПЛАТЕЖНЫХ УСЛУГ</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_Toc481418203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31</w:t>
        </w:r>
        <w:r w:rsidR="005C7913" w:rsidRPr="007D383F">
          <w:rPr>
            <w:noProof/>
            <w:webHidden/>
            <w:sz w:val="30"/>
            <w:szCs w:val="30"/>
          </w:rPr>
          <w:fldChar w:fldCharType="end"/>
        </w:r>
      </w:hyperlink>
    </w:p>
    <w:p w:rsidR="005C7913" w:rsidRPr="007D383F" w:rsidRDefault="00A3494E" w:rsidP="005C7913">
      <w:pPr>
        <w:pStyle w:val="21"/>
        <w:rPr>
          <w:rFonts w:asciiTheme="minorHAnsi" w:eastAsiaTheme="minorEastAsia" w:hAnsiTheme="minorHAnsi" w:cstheme="minorBidi"/>
          <w:noProof/>
          <w:sz w:val="30"/>
          <w:szCs w:val="30"/>
        </w:rPr>
      </w:pPr>
      <w:hyperlink w:anchor="_Toc481418204" w:history="1">
        <w:r w:rsidR="005C7913" w:rsidRPr="007D383F">
          <w:rPr>
            <w:rStyle w:val="a7"/>
            <w:rFonts w:ascii="Calibri" w:hAnsi="Calibri"/>
            <w:noProof/>
            <w:snapToGrid w:val="0"/>
            <w:spacing w:val="-2"/>
            <w:sz w:val="30"/>
            <w:szCs w:val="30"/>
          </w:rPr>
          <w:t>3.1. Инфраструктура рынка электронных платежных услуг</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_Toc481418204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32</w:t>
        </w:r>
        <w:r w:rsidR="005C7913" w:rsidRPr="007D383F">
          <w:rPr>
            <w:noProof/>
            <w:webHidden/>
            <w:sz w:val="30"/>
            <w:szCs w:val="30"/>
          </w:rPr>
          <w:fldChar w:fldCharType="end"/>
        </w:r>
      </w:hyperlink>
    </w:p>
    <w:p w:rsidR="005C7913" w:rsidRPr="007D383F" w:rsidRDefault="00A3494E" w:rsidP="005C7913">
      <w:pPr>
        <w:pStyle w:val="21"/>
        <w:rPr>
          <w:rFonts w:asciiTheme="minorHAnsi" w:eastAsiaTheme="minorEastAsia" w:hAnsiTheme="minorHAnsi" w:cstheme="minorBidi"/>
          <w:noProof/>
          <w:sz w:val="30"/>
          <w:szCs w:val="30"/>
        </w:rPr>
      </w:pPr>
      <w:hyperlink w:anchor="_Toc481418205" w:history="1">
        <w:r w:rsidR="005C7913" w:rsidRPr="007D383F">
          <w:rPr>
            <w:rStyle w:val="a7"/>
            <w:rFonts w:ascii="Calibri" w:hAnsi="Calibri"/>
            <w:noProof/>
            <w:snapToGrid w:val="0"/>
            <w:spacing w:val="-2"/>
            <w:sz w:val="30"/>
            <w:szCs w:val="30"/>
          </w:rPr>
          <w:t>3.2. Платежные услуги через системы удаленного доступа</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_Toc481418205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35</w:t>
        </w:r>
        <w:r w:rsidR="005C7913" w:rsidRPr="007D383F">
          <w:rPr>
            <w:noProof/>
            <w:webHidden/>
            <w:sz w:val="30"/>
            <w:szCs w:val="30"/>
          </w:rPr>
          <w:fldChar w:fldCharType="end"/>
        </w:r>
      </w:hyperlink>
    </w:p>
    <w:p w:rsidR="005C7913" w:rsidRPr="007D383F" w:rsidRDefault="00A3494E" w:rsidP="005C7913">
      <w:pPr>
        <w:pStyle w:val="21"/>
        <w:rPr>
          <w:rFonts w:asciiTheme="minorHAnsi" w:eastAsiaTheme="minorEastAsia" w:hAnsiTheme="minorHAnsi" w:cstheme="minorBidi"/>
          <w:noProof/>
          <w:sz w:val="30"/>
          <w:szCs w:val="30"/>
        </w:rPr>
      </w:pPr>
      <w:hyperlink w:anchor="_Toc481418206" w:history="1">
        <w:r w:rsidR="005C7913" w:rsidRPr="007D383F">
          <w:rPr>
            <w:rStyle w:val="a7"/>
            <w:rFonts w:ascii="Calibri" w:hAnsi="Calibri"/>
            <w:noProof/>
            <w:snapToGrid w:val="0"/>
            <w:spacing w:val="-2"/>
            <w:sz w:val="30"/>
            <w:szCs w:val="30"/>
          </w:rPr>
          <w:t>3.3</w:t>
        </w:r>
        <w:r w:rsidR="007D383F" w:rsidRPr="007D383F">
          <w:rPr>
            <w:rStyle w:val="a7"/>
            <w:rFonts w:ascii="Calibri" w:hAnsi="Calibri"/>
            <w:noProof/>
            <w:snapToGrid w:val="0"/>
            <w:spacing w:val="-2"/>
            <w:sz w:val="30"/>
            <w:szCs w:val="30"/>
          </w:rPr>
          <w:t>.</w:t>
        </w:r>
        <w:r w:rsidR="005C7913" w:rsidRPr="007D383F">
          <w:rPr>
            <w:rStyle w:val="a7"/>
            <w:rFonts w:ascii="Calibri" w:hAnsi="Calibri"/>
            <w:noProof/>
            <w:snapToGrid w:val="0"/>
            <w:spacing w:val="-2"/>
            <w:sz w:val="30"/>
            <w:szCs w:val="30"/>
          </w:rPr>
          <w:t xml:space="preserve"> Интернет и мобильные платежи</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_Toc481418206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37</w:t>
        </w:r>
        <w:r w:rsidR="005C7913" w:rsidRPr="007D383F">
          <w:rPr>
            <w:noProof/>
            <w:webHidden/>
            <w:sz w:val="30"/>
            <w:szCs w:val="30"/>
          </w:rPr>
          <w:fldChar w:fldCharType="end"/>
        </w:r>
      </w:hyperlink>
    </w:p>
    <w:p w:rsidR="005C7913" w:rsidRPr="007D383F" w:rsidRDefault="00A3494E" w:rsidP="005C7913">
      <w:pPr>
        <w:pStyle w:val="21"/>
        <w:rPr>
          <w:rFonts w:asciiTheme="minorHAnsi" w:eastAsiaTheme="minorEastAsia" w:hAnsiTheme="minorHAnsi" w:cstheme="minorBidi"/>
          <w:noProof/>
          <w:sz w:val="30"/>
          <w:szCs w:val="30"/>
        </w:rPr>
      </w:pPr>
      <w:hyperlink w:anchor="_Toc481418207" w:history="1">
        <w:r w:rsidR="005C7913" w:rsidRPr="007D383F">
          <w:rPr>
            <w:rStyle w:val="a7"/>
            <w:rFonts w:ascii="Calibri" w:hAnsi="Calibri"/>
            <w:noProof/>
            <w:snapToGrid w:val="0"/>
            <w:spacing w:val="-2"/>
            <w:sz w:val="30"/>
            <w:szCs w:val="30"/>
          </w:rPr>
          <w:t>3.4</w:t>
        </w:r>
        <w:r w:rsidR="007D383F" w:rsidRPr="007D383F">
          <w:rPr>
            <w:rStyle w:val="a7"/>
            <w:rFonts w:ascii="Calibri" w:hAnsi="Calibri"/>
            <w:noProof/>
            <w:snapToGrid w:val="0"/>
            <w:spacing w:val="-2"/>
            <w:sz w:val="30"/>
            <w:szCs w:val="30"/>
          </w:rPr>
          <w:t>.</w:t>
        </w:r>
        <w:r w:rsidR="005C7913" w:rsidRPr="007D383F">
          <w:rPr>
            <w:rStyle w:val="a7"/>
            <w:rFonts w:ascii="Calibri" w:hAnsi="Calibri"/>
            <w:noProof/>
            <w:snapToGrid w:val="0"/>
            <w:spacing w:val="-2"/>
            <w:sz w:val="30"/>
            <w:szCs w:val="30"/>
          </w:rPr>
          <w:t xml:space="preserve"> Рынок платежных карточек</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_Toc481418207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38</w:t>
        </w:r>
        <w:r w:rsidR="005C7913" w:rsidRPr="007D383F">
          <w:rPr>
            <w:noProof/>
            <w:webHidden/>
            <w:sz w:val="30"/>
            <w:szCs w:val="30"/>
          </w:rPr>
          <w:fldChar w:fldCharType="end"/>
        </w:r>
      </w:hyperlink>
    </w:p>
    <w:p w:rsidR="005C7913" w:rsidRPr="007D383F" w:rsidRDefault="005C7913">
      <w:pPr>
        <w:pStyle w:val="12"/>
        <w:tabs>
          <w:tab w:val="right" w:leader="dot" w:pos="9344"/>
        </w:tabs>
        <w:rPr>
          <w:rStyle w:val="a7"/>
          <w:noProof/>
          <w:sz w:val="10"/>
          <w:szCs w:val="10"/>
        </w:rPr>
      </w:pPr>
    </w:p>
    <w:p w:rsidR="005C7913" w:rsidRPr="007D383F" w:rsidRDefault="00A3494E">
      <w:pPr>
        <w:pStyle w:val="12"/>
        <w:tabs>
          <w:tab w:val="right" w:leader="dot" w:pos="9344"/>
        </w:tabs>
        <w:rPr>
          <w:rFonts w:asciiTheme="minorHAnsi" w:eastAsiaTheme="minorEastAsia" w:hAnsiTheme="minorHAnsi" w:cstheme="minorBidi"/>
          <w:noProof/>
          <w:sz w:val="30"/>
          <w:szCs w:val="30"/>
        </w:rPr>
      </w:pPr>
      <w:hyperlink w:anchor="_Toc481418208" w:history="1">
        <w:r w:rsidR="005C7913" w:rsidRPr="007D383F">
          <w:rPr>
            <w:rStyle w:val="a7"/>
            <w:rFonts w:ascii="Calibri" w:hAnsi="Calibri"/>
            <w:noProof/>
            <w:snapToGrid w:val="0"/>
            <w:spacing w:val="-2"/>
            <w:sz w:val="30"/>
            <w:szCs w:val="30"/>
          </w:rPr>
          <w:t>РАЗДЕЛ 4. СИСТЕМЫ ДЕНЕЖНЫХ ПЕРЕВОДОВ</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_Toc481418208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42</w:t>
        </w:r>
        <w:r w:rsidR="005C7913" w:rsidRPr="007D383F">
          <w:rPr>
            <w:noProof/>
            <w:webHidden/>
            <w:sz w:val="30"/>
            <w:szCs w:val="30"/>
          </w:rPr>
          <w:fldChar w:fldCharType="end"/>
        </w:r>
      </w:hyperlink>
    </w:p>
    <w:p w:rsidR="005C7913" w:rsidRPr="007D383F" w:rsidRDefault="005C7913">
      <w:pPr>
        <w:pStyle w:val="12"/>
        <w:tabs>
          <w:tab w:val="right" w:leader="dot" w:pos="9344"/>
        </w:tabs>
        <w:rPr>
          <w:rStyle w:val="a7"/>
          <w:noProof/>
          <w:sz w:val="10"/>
          <w:szCs w:val="10"/>
        </w:rPr>
      </w:pPr>
    </w:p>
    <w:p w:rsidR="005C7913" w:rsidRPr="007D383F" w:rsidRDefault="00A3494E">
      <w:pPr>
        <w:pStyle w:val="12"/>
        <w:tabs>
          <w:tab w:val="right" w:leader="dot" w:pos="9344"/>
        </w:tabs>
        <w:rPr>
          <w:rFonts w:asciiTheme="minorHAnsi" w:eastAsiaTheme="minorEastAsia" w:hAnsiTheme="minorHAnsi" w:cstheme="minorBidi"/>
          <w:noProof/>
          <w:sz w:val="30"/>
          <w:szCs w:val="30"/>
        </w:rPr>
      </w:pPr>
      <w:hyperlink w:anchor="_Toc481418209" w:history="1">
        <w:r w:rsidR="005C7913" w:rsidRPr="007D383F">
          <w:rPr>
            <w:rStyle w:val="a7"/>
            <w:rFonts w:ascii="Calibri" w:hAnsi="Calibri"/>
            <w:noProof/>
            <w:snapToGrid w:val="0"/>
            <w:spacing w:val="-2"/>
            <w:sz w:val="30"/>
            <w:szCs w:val="30"/>
          </w:rPr>
          <w:t>РАЗДЕЛ 5. ПЛАТЕЖИ ПО ПРЯМЫМ  КОРРЕСПОНДЕНТСКИМ СЧЕТАМ</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_Toc481418209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48</w:t>
        </w:r>
        <w:r w:rsidR="005C7913" w:rsidRPr="007D383F">
          <w:rPr>
            <w:noProof/>
            <w:webHidden/>
            <w:sz w:val="30"/>
            <w:szCs w:val="30"/>
          </w:rPr>
          <w:fldChar w:fldCharType="end"/>
        </w:r>
      </w:hyperlink>
    </w:p>
    <w:p w:rsidR="005C7913" w:rsidRPr="007D383F" w:rsidRDefault="005C7913">
      <w:pPr>
        <w:pStyle w:val="12"/>
        <w:tabs>
          <w:tab w:val="right" w:leader="dot" w:pos="9344"/>
        </w:tabs>
        <w:rPr>
          <w:rStyle w:val="a7"/>
          <w:noProof/>
          <w:sz w:val="10"/>
          <w:szCs w:val="10"/>
        </w:rPr>
      </w:pPr>
    </w:p>
    <w:p w:rsidR="005C7913" w:rsidRPr="007D383F" w:rsidRDefault="00A3494E">
      <w:pPr>
        <w:pStyle w:val="12"/>
        <w:tabs>
          <w:tab w:val="right" w:leader="dot" w:pos="9344"/>
        </w:tabs>
        <w:rPr>
          <w:rFonts w:asciiTheme="minorHAnsi" w:eastAsiaTheme="minorEastAsia" w:hAnsiTheme="minorHAnsi" w:cstheme="minorBidi"/>
          <w:noProof/>
          <w:sz w:val="30"/>
          <w:szCs w:val="30"/>
        </w:rPr>
      </w:pPr>
      <w:hyperlink w:anchor="_Toc481418210" w:history="1">
        <w:r w:rsidR="005C7913" w:rsidRPr="007D383F">
          <w:rPr>
            <w:rStyle w:val="a7"/>
            <w:rFonts w:ascii="Calibri" w:hAnsi="Calibri"/>
            <w:noProof/>
            <w:snapToGrid w:val="0"/>
            <w:spacing w:val="-2"/>
            <w:sz w:val="30"/>
            <w:szCs w:val="30"/>
          </w:rPr>
          <w:t>РАЗДЕЛ 6. ЭЛЕКТРОННЫЕ ДЕНЬГИ</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_Toc481418210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52</w:t>
        </w:r>
        <w:r w:rsidR="005C7913" w:rsidRPr="007D383F">
          <w:rPr>
            <w:noProof/>
            <w:webHidden/>
            <w:sz w:val="30"/>
            <w:szCs w:val="30"/>
          </w:rPr>
          <w:fldChar w:fldCharType="end"/>
        </w:r>
      </w:hyperlink>
    </w:p>
    <w:p w:rsidR="005C7913" w:rsidRPr="007D383F" w:rsidRDefault="005C7913">
      <w:pPr>
        <w:pStyle w:val="12"/>
        <w:tabs>
          <w:tab w:val="right" w:leader="dot" w:pos="9344"/>
        </w:tabs>
        <w:rPr>
          <w:rStyle w:val="a7"/>
          <w:noProof/>
          <w:sz w:val="10"/>
          <w:szCs w:val="10"/>
        </w:rPr>
      </w:pPr>
    </w:p>
    <w:p w:rsidR="005C7913" w:rsidRPr="007D383F" w:rsidRDefault="00A3494E">
      <w:pPr>
        <w:pStyle w:val="12"/>
        <w:tabs>
          <w:tab w:val="right" w:leader="dot" w:pos="9344"/>
        </w:tabs>
        <w:rPr>
          <w:rFonts w:asciiTheme="minorHAnsi" w:eastAsiaTheme="minorEastAsia" w:hAnsiTheme="minorHAnsi" w:cstheme="minorBidi"/>
          <w:noProof/>
          <w:sz w:val="30"/>
          <w:szCs w:val="30"/>
        </w:rPr>
      </w:pPr>
      <w:hyperlink w:anchor="_Toc481418211" w:history="1">
        <w:r w:rsidR="005C7913" w:rsidRPr="007D383F">
          <w:rPr>
            <w:rStyle w:val="a7"/>
            <w:rFonts w:ascii="Calibri" w:hAnsi="Calibri"/>
            <w:noProof/>
            <w:snapToGrid w:val="0"/>
            <w:spacing w:val="-2"/>
            <w:sz w:val="30"/>
            <w:szCs w:val="30"/>
          </w:rPr>
          <w:t>ЗАКЛЮЧЕНИЕ</w:t>
        </w:r>
        <w:r w:rsidR="005C7913" w:rsidRPr="007D383F">
          <w:rPr>
            <w:noProof/>
            <w:webHidden/>
            <w:sz w:val="30"/>
            <w:szCs w:val="30"/>
          </w:rPr>
          <w:tab/>
        </w:r>
        <w:r w:rsidR="005C7913" w:rsidRPr="007D383F">
          <w:rPr>
            <w:noProof/>
            <w:webHidden/>
            <w:sz w:val="30"/>
            <w:szCs w:val="30"/>
          </w:rPr>
          <w:fldChar w:fldCharType="begin"/>
        </w:r>
        <w:r w:rsidR="005C7913" w:rsidRPr="007D383F">
          <w:rPr>
            <w:noProof/>
            <w:webHidden/>
            <w:sz w:val="30"/>
            <w:szCs w:val="30"/>
          </w:rPr>
          <w:instrText xml:space="preserve"> PAGEREF _Toc481418211 \h </w:instrText>
        </w:r>
        <w:r w:rsidR="005C7913" w:rsidRPr="007D383F">
          <w:rPr>
            <w:noProof/>
            <w:webHidden/>
            <w:sz w:val="30"/>
            <w:szCs w:val="30"/>
          </w:rPr>
        </w:r>
        <w:r w:rsidR="005C7913" w:rsidRPr="007D383F">
          <w:rPr>
            <w:noProof/>
            <w:webHidden/>
            <w:sz w:val="30"/>
            <w:szCs w:val="30"/>
          </w:rPr>
          <w:fldChar w:fldCharType="separate"/>
        </w:r>
        <w:r w:rsidR="005442A7">
          <w:rPr>
            <w:noProof/>
            <w:webHidden/>
            <w:sz w:val="30"/>
            <w:szCs w:val="30"/>
          </w:rPr>
          <w:t>54</w:t>
        </w:r>
        <w:r w:rsidR="005C7913" w:rsidRPr="007D383F">
          <w:rPr>
            <w:noProof/>
            <w:webHidden/>
            <w:sz w:val="30"/>
            <w:szCs w:val="30"/>
          </w:rPr>
          <w:fldChar w:fldCharType="end"/>
        </w:r>
      </w:hyperlink>
    </w:p>
    <w:p w:rsidR="00C00A5C" w:rsidRPr="00015E28" w:rsidRDefault="00C00A5C" w:rsidP="00157779">
      <w:pPr>
        <w:shd w:val="clear" w:color="auto" w:fill="F2F2F2"/>
        <w:spacing w:before="120"/>
        <w:rPr>
          <w:rFonts w:ascii="Calibri" w:hAnsi="Calibri" w:cs="Calibri"/>
          <w:color w:val="0E4C28"/>
          <w:sz w:val="32"/>
          <w:szCs w:val="32"/>
        </w:rPr>
      </w:pPr>
      <w:r w:rsidRPr="007D383F">
        <w:rPr>
          <w:rFonts w:asciiTheme="minorHAnsi" w:hAnsiTheme="minorHAnsi" w:cstheme="minorHAnsi"/>
          <w:b/>
          <w:bCs/>
          <w:color w:val="0E4C28"/>
          <w:sz w:val="30"/>
          <w:szCs w:val="30"/>
        </w:rPr>
        <w:fldChar w:fldCharType="end"/>
      </w:r>
    </w:p>
    <w:p w:rsidR="00354088" w:rsidRPr="00015E28" w:rsidRDefault="00354088" w:rsidP="00354088">
      <w:pPr>
        <w:rPr>
          <w:rFonts w:ascii="Calibri" w:hAnsi="Calibri"/>
          <w:b/>
          <w:bCs/>
          <w:snapToGrid w:val="0"/>
          <w:color w:val="0E4C28"/>
          <w:spacing w:val="-2"/>
          <w:sz w:val="36"/>
          <w:szCs w:val="36"/>
        </w:rPr>
      </w:pPr>
    </w:p>
    <w:p w:rsidR="00354088" w:rsidRPr="00015E28" w:rsidRDefault="00354088" w:rsidP="00354088">
      <w:pPr>
        <w:rPr>
          <w:rFonts w:ascii="Calibri" w:hAnsi="Calibri"/>
          <w:b/>
          <w:bCs/>
          <w:snapToGrid w:val="0"/>
          <w:color w:val="0E4C28"/>
          <w:spacing w:val="-2"/>
          <w:sz w:val="36"/>
          <w:szCs w:val="36"/>
        </w:rPr>
      </w:pPr>
    </w:p>
    <w:p w:rsidR="00354088" w:rsidRDefault="00354088" w:rsidP="00354088">
      <w:pPr>
        <w:rPr>
          <w:rFonts w:ascii="Calibri" w:hAnsi="Calibri"/>
          <w:b/>
          <w:bCs/>
          <w:snapToGrid w:val="0"/>
          <w:color w:val="0E4C28"/>
          <w:spacing w:val="-2"/>
          <w:sz w:val="36"/>
          <w:szCs w:val="36"/>
        </w:rPr>
      </w:pPr>
    </w:p>
    <w:p w:rsidR="005C7913" w:rsidRDefault="005C7913" w:rsidP="00354088">
      <w:pPr>
        <w:rPr>
          <w:rFonts w:ascii="Calibri" w:hAnsi="Calibri"/>
          <w:b/>
          <w:bCs/>
          <w:snapToGrid w:val="0"/>
          <w:color w:val="0E4C28"/>
          <w:spacing w:val="-2"/>
          <w:sz w:val="36"/>
          <w:szCs w:val="36"/>
        </w:rPr>
      </w:pPr>
    </w:p>
    <w:p w:rsidR="005C7913" w:rsidRDefault="005C7913" w:rsidP="00354088">
      <w:pPr>
        <w:rPr>
          <w:rFonts w:ascii="Calibri" w:hAnsi="Calibri"/>
          <w:b/>
          <w:bCs/>
          <w:snapToGrid w:val="0"/>
          <w:color w:val="0E4C28"/>
          <w:spacing w:val="-2"/>
          <w:sz w:val="36"/>
          <w:szCs w:val="36"/>
        </w:rPr>
      </w:pPr>
    </w:p>
    <w:p w:rsidR="009E09D9" w:rsidRPr="00015E28" w:rsidRDefault="009E09D9" w:rsidP="003874CE">
      <w:pPr>
        <w:pStyle w:val="1"/>
        <w:tabs>
          <w:tab w:val="left" w:pos="561"/>
        </w:tabs>
        <w:spacing w:before="0" w:after="0" w:line="235" w:lineRule="auto"/>
        <w:jc w:val="center"/>
        <w:rPr>
          <w:rFonts w:ascii="Calibri" w:hAnsi="Calibri"/>
          <w:bCs w:val="0"/>
          <w:snapToGrid w:val="0"/>
          <w:color w:val="0E4C28"/>
          <w:spacing w:val="-2"/>
          <w:kern w:val="0"/>
          <w:sz w:val="36"/>
          <w:szCs w:val="36"/>
        </w:rPr>
      </w:pPr>
      <w:bookmarkStart w:id="2" w:name="_Toc481418192"/>
      <w:r w:rsidRPr="00015E28">
        <w:rPr>
          <w:rFonts w:ascii="Calibri" w:hAnsi="Calibri"/>
          <w:bCs w:val="0"/>
          <w:snapToGrid w:val="0"/>
          <w:color w:val="0E4C28"/>
          <w:spacing w:val="-2"/>
          <w:kern w:val="0"/>
          <w:sz w:val="36"/>
          <w:szCs w:val="36"/>
        </w:rPr>
        <w:lastRenderedPageBreak/>
        <w:t>ВВЕДЕНИЕ</w:t>
      </w:r>
      <w:bookmarkEnd w:id="2"/>
    </w:p>
    <w:p w:rsidR="009E09D9" w:rsidRPr="003874CE" w:rsidRDefault="009E09D9" w:rsidP="003874CE">
      <w:pPr>
        <w:spacing w:line="235" w:lineRule="auto"/>
        <w:rPr>
          <w:sz w:val="18"/>
        </w:rPr>
      </w:pPr>
    </w:p>
    <w:p w:rsidR="0035580C" w:rsidRPr="00860331" w:rsidRDefault="000A34AC" w:rsidP="0035580C">
      <w:pPr>
        <w:ind w:firstLine="709"/>
        <w:jc w:val="both"/>
        <w:rPr>
          <w:rFonts w:ascii="Calibri" w:hAnsi="Calibri" w:cs="Arial"/>
          <w:sz w:val="30"/>
          <w:szCs w:val="30"/>
        </w:rPr>
      </w:pPr>
      <w:r w:rsidRPr="00860331">
        <w:rPr>
          <w:rFonts w:ascii="Calibri" w:hAnsi="Calibri" w:cs="Arial"/>
          <w:sz w:val="30"/>
          <w:szCs w:val="30"/>
        </w:rPr>
        <w:t xml:space="preserve">Работы по реформированию платежного рынка и  построению платежных систем Республики Казахстан были начаты Национальным Банком </w:t>
      </w:r>
      <w:r w:rsidR="005B70B5" w:rsidRPr="00860331">
        <w:rPr>
          <w:rFonts w:ascii="Calibri" w:hAnsi="Calibri" w:cs="Arial"/>
          <w:sz w:val="30"/>
          <w:szCs w:val="30"/>
        </w:rPr>
        <w:t xml:space="preserve">Казахстана </w:t>
      </w:r>
      <w:r w:rsidRPr="00860331">
        <w:rPr>
          <w:rFonts w:ascii="Calibri" w:hAnsi="Calibri" w:cs="Arial"/>
          <w:sz w:val="30"/>
          <w:szCs w:val="30"/>
        </w:rPr>
        <w:t>после провозглашения суверенитета страны в рамках перехода к рыночным отношениям и построения новой финансовой системы.</w:t>
      </w:r>
    </w:p>
    <w:p w:rsidR="0035580C" w:rsidRPr="00860331" w:rsidRDefault="0035580C" w:rsidP="0035580C">
      <w:pPr>
        <w:ind w:firstLine="709"/>
        <w:jc w:val="both"/>
        <w:rPr>
          <w:rFonts w:ascii="Calibri" w:hAnsi="Calibri" w:cs="Arial"/>
          <w:sz w:val="30"/>
          <w:szCs w:val="30"/>
        </w:rPr>
      </w:pPr>
      <w:r w:rsidRPr="00860331">
        <w:rPr>
          <w:rFonts w:ascii="Calibri" w:hAnsi="Calibri" w:cs="Arial"/>
          <w:sz w:val="30"/>
          <w:szCs w:val="30"/>
        </w:rPr>
        <w:t xml:space="preserve"> </w:t>
      </w:r>
      <w:r w:rsidR="00CB2E51" w:rsidRPr="00860331">
        <w:rPr>
          <w:rFonts w:ascii="Calibri" w:hAnsi="Calibri" w:cs="Arial"/>
          <w:sz w:val="30"/>
          <w:szCs w:val="30"/>
        </w:rPr>
        <w:t xml:space="preserve">В </w:t>
      </w:r>
      <w:proofErr w:type="gramStart"/>
      <w:r w:rsidR="00CB2E51" w:rsidRPr="00860331">
        <w:rPr>
          <w:rFonts w:ascii="Calibri" w:hAnsi="Calibri" w:cs="Arial"/>
          <w:sz w:val="30"/>
          <w:szCs w:val="30"/>
        </w:rPr>
        <w:t>результате</w:t>
      </w:r>
      <w:proofErr w:type="gramEnd"/>
      <w:r w:rsidR="00CB2E51" w:rsidRPr="00860331">
        <w:rPr>
          <w:rFonts w:ascii="Calibri" w:hAnsi="Calibri" w:cs="Arial"/>
          <w:sz w:val="30"/>
          <w:szCs w:val="30"/>
        </w:rPr>
        <w:t xml:space="preserve"> проведенной целенаправленной работы с</w:t>
      </w:r>
      <w:r w:rsidRPr="00860331">
        <w:rPr>
          <w:rFonts w:ascii="Calibri" w:hAnsi="Calibri" w:cs="Arial"/>
          <w:sz w:val="30"/>
          <w:szCs w:val="30"/>
        </w:rPr>
        <w:t>формирована  современная платежная инфраструктура, обеспечивающая потребности населения, бизнеса и государства</w:t>
      </w:r>
      <w:r w:rsidR="005B70B5" w:rsidRPr="00860331">
        <w:rPr>
          <w:rFonts w:ascii="Calibri" w:hAnsi="Calibri" w:cs="Arial"/>
          <w:sz w:val="30"/>
          <w:szCs w:val="30"/>
        </w:rPr>
        <w:t xml:space="preserve"> в проведении денежных транзакций</w:t>
      </w:r>
      <w:r w:rsidRPr="00860331">
        <w:rPr>
          <w:rFonts w:ascii="Calibri" w:hAnsi="Calibri" w:cs="Arial"/>
          <w:sz w:val="30"/>
          <w:szCs w:val="30"/>
        </w:rPr>
        <w:t xml:space="preserve">. </w:t>
      </w:r>
    </w:p>
    <w:p w:rsidR="002168F7" w:rsidRPr="00860331" w:rsidRDefault="0035580C" w:rsidP="00264041">
      <w:pPr>
        <w:ind w:firstLine="709"/>
        <w:jc w:val="both"/>
        <w:rPr>
          <w:rFonts w:ascii="Calibri" w:hAnsi="Calibri" w:cs="Arial"/>
          <w:sz w:val="30"/>
          <w:szCs w:val="30"/>
        </w:rPr>
      </w:pPr>
      <w:r w:rsidRPr="00860331">
        <w:rPr>
          <w:rFonts w:ascii="Calibri" w:hAnsi="Calibri" w:cs="Arial"/>
          <w:sz w:val="30"/>
          <w:szCs w:val="30"/>
        </w:rPr>
        <w:t>В настоящее время</w:t>
      </w:r>
      <w:r w:rsidR="00264041" w:rsidRPr="00860331">
        <w:rPr>
          <w:rFonts w:ascii="Calibri" w:hAnsi="Calibri" w:cs="Arial"/>
          <w:sz w:val="30"/>
          <w:szCs w:val="30"/>
        </w:rPr>
        <w:t xml:space="preserve"> на территории Республики Казахстан </w:t>
      </w:r>
      <w:r w:rsidRPr="00860331">
        <w:rPr>
          <w:rFonts w:ascii="Calibri" w:hAnsi="Calibri" w:cs="Arial"/>
          <w:sz w:val="30"/>
          <w:szCs w:val="30"/>
        </w:rPr>
        <w:t xml:space="preserve">действуют </w:t>
      </w:r>
      <w:r w:rsidR="00264041" w:rsidRPr="00860331">
        <w:rPr>
          <w:rFonts w:ascii="Calibri" w:hAnsi="Calibri" w:cs="Arial"/>
          <w:sz w:val="30"/>
          <w:szCs w:val="30"/>
        </w:rPr>
        <w:t>платежные системы Национального Банка</w:t>
      </w:r>
      <w:r w:rsidR="005B70B5" w:rsidRPr="00860331">
        <w:rPr>
          <w:rFonts w:ascii="Calibri" w:hAnsi="Calibri" w:cs="Arial"/>
          <w:sz w:val="30"/>
          <w:szCs w:val="30"/>
        </w:rPr>
        <w:t xml:space="preserve"> Казахстана</w:t>
      </w:r>
      <w:r w:rsidRPr="00860331">
        <w:rPr>
          <w:rFonts w:ascii="Calibri" w:hAnsi="Calibri" w:cs="Arial"/>
          <w:sz w:val="30"/>
          <w:szCs w:val="30"/>
        </w:rPr>
        <w:t xml:space="preserve"> (Межбанковская система переводов денег и Система межбанковского клиринга), обеспечивающие функционирование финансовой системы страны</w:t>
      </w:r>
      <w:r w:rsidR="002168F7" w:rsidRPr="00860331">
        <w:rPr>
          <w:rFonts w:ascii="Calibri" w:hAnsi="Calibri" w:cs="Arial"/>
          <w:sz w:val="30"/>
          <w:szCs w:val="30"/>
        </w:rPr>
        <w:t xml:space="preserve">. </w:t>
      </w:r>
      <w:r w:rsidR="006869DD" w:rsidRPr="00860331">
        <w:rPr>
          <w:rFonts w:ascii="Calibri" w:hAnsi="Calibri" w:cs="Arial"/>
          <w:sz w:val="30"/>
          <w:szCs w:val="30"/>
        </w:rPr>
        <w:t>Кроме того, р</w:t>
      </w:r>
      <w:r w:rsidR="002168F7" w:rsidRPr="00860331">
        <w:rPr>
          <w:rFonts w:ascii="Calibri" w:hAnsi="Calibri" w:cs="Arial"/>
          <w:sz w:val="30"/>
          <w:szCs w:val="30"/>
        </w:rPr>
        <w:t xml:space="preserve">асчетные услуги также </w:t>
      </w:r>
      <w:r w:rsidR="006869DD" w:rsidRPr="00860331">
        <w:rPr>
          <w:rFonts w:ascii="Calibri" w:hAnsi="Calibri" w:cs="Arial"/>
          <w:sz w:val="30"/>
          <w:szCs w:val="30"/>
        </w:rPr>
        <w:t>оказывают</w:t>
      </w:r>
      <w:r w:rsidR="002168F7" w:rsidRPr="00860331">
        <w:rPr>
          <w:rFonts w:ascii="Calibri" w:hAnsi="Calibri" w:cs="Arial"/>
          <w:sz w:val="30"/>
          <w:szCs w:val="30"/>
        </w:rPr>
        <w:t xml:space="preserve"> частные платежные системы, которые представлены карточными системами при обработке операций с использованием платежных карточек, системами денежных переводов. Межбанковские платежи также могут проводиться через прямые корреспондентские счета, открытые между банками, между банками и организациями, осуществляющими отдельные виды банковских операций. </w:t>
      </w:r>
    </w:p>
    <w:p w:rsidR="00CF36AE" w:rsidRPr="00860331" w:rsidRDefault="002168F7" w:rsidP="002168F7">
      <w:pPr>
        <w:ind w:firstLine="709"/>
        <w:jc w:val="both"/>
        <w:rPr>
          <w:rFonts w:ascii="Calibri" w:hAnsi="Calibri" w:cs="Arial"/>
          <w:sz w:val="30"/>
          <w:szCs w:val="30"/>
        </w:rPr>
      </w:pPr>
      <w:r w:rsidRPr="00860331">
        <w:rPr>
          <w:rFonts w:ascii="Calibri" w:hAnsi="Calibri" w:cs="Arial"/>
          <w:sz w:val="30"/>
          <w:szCs w:val="30"/>
        </w:rPr>
        <w:t>К основным поставщикам платежных услуг</w:t>
      </w:r>
      <w:r w:rsidR="006869DD" w:rsidRPr="00860331">
        <w:rPr>
          <w:rFonts w:ascii="Calibri" w:hAnsi="Calibri" w:cs="Arial"/>
          <w:sz w:val="30"/>
          <w:szCs w:val="30"/>
        </w:rPr>
        <w:t xml:space="preserve"> в Казахстане</w:t>
      </w:r>
      <w:r w:rsidRPr="00860331">
        <w:rPr>
          <w:rFonts w:ascii="Calibri" w:hAnsi="Calibri" w:cs="Arial"/>
          <w:sz w:val="30"/>
          <w:szCs w:val="30"/>
        </w:rPr>
        <w:t xml:space="preserve"> относятся банки</w:t>
      </w:r>
      <w:r w:rsidR="00F00AC1" w:rsidRPr="00860331">
        <w:rPr>
          <w:rFonts w:ascii="Calibri" w:hAnsi="Calibri" w:cs="Arial"/>
          <w:sz w:val="30"/>
          <w:szCs w:val="30"/>
        </w:rPr>
        <w:t xml:space="preserve"> и</w:t>
      </w:r>
      <w:r w:rsidRPr="00860331">
        <w:rPr>
          <w:rFonts w:ascii="Calibri" w:hAnsi="Calibri" w:cs="Arial"/>
          <w:sz w:val="30"/>
          <w:szCs w:val="30"/>
        </w:rPr>
        <w:t xml:space="preserve"> организации, осуществляющие отдельные виды банковских операций, в том числе, АО «</w:t>
      </w:r>
      <w:proofErr w:type="spellStart"/>
      <w:r w:rsidRPr="00860331">
        <w:rPr>
          <w:rFonts w:ascii="Calibri" w:hAnsi="Calibri" w:cs="Arial"/>
          <w:sz w:val="30"/>
          <w:szCs w:val="30"/>
        </w:rPr>
        <w:t>Казпочта</w:t>
      </w:r>
      <w:proofErr w:type="spellEnd"/>
      <w:r w:rsidRPr="00860331">
        <w:rPr>
          <w:rFonts w:ascii="Calibri" w:hAnsi="Calibri" w:cs="Arial"/>
          <w:sz w:val="30"/>
          <w:szCs w:val="30"/>
        </w:rPr>
        <w:t>» (национальный оператор почты), частные платежные организации,</w:t>
      </w:r>
      <w:r w:rsidR="0038768B" w:rsidRPr="00860331">
        <w:rPr>
          <w:rFonts w:ascii="Calibri" w:hAnsi="Calibri" w:cs="Arial"/>
          <w:sz w:val="30"/>
          <w:szCs w:val="30"/>
        </w:rPr>
        <w:t xml:space="preserve"> </w:t>
      </w:r>
      <w:r w:rsidR="0068254D" w:rsidRPr="00860331">
        <w:rPr>
          <w:rFonts w:ascii="Calibri" w:hAnsi="Calibri" w:cs="Arial"/>
          <w:sz w:val="30"/>
          <w:szCs w:val="30"/>
        </w:rPr>
        <w:t>прошедшие</w:t>
      </w:r>
      <w:r w:rsidR="0038768B" w:rsidRPr="00860331">
        <w:rPr>
          <w:rFonts w:ascii="Calibri" w:hAnsi="Calibri" w:cs="Arial"/>
          <w:sz w:val="30"/>
          <w:szCs w:val="30"/>
        </w:rPr>
        <w:t xml:space="preserve"> учетную регистрацию</w:t>
      </w:r>
      <w:r w:rsidR="0068254D" w:rsidRPr="00860331">
        <w:rPr>
          <w:rFonts w:ascii="Calibri" w:hAnsi="Calibri" w:cs="Arial"/>
          <w:sz w:val="30"/>
          <w:szCs w:val="30"/>
        </w:rPr>
        <w:t xml:space="preserve"> в Национальном Банке</w:t>
      </w:r>
      <w:r w:rsidR="005B70B5" w:rsidRPr="00860331">
        <w:rPr>
          <w:rFonts w:ascii="Calibri" w:hAnsi="Calibri" w:cs="Arial"/>
          <w:sz w:val="30"/>
          <w:szCs w:val="30"/>
        </w:rPr>
        <w:t xml:space="preserve"> Казахстана</w:t>
      </w:r>
      <w:r w:rsidRPr="00860331">
        <w:rPr>
          <w:rFonts w:ascii="Calibri" w:hAnsi="Calibri" w:cs="Arial"/>
          <w:sz w:val="30"/>
          <w:szCs w:val="30"/>
        </w:rPr>
        <w:t xml:space="preserve">. </w:t>
      </w:r>
    </w:p>
    <w:p w:rsidR="006869DD" w:rsidRPr="00860331" w:rsidRDefault="00633E6E" w:rsidP="003874CE">
      <w:pPr>
        <w:spacing w:line="233" w:lineRule="auto"/>
        <w:ind w:firstLine="709"/>
        <w:jc w:val="both"/>
        <w:rPr>
          <w:rFonts w:ascii="Calibri" w:hAnsi="Calibri" w:cs="Arial"/>
          <w:sz w:val="30"/>
          <w:szCs w:val="30"/>
        </w:rPr>
      </w:pPr>
      <w:r w:rsidRPr="00860331">
        <w:rPr>
          <w:rFonts w:ascii="Calibri" w:hAnsi="Calibri" w:cs="Arial"/>
          <w:sz w:val="30"/>
          <w:szCs w:val="30"/>
        </w:rPr>
        <w:t>Вместе с тем, на протяжении последних лет платежный рынок Казахстана претерпел значительные изменения</w:t>
      </w:r>
      <w:r w:rsidR="006869DD" w:rsidRPr="00860331">
        <w:rPr>
          <w:rFonts w:ascii="Calibri" w:hAnsi="Calibri" w:cs="Arial"/>
          <w:sz w:val="30"/>
          <w:szCs w:val="30"/>
        </w:rPr>
        <w:t>, с</w:t>
      </w:r>
      <w:r w:rsidRPr="00860331">
        <w:rPr>
          <w:rFonts w:ascii="Calibri" w:hAnsi="Calibri" w:cs="Arial"/>
          <w:sz w:val="30"/>
          <w:szCs w:val="30"/>
        </w:rPr>
        <w:t xml:space="preserve"> внедрением и применением новых технологических решений наблюдается все больший переход от традиционных методов проведения платежей к использованию дистанционных каналов и альтернативных способов. </w:t>
      </w:r>
    </w:p>
    <w:p w:rsidR="00730E40" w:rsidRPr="00860331" w:rsidRDefault="00730E40" w:rsidP="00730E40">
      <w:pPr>
        <w:ind w:firstLine="709"/>
        <w:jc w:val="both"/>
        <w:rPr>
          <w:rFonts w:ascii="Calibri" w:hAnsi="Calibri" w:cs="Arial"/>
          <w:sz w:val="30"/>
          <w:szCs w:val="30"/>
        </w:rPr>
      </w:pPr>
      <w:r w:rsidRPr="00860331">
        <w:rPr>
          <w:rFonts w:ascii="Calibri" w:hAnsi="Calibri" w:cs="Arial"/>
          <w:sz w:val="30"/>
          <w:szCs w:val="30"/>
        </w:rPr>
        <w:t xml:space="preserve">Для осуществления дистанционных платежей казахстанскими банками представлены для клиентов услуги Интернет и мобильного банкинга, устройства удаленного доступа, такие как POS-терминалы, банкоматы, банковские киоски и терминалы моментальной оплаты. </w:t>
      </w:r>
    </w:p>
    <w:p w:rsidR="00B44CA1" w:rsidRPr="00860331" w:rsidRDefault="00633E6E" w:rsidP="003874CE">
      <w:pPr>
        <w:spacing w:line="233" w:lineRule="auto"/>
        <w:ind w:firstLine="709"/>
        <w:jc w:val="both"/>
        <w:rPr>
          <w:rFonts w:ascii="Calibri" w:hAnsi="Calibri" w:cs="Arial"/>
          <w:sz w:val="30"/>
          <w:szCs w:val="30"/>
        </w:rPr>
      </w:pPr>
      <w:r w:rsidRPr="00860331">
        <w:rPr>
          <w:rFonts w:ascii="Calibri" w:hAnsi="Calibri" w:cs="Arial"/>
          <w:sz w:val="30"/>
          <w:szCs w:val="30"/>
        </w:rPr>
        <w:t xml:space="preserve">Развитие инновационных цифровых технологий привело к появлению на рынке новых субъектов - небанковских операторов, представляющих платежные услуги посредством платежных терминалов,  электронных денег, интернет и мобильных приложений. </w:t>
      </w:r>
      <w:r w:rsidR="007F4782" w:rsidRPr="00860331">
        <w:rPr>
          <w:rFonts w:ascii="Calibri" w:hAnsi="Calibri" w:cs="Arial"/>
          <w:sz w:val="30"/>
          <w:szCs w:val="30"/>
        </w:rPr>
        <w:lastRenderedPageBreak/>
        <w:t>Регулирование деятельности указанных частных небанковских платежных организаций предусмотрено Законом Республики Казахстан от 26 июля 201</w:t>
      </w:r>
      <w:r w:rsidR="00CB2E51" w:rsidRPr="00860331">
        <w:rPr>
          <w:rFonts w:ascii="Calibri" w:hAnsi="Calibri" w:cs="Arial"/>
          <w:sz w:val="30"/>
          <w:szCs w:val="30"/>
        </w:rPr>
        <w:t>6</w:t>
      </w:r>
      <w:r w:rsidR="007F4782" w:rsidRPr="00860331">
        <w:rPr>
          <w:rFonts w:ascii="Calibri" w:hAnsi="Calibri" w:cs="Arial"/>
          <w:sz w:val="30"/>
          <w:szCs w:val="30"/>
        </w:rPr>
        <w:t xml:space="preserve"> года «О платежах и платежных системах». </w:t>
      </w:r>
    </w:p>
    <w:p w:rsidR="00707438" w:rsidRPr="00860331" w:rsidRDefault="006869DD" w:rsidP="003874CE">
      <w:pPr>
        <w:spacing w:line="233" w:lineRule="auto"/>
        <w:ind w:firstLine="709"/>
        <w:jc w:val="both"/>
        <w:rPr>
          <w:rFonts w:ascii="Calibri" w:hAnsi="Calibri" w:cs="Arial"/>
          <w:sz w:val="30"/>
          <w:szCs w:val="30"/>
        </w:rPr>
      </w:pPr>
      <w:r w:rsidRPr="00860331">
        <w:rPr>
          <w:rFonts w:ascii="Calibri" w:hAnsi="Calibri" w:cs="Arial"/>
          <w:sz w:val="30"/>
          <w:szCs w:val="30"/>
        </w:rPr>
        <w:t xml:space="preserve">При этом в 2016 году Национальным Банком </w:t>
      </w:r>
      <w:r w:rsidR="005B70B5" w:rsidRPr="00860331">
        <w:rPr>
          <w:rFonts w:ascii="Calibri" w:hAnsi="Calibri" w:cs="Arial"/>
          <w:sz w:val="30"/>
          <w:szCs w:val="30"/>
        </w:rPr>
        <w:t xml:space="preserve">Казахстана </w:t>
      </w:r>
      <w:r w:rsidR="00B44CA1" w:rsidRPr="00860331">
        <w:rPr>
          <w:rFonts w:ascii="Calibri" w:hAnsi="Calibri" w:cs="Arial"/>
          <w:sz w:val="30"/>
          <w:szCs w:val="30"/>
        </w:rPr>
        <w:t xml:space="preserve">были </w:t>
      </w:r>
      <w:r w:rsidRPr="00860331">
        <w:rPr>
          <w:rFonts w:ascii="Calibri" w:hAnsi="Calibri" w:cs="Arial"/>
          <w:sz w:val="30"/>
          <w:szCs w:val="30"/>
        </w:rPr>
        <w:t xml:space="preserve">проведены работы по обновлению нормативной правовой базы в области платежей и платежных систем, направленные на совершенствование порядка оказания платежных услуг, регулирования и контроля платежного рынка. </w:t>
      </w:r>
    </w:p>
    <w:p w:rsidR="00633E6E" w:rsidRPr="00860331" w:rsidRDefault="00B44CA1" w:rsidP="003874CE">
      <w:pPr>
        <w:spacing w:line="233" w:lineRule="auto"/>
        <w:ind w:firstLine="709"/>
        <w:jc w:val="both"/>
        <w:rPr>
          <w:rFonts w:ascii="Calibri" w:hAnsi="Calibri" w:cs="Arial"/>
          <w:sz w:val="30"/>
          <w:szCs w:val="30"/>
        </w:rPr>
      </w:pPr>
      <w:r w:rsidRPr="00860331">
        <w:rPr>
          <w:rFonts w:ascii="Calibri" w:hAnsi="Calibri" w:cs="Arial"/>
          <w:sz w:val="30"/>
          <w:szCs w:val="30"/>
        </w:rPr>
        <w:t>Кроме того, у</w:t>
      </w:r>
      <w:r w:rsidR="00633E6E" w:rsidRPr="00860331">
        <w:rPr>
          <w:rFonts w:ascii="Calibri" w:hAnsi="Calibri" w:cs="Arial"/>
          <w:sz w:val="30"/>
          <w:szCs w:val="30"/>
        </w:rPr>
        <w:t xml:space="preserve">силены нормы в части надзора (оверсайта) за функционированием платежных систем, предусмотрено информирование Национального Банка </w:t>
      </w:r>
      <w:r w:rsidR="005B70B5" w:rsidRPr="00860331">
        <w:rPr>
          <w:rFonts w:ascii="Calibri" w:hAnsi="Calibri" w:cs="Arial"/>
          <w:sz w:val="30"/>
          <w:szCs w:val="30"/>
        </w:rPr>
        <w:t>Казахстана</w:t>
      </w:r>
      <w:r w:rsidR="00633E6E" w:rsidRPr="00860331">
        <w:rPr>
          <w:rFonts w:ascii="Calibri" w:hAnsi="Calibri" w:cs="Arial"/>
          <w:sz w:val="30"/>
          <w:szCs w:val="30"/>
        </w:rPr>
        <w:t xml:space="preserve"> операторами платежных систем об их деятельности на территории Казахстана, а также банками об участии в платежной системе, в том числе, в иностранной платежной системе. В отношении операторов платежных систем усилены требования к порядку оказания услуг. </w:t>
      </w:r>
      <w:proofErr w:type="gramStart"/>
      <w:r w:rsidR="00633E6E" w:rsidRPr="00860331">
        <w:rPr>
          <w:rFonts w:ascii="Calibri" w:hAnsi="Calibri" w:cs="Arial"/>
          <w:sz w:val="30"/>
          <w:szCs w:val="30"/>
        </w:rPr>
        <w:t xml:space="preserve">Предусмотрен ряд требований в отношении операторов системно значимых и значимых платежных систем, в том числе, в части управления организацией и рисками (ликвидным, операционным и иными видами рисков), по проведению самооценки функционирования платежных систем, оценке качества оказываемых услуг, а также по представлению отчетности в Национальный Банк </w:t>
      </w:r>
      <w:r w:rsidR="005B70B5" w:rsidRPr="00860331">
        <w:rPr>
          <w:rFonts w:ascii="Calibri" w:hAnsi="Calibri" w:cs="Arial"/>
          <w:sz w:val="30"/>
          <w:szCs w:val="30"/>
        </w:rPr>
        <w:t>Казахстана</w:t>
      </w:r>
      <w:r w:rsidR="00633E6E" w:rsidRPr="00860331">
        <w:rPr>
          <w:rFonts w:ascii="Calibri" w:hAnsi="Calibri" w:cs="Arial"/>
          <w:sz w:val="30"/>
          <w:szCs w:val="30"/>
        </w:rPr>
        <w:t xml:space="preserve">, в том числе, по платежам, проведенным значимыми клиентами. </w:t>
      </w:r>
      <w:proofErr w:type="gramEnd"/>
    </w:p>
    <w:p w:rsidR="00707438" w:rsidRPr="00860331" w:rsidRDefault="00707438" w:rsidP="00707438">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rPr>
      </w:pPr>
      <w:r w:rsidRPr="00860331">
        <w:rPr>
          <w:rFonts w:ascii="Calibri" w:hAnsi="Calibri" w:cs="Arial"/>
          <w:sz w:val="30"/>
          <w:szCs w:val="30"/>
        </w:rPr>
        <w:t>При этом надзор (оверсайт) за платежными системами включает:</w:t>
      </w:r>
    </w:p>
    <w:p w:rsidR="00707438" w:rsidRPr="00860331" w:rsidRDefault="00707438" w:rsidP="00707438">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rPr>
      </w:pPr>
      <w:r w:rsidRPr="00860331">
        <w:rPr>
          <w:rFonts w:ascii="Calibri" w:hAnsi="Calibri" w:cs="Arial"/>
          <w:sz w:val="30"/>
          <w:szCs w:val="30"/>
        </w:rPr>
        <w:t>1) мониторинг системно значимой платежной системы;</w:t>
      </w:r>
    </w:p>
    <w:p w:rsidR="00707438" w:rsidRPr="00860331" w:rsidRDefault="00707438" w:rsidP="00707438">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rPr>
      </w:pPr>
      <w:bookmarkStart w:id="3" w:name="SUB210202"/>
      <w:bookmarkEnd w:id="3"/>
      <w:r w:rsidRPr="00860331">
        <w:rPr>
          <w:rFonts w:ascii="Calibri" w:hAnsi="Calibri" w:cs="Arial"/>
          <w:sz w:val="30"/>
          <w:szCs w:val="30"/>
        </w:rPr>
        <w:t>2) анализ и оценку функционирования системно значимых, значимых платежных систем на соответствие международным стандартам, в том числе анализ влияния на работу платежных систем значимых клиентов участников платежной системы;</w:t>
      </w:r>
    </w:p>
    <w:p w:rsidR="00707438" w:rsidRPr="00860331" w:rsidRDefault="00707438" w:rsidP="00707438">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rPr>
      </w:pPr>
      <w:bookmarkStart w:id="4" w:name="SUB210203"/>
      <w:bookmarkStart w:id="5" w:name="SUB210204"/>
      <w:bookmarkEnd w:id="4"/>
      <w:bookmarkEnd w:id="5"/>
      <w:r w:rsidRPr="00860331">
        <w:rPr>
          <w:rFonts w:ascii="Calibri" w:hAnsi="Calibri" w:cs="Arial"/>
          <w:sz w:val="30"/>
          <w:szCs w:val="30"/>
        </w:rPr>
        <w:t>3) сбор и обработку информации по вопросам платежей и (или) переводов денег, функционирования платежных систем от операторов, операционных центров и участников платежных систем, в том числе сведений по объемам платежей и (или) переводов денег, проведенных через системно значимые или значимые платежные системы, осуществленных значимыми клиентами участников указанных платежных систем;</w:t>
      </w:r>
    </w:p>
    <w:p w:rsidR="00707438" w:rsidRPr="00860331" w:rsidRDefault="00707438" w:rsidP="00707438">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rPr>
      </w:pPr>
      <w:bookmarkStart w:id="6" w:name="SUB210205"/>
      <w:bookmarkEnd w:id="6"/>
      <w:r w:rsidRPr="00860331">
        <w:rPr>
          <w:rFonts w:ascii="Calibri" w:hAnsi="Calibri" w:cs="Arial"/>
          <w:sz w:val="30"/>
          <w:szCs w:val="30"/>
        </w:rPr>
        <w:t>4) проверки деятельности операторов и (или) операционных центров системно значимых и значимых платежных систем;</w:t>
      </w:r>
    </w:p>
    <w:p w:rsidR="00707438" w:rsidRPr="00860331" w:rsidRDefault="00707438" w:rsidP="00707438">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rPr>
      </w:pPr>
      <w:bookmarkStart w:id="7" w:name="SUB210206"/>
      <w:bookmarkEnd w:id="7"/>
      <w:r w:rsidRPr="00860331">
        <w:rPr>
          <w:rFonts w:ascii="Calibri" w:hAnsi="Calibri" w:cs="Arial"/>
          <w:sz w:val="30"/>
          <w:szCs w:val="30"/>
        </w:rPr>
        <w:t xml:space="preserve">5) наблюдение за выполнением участниками системно значимых платежных систем </w:t>
      </w:r>
      <w:bookmarkStart w:id="8" w:name="sub1005380462"/>
      <w:r w:rsidRPr="00860331">
        <w:rPr>
          <w:rFonts w:ascii="Calibri" w:hAnsi="Calibri" w:cs="Arial"/>
          <w:sz w:val="30"/>
          <w:szCs w:val="30"/>
        </w:rPr>
        <w:fldChar w:fldCharType="begin"/>
      </w:r>
      <w:r w:rsidRPr="00860331">
        <w:rPr>
          <w:rFonts w:ascii="Calibri" w:hAnsi="Calibri" w:cs="Arial"/>
          <w:sz w:val="30"/>
          <w:szCs w:val="30"/>
        </w:rPr>
        <w:instrText xml:space="preserve"> HYPERLINK "jl:35342935.0" </w:instrText>
      </w:r>
      <w:r w:rsidRPr="00860331">
        <w:rPr>
          <w:rFonts w:ascii="Calibri" w:hAnsi="Calibri" w:cs="Arial"/>
          <w:sz w:val="30"/>
          <w:szCs w:val="30"/>
        </w:rPr>
        <w:fldChar w:fldCharType="separate"/>
      </w:r>
      <w:r w:rsidRPr="00860331">
        <w:rPr>
          <w:rFonts w:ascii="Calibri" w:hAnsi="Calibri" w:cs="Arial"/>
          <w:sz w:val="30"/>
          <w:szCs w:val="30"/>
        </w:rPr>
        <w:t>требований</w:t>
      </w:r>
      <w:r w:rsidRPr="00860331">
        <w:rPr>
          <w:rFonts w:ascii="Calibri" w:hAnsi="Calibri" w:cs="Arial"/>
          <w:sz w:val="30"/>
          <w:szCs w:val="30"/>
        </w:rPr>
        <w:fldChar w:fldCharType="end"/>
      </w:r>
      <w:bookmarkEnd w:id="8"/>
      <w:r w:rsidRPr="00860331">
        <w:rPr>
          <w:rFonts w:ascii="Calibri" w:hAnsi="Calibri" w:cs="Arial"/>
          <w:sz w:val="30"/>
          <w:szCs w:val="30"/>
        </w:rPr>
        <w:t xml:space="preserve"> к организационным мерам и программно-техническим средствам, обеспечивающим доступ в </w:t>
      </w:r>
      <w:r w:rsidRPr="00860331">
        <w:rPr>
          <w:rFonts w:ascii="Calibri" w:hAnsi="Calibri" w:cs="Arial"/>
          <w:sz w:val="30"/>
          <w:szCs w:val="30"/>
        </w:rPr>
        <w:lastRenderedPageBreak/>
        <w:t>системно значимые платежные системы.</w:t>
      </w:r>
    </w:p>
    <w:p w:rsidR="00707438" w:rsidRPr="00860331" w:rsidRDefault="00707438" w:rsidP="00707438">
      <w:pPr>
        <w:spacing w:line="235" w:lineRule="auto"/>
        <w:ind w:firstLine="709"/>
        <w:jc w:val="both"/>
        <w:rPr>
          <w:rFonts w:ascii="Calibri" w:hAnsi="Calibri" w:cs="Arial"/>
          <w:sz w:val="30"/>
          <w:szCs w:val="30"/>
        </w:rPr>
      </w:pPr>
      <w:r w:rsidRPr="00860331">
        <w:rPr>
          <w:rFonts w:ascii="Calibri" w:hAnsi="Calibri" w:cs="Arial"/>
          <w:sz w:val="30"/>
          <w:szCs w:val="30"/>
        </w:rPr>
        <w:t>В рамках контроля за рынком платежных услуг предусмотрено проведение Национальным Банком Казахстана анализа рынка платежных услуг и применения платежных инструментов, сбор и обработка сведений об оказанных платежных услугах от поставщиков платежных услуг, осуществление учетной регистрации платежных организаций и ведение их реестра, ведение реестра значимых поставщиков платежных услуг и проведение проверок деятельности поставщиков платежных услуг.</w:t>
      </w:r>
    </w:p>
    <w:p w:rsidR="00707438" w:rsidRPr="00860331" w:rsidRDefault="00132CEE" w:rsidP="00AF1356">
      <w:pPr>
        <w:spacing w:line="233" w:lineRule="auto"/>
        <w:ind w:firstLine="709"/>
        <w:jc w:val="both"/>
        <w:rPr>
          <w:rFonts w:ascii="Calibri" w:hAnsi="Calibri" w:cs="Arial"/>
          <w:sz w:val="30"/>
          <w:szCs w:val="30"/>
        </w:rPr>
      </w:pPr>
      <w:r w:rsidRPr="00860331">
        <w:rPr>
          <w:rFonts w:ascii="Calibri" w:hAnsi="Calibri" w:cs="Arial"/>
          <w:sz w:val="30"/>
          <w:szCs w:val="30"/>
        </w:rPr>
        <w:t xml:space="preserve">В соответствии с полномочиями, установленными Законом Республики Казахстан «О платежах и платежных системах», Национальным Банком </w:t>
      </w:r>
      <w:r w:rsidR="00DF4304" w:rsidRPr="00860331">
        <w:rPr>
          <w:rFonts w:ascii="Calibri" w:hAnsi="Calibri" w:cs="Arial"/>
          <w:sz w:val="30"/>
          <w:szCs w:val="30"/>
        </w:rPr>
        <w:t>Казахстана</w:t>
      </w:r>
      <w:r w:rsidR="00707438" w:rsidRPr="00860331">
        <w:rPr>
          <w:rFonts w:ascii="Calibri" w:hAnsi="Calibri" w:cs="Arial"/>
          <w:sz w:val="30"/>
          <w:szCs w:val="30"/>
        </w:rPr>
        <w:t xml:space="preserve"> </w:t>
      </w:r>
      <w:r w:rsidRPr="00860331">
        <w:rPr>
          <w:rFonts w:ascii="Calibri" w:hAnsi="Calibri" w:cs="Arial"/>
          <w:sz w:val="30"/>
          <w:szCs w:val="30"/>
        </w:rPr>
        <w:t xml:space="preserve">с </w:t>
      </w:r>
      <w:r w:rsidR="00FD6A7F" w:rsidRPr="00860331">
        <w:rPr>
          <w:rFonts w:ascii="Calibri" w:hAnsi="Calibri" w:cs="Arial"/>
          <w:sz w:val="30"/>
          <w:szCs w:val="30"/>
        </w:rPr>
        <w:t>февраля</w:t>
      </w:r>
      <w:r w:rsidRPr="00860331">
        <w:rPr>
          <w:rFonts w:ascii="Calibri" w:hAnsi="Calibri" w:cs="Arial"/>
          <w:sz w:val="30"/>
          <w:szCs w:val="30"/>
        </w:rPr>
        <w:t xml:space="preserve"> 2017 года ведутся реестр</w:t>
      </w:r>
      <w:r w:rsidR="00AF1356" w:rsidRPr="00860331">
        <w:rPr>
          <w:rFonts w:ascii="Calibri" w:hAnsi="Calibri" w:cs="Arial"/>
          <w:sz w:val="30"/>
          <w:szCs w:val="30"/>
        </w:rPr>
        <w:t>ы</w:t>
      </w:r>
      <w:r w:rsidRPr="00860331">
        <w:rPr>
          <w:rFonts w:ascii="Calibri" w:hAnsi="Calibri" w:cs="Arial"/>
          <w:sz w:val="30"/>
          <w:szCs w:val="30"/>
        </w:rPr>
        <w:t xml:space="preserve"> платежных систем, платежных организаций и значимых поставщиков платежных услуг.</w:t>
      </w:r>
      <w:r w:rsidR="00AF1356" w:rsidRPr="00860331">
        <w:rPr>
          <w:rFonts w:ascii="Calibri" w:hAnsi="Calibri" w:cs="Arial"/>
          <w:sz w:val="30"/>
          <w:szCs w:val="30"/>
        </w:rPr>
        <w:t xml:space="preserve"> </w:t>
      </w:r>
      <w:r w:rsidR="00707438" w:rsidRPr="00860331">
        <w:rPr>
          <w:rFonts w:ascii="Calibri" w:hAnsi="Calibri" w:cs="Arial"/>
          <w:sz w:val="30"/>
          <w:szCs w:val="30"/>
        </w:rPr>
        <w:t xml:space="preserve">Указанные реестры размещены на </w:t>
      </w:r>
      <w:proofErr w:type="spellStart"/>
      <w:r w:rsidR="00707438" w:rsidRPr="00860331">
        <w:rPr>
          <w:rFonts w:ascii="Calibri" w:hAnsi="Calibri" w:cs="Arial"/>
          <w:sz w:val="30"/>
          <w:szCs w:val="30"/>
        </w:rPr>
        <w:t>интернет-ресурсе</w:t>
      </w:r>
      <w:proofErr w:type="spellEnd"/>
      <w:r w:rsidR="00707438" w:rsidRPr="00860331">
        <w:rPr>
          <w:rFonts w:ascii="Calibri" w:hAnsi="Calibri" w:cs="Arial"/>
          <w:sz w:val="30"/>
          <w:szCs w:val="30"/>
        </w:rPr>
        <w:t xml:space="preserve"> Национального Банка </w:t>
      </w:r>
      <w:r w:rsidR="00DF4304" w:rsidRPr="00860331">
        <w:rPr>
          <w:rFonts w:ascii="Calibri" w:hAnsi="Calibri" w:cs="Arial"/>
          <w:sz w:val="30"/>
          <w:szCs w:val="30"/>
        </w:rPr>
        <w:t>Казахстана</w:t>
      </w:r>
      <w:r w:rsidR="00707438" w:rsidRPr="00860331">
        <w:rPr>
          <w:rFonts w:ascii="Calibri" w:hAnsi="Calibri" w:cs="Arial"/>
          <w:sz w:val="30"/>
          <w:szCs w:val="30"/>
        </w:rPr>
        <w:t>.</w:t>
      </w:r>
    </w:p>
    <w:p w:rsidR="00633E6E" w:rsidRPr="00860331" w:rsidRDefault="00AF1356" w:rsidP="00AF1356">
      <w:pPr>
        <w:spacing w:line="233" w:lineRule="auto"/>
        <w:ind w:firstLine="709"/>
        <w:jc w:val="both"/>
        <w:rPr>
          <w:rFonts w:ascii="Calibri" w:hAnsi="Calibri" w:cs="Arial"/>
          <w:sz w:val="30"/>
          <w:szCs w:val="30"/>
        </w:rPr>
      </w:pPr>
      <w:r w:rsidRPr="00860331">
        <w:rPr>
          <w:rFonts w:ascii="Calibri" w:hAnsi="Calibri" w:cs="Arial"/>
          <w:sz w:val="30"/>
          <w:szCs w:val="30"/>
        </w:rPr>
        <w:t>В реестре платежных систем предусмотрена классификация систем по видам</w:t>
      </w:r>
      <w:r w:rsidR="00633E6E" w:rsidRPr="00860331">
        <w:rPr>
          <w:rFonts w:ascii="Calibri" w:hAnsi="Calibri" w:cs="Arial"/>
          <w:sz w:val="30"/>
          <w:szCs w:val="30"/>
        </w:rPr>
        <w:t>: системно значимые, значимые и иные платежные системы в соответствии с критериями и показателями, установленными</w:t>
      </w:r>
      <w:r w:rsidRPr="00860331">
        <w:rPr>
          <w:rFonts w:ascii="Calibri" w:hAnsi="Calibri" w:cs="Arial"/>
          <w:sz w:val="30"/>
          <w:szCs w:val="30"/>
        </w:rPr>
        <w:t xml:space="preserve"> вышеуказанным</w:t>
      </w:r>
      <w:r w:rsidR="00633E6E" w:rsidRPr="00860331">
        <w:rPr>
          <w:rFonts w:ascii="Calibri" w:hAnsi="Calibri" w:cs="Arial"/>
          <w:sz w:val="30"/>
          <w:szCs w:val="30"/>
        </w:rPr>
        <w:t xml:space="preserve"> Законом</w:t>
      </w:r>
      <w:r w:rsidR="003874CE" w:rsidRPr="00860331">
        <w:rPr>
          <w:rFonts w:ascii="Calibri" w:hAnsi="Calibri" w:cs="Arial"/>
          <w:sz w:val="30"/>
          <w:szCs w:val="30"/>
        </w:rPr>
        <w:t xml:space="preserve"> </w:t>
      </w:r>
      <w:r w:rsidRPr="00860331">
        <w:rPr>
          <w:rFonts w:ascii="Calibri" w:hAnsi="Calibri" w:cs="Arial"/>
          <w:sz w:val="30"/>
          <w:szCs w:val="30"/>
        </w:rPr>
        <w:t xml:space="preserve">и </w:t>
      </w:r>
      <w:r w:rsidR="00707438" w:rsidRPr="00860331">
        <w:rPr>
          <w:rFonts w:ascii="Calibri" w:hAnsi="Calibri" w:cs="Arial"/>
          <w:sz w:val="30"/>
          <w:szCs w:val="30"/>
        </w:rPr>
        <w:t>постановлением Правления Национального Банка Казахстан</w:t>
      </w:r>
      <w:r w:rsidR="00842C3A" w:rsidRPr="00860331">
        <w:rPr>
          <w:rFonts w:ascii="Calibri" w:hAnsi="Calibri" w:cs="Arial"/>
          <w:sz w:val="30"/>
          <w:szCs w:val="30"/>
        </w:rPr>
        <w:t>а</w:t>
      </w:r>
      <w:r w:rsidR="00707438" w:rsidRPr="00860331">
        <w:rPr>
          <w:rFonts w:ascii="Calibri" w:hAnsi="Calibri" w:cs="Arial"/>
          <w:sz w:val="30"/>
          <w:szCs w:val="30"/>
        </w:rPr>
        <w:t xml:space="preserve"> от 31 августа 2016 года № 222</w:t>
      </w:r>
      <w:r w:rsidR="00765DC8" w:rsidRPr="00860331">
        <w:rPr>
          <w:rFonts w:ascii="Calibri" w:hAnsi="Calibri" w:cs="Arial"/>
          <w:sz w:val="30"/>
          <w:szCs w:val="30"/>
        </w:rPr>
        <w:t xml:space="preserve"> </w:t>
      </w:r>
      <w:r w:rsidR="00707438" w:rsidRPr="00860331">
        <w:rPr>
          <w:rFonts w:ascii="Calibri" w:hAnsi="Calibri" w:cs="Arial"/>
          <w:sz w:val="30"/>
          <w:szCs w:val="30"/>
        </w:rPr>
        <w:t>«Об утверждении показателей критериев значимых платежных систем»</w:t>
      </w:r>
      <w:r w:rsidR="00633E6E" w:rsidRPr="00860331">
        <w:rPr>
          <w:rFonts w:ascii="Calibri" w:hAnsi="Calibri" w:cs="Arial"/>
          <w:sz w:val="30"/>
          <w:szCs w:val="30"/>
        </w:rPr>
        <w:t xml:space="preserve">. По итогам проведенного анализа за 2016 год к системно значимой платежной системе отнесена </w:t>
      </w:r>
      <w:r w:rsidR="00DF4304" w:rsidRPr="00860331">
        <w:rPr>
          <w:rFonts w:ascii="Calibri" w:hAnsi="Calibri" w:cs="Arial"/>
          <w:sz w:val="30"/>
          <w:szCs w:val="30"/>
        </w:rPr>
        <w:t>Межбанковская система переводов денег</w:t>
      </w:r>
      <w:r w:rsidR="00633E6E" w:rsidRPr="00860331">
        <w:rPr>
          <w:rFonts w:ascii="Calibri" w:hAnsi="Calibri" w:cs="Arial"/>
          <w:sz w:val="30"/>
          <w:szCs w:val="30"/>
        </w:rPr>
        <w:t xml:space="preserve">, в перечень значимых платежных систем </w:t>
      </w:r>
      <w:proofErr w:type="gramStart"/>
      <w:r w:rsidR="00633E6E" w:rsidRPr="00860331">
        <w:rPr>
          <w:rFonts w:ascii="Calibri" w:hAnsi="Calibri" w:cs="Arial"/>
          <w:sz w:val="30"/>
          <w:szCs w:val="30"/>
        </w:rPr>
        <w:t>включены</w:t>
      </w:r>
      <w:proofErr w:type="gramEnd"/>
      <w:r w:rsidR="00633E6E" w:rsidRPr="00860331">
        <w:rPr>
          <w:rFonts w:ascii="Calibri" w:hAnsi="Calibri" w:cs="Arial"/>
          <w:sz w:val="30"/>
          <w:szCs w:val="30"/>
        </w:rPr>
        <w:t xml:space="preserve"> </w:t>
      </w:r>
      <w:r w:rsidR="00DF4304" w:rsidRPr="00860331">
        <w:rPr>
          <w:rFonts w:ascii="Calibri" w:hAnsi="Calibri" w:cs="Arial"/>
          <w:sz w:val="30"/>
          <w:szCs w:val="30"/>
        </w:rPr>
        <w:t>Система межбанковского клиринга</w:t>
      </w:r>
      <w:r w:rsidR="00633E6E" w:rsidRPr="00860331">
        <w:rPr>
          <w:rFonts w:ascii="Calibri" w:hAnsi="Calibri" w:cs="Arial"/>
          <w:sz w:val="30"/>
          <w:szCs w:val="30"/>
        </w:rPr>
        <w:t>,  система расчетов по платежным карточкам VISA и система денежных переводов «Золотая корона». Реестр</w:t>
      </w:r>
      <w:r w:rsidR="00707438" w:rsidRPr="00860331">
        <w:rPr>
          <w:rFonts w:ascii="Calibri" w:hAnsi="Calibri" w:cs="Arial"/>
          <w:sz w:val="30"/>
          <w:szCs w:val="30"/>
        </w:rPr>
        <w:t xml:space="preserve"> платежных систем</w:t>
      </w:r>
      <w:r w:rsidR="00633E6E" w:rsidRPr="00860331">
        <w:rPr>
          <w:rFonts w:ascii="Calibri" w:hAnsi="Calibri" w:cs="Arial"/>
          <w:sz w:val="30"/>
          <w:szCs w:val="30"/>
        </w:rPr>
        <w:t xml:space="preserve"> будет обновляться по мере создания или входа на территорию Казахстана новой платежной системы, а также при изменении вида значимости платежной системы.</w:t>
      </w:r>
    </w:p>
    <w:p w:rsidR="00707438" w:rsidRPr="00860331" w:rsidRDefault="00633E6E" w:rsidP="003874CE">
      <w:pPr>
        <w:spacing w:line="235" w:lineRule="auto"/>
        <w:ind w:firstLine="709"/>
        <w:jc w:val="both"/>
        <w:rPr>
          <w:rFonts w:ascii="Calibri" w:hAnsi="Calibri" w:cs="Arial"/>
          <w:sz w:val="30"/>
          <w:szCs w:val="30"/>
        </w:rPr>
      </w:pPr>
      <w:r w:rsidRPr="00860331">
        <w:rPr>
          <w:rFonts w:ascii="Calibri" w:hAnsi="Calibri" w:cs="Arial"/>
          <w:sz w:val="30"/>
          <w:szCs w:val="30"/>
        </w:rPr>
        <w:t xml:space="preserve">По итогам проведенных работ по учетной регистрации платежных организаций Национальным Банком </w:t>
      </w:r>
      <w:r w:rsidR="00DF4304" w:rsidRPr="00860331">
        <w:rPr>
          <w:rFonts w:ascii="Calibri" w:hAnsi="Calibri" w:cs="Arial"/>
          <w:sz w:val="30"/>
          <w:szCs w:val="30"/>
        </w:rPr>
        <w:t>Казахстана</w:t>
      </w:r>
      <w:r w:rsidRPr="00860331">
        <w:rPr>
          <w:rFonts w:ascii="Calibri" w:hAnsi="Calibri" w:cs="Arial"/>
          <w:sz w:val="30"/>
          <w:szCs w:val="30"/>
        </w:rPr>
        <w:t xml:space="preserve"> сформирован реестр платежных организаций, который обновляется по мере регистрации платежных организаций. </w:t>
      </w:r>
    </w:p>
    <w:p w:rsidR="00633E6E" w:rsidRPr="00860331" w:rsidRDefault="00707438" w:rsidP="003874CE">
      <w:pPr>
        <w:spacing w:line="235" w:lineRule="auto"/>
        <w:ind w:firstLine="709"/>
        <w:jc w:val="both"/>
        <w:rPr>
          <w:rFonts w:ascii="Calibri" w:hAnsi="Calibri" w:cs="Arial"/>
          <w:sz w:val="30"/>
          <w:szCs w:val="30"/>
        </w:rPr>
      </w:pPr>
      <w:r w:rsidRPr="00860331">
        <w:rPr>
          <w:rFonts w:ascii="Calibri" w:hAnsi="Calibri" w:cs="Arial"/>
          <w:sz w:val="30"/>
          <w:szCs w:val="30"/>
        </w:rPr>
        <w:t xml:space="preserve">В реестр значимых поставщиков платежных услуг </w:t>
      </w:r>
      <w:r w:rsidR="00633E6E" w:rsidRPr="00860331">
        <w:rPr>
          <w:rFonts w:ascii="Calibri" w:hAnsi="Calibri" w:cs="Arial"/>
          <w:sz w:val="30"/>
          <w:szCs w:val="30"/>
        </w:rPr>
        <w:t>включены поставщики платежных услуг, занимающие высокую долю на том или ином сегменте рынка (к примеру, на рынке платежных карточек, рынке электронных денег, в части дистанционного обслуживания клиентов через системы удаленного доступа и электронные терминалы)</w:t>
      </w:r>
      <w:r w:rsidR="00765DC8" w:rsidRPr="00860331">
        <w:rPr>
          <w:rFonts w:ascii="Calibri" w:hAnsi="Calibri" w:cs="Arial"/>
          <w:sz w:val="30"/>
          <w:szCs w:val="30"/>
        </w:rPr>
        <w:t>,</w:t>
      </w:r>
      <w:r w:rsidR="00633E6E" w:rsidRPr="00860331">
        <w:rPr>
          <w:rFonts w:ascii="Calibri" w:hAnsi="Calibri" w:cs="Arial"/>
          <w:sz w:val="30"/>
          <w:szCs w:val="30"/>
        </w:rPr>
        <w:t xml:space="preserve"> в соответствии с критериями, установленными Законом</w:t>
      </w:r>
      <w:r w:rsidR="00DD214E" w:rsidRPr="00860331">
        <w:rPr>
          <w:rFonts w:ascii="Calibri" w:hAnsi="Calibri" w:cs="Arial"/>
          <w:sz w:val="30"/>
          <w:szCs w:val="30"/>
        </w:rPr>
        <w:t xml:space="preserve"> Республики Казахстан «О платежах и платежных системах»</w:t>
      </w:r>
      <w:r w:rsidR="00633E6E" w:rsidRPr="00860331">
        <w:rPr>
          <w:rFonts w:ascii="Calibri" w:hAnsi="Calibri" w:cs="Arial"/>
          <w:sz w:val="30"/>
          <w:szCs w:val="30"/>
        </w:rPr>
        <w:t xml:space="preserve">, и с учетом показателей, </w:t>
      </w:r>
      <w:r w:rsidR="00633E6E" w:rsidRPr="00860331">
        <w:rPr>
          <w:rFonts w:ascii="Calibri" w:hAnsi="Calibri" w:cs="Arial"/>
          <w:sz w:val="30"/>
          <w:szCs w:val="30"/>
        </w:rPr>
        <w:lastRenderedPageBreak/>
        <w:t xml:space="preserve">утвержденных </w:t>
      </w:r>
      <w:r w:rsidR="00DD214E" w:rsidRPr="00860331">
        <w:rPr>
          <w:rFonts w:ascii="Calibri" w:hAnsi="Calibri" w:cs="Arial"/>
          <w:sz w:val="30"/>
          <w:szCs w:val="30"/>
        </w:rPr>
        <w:t>постановлением Правления Национального Банка</w:t>
      </w:r>
      <w:r w:rsidR="00765DC8" w:rsidRPr="00860331">
        <w:rPr>
          <w:rFonts w:ascii="Calibri" w:hAnsi="Calibri" w:cs="Arial"/>
          <w:sz w:val="30"/>
          <w:szCs w:val="30"/>
        </w:rPr>
        <w:t xml:space="preserve"> </w:t>
      </w:r>
      <w:r w:rsidR="00DF4304" w:rsidRPr="00860331">
        <w:rPr>
          <w:rFonts w:ascii="Calibri" w:hAnsi="Calibri" w:cs="Arial"/>
          <w:sz w:val="30"/>
          <w:szCs w:val="30"/>
        </w:rPr>
        <w:t>Казахстана</w:t>
      </w:r>
      <w:r w:rsidR="00DD214E" w:rsidRPr="00860331">
        <w:rPr>
          <w:rFonts w:ascii="Calibri" w:hAnsi="Calibri" w:cs="Arial"/>
          <w:sz w:val="30"/>
          <w:szCs w:val="30"/>
        </w:rPr>
        <w:t xml:space="preserve"> от 31 августа 2016 года № 223</w:t>
      </w:r>
      <w:r w:rsidR="00765DC8" w:rsidRPr="00860331">
        <w:rPr>
          <w:rFonts w:ascii="Calibri" w:hAnsi="Calibri" w:cs="Arial"/>
          <w:sz w:val="30"/>
          <w:szCs w:val="30"/>
        </w:rPr>
        <w:t xml:space="preserve"> </w:t>
      </w:r>
      <w:r w:rsidR="00DD214E" w:rsidRPr="00860331">
        <w:rPr>
          <w:rFonts w:ascii="Calibri" w:hAnsi="Calibri" w:cs="Arial"/>
          <w:sz w:val="30"/>
          <w:szCs w:val="30"/>
        </w:rPr>
        <w:t>«Об утверждении показателей, при которых поставщик платежных услуг относится к значимым поставщикам платежных услуг»</w:t>
      </w:r>
      <w:r w:rsidR="00633E6E" w:rsidRPr="00860331">
        <w:rPr>
          <w:rFonts w:ascii="Calibri" w:hAnsi="Calibri" w:cs="Arial"/>
          <w:sz w:val="30"/>
          <w:szCs w:val="30"/>
        </w:rPr>
        <w:t>.  Указанный реестр будет также пересматриваться Национальным Банком</w:t>
      </w:r>
      <w:r w:rsidR="00DF4304" w:rsidRPr="00860331">
        <w:rPr>
          <w:rFonts w:ascii="Calibri" w:hAnsi="Calibri" w:cs="Arial"/>
          <w:sz w:val="30"/>
          <w:szCs w:val="30"/>
        </w:rPr>
        <w:t xml:space="preserve"> Казахстана</w:t>
      </w:r>
      <w:r w:rsidR="00633E6E" w:rsidRPr="00860331">
        <w:rPr>
          <w:rFonts w:ascii="Calibri" w:hAnsi="Calibri" w:cs="Arial"/>
          <w:sz w:val="30"/>
          <w:szCs w:val="30"/>
        </w:rPr>
        <w:t xml:space="preserve"> на периодической основе по итогам анализа рынка платежных услуг или поступлении в Национальный Банк </w:t>
      </w:r>
      <w:r w:rsidR="00DF4304" w:rsidRPr="00860331">
        <w:rPr>
          <w:rFonts w:ascii="Calibri" w:hAnsi="Calibri" w:cs="Arial"/>
          <w:sz w:val="30"/>
          <w:szCs w:val="30"/>
        </w:rPr>
        <w:t xml:space="preserve">Казахстана </w:t>
      </w:r>
      <w:r w:rsidR="00633E6E" w:rsidRPr="00860331">
        <w:rPr>
          <w:rFonts w:ascii="Calibri" w:hAnsi="Calibri" w:cs="Arial"/>
          <w:sz w:val="30"/>
          <w:szCs w:val="30"/>
        </w:rPr>
        <w:t>письменного обращения поставщика платежных услуг.</w:t>
      </w:r>
    </w:p>
    <w:p w:rsidR="00A30B7D" w:rsidRDefault="00765DC8" w:rsidP="003874CE">
      <w:pPr>
        <w:autoSpaceDE w:val="0"/>
        <w:autoSpaceDN w:val="0"/>
        <w:adjustRightInd w:val="0"/>
        <w:spacing w:line="235" w:lineRule="auto"/>
        <w:ind w:firstLine="709"/>
        <w:jc w:val="both"/>
        <w:rPr>
          <w:rFonts w:ascii="Calibri" w:hAnsi="Calibri" w:cs="Arial"/>
          <w:sz w:val="30"/>
          <w:szCs w:val="30"/>
        </w:rPr>
      </w:pPr>
      <w:r w:rsidRPr="00860331">
        <w:rPr>
          <w:rFonts w:ascii="Calibri" w:hAnsi="Calibri" w:cs="Arial"/>
          <w:sz w:val="30"/>
          <w:szCs w:val="30"/>
        </w:rPr>
        <w:t>Обзор</w:t>
      </w:r>
      <w:r w:rsidR="0035580C" w:rsidRPr="00860331">
        <w:rPr>
          <w:rFonts w:ascii="Calibri" w:hAnsi="Calibri" w:cs="Arial"/>
          <w:sz w:val="30"/>
          <w:szCs w:val="30"/>
        </w:rPr>
        <w:t xml:space="preserve"> </w:t>
      </w:r>
      <w:r w:rsidR="00A30B7D" w:rsidRPr="00860331">
        <w:rPr>
          <w:rFonts w:ascii="Calibri" w:hAnsi="Calibri" w:cs="Arial"/>
          <w:sz w:val="30"/>
          <w:szCs w:val="30"/>
        </w:rPr>
        <w:t xml:space="preserve">посвящен последним тенденциям на платежном рынке Казахстана, </w:t>
      </w:r>
      <w:r w:rsidR="00731D01" w:rsidRPr="00860331">
        <w:rPr>
          <w:rFonts w:ascii="Calibri" w:hAnsi="Calibri" w:cs="Arial"/>
          <w:sz w:val="30"/>
          <w:szCs w:val="30"/>
        </w:rPr>
        <w:t xml:space="preserve">в документе </w:t>
      </w:r>
      <w:r w:rsidR="00A30B7D" w:rsidRPr="00860331">
        <w:rPr>
          <w:rFonts w:ascii="Calibri" w:hAnsi="Calibri" w:cs="Arial"/>
          <w:sz w:val="30"/>
          <w:szCs w:val="30"/>
        </w:rPr>
        <w:t>представлены результаты надзора (оверсайта) за платежными системами</w:t>
      </w:r>
      <w:r w:rsidR="00731D01" w:rsidRPr="00860331">
        <w:rPr>
          <w:rFonts w:ascii="Calibri" w:hAnsi="Calibri" w:cs="Arial"/>
          <w:sz w:val="30"/>
          <w:szCs w:val="30"/>
        </w:rPr>
        <w:t>, в том числе</w:t>
      </w:r>
      <w:r w:rsidR="00230836" w:rsidRPr="00860331">
        <w:rPr>
          <w:rFonts w:ascii="Calibri" w:hAnsi="Calibri" w:cs="Arial"/>
          <w:sz w:val="30"/>
          <w:szCs w:val="30"/>
        </w:rPr>
        <w:t xml:space="preserve"> за </w:t>
      </w:r>
      <w:r w:rsidR="00731D01" w:rsidRPr="00860331">
        <w:rPr>
          <w:rFonts w:ascii="Calibri" w:hAnsi="Calibri" w:cs="Arial"/>
          <w:sz w:val="30"/>
          <w:szCs w:val="30"/>
        </w:rPr>
        <w:t xml:space="preserve">платежными системами Национального Банка </w:t>
      </w:r>
      <w:r w:rsidR="00DF4304" w:rsidRPr="00860331">
        <w:rPr>
          <w:rFonts w:ascii="Calibri" w:hAnsi="Calibri" w:cs="Arial"/>
          <w:sz w:val="30"/>
          <w:szCs w:val="30"/>
        </w:rPr>
        <w:t>Казахстана</w:t>
      </w:r>
      <w:r w:rsidR="00731D01" w:rsidRPr="00860331">
        <w:rPr>
          <w:rFonts w:ascii="Calibri" w:hAnsi="Calibri" w:cs="Arial"/>
          <w:sz w:val="30"/>
          <w:szCs w:val="30"/>
        </w:rPr>
        <w:t>, системами денежных переводов</w:t>
      </w:r>
      <w:r w:rsidR="00A30B7D" w:rsidRPr="00860331">
        <w:rPr>
          <w:rFonts w:ascii="Calibri" w:hAnsi="Calibri" w:cs="Arial"/>
          <w:sz w:val="30"/>
          <w:szCs w:val="30"/>
        </w:rPr>
        <w:t>,</w:t>
      </w:r>
      <w:r w:rsidR="00230836" w:rsidRPr="00860331">
        <w:rPr>
          <w:rFonts w:ascii="Calibri" w:hAnsi="Calibri" w:cs="Arial"/>
          <w:sz w:val="30"/>
          <w:szCs w:val="30"/>
        </w:rPr>
        <w:t xml:space="preserve"> </w:t>
      </w:r>
      <w:r w:rsidR="00DF4304" w:rsidRPr="00860331">
        <w:rPr>
          <w:rFonts w:ascii="Calibri" w:hAnsi="Calibri" w:cs="Arial"/>
          <w:sz w:val="30"/>
          <w:szCs w:val="30"/>
        </w:rPr>
        <w:t xml:space="preserve">а также анализ платежей, проведенных  через </w:t>
      </w:r>
      <w:r w:rsidR="00230836" w:rsidRPr="00860331">
        <w:rPr>
          <w:rFonts w:ascii="Calibri" w:hAnsi="Calibri" w:cs="Arial"/>
          <w:sz w:val="30"/>
          <w:szCs w:val="30"/>
        </w:rPr>
        <w:t>корреспондентски</w:t>
      </w:r>
      <w:r w:rsidR="00DF4304" w:rsidRPr="00860331">
        <w:rPr>
          <w:rFonts w:ascii="Calibri" w:hAnsi="Calibri" w:cs="Arial"/>
          <w:sz w:val="30"/>
          <w:szCs w:val="30"/>
        </w:rPr>
        <w:t>е</w:t>
      </w:r>
      <w:r w:rsidR="00230836" w:rsidRPr="00860331">
        <w:rPr>
          <w:rFonts w:ascii="Calibri" w:hAnsi="Calibri" w:cs="Arial"/>
          <w:sz w:val="30"/>
          <w:szCs w:val="30"/>
        </w:rPr>
        <w:t xml:space="preserve"> счет</w:t>
      </w:r>
      <w:r w:rsidR="00DF4304" w:rsidRPr="00860331">
        <w:rPr>
          <w:rFonts w:ascii="Calibri" w:hAnsi="Calibri" w:cs="Arial"/>
          <w:sz w:val="30"/>
          <w:szCs w:val="30"/>
        </w:rPr>
        <w:t xml:space="preserve">а, открытые </w:t>
      </w:r>
      <w:r w:rsidR="00230836" w:rsidRPr="00860331">
        <w:rPr>
          <w:rFonts w:ascii="Calibri" w:hAnsi="Calibri" w:cs="Arial"/>
          <w:sz w:val="30"/>
          <w:szCs w:val="30"/>
        </w:rPr>
        <w:t xml:space="preserve"> </w:t>
      </w:r>
      <w:r w:rsidR="00DF4304" w:rsidRPr="00860331">
        <w:rPr>
          <w:rFonts w:ascii="Calibri" w:hAnsi="Calibri" w:cs="Arial"/>
          <w:sz w:val="30"/>
          <w:szCs w:val="30"/>
        </w:rPr>
        <w:t>между банками, между банками и организациями, осуществляющими отдельные виды банковских операций</w:t>
      </w:r>
      <w:r w:rsidR="00230836" w:rsidRPr="00860331">
        <w:rPr>
          <w:rFonts w:ascii="Calibri" w:hAnsi="Calibri" w:cs="Arial"/>
          <w:sz w:val="30"/>
          <w:szCs w:val="30"/>
        </w:rPr>
        <w:t xml:space="preserve">. В рамках анализа развития рынка платежных услуг </w:t>
      </w:r>
      <w:r w:rsidR="00731D01" w:rsidRPr="00860331">
        <w:rPr>
          <w:rFonts w:ascii="Calibri" w:hAnsi="Calibri" w:cs="Arial"/>
          <w:sz w:val="30"/>
          <w:szCs w:val="30"/>
        </w:rPr>
        <w:t>представлен</w:t>
      </w:r>
      <w:r w:rsidR="00230836" w:rsidRPr="00860331">
        <w:rPr>
          <w:rFonts w:ascii="Calibri" w:hAnsi="Calibri" w:cs="Arial"/>
          <w:sz w:val="30"/>
          <w:szCs w:val="30"/>
        </w:rPr>
        <w:t xml:space="preserve">а </w:t>
      </w:r>
      <w:r w:rsidR="00731D01" w:rsidRPr="00860331">
        <w:rPr>
          <w:rFonts w:ascii="Calibri" w:hAnsi="Calibri" w:cs="Arial"/>
          <w:sz w:val="30"/>
          <w:szCs w:val="30"/>
        </w:rPr>
        <w:t xml:space="preserve"> </w:t>
      </w:r>
      <w:r w:rsidR="00230836" w:rsidRPr="00860331">
        <w:rPr>
          <w:rFonts w:ascii="Calibri" w:hAnsi="Calibri" w:cs="Arial"/>
          <w:sz w:val="30"/>
          <w:szCs w:val="30"/>
        </w:rPr>
        <w:t xml:space="preserve">информация о тенденциях использования платежных инструментов, развития </w:t>
      </w:r>
      <w:r w:rsidR="00A30B7D" w:rsidRPr="00860331">
        <w:rPr>
          <w:rFonts w:ascii="Calibri" w:hAnsi="Calibri" w:cs="Arial"/>
          <w:sz w:val="30"/>
          <w:szCs w:val="30"/>
        </w:rPr>
        <w:t xml:space="preserve">рынка электронных платежных услуг, оказываемых </w:t>
      </w:r>
      <w:r w:rsidR="00503AD2" w:rsidRPr="00860331">
        <w:rPr>
          <w:rFonts w:ascii="Calibri" w:hAnsi="Calibri" w:cs="Arial"/>
          <w:sz w:val="30"/>
          <w:szCs w:val="30"/>
        </w:rPr>
        <w:t>посредством систем удаленного доступа</w:t>
      </w:r>
      <w:r w:rsidR="00A30B7D" w:rsidRPr="00860331">
        <w:rPr>
          <w:rFonts w:ascii="Calibri" w:hAnsi="Calibri" w:cs="Arial"/>
          <w:sz w:val="30"/>
          <w:szCs w:val="30"/>
        </w:rPr>
        <w:t xml:space="preserve">, </w:t>
      </w:r>
      <w:r w:rsidR="003874CE" w:rsidRPr="00860331">
        <w:rPr>
          <w:rFonts w:ascii="Calibri" w:hAnsi="Calibri" w:cs="Arial"/>
          <w:sz w:val="30"/>
          <w:szCs w:val="30"/>
        </w:rPr>
        <w:t>рынка платежных карточек и электронных денег</w:t>
      </w:r>
      <w:r w:rsidR="00A30B7D" w:rsidRPr="00860331">
        <w:rPr>
          <w:rFonts w:ascii="Calibri" w:hAnsi="Calibri" w:cs="Arial"/>
          <w:sz w:val="30"/>
          <w:szCs w:val="30"/>
        </w:rPr>
        <w:t>.</w:t>
      </w:r>
      <w:r w:rsidR="00A30B7D" w:rsidRPr="00731D01">
        <w:rPr>
          <w:rFonts w:ascii="Calibri" w:hAnsi="Calibri" w:cs="Arial"/>
          <w:sz w:val="30"/>
          <w:szCs w:val="30"/>
        </w:rPr>
        <w:t xml:space="preserve"> </w:t>
      </w: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7D0CC8" w:rsidRDefault="007D0CC8" w:rsidP="003874CE">
      <w:pPr>
        <w:autoSpaceDE w:val="0"/>
        <w:autoSpaceDN w:val="0"/>
        <w:adjustRightInd w:val="0"/>
        <w:spacing w:line="235" w:lineRule="auto"/>
        <w:ind w:firstLine="709"/>
        <w:jc w:val="both"/>
        <w:rPr>
          <w:rFonts w:ascii="Calibri" w:hAnsi="Calibri" w:cs="Arial"/>
          <w:sz w:val="30"/>
          <w:szCs w:val="30"/>
        </w:rPr>
      </w:pPr>
    </w:p>
    <w:p w:rsidR="007D0CC8" w:rsidRDefault="007D0CC8" w:rsidP="003874CE">
      <w:pPr>
        <w:autoSpaceDE w:val="0"/>
        <w:autoSpaceDN w:val="0"/>
        <w:adjustRightInd w:val="0"/>
        <w:spacing w:line="235" w:lineRule="auto"/>
        <w:ind w:firstLine="709"/>
        <w:jc w:val="both"/>
        <w:rPr>
          <w:rFonts w:ascii="Calibri" w:hAnsi="Calibri" w:cs="Arial"/>
          <w:sz w:val="30"/>
          <w:szCs w:val="30"/>
        </w:rPr>
      </w:pPr>
    </w:p>
    <w:p w:rsidR="00765DC8" w:rsidRDefault="00765DC8" w:rsidP="003874CE">
      <w:pPr>
        <w:autoSpaceDE w:val="0"/>
        <w:autoSpaceDN w:val="0"/>
        <w:adjustRightInd w:val="0"/>
        <w:spacing w:line="235" w:lineRule="auto"/>
        <w:ind w:firstLine="709"/>
        <w:jc w:val="both"/>
        <w:rPr>
          <w:rFonts w:ascii="Calibri" w:hAnsi="Calibri" w:cs="Arial"/>
          <w:sz w:val="30"/>
          <w:szCs w:val="30"/>
        </w:rPr>
      </w:pPr>
    </w:p>
    <w:p w:rsidR="00765DC8" w:rsidRDefault="00765DC8"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D214E" w:rsidRDefault="00DD214E" w:rsidP="003874CE">
      <w:pPr>
        <w:autoSpaceDE w:val="0"/>
        <w:autoSpaceDN w:val="0"/>
        <w:adjustRightInd w:val="0"/>
        <w:spacing w:line="235" w:lineRule="auto"/>
        <w:ind w:firstLine="709"/>
        <w:jc w:val="both"/>
        <w:rPr>
          <w:rFonts w:ascii="Calibri" w:hAnsi="Calibri" w:cs="Arial"/>
          <w:sz w:val="30"/>
          <w:szCs w:val="30"/>
        </w:rPr>
      </w:pPr>
    </w:p>
    <w:p w:rsidR="00DF4304" w:rsidRDefault="00DF4304" w:rsidP="003874CE">
      <w:pPr>
        <w:autoSpaceDE w:val="0"/>
        <w:autoSpaceDN w:val="0"/>
        <w:adjustRightInd w:val="0"/>
        <w:spacing w:line="235" w:lineRule="auto"/>
        <w:ind w:firstLine="709"/>
        <w:jc w:val="both"/>
        <w:rPr>
          <w:rFonts w:ascii="Calibri" w:hAnsi="Calibri" w:cs="Arial"/>
          <w:sz w:val="30"/>
          <w:szCs w:val="30"/>
        </w:rPr>
      </w:pPr>
    </w:p>
    <w:p w:rsidR="009E09D9" w:rsidRPr="00015E28" w:rsidRDefault="005C7913" w:rsidP="00C52217">
      <w:pPr>
        <w:pStyle w:val="1"/>
        <w:tabs>
          <w:tab w:val="left" w:pos="561"/>
        </w:tabs>
        <w:spacing w:before="0" w:after="0" w:line="233" w:lineRule="auto"/>
        <w:ind w:right="534"/>
        <w:jc w:val="center"/>
        <w:rPr>
          <w:rFonts w:ascii="Calibri" w:hAnsi="Calibri"/>
          <w:bCs w:val="0"/>
          <w:snapToGrid w:val="0"/>
          <w:color w:val="0E4C28"/>
          <w:spacing w:val="-2"/>
          <w:kern w:val="0"/>
          <w:sz w:val="36"/>
          <w:szCs w:val="36"/>
        </w:rPr>
      </w:pPr>
      <w:bookmarkStart w:id="9" w:name="_Toc481418193"/>
      <w:r w:rsidRPr="00860331">
        <w:rPr>
          <w:rFonts w:ascii="Calibri" w:hAnsi="Calibri"/>
          <w:bCs w:val="0"/>
          <w:snapToGrid w:val="0"/>
          <w:color w:val="0E4C28"/>
          <w:spacing w:val="-2"/>
          <w:kern w:val="0"/>
          <w:sz w:val="36"/>
          <w:szCs w:val="36"/>
        </w:rPr>
        <w:lastRenderedPageBreak/>
        <w:t>РАЗДЕЛ 1</w:t>
      </w:r>
      <w:r w:rsidR="009E09D9" w:rsidRPr="00860331">
        <w:rPr>
          <w:rFonts w:ascii="Calibri" w:hAnsi="Calibri"/>
          <w:bCs w:val="0"/>
          <w:snapToGrid w:val="0"/>
          <w:color w:val="0E4C28"/>
          <w:spacing w:val="-2"/>
          <w:kern w:val="0"/>
          <w:sz w:val="36"/>
          <w:szCs w:val="36"/>
        </w:rPr>
        <w:t>. ПЛАТЕЖНЫЕ СИСТЕМЫ</w:t>
      </w:r>
      <w:bookmarkStart w:id="10" w:name="_Toc470534233"/>
      <w:r w:rsidR="00BE6AAE" w:rsidRPr="00860331">
        <w:rPr>
          <w:rFonts w:ascii="Calibri" w:hAnsi="Calibri"/>
          <w:bCs w:val="0"/>
          <w:snapToGrid w:val="0"/>
          <w:color w:val="0E4C28"/>
          <w:spacing w:val="-2"/>
          <w:kern w:val="0"/>
          <w:sz w:val="36"/>
          <w:szCs w:val="36"/>
        </w:rPr>
        <w:t xml:space="preserve"> </w:t>
      </w:r>
      <w:r w:rsidR="009E09D9" w:rsidRPr="00860331">
        <w:rPr>
          <w:rFonts w:ascii="Calibri" w:hAnsi="Calibri"/>
          <w:bCs w:val="0"/>
          <w:snapToGrid w:val="0"/>
          <w:color w:val="0E4C28"/>
          <w:spacing w:val="-2"/>
          <w:kern w:val="0"/>
          <w:sz w:val="36"/>
          <w:szCs w:val="36"/>
        </w:rPr>
        <w:t>НАЦИОНАЛЬНОГО БАНКА</w:t>
      </w:r>
      <w:bookmarkEnd w:id="10"/>
      <w:r w:rsidR="00BE6AAE" w:rsidRPr="00860331">
        <w:rPr>
          <w:rFonts w:ascii="Calibri" w:hAnsi="Calibri"/>
          <w:bCs w:val="0"/>
          <w:snapToGrid w:val="0"/>
          <w:color w:val="0E4C28"/>
          <w:spacing w:val="-2"/>
          <w:kern w:val="0"/>
          <w:sz w:val="36"/>
          <w:szCs w:val="36"/>
        </w:rPr>
        <w:t xml:space="preserve"> КАЗАХСТАН</w:t>
      </w:r>
      <w:r w:rsidR="00DF4304" w:rsidRPr="00860331">
        <w:rPr>
          <w:rFonts w:ascii="Calibri" w:hAnsi="Calibri"/>
          <w:bCs w:val="0"/>
          <w:snapToGrid w:val="0"/>
          <w:color w:val="0E4C28"/>
          <w:spacing w:val="-2"/>
          <w:kern w:val="0"/>
          <w:sz w:val="36"/>
          <w:szCs w:val="36"/>
        </w:rPr>
        <w:t>А</w:t>
      </w:r>
      <w:bookmarkEnd w:id="9"/>
    </w:p>
    <w:p w:rsidR="00F224A0" w:rsidRPr="0082483E" w:rsidRDefault="00F224A0" w:rsidP="00F224A0">
      <w:pPr>
        <w:autoSpaceDE w:val="0"/>
        <w:autoSpaceDN w:val="0"/>
        <w:adjustRightInd w:val="0"/>
        <w:ind w:firstLine="709"/>
        <w:jc w:val="both"/>
        <w:rPr>
          <w:rFonts w:ascii="Calibri" w:hAnsi="Calibri" w:cs="Arial"/>
          <w:sz w:val="30"/>
          <w:szCs w:val="30"/>
        </w:rPr>
      </w:pPr>
      <w:bookmarkStart w:id="11" w:name="_Toc470534234"/>
    </w:p>
    <w:p w:rsidR="00F224A0" w:rsidRDefault="00B41594" w:rsidP="00F224A0">
      <w:pPr>
        <w:autoSpaceDE w:val="0"/>
        <w:autoSpaceDN w:val="0"/>
        <w:adjustRightInd w:val="0"/>
        <w:ind w:firstLine="709"/>
        <w:jc w:val="both"/>
        <w:rPr>
          <w:rFonts w:ascii="Calibri" w:hAnsi="Calibri" w:cs="Arial"/>
          <w:sz w:val="30"/>
          <w:szCs w:val="30"/>
        </w:rPr>
      </w:pPr>
      <w:r w:rsidRPr="00860331">
        <w:rPr>
          <w:rFonts w:ascii="Calibri" w:hAnsi="Calibri" w:cs="Arial"/>
          <w:noProof/>
          <w:sz w:val="30"/>
          <w:szCs w:val="30"/>
        </w:rPr>
        <mc:AlternateContent>
          <mc:Choice Requires="wps">
            <w:drawing>
              <wp:anchor distT="0" distB="0" distL="114300" distR="114300" simplePos="0" relativeHeight="251657216" behindDoc="0" locked="0" layoutInCell="1" allowOverlap="1" wp14:anchorId="5B4FA9D5" wp14:editId="1A334857">
                <wp:simplePos x="0" y="0"/>
                <wp:positionH relativeFrom="column">
                  <wp:posOffset>2628900</wp:posOffset>
                </wp:positionH>
                <wp:positionV relativeFrom="paragraph">
                  <wp:posOffset>52705</wp:posOffset>
                </wp:positionV>
                <wp:extent cx="3261995" cy="2122805"/>
                <wp:effectExtent l="0" t="0" r="33655" b="48895"/>
                <wp:wrapSquare wrapText="bothSides"/>
                <wp:docPr id="67"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1995" cy="2122805"/>
                        </a:xfrm>
                        <a:prstGeom prst="roundRect">
                          <a:avLst>
                            <a:gd name="adj" fmla="val 16667"/>
                          </a:avLst>
                        </a:prstGeom>
                        <a:solidFill>
                          <a:srgbClr val="CCFF99"/>
                        </a:solidFill>
                        <a:ln w="12700" algn="ctr">
                          <a:solidFill>
                            <a:srgbClr val="CCFF99"/>
                          </a:solidFill>
                          <a:round/>
                          <a:headEnd/>
                          <a:tailEnd/>
                        </a:ln>
                        <a:effectLst>
                          <a:outerShdw dist="28398" dir="3806097" algn="ctr" rotWithShape="0">
                            <a:srgbClr val="205867">
                              <a:alpha val="50000"/>
                            </a:srgbClr>
                          </a:outerShdw>
                        </a:effectLst>
                      </wps:spPr>
                      <wps:txbx>
                        <w:txbxContent>
                          <w:p w:rsidR="00A3494E" w:rsidRPr="00F224A0" w:rsidRDefault="00A3494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sidRPr="00F224A0">
                              <w:rPr>
                                <w:rFonts w:ascii="Calibri" w:hAnsi="Calibri" w:cs="Arial"/>
                                <w:sz w:val="30"/>
                                <w:szCs w:val="30"/>
                              </w:rPr>
                              <w:t>обработка 96,7% всех безналичных межбанковских платежей, проведенных в стране;</w:t>
                            </w:r>
                          </w:p>
                          <w:p w:rsidR="00A3494E" w:rsidRPr="00F224A0" w:rsidRDefault="00A3494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sidRPr="00F224A0">
                              <w:rPr>
                                <w:rFonts w:ascii="Calibri" w:hAnsi="Calibri" w:cs="Arial"/>
                                <w:sz w:val="30"/>
                                <w:szCs w:val="30"/>
                              </w:rPr>
                              <w:t>соответствие международным стандартам;</w:t>
                            </w:r>
                          </w:p>
                          <w:p w:rsidR="00A3494E" w:rsidRPr="00DF4304" w:rsidRDefault="00A3494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sidRPr="00DF4304">
                              <w:rPr>
                                <w:rFonts w:ascii="Calibri" w:hAnsi="Calibri" w:cs="Arial"/>
                                <w:sz w:val="30"/>
                                <w:szCs w:val="30"/>
                              </w:rPr>
                              <w:t>высокий уровень беспрерывности работы платежных систем.</w:t>
                            </w:r>
                          </w:p>
                          <w:p w:rsidR="00A3494E" w:rsidRDefault="00A349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27" style="position:absolute;left:0;text-align:left;margin-left:207pt;margin-top:4.15pt;width:256.85pt;height:16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" fillcolor="#cf9" strokecolor="#cf9" strokeweight="1pt">
                <v:shadow on="t" color="#205867" opacity=".5" offset="1pt"/>
                <v:textbox>
                  <w:txbxContent>
                    <w:p w:rsidR="00A3494E" w:rsidRPr="00F224A0" w:rsidRDefault="00A3494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sidRPr="00F224A0">
                        <w:rPr>
                          <w:rFonts w:ascii="Calibri" w:hAnsi="Calibri" w:cs="Arial"/>
                          <w:sz w:val="30"/>
                          <w:szCs w:val="30"/>
                        </w:rPr>
                        <w:t>обработка 96,7% всех безналичных межбанковских платежей, проведенных в стране;</w:t>
                      </w:r>
                    </w:p>
                    <w:p w:rsidR="00A3494E" w:rsidRPr="00F224A0" w:rsidRDefault="00A3494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sidRPr="00F224A0">
                        <w:rPr>
                          <w:rFonts w:ascii="Calibri" w:hAnsi="Calibri" w:cs="Arial"/>
                          <w:sz w:val="30"/>
                          <w:szCs w:val="30"/>
                        </w:rPr>
                        <w:t>соответствие международным стандартам;</w:t>
                      </w:r>
                    </w:p>
                    <w:p w:rsidR="00A3494E" w:rsidRPr="00DF4304" w:rsidRDefault="00A3494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sidRPr="00DF4304">
                        <w:rPr>
                          <w:rFonts w:ascii="Calibri" w:hAnsi="Calibri" w:cs="Arial"/>
                          <w:sz w:val="30"/>
                          <w:szCs w:val="30"/>
                        </w:rPr>
                        <w:t>высокий уровень беспрерывности работы платежных систем.</w:t>
                      </w:r>
                    </w:p>
                    <w:p w:rsidR="00A3494E" w:rsidRDefault="00A3494E"/>
                  </w:txbxContent>
                </v:textbox>
                <w10:wrap type="square"/>
              </v:roundrect>
            </w:pict>
          </mc:Fallback>
        </mc:AlternateContent>
      </w:r>
      <w:r w:rsidR="00F224A0" w:rsidRPr="00860331">
        <w:rPr>
          <w:rFonts w:ascii="Calibri" w:hAnsi="Calibri" w:cs="Arial"/>
          <w:sz w:val="30"/>
          <w:szCs w:val="30"/>
        </w:rPr>
        <w:t>К платежным системам Национального Банка Казахстан</w:t>
      </w:r>
      <w:r w:rsidR="00DF4304" w:rsidRPr="00860331">
        <w:rPr>
          <w:rFonts w:ascii="Calibri" w:hAnsi="Calibri" w:cs="Arial"/>
          <w:sz w:val="30"/>
          <w:szCs w:val="30"/>
        </w:rPr>
        <w:t>а</w:t>
      </w:r>
      <w:r w:rsidR="00F224A0" w:rsidRPr="00860331">
        <w:rPr>
          <w:rFonts w:ascii="Calibri" w:hAnsi="Calibri" w:cs="Arial"/>
          <w:sz w:val="30"/>
          <w:szCs w:val="30"/>
        </w:rPr>
        <w:t xml:space="preserve"> относятся </w:t>
      </w:r>
      <w:r w:rsidR="00F224A0" w:rsidRPr="00860331">
        <w:rPr>
          <w:rFonts w:ascii="Calibri" w:hAnsi="Calibri" w:cs="Arial"/>
          <w:b/>
          <w:sz w:val="30"/>
          <w:szCs w:val="30"/>
        </w:rPr>
        <w:t>Межбанковская система переводов денег</w:t>
      </w:r>
      <w:r w:rsidR="003429D7" w:rsidRPr="00860331">
        <w:rPr>
          <w:rFonts w:ascii="Calibri" w:hAnsi="Calibri" w:cs="Arial"/>
          <w:b/>
          <w:sz w:val="30"/>
          <w:szCs w:val="30"/>
        </w:rPr>
        <w:t xml:space="preserve"> (МСПД)</w:t>
      </w:r>
      <w:r w:rsidR="00F224A0" w:rsidRPr="00860331">
        <w:rPr>
          <w:rFonts w:ascii="Calibri" w:hAnsi="Calibri" w:cs="Arial"/>
          <w:b/>
          <w:sz w:val="30"/>
          <w:szCs w:val="30"/>
        </w:rPr>
        <w:t xml:space="preserve"> и Система межбанковского клиринга</w:t>
      </w:r>
      <w:r w:rsidR="005528B2" w:rsidRPr="00860331">
        <w:rPr>
          <w:rFonts w:ascii="Calibri" w:hAnsi="Calibri" w:cs="Arial"/>
          <w:b/>
          <w:sz w:val="30"/>
          <w:szCs w:val="30"/>
        </w:rPr>
        <w:t xml:space="preserve"> (СМК)</w:t>
      </w:r>
      <w:r w:rsidR="00F224A0" w:rsidRPr="00860331">
        <w:rPr>
          <w:rFonts w:ascii="Calibri" w:hAnsi="Calibri" w:cs="Arial"/>
          <w:b/>
          <w:sz w:val="30"/>
          <w:szCs w:val="30"/>
        </w:rPr>
        <w:t>, которые обрабатывают межбанковские платежи между участниками системы в национальной валюте – тенге</w:t>
      </w:r>
      <w:r w:rsidR="00F224A0" w:rsidRPr="00860331">
        <w:rPr>
          <w:rFonts w:ascii="Calibri" w:hAnsi="Calibri" w:cs="Arial"/>
          <w:sz w:val="30"/>
          <w:szCs w:val="30"/>
        </w:rPr>
        <w:t>.</w:t>
      </w:r>
      <w:r w:rsidR="00F224A0">
        <w:rPr>
          <w:rFonts w:ascii="Calibri" w:hAnsi="Calibri" w:cs="Arial"/>
          <w:sz w:val="30"/>
          <w:szCs w:val="30"/>
        </w:rPr>
        <w:t xml:space="preserve"> </w:t>
      </w:r>
    </w:p>
    <w:p w:rsidR="00F224A0" w:rsidRPr="00860331" w:rsidRDefault="00F224A0" w:rsidP="00F224A0">
      <w:pPr>
        <w:autoSpaceDE w:val="0"/>
        <w:autoSpaceDN w:val="0"/>
        <w:adjustRightInd w:val="0"/>
        <w:ind w:firstLine="709"/>
        <w:jc w:val="both"/>
        <w:rPr>
          <w:rFonts w:ascii="Calibri" w:hAnsi="Calibri" w:cs="Arial"/>
          <w:sz w:val="30"/>
          <w:szCs w:val="30"/>
        </w:rPr>
      </w:pPr>
      <w:r w:rsidRPr="00860331">
        <w:rPr>
          <w:rFonts w:ascii="Calibri" w:hAnsi="Calibri" w:cs="Arial"/>
          <w:sz w:val="30"/>
          <w:szCs w:val="30"/>
        </w:rPr>
        <w:t xml:space="preserve">Участниками </w:t>
      </w:r>
      <w:r w:rsidR="00DF4304" w:rsidRPr="00860331">
        <w:rPr>
          <w:rFonts w:ascii="Calibri" w:hAnsi="Calibri" w:cs="Arial"/>
          <w:sz w:val="30"/>
          <w:szCs w:val="30"/>
        </w:rPr>
        <w:t>МСПД</w:t>
      </w:r>
      <w:r w:rsidRPr="00860331">
        <w:rPr>
          <w:rFonts w:ascii="Calibri" w:hAnsi="Calibri" w:cs="Arial"/>
          <w:sz w:val="30"/>
          <w:szCs w:val="30"/>
        </w:rPr>
        <w:t xml:space="preserve"> являются </w:t>
      </w:r>
      <w:r w:rsidR="00DF4304" w:rsidRPr="00860331">
        <w:rPr>
          <w:rFonts w:ascii="Calibri" w:hAnsi="Calibri" w:cs="Arial"/>
          <w:sz w:val="30"/>
          <w:szCs w:val="30"/>
        </w:rPr>
        <w:t xml:space="preserve">все </w:t>
      </w:r>
      <w:r w:rsidRPr="00860331">
        <w:rPr>
          <w:rFonts w:ascii="Calibri" w:hAnsi="Calibri" w:cs="Arial"/>
          <w:sz w:val="30"/>
          <w:szCs w:val="30"/>
        </w:rPr>
        <w:t>банки Казахстана, АО «</w:t>
      </w:r>
      <w:proofErr w:type="spellStart"/>
      <w:r w:rsidRPr="00860331">
        <w:rPr>
          <w:rFonts w:ascii="Calibri" w:hAnsi="Calibri" w:cs="Arial"/>
          <w:sz w:val="30"/>
          <w:szCs w:val="30"/>
        </w:rPr>
        <w:t>Казпочта</w:t>
      </w:r>
      <w:proofErr w:type="spellEnd"/>
      <w:r w:rsidRPr="00860331">
        <w:rPr>
          <w:rFonts w:ascii="Calibri" w:hAnsi="Calibri" w:cs="Arial"/>
          <w:sz w:val="30"/>
          <w:szCs w:val="30"/>
        </w:rPr>
        <w:t xml:space="preserve">», </w:t>
      </w:r>
      <w:r w:rsidR="0032786F" w:rsidRPr="00860331">
        <w:rPr>
          <w:rFonts w:ascii="Calibri" w:hAnsi="Calibri" w:cs="Arial"/>
          <w:sz w:val="30"/>
          <w:szCs w:val="30"/>
        </w:rPr>
        <w:t xml:space="preserve">Комитет казначейства Министерства финансов Республики Казахстан, НАО «Государственная корпорация «Правительство для граждан», Центральный депозитарий ценных бумаг, Казахстанская фондовая биржа, а также отдельные международные банки  и финансовые организации-нерезиденты. </w:t>
      </w:r>
      <w:r w:rsidR="00DF4304" w:rsidRPr="00860331">
        <w:rPr>
          <w:rFonts w:ascii="Calibri" w:hAnsi="Calibri" w:cs="Arial"/>
          <w:sz w:val="30"/>
          <w:szCs w:val="30"/>
        </w:rPr>
        <w:t xml:space="preserve"> Участниками СМК выступают банки Казахстана, АО «</w:t>
      </w:r>
      <w:proofErr w:type="spellStart"/>
      <w:r w:rsidR="00DF4304" w:rsidRPr="00860331">
        <w:rPr>
          <w:rFonts w:ascii="Calibri" w:hAnsi="Calibri" w:cs="Arial"/>
          <w:sz w:val="30"/>
          <w:szCs w:val="30"/>
        </w:rPr>
        <w:t>Казпочта</w:t>
      </w:r>
      <w:proofErr w:type="spellEnd"/>
      <w:r w:rsidR="00DF4304" w:rsidRPr="00860331">
        <w:rPr>
          <w:rFonts w:ascii="Calibri" w:hAnsi="Calibri" w:cs="Arial"/>
          <w:sz w:val="30"/>
          <w:szCs w:val="30"/>
        </w:rPr>
        <w:t>», Комитет казначейства Министерства финансов Республики Казахстан, НАО «Государственная корпорация «Правительство для граждан», Центральный депозитарий ценных бумаг.</w:t>
      </w:r>
    </w:p>
    <w:p w:rsidR="006F65CE" w:rsidRDefault="00F224A0" w:rsidP="00F224A0">
      <w:pPr>
        <w:autoSpaceDE w:val="0"/>
        <w:autoSpaceDN w:val="0"/>
        <w:adjustRightInd w:val="0"/>
        <w:ind w:firstLine="709"/>
        <w:jc w:val="both"/>
        <w:rPr>
          <w:rFonts w:ascii="Calibri" w:hAnsi="Calibri" w:cs="Arial"/>
          <w:sz w:val="30"/>
          <w:szCs w:val="30"/>
        </w:rPr>
      </w:pPr>
      <w:r w:rsidRPr="00860331">
        <w:rPr>
          <w:rFonts w:ascii="Calibri" w:hAnsi="Calibri" w:cs="Arial"/>
          <w:sz w:val="30"/>
          <w:szCs w:val="30"/>
        </w:rPr>
        <w:t xml:space="preserve">Операционным центром </w:t>
      </w:r>
      <w:r w:rsidR="003429D7" w:rsidRPr="00860331">
        <w:rPr>
          <w:rFonts w:ascii="Calibri" w:hAnsi="Calibri" w:cs="Arial"/>
          <w:sz w:val="30"/>
          <w:szCs w:val="30"/>
        </w:rPr>
        <w:t>платежных систем Национального Банка</w:t>
      </w:r>
      <w:r w:rsidR="00DF4304" w:rsidRPr="00860331">
        <w:rPr>
          <w:rFonts w:ascii="Calibri" w:hAnsi="Calibri" w:cs="Arial"/>
          <w:sz w:val="30"/>
          <w:szCs w:val="30"/>
        </w:rPr>
        <w:t xml:space="preserve"> Казахстана</w:t>
      </w:r>
      <w:r w:rsidR="003429D7" w:rsidRPr="00860331">
        <w:rPr>
          <w:rFonts w:ascii="Calibri" w:hAnsi="Calibri" w:cs="Arial"/>
          <w:sz w:val="30"/>
          <w:szCs w:val="30"/>
        </w:rPr>
        <w:t xml:space="preserve"> </w:t>
      </w:r>
      <w:r w:rsidRPr="00860331">
        <w:rPr>
          <w:rFonts w:ascii="Calibri" w:hAnsi="Calibri" w:cs="Arial"/>
          <w:sz w:val="30"/>
          <w:szCs w:val="30"/>
        </w:rPr>
        <w:t xml:space="preserve"> </w:t>
      </w:r>
      <w:r w:rsidR="00DF4304" w:rsidRPr="00860331">
        <w:rPr>
          <w:rFonts w:ascii="Calibri" w:hAnsi="Calibri" w:cs="Arial"/>
          <w:sz w:val="30"/>
          <w:szCs w:val="30"/>
        </w:rPr>
        <w:t>является</w:t>
      </w:r>
      <w:r w:rsidRPr="00860331">
        <w:rPr>
          <w:rFonts w:ascii="Calibri" w:hAnsi="Calibri" w:cs="Arial"/>
          <w:sz w:val="30"/>
          <w:szCs w:val="30"/>
        </w:rPr>
        <w:t xml:space="preserve"> Р</w:t>
      </w:r>
      <w:r w:rsidR="00DF4304" w:rsidRPr="00860331">
        <w:rPr>
          <w:rFonts w:ascii="Calibri" w:hAnsi="Calibri" w:cs="Arial"/>
          <w:sz w:val="30"/>
          <w:szCs w:val="30"/>
        </w:rPr>
        <w:t>еспубликанское государственное предприятие на праве хозяйственного ведения</w:t>
      </w:r>
      <w:r w:rsidRPr="00860331">
        <w:rPr>
          <w:rFonts w:ascii="Calibri" w:hAnsi="Calibri" w:cs="Arial"/>
          <w:sz w:val="30"/>
          <w:szCs w:val="30"/>
        </w:rPr>
        <w:t xml:space="preserve"> «Казахстанский центр межбанковских расчетов Национального Банка Республики Казахстан»</w:t>
      </w:r>
      <w:r w:rsidR="00731D01" w:rsidRPr="00860331">
        <w:rPr>
          <w:rFonts w:ascii="Calibri" w:hAnsi="Calibri" w:cs="Arial"/>
          <w:sz w:val="30"/>
          <w:szCs w:val="30"/>
        </w:rPr>
        <w:t xml:space="preserve"> (</w:t>
      </w:r>
      <w:r w:rsidR="00DF4304" w:rsidRPr="00860331">
        <w:rPr>
          <w:rFonts w:ascii="Calibri" w:hAnsi="Calibri" w:cs="Arial"/>
          <w:sz w:val="30"/>
          <w:szCs w:val="30"/>
        </w:rPr>
        <w:t xml:space="preserve">далее - </w:t>
      </w:r>
      <w:r w:rsidR="00731D01" w:rsidRPr="00860331">
        <w:rPr>
          <w:rFonts w:ascii="Calibri" w:hAnsi="Calibri" w:cs="Arial"/>
          <w:sz w:val="30"/>
          <w:szCs w:val="30"/>
        </w:rPr>
        <w:t>КЦМР)</w:t>
      </w:r>
      <w:r w:rsidRPr="00860331">
        <w:rPr>
          <w:rFonts w:ascii="Calibri" w:hAnsi="Calibri" w:cs="Arial"/>
          <w:sz w:val="30"/>
          <w:szCs w:val="30"/>
        </w:rPr>
        <w:t>, дочерняя организация Национального Банка</w:t>
      </w:r>
      <w:r w:rsidR="00DF4304" w:rsidRPr="00860331">
        <w:rPr>
          <w:rFonts w:ascii="Calibri" w:hAnsi="Calibri" w:cs="Arial"/>
          <w:sz w:val="30"/>
          <w:szCs w:val="30"/>
        </w:rPr>
        <w:t xml:space="preserve"> Казахстана</w:t>
      </w:r>
      <w:r w:rsidRPr="00860331">
        <w:rPr>
          <w:rFonts w:ascii="Calibri" w:hAnsi="Calibri" w:cs="Arial"/>
          <w:sz w:val="30"/>
          <w:szCs w:val="30"/>
        </w:rPr>
        <w:t>.</w:t>
      </w:r>
      <w:r w:rsidRPr="00F224A0">
        <w:rPr>
          <w:rFonts w:ascii="Calibri" w:hAnsi="Calibri" w:cs="Arial"/>
          <w:sz w:val="30"/>
          <w:szCs w:val="30"/>
        </w:rPr>
        <w:t xml:space="preserve"> </w:t>
      </w:r>
    </w:p>
    <w:p w:rsidR="00FB4CF4" w:rsidRDefault="00FB4CF4" w:rsidP="00F224A0">
      <w:pPr>
        <w:autoSpaceDE w:val="0"/>
        <w:autoSpaceDN w:val="0"/>
        <w:adjustRightInd w:val="0"/>
        <w:ind w:firstLine="709"/>
        <w:jc w:val="both"/>
        <w:rPr>
          <w:rFonts w:ascii="Calibri" w:hAnsi="Calibri" w:cs="Arial"/>
          <w:sz w:val="30"/>
          <w:szCs w:val="30"/>
        </w:rPr>
      </w:pPr>
    </w:p>
    <w:tbl>
      <w:tblPr>
        <w:tblStyle w:val="a3"/>
        <w:tblW w:w="0" w:type="auto"/>
        <w:shd w:val="clear" w:color="auto" w:fill="E0E0E0"/>
        <w:tblLook w:val="01E0" w:firstRow="1" w:lastRow="1" w:firstColumn="1" w:lastColumn="1" w:noHBand="0" w:noVBand="0"/>
      </w:tblPr>
      <w:tblGrid>
        <w:gridCol w:w="9570"/>
      </w:tblGrid>
      <w:tr w:rsidR="005975A6" w:rsidTr="006F65CE">
        <w:tc>
          <w:tcPr>
            <w:tcW w:w="9570" w:type="dxa"/>
            <w:shd w:val="clear" w:color="auto" w:fill="E0E0E0"/>
          </w:tcPr>
          <w:p w:rsidR="006F65CE" w:rsidRPr="00860331" w:rsidRDefault="006F65CE" w:rsidP="006F65CE">
            <w:pPr>
              <w:autoSpaceDE w:val="0"/>
              <w:autoSpaceDN w:val="0"/>
              <w:adjustRightInd w:val="0"/>
              <w:jc w:val="center"/>
              <w:rPr>
                <w:rFonts w:ascii="Calibri" w:hAnsi="Calibri" w:cs="Arial"/>
                <w:b/>
              </w:rPr>
            </w:pPr>
            <w:r w:rsidRPr="00860331">
              <w:rPr>
                <w:rFonts w:ascii="Calibri" w:hAnsi="Calibri" w:cs="Arial"/>
                <w:b/>
              </w:rPr>
              <w:t xml:space="preserve">Справка </w:t>
            </w:r>
            <w:r w:rsidR="003E1657" w:rsidRPr="00860331">
              <w:rPr>
                <w:rFonts w:ascii="Calibri" w:hAnsi="Calibri" w:cs="Arial"/>
                <w:b/>
              </w:rPr>
              <w:t>1</w:t>
            </w:r>
            <w:r w:rsidRPr="00860331">
              <w:rPr>
                <w:rFonts w:ascii="Calibri" w:hAnsi="Calibri" w:cs="Arial"/>
                <w:b/>
              </w:rPr>
              <w:t xml:space="preserve"> – Информация о КЦМР</w:t>
            </w:r>
          </w:p>
          <w:p w:rsidR="006F65CE" w:rsidRPr="00860331" w:rsidRDefault="006F65CE" w:rsidP="006F65CE">
            <w:pPr>
              <w:autoSpaceDE w:val="0"/>
              <w:autoSpaceDN w:val="0"/>
              <w:adjustRightInd w:val="0"/>
              <w:jc w:val="center"/>
              <w:rPr>
                <w:rFonts w:ascii="Calibri" w:hAnsi="Calibri" w:cs="Arial"/>
                <w:b/>
                <w:sz w:val="6"/>
              </w:rPr>
            </w:pPr>
          </w:p>
          <w:p w:rsidR="00731D01" w:rsidRPr="00860331" w:rsidRDefault="00731D01" w:rsidP="00731D01">
            <w:pPr>
              <w:autoSpaceDE w:val="0"/>
              <w:autoSpaceDN w:val="0"/>
              <w:adjustRightInd w:val="0"/>
              <w:ind w:firstLine="709"/>
              <w:jc w:val="both"/>
              <w:rPr>
                <w:rFonts w:ascii="Calibri" w:hAnsi="Calibri" w:cs="Arial"/>
              </w:rPr>
            </w:pPr>
            <w:r w:rsidRPr="00860331">
              <w:rPr>
                <w:rFonts w:ascii="Calibri" w:hAnsi="Calibri" w:cs="Arial"/>
              </w:rPr>
              <w:t>КЦМР</w:t>
            </w:r>
            <w:r w:rsidR="006F65CE" w:rsidRPr="00860331">
              <w:rPr>
                <w:rFonts w:ascii="Calibri" w:hAnsi="Calibri" w:cs="Arial"/>
              </w:rPr>
              <w:t xml:space="preserve"> создан на основании решения Правления Национального Банка </w:t>
            </w:r>
            <w:r w:rsidR="0081653F" w:rsidRPr="00860331">
              <w:rPr>
                <w:rFonts w:ascii="Calibri" w:hAnsi="Calibri" w:cs="Arial"/>
              </w:rPr>
              <w:t>Казахстан</w:t>
            </w:r>
            <w:r w:rsidR="00842C3A" w:rsidRPr="00860331">
              <w:rPr>
                <w:rFonts w:ascii="Calibri" w:hAnsi="Calibri" w:cs="Arial"/>
              </w:rPr>
              <w:t>а</w:t>
            </w:r>
            <w:r w:rsidR="0081653F" w:rsidRPr="00860331">
              <w:rPr>
                <w:rFonts w:ascii="Calibri" w:hAnsi="Calibri" w:cs="Arial"/>
              </w:rPr>
              <w:t xml:space="preserve"> № 252 </w:t>
            </w:r>
            <w:r w:rsidR="006F65CE" w:rsidRPr="00860331">
              <w:rPr>
                <w:rFonts w:ascii="Calibri" w:hAnsi="Calibri" w:cs="Arial"/>
              </w:rPr>
              <w:t xml:space="preserve">от 30.12.1995 года в соответствии с Программой реформирования банковской системы Республики Казахстан. Учредителем и уполномоченным органом КЦМР является </w:t>
            </w:r>
            <w:r w:rsidR="00DF4304" w:rsidRPr="00860331">
              <w:rPr>
                <w:rFonts w:ascii="Calibri" w:hAnsi="Calibri" w:cs="Arial"/>
              </w:rPr>
              <w:t>Национальный Банк Казахстана</w:t>
            </w:r>
            <w:r w:rsidR="006F65CE" w:rsidRPr="00860331">
              <w:rPr>
                <w:rFonts w:ascii="Calibri" w:hAnsi="Calibri" w:cs="Arial"/>
              </w:rPr>
              <w:t xml:space="preserve">. </w:t>
            </w:r>
            <w:r w:rsidRPr="00860331">
              <w:rPr>
                <w:rFonts w:ascii="Calibri" w:hAnsi="Calibri" w:cs="Arial"/>
              </w:rPr>
              <w:t xml:space="preserve"> </w:t>
            </w:r>
          </w:p>
          <w:p w:rsidR="007A5ACD" w:rsidRPr="00860331" w:rsidRDefault="006F65CE" w:rsidP="00731D01">
            <w:pPr>
              <w:autoSpaceDE w:val="0"/>
              <w:autoSpaceDN w:val="0"/>
              <w:adjustRightInd w:val="0"/>
              <w:ind w:firstLine="709"/>
              <w:jc w:val="both"/>
              <w:rPr>
                <w:rFonts w:ascii="Tahoma" w:hAnsi="Tahoma" w:cs="Tahoma"/>
                <w:color w:val="333333"/>
                <w:sz w:val="16"/>
                <w:szCs w:val="16"/>
              </w:rPr>
            </w:pPr>
            <w:r w:rsidRPr="00860331">
              <w:rPr>
                <w:rFonts w:ascii="Calibri" w:hAnsi="Calibri" w:cs="Arial"/>
              </w:rPr>
              <w:t>КЦМР является самостоятельным хозяйствующим субъектом</w:t>
            </w:r>
            <w:r w:rsidR="005975A6" w:rsidRPr="00860331">
              <w:rPr>
                <w:rFonts w:ascii="Calibri" w:hAnsi="Calibri" w:cs="Arial"/>
              </w:rPr>
              <w:t xml:space="preserve"> и входит в структуру Национального Банка Казахстан</w:t>
            </w:r>
            <w:r w:rsidR="00DF4304" w:rsidRPr="00860331">
              <w:rPr>
                <w:rFonts w:ascii="Calibri" w:hAnsi="Calibri" w:cs="Arial"/>
              </w:rPr>
              <w:t>а</w:t>
            </w:r>
            <w:r w:rsidR="005975A6" w:rsidRPr="00860331">
              <w:rPr>
                <w:rFonts w:ascii="Calibri" w:hAnsi="Calibri" w:cs="Arial"/>
              </w:rPr>
              <w:t xml:space="preserve">. </w:t>
            </w:r>
            <w:r w:rsidR="007A5ACD" w:rsidRPr="00860331">
              <w:rPr>
                <w:rFonts w:ascii="Calibri" w:hAnsi="Calibri" w:cs="Arial"/>
              </w:rPr>
              <w:t>Основной деятельностью КЦМР является проведение межбанковских платежей</w:t>
            </w:r>
            <w:r w:rsidR="00DF4304" w:rsidRPr="00860331">
              <w:rPr>
                <w:rFonts w:ascii="Calibri" w:hAnsi="Calibri" w:cs="Arial"/>
              </w:rPr>
              <w:t xml:space="preserve"> и переводов денег через МСПД, СМК и техническое обеспечение функционирования платежных систем</w:t>
            </w:r>
            <w:r w:rsidR="007A5ACD" w:rsidRPr="00860331">
              <w:rPr>
                <w:rFonts w:ascii="Calibri" w:hAnsi="Calibri" w:cs="Arial"/>
              </w:rPr>
              <w:t>.</w:t>
            </w:r>
          </w:p>
          <w:p w:rsidR="006F65CE" w:rsidRPr="0081653F" w:rsidRDefault="006F65CE" w:rsidP="00731D01">
            <w:pPr>
              <w:autoSpaceDE w:val="0"/>
              <w:autoSpaceDN w:val="0"/>
              <w:adjustRightInd w:val="0"/>
              <w:ind w:firstLine="709"/>
              <w:jc w:val="both"/>
              <w:rPr>
                <w:rFonts w:ascii="Calibri" w:hAnsi="Calibri" w:cs="Arial"/>
              </w:rPr>
            </w:pPr>
            <w:r w:rsidRPr="00860331">
              <w:rPr>
                <w:rFonts w:ascii="Calibri" w:hAnsi="Calibri" w:cs="Arial"/>
              </w:rPr>
              <w:t xml:space="preserve">Сведения по основным видам деятельности и структуре КЦМР представлены на сайте КЦМР </w:t>
            </w:r>
            <w:hyperlink r:id="rId11" w:history="1">
              <w:r w:rsidRPr="00860331">
                <w:rPr>
                  <w:rFonts w:ascii="Calibri" w:hAnsi="Calibri" w:cs="Arial"/>
                </w:rPr>
                <w:t>www.kisc.kz</w:t>
              </w:r>
            </w:hyperlink>
            <w:r w:rsidRPr="00860331">
              <w:rPr>
                <w:rFonts w:ascii="Calibri" w:hAnsi="Calibri" w:cs="Arial"/>
              </w:rPr>
              <w:t>.</w:t>
            </w:r>
          </w:p>
          <w:p w:rsidR="00731D01" w:rsidRPr="00731D01" w:rsidRDefault="00731D01" w:rsidP="009A0CF5">
            <w:pPr>
              <w:autoSpaceDE w:val="0"/>
              <w:autoSpaceDN w:val="0"/>
              <w:adjustRightInd w:val="0"/>
              <w:ind w:firstLine="709"/>
              <w:jc w:val="both"/>
              <w:rPr>
                <w:rFonts w:ascii="Calibri" w:hAnsi="Calibri" w:cs="Arial"/>
              </w:rPr>
            </w:pPr>
            <w:proofErr w:type="gramStart"/>
            <w:r w:rsidRPr="00860331">
              <w:rPr>
                <w:rFonts w:ascii="Calibri" w:hAnsi="Calibri" w:cs="Arial"/>
              </w:rPr>
              <w:lastRenderedPageBreak/>
              <w:t>В соответствии с Правилами функционирования МСПД, утвержденными постановлением Правления Национального Банка Казахстан</w:t>
            </w:r>
            <w:r w:rsidR="009A0CF5" w:rsidRPr="00860331">
              <w:rPr>
                <w:rFonts w:ascii="Calibri" w:hAnsi="Calibri" w:cs="Arial"/>
              </w:rPr>
              <w:t>а</w:t>
            </w:r>
            <w:r w:rsidRPr="00860331">
              <w:rPr>
                <w:rFonts w:ascii="Calibri" w:hAnsi="Calibri" w:cs="Arial"/>
              </w:rPr>
              <w:t xml:space="preserve"> от 31 августа 2016 года</w:t>
            </w:r>
            <w:r w:rsidR="009A0CF5" w:rsidRPr="00860331">
              <w:rPr>
                <w:rFonts w:ascii="Calibri" w:hAnsi="Calibri" w:cs="Arial"/>
              </w:rPr>
              <w:t xml:space="preserve"> </w:t>
            </w:r>
            <w:r w:rsidR="009A0CF5" w:rsidRPr="00860331">
              <w:rPr>
                <w:rFonts w:ascii="Calibri" w:hAnsi="Calibri" w:cs="Arial"/>
              </w:rPr>
              <w:br/>
            </w:r>
            <w:r w:rsidRPr="00860331">
              <w:rPr>
                <w:rFonts w:ascii="Calibri" w:hAnsi="Calibri" w:cs="Arial"/>
              </w:rPr>
              <w:t>№ 201, и Правилами функционирования СМК, утвержденными постановлением Правления Национального Банка</w:t>
            </w:r>
            <w:r w:rsidR="009A0CF5" w:rsidRPr="00860331">
              <w:rPr>
                <w:rFonts w:ascii="Calibri" w:hAnsi="Calibri" w:cs="Arial"/>
              </w:rPr>
              <w:t xml:space="preserve"> Казахстана </w:t>
            </w:r>
            <w:r w:rsidRPr="00860331">
              <w:rPr>
                <w:rFonts w:ascii="Calibri" w:hAnsi="Calibri" w:cs="Arial"/>
              </w:rPr>
              <w:t>от 31 августа 2016 года № 211, КЦМР  осуществляет функции по приему и обработке платежных сообщений и осуществлению на их основе переводов денег с позиции участника-отправителя денег н</w:t>
            </w:r>
            <w:r w:rsidR="009A0CF5" w:rsidRPr="00860331">
              <w:rPr>
                <w:rFonts w:ascii="Calibri" w:hAnsi="Calibri" w:cs="Arial"/>
              </w:rPr>
              <w:t>а позицию участника-бенефициара, а также по</w:t>
            </w:r>
            <w:proofErr w:type="gramEnd"/>
            <w:r w:rsidR="009A0CF5" w:rsidRPr="00860331">
              <w:rPr>
                <w:rFonts w:ascii="Calibri" w:hAnsi="Calibri" w:cs="Arial"/>
              </w:rPr>
              <w:t xml:space="preserve"> </w:t>
            </w:r>
            <w:r w:rsidRPr="00860331">
              <w:rPr>
                <w:rFonts w:ascii="Calibri" w:hAnsi="Calibri" w:cs="Arial"/>
              </w:rPr>
              <w:t>приему, обработке и направлению участникам информационных соо</w:t>
            </w:r>
            <w:r w:rsidR="009A0CF5" w:rsidRPr="00860331">
              <w:rPr>
                <w:rFonts w:ascii="Calibri" w:hAnsi="Calibri" w:cs="Arial"/>
              </w:rPr>
              <w:t xml:space="preserve">бщений по совершенным операциям и </w:t>
            </w:r>
            <w:r w:rsidRPr="00860331">
              <w:rPr>
                <w:rFonts w:ascii="Calibri" w:hAnsi="Calibri" w:cs="Arial"/>
              </w:rPr>
              <w:t>выполнению иных операционных и технологических функций в обес</w:t>
            </w:r>
            <w:r w:rsidR="009A0CF5" w:rsidRPr="00860331">
              <w:rPr>
                <w:rFonts w:ascii="Calibri" w:hAnsi="Calibri" w:cs="Arial"/>
              </w:rPr>
              <w:t>печение функционирования платежных систем</w:t>
            </w:r>
            <w:r w:rsidRPr="00860331">
              <w:rPr>
                <w:rFonts w:ascii="Calibri" w:hAnsi="Calibri" w:cs="Arial"/>
              </w:rPr>
              <w:t xml:space="preserve">, определенных </w:t>
            </w:r>
            <w:bookmarkStart w:id="12" w:name="sub1005304858"/>
            <w:r w:rsidRPr="00860331">
              <w:rPr>
                <w:rFonts w:ascii="Calibri" w:hAnsi="Calibri" w:cs="Arial"/>
              </w:rPr>
              <w:fldChar w:fldCharType="begin"/>
            </w:r>
            <w:r w:rsidRPr="00860331">
              <w:rPr>
                <w:rFonts w:ascii="Calibri" w:hAnsi="Calibri" w:cs="Arial"/>
              </w:rPr>
              <w:instrText xml:space="preserve"> HYPERLINK "jl:38213728.80000%20" </w:instrText>
            </w:r>
            <w:r w:rsidRPr="00860331">
              <w:rPr>
                <w:rFonts w:ascii="Calibri" w:hAnsi="Calibri" w:cs="Arial"/>
              </w:rPr>
              <w:fldChar w:fldCharType="separate"/>
            </w:r>
            <w:r w:rsidRPr="00860331">
              <w:rPr>
                <w:rFonts w:ascii="Calibri" w:hAnsi="Calibri" w:cs="Arial"/>
              </w:rPr>
              <w:t>статьей 8</w:t>
            </w:r>
            <w:r w:rsidRPr="00860331">
              <w:rPr>
                <w:rFonts w:ascii="Calibri" w:hAnsi="Calibri" w:cs="Arial"/>
              </w:rPr>
              <w:fldChar w:fldCharType="end"/>
            </w:r>
            <w:bookmarkEnd w:id="12"/>
            <w:r w:rsidRPr="00860331">
              <w:rPr>
                <w:rFonts w:ascii="Calibri" w:hAnsi="Calibri" w:cs="Arial"/>
              </w:rPr>
              <w:t xml:space="preserve"> Закона </w:t>
            </w:r>
            <w:r w:rsidR="0081653F" w:rsidRPr="00860331">
              <w:rPr>
                <w:rFonts w:ascii="Calibri" w:hAnsi="Calibri" w:cs="Arial"/>
              </w:rPr>
              <w:t>Р</w:t>
            </w:r>
            <w:r w:rsidR="009A0CF5" w:rsidRPr="00860331">
              <w:rPr>
                <w:rFonts w:ascii="Calibri" w:hAnsi="Calibri" w:cs="Arial"/>
              </w:rPr>
              <w:t>еспублики Казахстан</w:t>
            </w:r>
            <w:r w:rsidR="0081653F" w:rsidRPr="00860331">
              <w:rPr>
                <w:rFonts w:ascii="Calibri" w:hAnsi="Calibri" w:cs="Arial"/>
              </w:rPr>
              <w:t xml:space="preserve"> «О</w:t>
            </w:r>
            <w:r w:rsidRPr="00860331">
              <w:rPr>
                <w:rFonts w:ascii="Calibri" w:hAnsi="Calibri" w:cs="Arial"/>
              </w:rPr>
              <w:t xml:space="preserve"> платежах и платежных системах</w:t>
            </w:r>
            <w:r w:rsidR="0081653F" w:rsidRPr="00860331">
              <w:rPr>
                <w:rFonts w:ascii="Calibri" w:hAnsi="Calibri" w:cs="Arial"/>
              </w:rPr>
              <w:t>»</w:t>
            </w:r>
            <w:r w:rsidRPr="00860331">
              <w:rPr>
                <w:rFonts w:ascii="Calibri" w:hAnsi="Calibri" w:cs="Arial"/>
              </w:rPr>
              <w:t>.</w:t>
            </w:r>
          </w:p>
          <w:p w:rsidR="005528B2" w:rsidRPr="00610467" w:rsidRDefault="005528B2" w:rsidP="00F224A0">
            <w:pPr>
              <w:autoSpaceDE w:val="0"/>
              <w:autoSpaceDN w:val="0"/>
              <w:adjustRightInd w:val="0"/>
              <w:jc w:val="both"/>
              <w:rPr>
                <w:rFonts w:ascii="Calibri" w:hAnsi="Calibri" w:cs="Arial"/>
                <w:sz w:val="10"/>
                <w:szCs w:val="30"/>
              </w:rPr>
            </w:pPr>
          </w:p>
        </w:tc>
      </w:tr>
    </w:tbl>
    <w:p w:rsidR="006F65CE" w:rsidRPr="0082483E" w:rsidRDefault="006F65CE" w:rsidP="00610467">
      <w:pPr>
        <w:autoSpaceDE w:val="0"/>
        <w:autoSpaceDN w:val="0"/>
        <w:adjustRightInd w:val="0"/>
        <w:ind w:firstLine="709"/>
        <w:jc w:val="both"/>
        <w:rPr>
          <w:rFonts w:ascii="Calibri" w:hAnsi="Calibri" w:cs="Arial"/>
          <w:sz w:val="30"/>
          <w:szCs w:val="30"/>
        </w:rPr>
      </w:pPr>
    </w:p>
    <w:p w:rsidR="0097371C" w:rsidRPr="00015E28" w:rsidRDefault="00A30B7D" w:rsidP="00610467">
      <w:pPr>
        <w:pStyle w:val="1"/>
        <w:widowControl w:val="0"/>
        <w:pBdr>
          <w:bottom w:val="single" w:sz="12" w:space="1" w:color="auto"/>
        </w:pBdr>
        <w:tabs>
          <w:tab w:val="left" w:pos="561"/>
        </w:tabs>
        <w:spacing w:before="0" w:after="0"/>
        <w:rPr>
          <w:rFonts w:ascii="Calibri" w:hAnsi="Calibri"/>
          <w:bCs w:val="0"/>
          <w:snapToGrid w:val="0"/>
          <w:color w:val="0E4C28"/>
          <w:spacing w:val="-2"/>
          <w:kern w:val="0"/>
        </w:rPr>
      </w:pPr>
      <w:bookmarkStart w:id="13" w:name="_Toc481418194"/>
      <w:r>
        <w:rPr>
          <w:rFonts w:ascii="Calibri" w:hAnsi="Calibri"/>
          <w:bCs w:val="0"/>
          <w:snapToGrid w:val="0"/>
          <w:color w:val="0E4C28"/>
          <w:spacing w:val="-2"/>
          <w:kern w:val="0"/>
        </w:rPr>
        <w:t>1</w:t>
      </w:r>
      <w:r w:rsidR="0097371C" w:rsidRPr="00015E28">
        <w:rPr>
          <w:rFonts w:ascii="Calibri" w:hAnsi="Calibri"/>
          <w:bCs w:val="0"/>
          <w:snapToGrid w:val="0"/>
          <w:color w:val="0E4C28"/>
          <w:spacing w:val="-2"/>
          <w:kern w:val="0"/>
        </w:rPr>
        <w:t>.</w:t>
      </w:r>
      <w:r w:rsidR="00EA53E0">
        <w:rPr>
          <w:rFonts w:ascii="Calibri" w:hAnsi="Calibri"/>
          <w:bCs w:val="0"/>
          <w:snapToGrid w:val="0"/>
          <w:color w:val="0E4C28"/>
          <w:spacing w:val="-2"/>
          <w:kern w:val="0"/>
        </w:rPr>
        <w:t>1</w:t>
      </w:r>
      <w:r w:rsidR="0097371C" w:rsidRPr="00015E28">
        <w:rPr>
          <w:rFonts w:ascii="Calibri" w:hAnsi="Calibri"/>
          <w:bCs w:val="0"/>
          <w:snapToGrid w:val="0"/>
          <w:color w:val="0E4C28"/>
          <w:spacing w:val="-2"/>
          <w:kern w:val="0"/>
        </w:rPr>
        <w:t xml:space="preserve">. </w:t>
      </w:r>
      <w:r w:rsidR="0097371C">
        <w:rPr>
          <w:rFonts w:ascii="Calibri" w:hAnsi="Calibri"/>
          <w:bCs w:val="0"/>
          <w:snapToGrid w:val="0"/>
          <w:color w:val="0E4C28"/>
          <w:spacing w:val="-2"/>
          <w:kern w:val="0"/>
        </w:rPr>
        <w:t xml:space="preserve">Краткое описание </w:t>
      </w:r>
      <w:r w:rsidR="00FB4CF4">
        <w:rPr>
          <w:rFonts w:ascii="Calibri" w:hAnsi="Calibri"/>
          <w:bCs w:val="0"/>
          <w:snapToGrid w:val="0"/>
          <w:color w:val="0E4C28"/>
          <w:spacing w:val="-2"/>
          <w:kern w:val="0"/>
        </w:rPr>
        <w:t xml:space="preserve"> платежных систем</w:t>
      </w:r>
      <w:bookmarkEnd w:id="13"/>
    </w:p>
    <w:p w:rsidR="007A5ACD" w:rsidRPr="00860331" w:rsidRDefault="0015759F" w:rsidP="00610467">
      <w:pPr>
        <w:autoSpaceDE w:val="0"/>
        <w:autoSpaceDN w:val="0"/>
        <w:adjustRightInd w:val="0"/>
        <w:ind w:firstLine="709"/>
        <w:jc w:val="both"/>
        <w:rPr>
          <w:rFonts w:ascii="Calibri" w:hAnsi="Calibri" w:cs="Arial"/>
          <w:sz w:val="30"/>
          <w:szCs w:val="30"/>
        </w:rPr>
      </w:pPr>
      <w:r w:rsidRPr="00860331">
        <w:rPr>
          <w:rFonts w:ascii="Calibri" w:hAnsi="Calibri" w:cs="Arial"/>
          <w:b/>
          <w:sz w:val="30"/>
          <w:szCs w:val="30"/>
        </w:rPr>
        <w:t>В МСПД расчет платежей осуществляется в режиме реального времени, т.е. каждый платежный документ после поступления в систему рассчитывается сразу в течение нескольких секунд</w:t>
      </w:r>
      <w:r w:rsidRPr="00860331">
        <w:rPr>
          <w:rFonts w:ascii="Calibri" w:hAnsi="Calibri" w:cs="Arial"/>
          <w:sz w:val="30"/>
          <w:szCs w:val="30"/>
        </w:rPr>
        <w:t xml:space="preserve">. </w:t>
      </w:r>
    </w:p>
    <w:p w:rsidR="0015759F" w:rsidRDefault="007A5ACD" w:rsidP="00610467">
      <w:pPr>
        <w:autoSpaceDE w:val="0"/>
        <w:autoSpaceDN w:val="0"/>
        <w:adjustRightInd w:val="0"/>
        <w:ind w:firstLine="709"/>
        <w:jc w:val="both"/>
        <w:rPr>
          <w:rFonts w:ascii="Calibri" w:hAnsi="Calibri" w:cs="Arial"/>
          <w:sz w:val="30"/>
          <w:szCs w:val="30"/>
        </w:rPr>
      </w:pPr>
      <w:r w:rsidRPr="00860331">
        <w:rPr>
          <w:rFonts w:ascii="Calibri" w:hAnsi="Calibri" w:cs="Arial"/>
          <w:b/>
          <w:noProof/>
          <w:sz w:val="30"/>
          <w:szCs w:val="30"/>
        </w:rPr>
        <mc:AlternateContent>
          <mc:Choice Requires="wps">
            <w:drawing>
              <wp:anchor distT="0" distB="0" distL="114300" distR="114300" simplePos="0" relativeHeight="251658240" behindDoc="0" locked="0" layoutInCell="1" allowOverlap="1" wp14:anchorId="3C6B0407" wp14:editId="708652E3">
                <wp:simplePos x="0" y="0"/>
                <wp:positionH relativeFrom="column">
                  <wp:posOffset>2628265</wp:posOffset>
                </wp:positionH>
                <wp:positionV relativeFrom="paragraph">
                  <wp:posOffset>60325</wp:posOffset>
                </wp:positionV>
                <wp:extent cx="3314700" cy="1897380"/>
                <wp:effectExtent l="0" t="0" r="38100" b="64770"/>
                <wp:wrapSquare wrapText="bothSides"/>
                <wp:docPr id="66"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89738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A3494E"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расчет в режиме реального времени</w:t>
                            </w:r>
                            <w:r w:rsidRPr="00F224A0">
                              <w:rPr>
                                <w:rFonts w:ascii="Calibri" w:hAnsi="Calibri" w:cs="Arial"/>
                                <w:sz w:val="30"/>
                                <w:szCs w:val="30"/>
                              </w:rPr>
                              <w:t>;</w:t>
                            </w:r>
                          </w:p>
                          <w:p w:rsidR="00A3494E" w:rsidRPr="00F224A0"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индивидуальная обработка каждого платежа;</w:t>
                            </w:r>
                          </w:p>
                          <w:p w:rsidR="00A3494E" w:rsidRPr="00F224A0"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 xml:space="preserve">принцип </w:t>
                            </w:r>
                            <w:r>
                              <w:rPr>
                                <w:rFonts w:ascii="Calibri" w:hAnsi="Calibri" w:cs="Arial"/>
                                <w:sz w:val="30"/>
                                <w:szCs w:val="30"/>
                                <w:lang w:val="en-US"/>
                              </w:rPr>
                              <w:t>FIFO</w:t>
                            </w:r>
                            <w:r w:rsidRPr="00F224A0">
                              <w:rPr>
                                <w:rFonts w:ascii="Calibri" w:hAnsi="Calibri" w:cs="Arial"/>
                                <w:sz w:val="30"/>
                                <w:szCs w:val="30"/>
                              </w:rPr>
                              <w:t>;</w:t>
                            </w:r>
                          </w:p>
                          <w:p w:rsidR="00A3494E" w:rsidRPr="00DF43AB"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высокоприоритетные и срочные платежи финансового сектора.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28" style="position:absolute;left:0;text-align:left;margin-left:206.95pt;margin-top:4.75pt;width:261pt;height:14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" fillcolor="#cf9" strokecolor="#cf9" strokeweight="1pt">
                <v:shadow on="t" color="#205867" opacity=".5" offset="1pt"/>
                <v:textbox>
                  <w:txbxContent>
                    <w:p w:rsidR="00A3494E"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расчет в режиме реального времени</w:t>
                      </w:r>
                      <w:r w:rsidRPr="00F224A0">
                        <w:rPr>
                          <w:rFonts w:ascii="Calibri" w:hAnsi="Calibri" w:cs="Arial"/>
                          <w:sz w:val="30"/>
                          <w:szCs w:val="30"/>
                        </w:rPr>
                        <w:t>;</w:t>
                      </w:r>
                    </w:p>
                    <w:p w:rsidR="00A3494E" w:rsidRPr="00F224A0"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индивидуальная обработка каждого платежа;</w:t>
                      </w:r>
                    </w:p>
                    <w:p w:rsidR="00A3494E" w:rsidRPr="00F224A0"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 xml:space="preserve">принцип </w:t>
                      </w:r>
                      <w:r>
                        <w:rPr>
                          <w:rFonts w:ascii="Calibri" w:hAnsi="Calibri" w:cs="Arial"/>
                          <w:sz w:val="30"/>
                          <w:szCs w:val="30"/>
                          <w:lang w:val="en-US"/>
                        </w:rPr>
                        <w:t>FIFO</w:t>
                      </w:r>
                      <w:r w:rsidRPr="00F224A0">
                        <w:rPr>
                          <w:rFonts w:ascii="Calibri" w:hAnsi="Calibri" w:cs="Arial"/>
                          <w:sz w:val="30"/>
                          <w:szCs w:val="30"/>
                        </w:rPr>
                        <w:t>;</w:t>
                      </w:r>
                    </w:p>
                    <w:p w:rsidR="00A3494E" w:rsidRPr="00DF43AB"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высокоприоритетные и срочные платежи финансового сектора.</w:t>
                      </w:r>
                    </w:p>
                  </w:txbxContent>
                </v:textbox>
                <w10:wrap type="square"/>
              </v:roundrect>
            </w:pict>
          </mc:Fallback>
        </mc:AlternateContent>
      </w:r>
      <w:r w:rsidRPr="00860331">
        <w:rPr>
          <w:rFonts w:ascii="Calibri" w:hAnsi="Calibri" w:cs="Arial"/>
          <w:sz w:val="30"/>
          <w:szCs w:val="30"/>
        </w:rPr>
        <w:t>С</w:t>
      </w:r>
      <w:r w:rsidR="0015759F" w:rsidRPr="00860331">
        <w:rPr>
          <w:rFonts w:ascii="Calibri" w:hAnsi="Calibri" w:cs="Arial"/>
          <w:sz w:val="30"/>
          <w:szCs w:val="30"/>
        </w:rPr>
        <w:t>истема функционирует все дни недели за исключением праздничных и выходных дней. Операционный  де</w:t>
      </w:r>
      <w:r w:rsidR="0015759F" w:rsidRPr="0015759F">
        <w:rPr>
          <w:rFonts w:ascii="Calibri" w:hAnsi="Calibri" w:cs="Arial"/>
          <w:sz w:val="30"/>
          <w:szCs w:val="30"/>
        </w:rPr>
        <w:t xml:space="preserve">нь МСПД </w:t>
      </w:r>
      <w:r w:rsidR="0015759F">
        <w:rPr>
          <w:rFonts w:ascii="Calibri" w:hAnsi="Calibri" w:cs="Arial"/>
          <w:sz w:val="30"/>
          <w:szCs w:val="30"/>
        </w:rPr>
        <w:t xml:space="preserve">с </w:t>
      </w:r>
      <w:r w:rsidR="0015759F" w:rsidRPr="0015759F">
        <w:rPr>
          <w:rFonts w:ascii="Calibri" w:hAnsi="Calibri" w:cs="Arial"/>
          <w:sz w:val="30"/>
          <w:szCs w:val="30"/>
        </w:rPr>
        <w:t>9:00 часов</w:t>
      </w:r>
      <w:r w:rsidR="0015759F">
        <w:rPr>
          <w:rFonts w:ascii="Calibri" w:hAnsi="Calibri" w:cs="Arial"/>
          <w:sz w:val="30"/>
          <w:szCs w:val="30"/>
        </w:rPr>
        <w:t xml:space="preserve"> до 19:00 часов</w:t>
      </w:r>
      <w:r w:rsidR="0015759F" w:rsidRPr="0015759F">
        <w:rPr>
          <w:rFonts w:ascii="Calibri" w:hAnsi="Calibri" w:cs="Arial"/>
          <w:sz w:val="30"/>
          <w:szCs w:val="30"/>
        </w:rPr>
        <w:t xml:space="preserve">. </w:t>
      </w:r>
      <w:r w:rsidR="0015759F">
        <w:rPr>
          <w:rFonts w:ascii="Calibri" w:hAnsi="Calibri" w:cs="Arial"/>
          <w:sz w:val="30"/>
          <w:szCs w:val="30"/>
        </w:rPr>
        <w:t xml:space="preserve"> При необходимости, операционный день МСПД может быть продлен на основании заявки </w:t>
      </w:r>
      <w:r w:rsidR="0081653F">
        <w:rPr>
          <w:rFonts w:ascii="Calibri" w:hAnsi="Calibri" w:cs="Arial"/>
          <w:sz w:val="30"/>
          <w:szCs w:val="30"/>
        </w:rPr>
        <w:t>участника системы</w:t>
      </w:r>
      <w:r w:rsidR="0015759F">
        <w:rPr>
          <w:rFonts w:ascii="Calibri" w:hAnsi="Calibri" w:cs="Arial"/>
          <w:sz w:val="30"/>
          <w:szCs w:val="30"/>
        </w:rPr>
        <w:t xml:space="preserve">. </w:t>
      </w:r>
    </w:p>
    <w:p w:rsidR="008B106E" w:rsidRPr="00860331" w:rsidRDefault="0015759F" w:rsidP="00610467">
      <w:pPr>
        <w:autoSpaceDE w:val="0"/>
        <w:autoSpaceDN w:val="0"/>
        <w:adjustRightInd w:val="0"/>
        <w:ind w:firstLine="709"/>
        <w:jc w:val="both"/>
        <w:rPr>
          <w:rFonts w:ascii="Calibri" w:hAnsi="Calibri" w:cs="Arial"/>
          <w:sz w:val="30"/>
          <w:szCs w:val="30"/>
        </w:rPr>
      </w:pPr>
      <w:r w:rsidRPr="00860331">
        <w:rPr>
          <w:rFonts w:ascii="Calibri" w:hAnsi="Calibri" w:cs="Arial"/>
          <w:sz w:val="30"/>
          <w:szCs w:val="30"/>
        </w:rPr>
        <w:t>Перед началом операционного дня</w:t>
      </w:r>
      <w:r w:rsidR="008B106E" w:rsidRPr="00860331">
        <w:rPr>
          <w:rFonts w:ascii="Calibri" w:hAnsi="Calibri" w:cs="Arial"/>
          <w:sz w:val="30"/>
          <w:szCs w:val="30"/>
        </w:rPr>
        <w:t xml:space="preserve"> МСПД</w:t>
      </w:r>
      <w:r w:rsidRPr="00860331">
        <w:rPr>
          <w:rFonts w:ascii="Calibri" w:hAnsi="Calibri" w:cs="Arial"/>
          <w:sz w:val="30"/>
          <w:szCs w:val="30"/>
        </w:rPr>
        <w:t xml:space="preserve"> осуществляется перевод денег с корреспондентских  счетов участников платежной системы, открытых в Национальном Банке</w:t>
      </w:r>
      <w:r w:rsidR="0081653F" w:rsidRPr="00860331">
        <w:rPr>
          <w:rFonts w:ascii="Calibri" w:hAnsi="Calibri" w:cs="Arial"/>
          <w:sz w:val="30"/>
          <w:szCs w:val="30"/>
        </w:rPr>
        <w:t xml:space="preserve"> Казахстан</w:t>
      </w:r>
      <w:r w:rsidR="00842C3A" w:rsidRPr="00860331">
        <w:rPr>
          <w:rFonts w:ascii="Calibri" w:hAnsi="Calibri" w:cs="Arial"/>
          <w:sz w:val="30"/>
          <w:szCs w:val="30"/>
        </w:rPr>
        <w:t>а</w:t>
      </w:r>
      <w:r w:rsidRPr="00860331">
        <w:rPr>
          <w:rFonts w:ascii="Calibri" w:hAnsi="Calibri" w:cs="Arial"/>
          <w:sz w:val="30"/>
          <w:szCs w:val="30"/>
        </w:rPr>
        <w:t xml:space="preserve">, на счет системы. Информация о сумме переведенных денег по каждому участнику доводится Национальным Банком </w:t>
      </w:r>
      <w:r w:rsidR="0081653F" w:rsidRPr="00860331">
        <w:rPr>
          <w:rFonts w:ascii="Calibri" w:hAnsi="Calibri" w:cs="Arial"/>
          <w:sz w:val="30"/>
          <w:szCs w:val="30"/>
        </w:rPr>
        <w:t>Казахстан</w:t>
      </w:r>
      <w:r w:rsidR="00842C3A" w:rsidRPr="00860331">
        <w:rPr>
          <w:rFonts w:ascii="Calibri" w:hAnsi="Calibri" w:cs="Arial"/>
          <w:sz w:val="30"/>
          <w:szCs w:val="30"/>
        </w:rPr>
        <w:t>а</w:t>
      </w:r>
      <w:r w:rsidR="0081653F" w:rsidRPr="00860331">
        <w:rPr>
          <w:rFonts w:ascii="Calibri" w:hAnsi="Calibri" w:cs="Arial"/>
          <w:sz w:val="30"/>
          <w:szCs w:val="30"/>
        </w:rPr>
        <w:t xml:space="preserve"> </w:t>
      </w:r>
      <w:r w:rsidRPr="00860331">
        <w:rPr>
          <w:rFonts w:ascii="Calibri" w:hAnsi="Calibri" w:cs="Arial"/>
          <w:sz w:val="30"/>
          <w:szCs w:val="30"/>
        </w:rPr>
        <w:t>до сведения КЦМР. На основании данной информации КЦМР производит отображение сумм со счета МСПД на позиции участников в КЦМР.  В течение операционного дня МСПД обеспечивает безотзывный и окончательный расчет платежных сообщений, направленных участниками, путем</w:t>
      </w:r>
      <w:r w:rsidR="0081653F" w:rsidRPr="00860331">
        <w:rPr>
          <w:rFonts w:ascii="Calibri" w:hAnsi="Calibri" w:cs="Arial"/>
          <w:sz w:val="30"/>
          <w:szCs w:val="30"/>
        </w:rPr>
        <w:t xml:space="preserve"> </w:t>
      </w:r>
      <w:proofErr w:type="spellStart"/>
      <w:r w:rsidR="0081653F" w:rsidRPr="00860331">
        <w:rPr>
          <w:rFonts w:ascii="Calibri" w:hAnsi="Calibri" w:cs="Arial"/>
          <w:sz w:val="30"/>
          <w:szCs w:val="30"/>
        </w:rPr>
        <w:t>дебетования</w:t>
      </w:r>
      <w:proofErr w:type="spellEnd"/>
      <w:r w:rsidR="0081653F" w:rsidRPr="00860331">
        <w:rPr>
          <w:rFonts w:ascii="Calibri" w:hAnsi="Calibri" w:cs="Arial"/>
          <w:sz w:val="30"/>
          <w:szCs w:val="30"/>
        </w:rPr>
        <w:t xml:space="preserve"> позиций участников-</w:t>
      </w:r>
      <w:r w:rsidRPr="00860331">
        <w:rPr>
          <w:rFonts w:ascii="Calibri" w:hAnsi="Calibri" w:cs="Arial"/>
          <w:sz w:val="30"/>
          <w:szCs w:val="30"/>
        </w:rPr>
        <w:t xml:space="preserve">отправителей денег.  В </w:t>
      </w:r>
      <w:proofErr w:type="gramStart"/>
      <w:r w:rsidRPr="00860331">
        <w:rPr>
          <w:rFonts w:ascii="Calibri" w:hAnsi="Calibri" w:cs="Arial"/>
          <w:sz w:val="30"/>
          <w:szCs w:val="30"/>
        </w:rPr>
        <w:t>случае</w:t>
      </w:r>
      <w:proofErr w:type="gramEnd"/>
      <w:r w:rsidRPr="00860331">
        <w:rPr>
          <w:rFonts w:ascii="Calibri" w:hAnsi="Calibri" w:cs="Arial"/>
          <w:sz w:val="30"/>
          <w:szCs w:val="30"/>
        </w:rPr>
        <w:t xml:space="preserve"> недостаточности денег для осуществления платежа, платежный документ становится в очередь. </w:t>
      </w:r>
      <w:r w:rsidR="0017507B" w:rsidRPr="00860331">
        <w:rPr>
          <w:rFonts w:ascii="Calibri" w:hAnsi="Calibri" w:cs="Arial"/>
          <w:sz w:val="30"/>
          <w:szCs w:val="30"/>
        </w:rPr>
        <w:t>И</w:t>
      </w:r>
      <w:r w:rsidR="0017507B">
        <w:rPr>
          <w:rFonts w:ascii="Calibri" w:hAnsi="Calibri" w:cs="Arial"/>
          <w:sz w:val="30"/>
          <w:szCs w:val="30"/>
        </w:rPr>
        <w:t xml:space="preserve">з очереди платежные документы обрабатываются по </w:t>
      </w:r>
      <w:r w:rsidRPr="0015759F">
        <w:rPr>
          <w:rFonts w:ascii="Calibri" w:hAnsi="Calibri" w:cs="Arial"/>
          <w:sz w:val="30"/>
          <w:szCs w:val="30"/>
        </w:rPr>
        <w:t xml:space="preserve">принципу FIFO (первый в приход, первый в расход). </w:t>
      </w:r>
      <w:r w:rsidR="008B106E">
        <w:rPr>
          <w:rFonts w:ascii="Calibri" w:hAnsi="Calibri" w:cs="Arial"/>
          <w:sz w:val="30"/>
          <w:szCs w:val="30"/>
        </w:rPr>
        <w:t>Участники</w:t>
      </w:r>
      <w:r w:rsidRPr="0015759F">
        <w:rPr>
          <w:rFonts w:ascii="Calibri" w:hAnsi="Calibri" w:cs="Arial"/>
          <w:sz w:val="30"/>
          <w:szCs w:val="30"/>
        </w:rPr>
        <w:t xml:space="preserve"> </w:t>
      </w:r>
      <w:r w:rsidR="0081653F">
        <w:rPr>
          <w:rFonts w:ascii="Calibri" w:hAnsi="Calibri" w:cs="Arial"/>
          <w:sz w:val="30"/>
          <w:szCs w:val="30"/>
        </w:rPr>
        <w:t xml:space="preserve">платежной </w:t>
      </w:r>
      <w:r w:rsidRPr="0015759F">
        <w:rPr>
          <w:rFonts w:ascii="Calibri" w:hAnsi="Calibri" w:cs="Arial"/>
          <w:sz w:val="30"/>
          <w:szCs w:val="30"/>
        </w:rPr>
        <w:t>системы вправе устанавливать и менять очередность исполнения платежных документов.</w:t>
      </w:r>
      <w:r>
        <w:rPr>
          <w:rFonts w:ascii="Calibri" w:hAnsi="Calibri" w:cs="Arial"/>
          <w:sz w:val="30"/>
          <w:szCs w:val="30"/>
        </w:rPr>
        <w:t xml:space="preserve"> При этом </w:t>
      </w:r>
      <w:r>
        <w:rPr>
          <w:rFonts w:ascii="Calibri" w:hAnsi="Calibri" w:cs="Arial"/>
          <w:sz w:val="30"/>
          <w:szCs w:val="30"/>
        </w:rPr>
        <w:lastRenderedPageBreak/>
        <w:t xml:space="preserve">предусмотрено изменение приоритетности платежного документа без </w:t>
      </w:r>
      <w:r w:rsidRPr="00860331">
        <w:rPr>
          <w:rFonts w:ascii="Calibri" w:hAnsi="Calibri" w:cs="Arial"/>
          <w:sz w:val="30"/>
          <w:szCs w:val="30"/>
        </w:rPr>
        <w:t xml:space="preserve">его отзыва из </w:t>
      </w:r>
      <w:r w:rsidR="008B106E" w:rsidRPr="00860331">
        <w:rPr>
          <w:rFonts w:ascii="Calibri" w:hAnsi="Calibri" w:cs="Arial"/>
          <w:sz w:val="30"/>
          <w:szCs w:val="30"/>
        </w:rPr>
        <w:t xml:space="preserve">платежной </w:t>
      </w:r>
      <w:r w:rsidRPr="00860331">
        <w:rPr>
          <w:rFonts w:ascii="Calibri" w:hAnsi="Calibri" w:cs="Arial"/>
          <w:sz w:val="30"/>
          <w:szCs w:val="30"/>
        </w:rPr>
        <w:t xml:space="preserve">системы. </w:t>
      </w:r>
      <w:r w:rsidR="008B106E" w:rsidRPr="00860331">
        <w:rPr>
          <w:rFonts w:ascii="Calibri" w:hAnsi="Calibri" w:cs="Arial"/>
          <w:sz w:val="30"/>
          <w:szCs w:val="30"/>
        </w:rPr>
        <w:t>Участники</w:t>
      </w:r>
      <w:r w:rsidRPr="00860331">
        <w:rPr>
          <w:rFonts w:ascii="Calibri" w:hAnsi="Calibri" w:cs="Arial"/>
          <w:sz w:val="30"/>
          <w:szCs w:val="30"/>
        </w:rPr>
        <w:t xml:space="preserve"> </w:t>
      </w:r>
      <w:r w:rsidR="0081653F" w:rsidRPr="00860331">
        <w:rPr>
          <w:rFonts w:ascii="Calibri" w:hAnsi="Calibri" w:cs="Arial"/>
          <w:sz w:val="30"/>
          <w:szCs w:val="30"/>
        </w:rPr>
        <w:t xml:space="preserve">платежной системы </w:t>
      </w:r>
      <w:r w:rsidRPr="00860331">
        <w:rPr>
          <w:rFonts w:ascii="Calibri" w:hAnsi="Calibri" w:cs="Arial"/>
          <w:sz w:val="30"/>
          <w:szCs w:val="30"/>
        </w:rPr>
        <w:t xml:space="preserve">могут отозвать платежный документ, находящийся в очереди. </w:t>
      </w:r>
    </w:p>
    <w:p w:rsidR="005975A6" w:rsidRPr="007E6EEA" w:rsidRDefault="00C52217" w:rsidP="00610467">
      <w:pPr>
        <w:autoSpaceDE w:val="0"/>
        <w:autoSpaceDN w:val="0"/>
        <w:adjustRightInd w:val="0"/>
        <w:ind w:firstLine="709"/>
        <w:jc w:val="both"/>
        <w:rPr>
          <w:rFonts w:ascii="Calibri" w:hAnsi="Calibri" w:cs="Arial"/>
          <w:sz w:val="30"/>
          <w:szCs w:val="30"/>
        </w:rPr>
      </w:pPr>
      <w:r w:rsidRPr="00860331">
        <w:rPr>
          <w:rFonts w:ascii="Calibri" w:hAnsi="Calibri" w:cs="Arial"/>
          <w:sz w:val="30"/>
          <w:szCs w:val="30"/>
        </w:rPr>
        <w:t xml:space="preserve">В </w:t>
      </w:r>
      <w:r w:rsidR="0017507B" w:rsidRPr="00860331">
        <w:rPr>
          <w:rFonts w:ascii="Calibri" w:hAnsi="Calibri" w:cs="Arial"/>
          <w:sz w:val="30"/>
          <w:szCs w:val="30"/>
        </w:rPr>
        <w:t>М</w:t>
      </w:r>
      <w:r w:rsidR="0015759F" w:rsidRPr="00860331">
        <w:rPr>
          <w:rFonts w:ascii="Calibri" w:hAnsi="Calibri" w:cs="Arial"/>
          <w:sz w:val="30"/>
          <w:szCs w:val="30"/>
        </w:rPr>
        <w:t xml:space="preserve">СПД также </w:t>
      </w:r>
      <w:r w:rsidR="0017507B" w:rsidRPr="00860331">
        <w:rPr>
          <w:rFonts w:ascii="Calibri" w:hAnsi="Calibri" w:cs="Arial"/>
          <w:sz w:val="30"/>
          <w:szCs w:val="30"/>
        </w:rPr>
        <w:t>обеспечивает</w:t>
      </w:r>
      <w:r w:rsidRPr="00860331">
        <w:rPr>
          <w:rFonts w:ascii="Calibri" w:hAnsi="Calibri" w:cs="Arial"/>
          <w:sz w:val="30"/>
          <w:szCs w:val="30"/>
        </w:rPr>
        <w:t>ся</w:t>
      </w:r>
      <w:r w:rsidR="0017507B" w:rsidRPr="00860331">
        <w:rPr>
          <w:rFonts w:ascii="Calibri" w:hAnsi="Calibri" w:cs="Arial"/>
          <w:sz w:val="30"/>
          <w:szCs w:val="30"/>
        </w:rPr>
        <w:t xml:space="preserve"> перевод денег по итогам клиринга в розничных платежных системах, к примеру, </w:t>
      </w:r>
      <w:r w:rsidR="008B106E" w:rsidRPr="00860331">
        <w:rPr>
          <w:rFonts w:ascii="Calibri" w:hAnsi="Calibri" w:cs="Arial"/>
          <w:sz w:val="30"/>
          <w:szCs w:val="30"/>
        </w:rPr>
        <w:t xml:space="preserve">расчет чистых позиций по результатам многостороннего клиринга </w:t>
      </w:r>
      <w:r w:rsidR="005975A6" w:rsidRPr="00860331">
        <w:rPr>
          <w:rFonts w:ascii="Calibri" w:hAnsi="Calibri" w:cs="Arial"/>
          <w:sz w:val="30"/>
          <w:szCs w:val="30"/>
        </w:rPr>
        <w:t>в СМК</w:t>
      </w:r>
      <w:r w:rsidR="009A0CF5" w:rsidRPr="00860331">
        <w:rPr>
          <w:rFonts w:ascii="Calibri" w:hAnsi="Calibri" w:cs="Arial"/>
          <w:sz w:val="30"/>
          <w:szCs w:val="30"/>
        </w:rPr>
        <w:t xml:space="preserve">, </w:t>
      </w:r>
      <w:proofErr w:type="spellStart"/>
      <w:r w:rsidR="000426FA" w:rsidRPr="00860331">
        <w:rPr>
          <w:rFonts w:ascii="Calibri" w:hAnsi="Calibri" w:cs="Arial"/>
          <w:sz w:val="30"/>
          <w:szCs w:val="30"/>
        </w:rPr>
        <w:t>внутристрановых</w:t>
      </w:r>
      <w:proofErr w:type="spellEnd"/>
      <w:r w:rsidR="000426FA" w:rsidRPr="00860331">
        <w:rPr>
          <w:rFonts w:ascii="Calibri" w:hAnsi="Calibri" w:cs="Arial"/>
          <w:sz w:val="30"/>
          <w:szCs w:val="30"/>
        </w:rPr>
        <w:t xml:space="preserve"> </w:t>
      </w:r>
      <w:r w:rsidR="0081653F" w:rsidRPr="00860331">
        <w:rPr>
          <w:rFonts w:ascii="Calibri" w:hAnsi="Calibri" w:cs="Arial"/>
          <w:sz w:val="30"/>
          <w:szCs w:val="30"/>
        </w:rPr>
        <w:t>межбанковских операций с использованием</w:t>
      </w:r>
      <w:r w:rsidR="005975A6" w:rsidRPr="00860331">
        <w:rPr>
          <w:rFonts w:ascii="Calibri" w:hAnsi="Calibri" w:cs="Arial"/>
          <w:sz w:val="30"/>
          <w:szCs w:val="30"/>
        </w:rPr>
        <w:t xml:space="preserve"> </w:t>
      </w:r>
      <w:r w:rsidR="0081653F" w:rsidRPr="00860331">
        <w:rPr>
          <w:rFonts w:ascii="Calibri" w:hAnsi="Calibri" w:cs="Arial"/>
          <w:sz w:val="30"/>
          <w:szCs w:val="30"/>
        </w:rPr>
        <w:t xml:space="preserve">платежных карточек </w:t>
      </w:r>
      <w:proofErr w:type="spellStart"/>
      <w:r w:rsidR="005975A6" w:rsidRPr="00860331">
        <w:rPr>
          <w:rFonts w:ascii="Calibri" w:hAnsi="Calibri" w:cs="Arial"/>
          <w:sz w:val="30"/>
          <w:szCs w:val="30"/>
        </w:rPr>
        <w:t>Visa</w:t>
      </w:r>
      <w:proofErr w:type="spellEnd"/>
      <w:r w:rsidR="005975A6" w:rsidRPr="00860331">
        <w:rPr>
          <w:rFonts w:ascii="Calibri" w:hAnsi="Calibri" w:cs="Arial"/>
          <w:sz w:val="30"/>
          <w:szCs w:val="30"/>
        </w:rPr>
        <w:t xml:space="preserve"> и </w:t>
      </w:r>
      <w:proofErr w:type="spellStart"/>
      <w:r w:rsidR="005975A6" w:rsidRPr="00860331">
        <w:rPr>
          <w:rFonts w:ascii="Calibri" w:hAnsi="Calibri" w:cs="Arial"/>
          <w:sz w:val="30"/>
          <w:szCs w:val="30"/>
        </w:rPr>
        <w:t>MasterCard</w:t>
      </w:r>
      <w:proofErr w:type="spellEnd"/>
      <w:r w:rsidR="009A0CF5" w:rsidRPr="00860331">
        <w:rPr>
          <w:rStyle w:val="a6"/>
          <w:rFonts w:ascii="Calibri" w:hAnsi="Calibri" w:cs="Arial"/>
          <w:sz w:val="30"/>
          <w:szCs w:val="30"/>
        </w:rPr>
        <w:footnoteReference w:id="1"/>
      </w:r>
      <w:r w:rsidR="005975A6" w:rsidRPr="00860331">
        <w:rPr>
          <w:rFonts w:ascii="Calibri" w:hAnsi="Calibri" w:cs="Arial"/>
          <w:sz w:val="30"/>
          <w:szCs w:val="30"/>
        </w:rPr>
        <w:t>.</w:t>
      </w:r>
    </w:p>
    <w:p w:rsidR="00DF43AB" w:rsidRPr="00DF43AB" w:rsidRDefault="00DF43AB" w:rsidP="00610467">
      <w:pPr>
        <w:autoSpaceDE w:val="0"/>
        <w:autoSpaceDN w:val="0"/>
        <w:adjustRightInd w:val="0"/>
        <w:ind w:firstLine="709"/>
        <w:jc w:val="both"/>
        <w:rPr>
          <w:rFonts w:ascii="Calibri" w:hAnsi="Calibri" w:cs="Arial"/>
          <w:sz w:val="30"/>
          <w:szCs w:val="30"/>
        </w:rPr>
      </w:pPr>
      <w:r>
        <w:rPr>
          <w:rFonts w:ascii="Calibri" w:hAnsi="Calibri" w:cs="Arial"/>
          <w:sz w:val="30"/>
          <w:szCs w:val="30"/>
          <w:lang w:val="kk-KZ"/>
        </w:rPr>
        <w:t>МСПД</w:t>
      </w:r>
      <w:r w:rsidRPr="00DF43AB">
        <w:rPr>
          <w:rFonts w:ascii="Calibri" w:hAnsi="Calibri" w:cs="Arial"/>
          <w:sz w:val="30"/>
          <w:szCs w:val="30"/>
        </w:rPr>
        <w:t xml:space="preserve"> является системно значимой платежной системой страны и предназначена для высокоприоритетных и срочных платежей финансового сектора и хозяйствующих субъектов (средняя сумма одного платежа составляет </w:t>
      </w:r>
      <w:r>
        <w:rPr>
          <w:rFonts w:ascii="Calibri" w:hAnsi="Calibri" w:cs="Arial"/>
          <w:sz w:val="30"/>
          <w:szCs w:val="30"/>
        </w:rPr>
        <w:t>41,7 млн. тенге).</w:t>
      </w:r>
    </w:p>
    <w:p w:rsidR="00DF43AB" w:rsidRPr="00860331" w:rsidRDefault="00FB4CF4" w:rsidP="00610467">
      <w:pPr>
        <w:autoSpaceDE w:val="0"/>
        <w:autoSpaceDN w:val="0"/>
        <w:adjustRightInd w:val="0"/>
        <w:ind w:firstLine="709"/>
        <w:jc w:val="both"/>
        <w:rPr>
          <w:rFonts w:ascii="Calibri" w:hAnsi="Calibri" w:cs="Arial"/>
          <w:sz w:val="30"/>
          <w:szCs w:val="30"/>
        </w:rPr>
      </w:pPr>
      <w:r w:rsidRPr="00860331">
        <w:rPr>
          <w:rFonts w:ascii="Calibri" w:hAnsi="Calibri" w:cs="Arial"/>
          <w:noProof/>
          <w:sz w:val="30"/>
          <w:szCs w:val="30"/>
        </w:rPr>
        <mc:AlternateContent>
          <mc:Choice Requires="wps">
            <w:drawing>
              <wp:anchor distT="0" distB="0" distL="114300" distR="114300" simplePos="0" relativeHeight="251659264" behindDoc="0" locked="0" layoutInCell="1" allowOverlap="1" wp14:anchorId="6C26C034" wp14:editId="25A880C1">
                <wp:simplePos x="0" y="0"/>
                <wp:positionH relativeFrom="column">
                  <wp:posOffset>2057400</wp:posOffset>
                </wp:positionH>
                <wp:positionV relativeFrom="paragraph">
                  <wp:posOffset>485775</wp:posOffset>
                </wp:positionV>
                <wp:extent cx="3886200" cy="2870835"/>
                <wp:effectExtent l="0" t="0" r="38100" b="62865"/>
                <wp:wrapSquare wrapText="bothSides"/>
                <wp:docPr id="65" name="AutoShap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86200" cy="2870835"/>
                        </a:xfrm>
                        <a:prstGeom prst="roundRect">
                          <a:avLst>
                            <a:gd name="adj" fmla="val 8625"/>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A3494E"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клиринговая система</w:t>
                            </w:r>
                            <w:r w:rsidRPr="00F224A0">
                              <w:rPr>
                                <w:rFonts w:ascii="Calibri" w:hAnsi="Calibri" w:cs="Arial"/>
                                <w:sz w:val="30"/>
                                <w:szCs w:val="30"/>
                              </w:rPr>
                              <w:t>;</w:t>
                            </w:r>
                          </w:p>
                          <w:p w:rsidR="00A3494E" w:rsidRPr="00F224A0"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построение платежных сообщений в очередь в течение операционного дня;</w:t>
                            </w:r>
                          </w:p>
                          <w:p w:rsidR="00A3494E"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многосторонний клиринг сообщений</w:t>
                            </w:r>
                            <w:r w:rsidRPr="00F224A0">
                              <w:rPr>
                                <w:rFonts w:ascii="Calibri" w:hAnsi="Calibri" w:cs="Arial"/>
                                <w:sz w:val="30"/>
                                <w:szCs w:val="30"/>
                              </w:rPr>
                              <w:t>;</w:t>
                            </w:r>
                          </w:p>
                          <w:p w:rsidR="00A3494E"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без предварительного депонирования средств;</w:t>
                            </w:r>
                          </w:p>
                          <w:p w:rsidR="00A3494E"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перевод денег по результатам клиринга в МСПД;</w:t>
                            </w:r>
                          </w:p>
                          <w:p w:rsidR="00A3494E" w:rsidRPr="00DF43AB"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розничные платежи на небольшие суммы (ограничение по сумме – до 5 млн. тенге).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29" style="position:absolute;left:0;text-align:left;margin-left:162pt;margin-top:38.25pt;width:306pt;height:2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" fillcolor="#cf9" strokecolor="#cf9" strokeweight="1pt">
                <v:shadow on="t" color="#205867" opacity=".5" offset="1pt"/>
                <o:lock v:ext="edit" aspectratio="t"/>
                <v:textbox>
                  <w:txbxContent>
                    <w:p w:rsidR="00A3494E"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клиринговая система</w:t>
                      </w:r>
                      <w:r w:rsidRPr="00F224A0">
                        <w:rPr>
                          <w:rFonts w:ascii="Calibri" w:hAnsi="Calibri" w:cs="Arial"/>
                          <w:sz w:val="30"/>
                          <w:szCs w:val="30"/>
                        </w:rPr>
                        <w:t>;</w:t>
                      </w:r>
                    </w:p>
                    <w:p w:rsidR="00A3494E" w:rsidRPr="00F224A0"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построение платежных сообщений в очередь в течение операционного дня;</w:t>
                      </w:r>
                    </w:p>
                    <w:p w:rsidR="00A3494E"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многосторонний клиринг сообщений</w:t>
                      </w:r>
                      <w:r w:rsidRPr="00F224A0">
                        <w:rPr>
                          <w:rFonts w:ascii="Calibri" w:hAnsi="Calibri" w:cs="Arial"/>
                          <w:sz w:val="30"/>
                          <w:szCs w:val="30"/>
                        </w:rPr>
                        <w:t>;</w:t>
                      </w:r>
                    </w:p>
                    <w:p w:rsidR="00A3494E"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без предварительного депонирования средств;</w:t>
                      </w:r>
                    </w:p>
                    <w:p w:rsidR="00A3494E"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перевод денег по результатам клиринга в МСПД;</w:t>
                      </w:r>
                    </w:p>
                    <w:p w:rsidR="00A3494E" w:rsidRPr="00DF43AB" w:rsidRDefault="00A3494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розничные платежи на небольшие суммы (ограничение по сумме – до 5 млн. тенге).</w:t>
                      </w:r>
                    </w:p>
                  </w:txbxContent>
                </v:textbox>
                <w10:wrap type="square"/>
              </v:roundrect>
            </w:pict>
          </mc:Fallback>
        </mc:AlternateContent>
      </w:r>
      <w:r w:rsidR="00DF43AB" w:rsidRPr="00860331">
        <w:rPr>
          <w:rFonts w:ascii="Calibri" w:hAnsi="Calibri" w:cs="Arial"/>
          <w:b/>
          <w:sz w:val="30"/>
          <w:szCs w:val="30"/>
        </w:rPr>
        <w:t xml:space="preserve">В </w:t>
      </w:r>
      <w:r w:rsidR="008B106E" w:rsidRPr="00860331">
        <w:rPr>
          <w:rFonts w:ascii="Calibri" w:hAnsi="Calibri" w:cs="Arial"/>
          <w:b/>
          <w:sz w:val="30"/>
          <w:szCs w:val="30"/>
        </w:rPr>
        <w:t>СМК</w:t>
      </w:r>
      <w:r w:rsidR="00DF43AB" w:rsidRPr="00860331">
        <w:rPr>
          <w:rFonts w:ascii="Calibri" w:hAnsi="Calibri" w:cs="Arial"/>
          <w:b/>
          <w:sz w:val="30"/>
          <w:szCs w:val="30"/>
        </w:rPr>
        <w:t xml:space="preserve"> все платежи осуществляются на нетто (чистой) основе</w:t>
      </w:r>
      <w:r w:rsidR="000426FA" w:rsidRPr="00860331">
        <w:rPr>
          <w:rFonts w:ascii="Calibri" w:hAnsi="Calibri" w:cs="Arial"/>
          <w:b/>
          <w:sz w:val="30"/>
          <w:szCs w:val="30"/>
        </w:rPr>
        <w:t xml:space="preserve"> путем зачета взаимных требований и обязательств участников</w:t>
      </w:r>
      <w:r w:rsidR="008B106E" w:rsidRPr="00860331">
        <w:rPr>
          <w:rFonts w:ascii="Calibri" w:hAnsi="Calibri" w:cs="Arial"/>
          <w:sz w:val="30"/>
          <w:szCs w:val="30"/>
        </w:rPr>
        <w:t>.</w:t>
      </w:r>
      <w:r w:rsidR="008B106E" w:rsidRPr="00C52217">
        <w:rPr>
          <w:rFonts w:ascii="Calibri" w:hAnsi="Calibri" w:cs="Arial"/>
          <w:sz w:val="30"/>
          <w:szCs w:val="30"/>
        </w:rPr>
        <w:t xml:space="preserve"> Система </w:t>
      </w:r>
      <w:r w:rsidR="00DF43AB" w:rsidRPr="00C52217">
        <w:rPr>
          <w:rFonts w:ascii="Calibri" w:hAnsi="Calibri" w:cs="Arial"/>
          <w:sz w:val="30"/>
          <w:szCs w:val="30"/>
        </w:rPr>
        <w:t xml:space="preserve">ориентирована на проведение розничных платежей </w:t>
      </w:r>
      <w:r w:rsidR="00AE15B3" w:rsidRPr="00C52217">
        <w:rPr>
          <w:rFonts w:ascii="Calibri" w:hAnsi="Calibri" w:cs="Arial"/>
          <w:sz w:val="30"/>
          <w:szCs w:val="30"/>
        </w:rPr>
        <w:t>клиентов банков</w:t>
      </w:r>
      <w:r w:rsidR="005975A6" w:rsidRPr="00C52217">
        <w:rPr>
          <w:rFonts w:ascii="Calibri" w:hAnsi="Calibri" w:cs="Arial"/>
          <w:sz w:val="30"/>
          <w:szCs w:val="30"/>
        </w:rPr>
        <w:t xml:space="preserve"> </w:t>
      </w:r>
      <w:r w:rsidR="00DF43AB" w:rsidRPr="00C52217">
        <w:rPr>
          <w:rFonts w:ascii="Calibri" w:hAnsi="Calibri" w:cs="Arial"/>
          <w:sz w:val="30"/>
          <w:szCs w:val="30"/>
        </w:rPr>
        <w:t>на небольшие суммы, в част</w:t>
      </w:r>
      <w:r w:rsidR="00DF43AB" w:rsidRPr="00DF43AB">
        <w:rPr>
          <w:rFonts w:ascii="Calibri" w:hAnsi="Calibri" w:cs="Arial"/>
          <w:sz w:val="30"/>
          <w:szCs w:val="30"/>
        </w:rPr>
        <w:t>ности, платеж</w:t>
      </w:r>
      <w:r w:rsidR="00C52217">
        <w:rPr>
          <w:rFonts w:ascii="Calibri" w:hAnsi="Calibri" w:cs="Arial"/>
          <w:sz w:val="30"/>
          <w:szCs w:val="30"/>
        </w:rPr>
        <w:t>ей</w:t>
      </w:r>
      <w:r w:rsidR="00DF43AB" w:rsidRPr="00DF43AB">
        <w:rPr>
          <w:rFonts w:ascii="Calibri" w:hAnsi="Calibri" w:cs="Arial"/>
          <w:sz w:val="30"/>
          <w:szCs w:val="30"/>
        </w:rPr>
        <w:t xml:space="preserve"> населения в секторе C2B, C2G (коммунальные, налоговые платежи, платежи за товары и услуги)</w:t>
      </w:r>
      <w:r w:rsidR="00C52217">
        <w:rPr>
          <w:rFonts w:ascii="Calibri" w:hAnsi="Calibri" w:cs="Arial"/>
          <w:sz w:val="30"/>
          <w:szCs w:val="30"/>
        </w:rPr>
        <w:t>,</w:t>
      </w:r>
      <w:r w:rsidR="00DF43AB" w:rsidRPr="00DF43AB">
        <w:rPr>
          <w:rFonts w:ascii="Calibri" w:hAnsi="Calibri" w:cs="Arial"/>
          <w:sz w:val="30"/>
          <w:szCs w:val="30"/>
        </w:rPr>
        <w:t xml:space="preserve"> и обеспечивает расчет основного количеств</w:t>
      </w:r>
      <w:r w:rsidR="00DF43AB" w:rsidRPr="00860331">
        <w:rPr>
          <w:rFonts w:ascii="Calibri" w:hAnsi="Calibri" w:cs="Arial"/>
          <w:sz w:val="30"/>
          <w:szCs w:val="30"/>
        </w:rPr>
        <w:t>а платежей</w:t>
      </w:r>
      <w:r w:rsidR="000426FA" w:rsidRPr="00860331">
        <w:rPr>
          <w:rFonts w:ascii="Calibri" w:hAnsi="Calibri" w:cs="Arial"/>
          <w:sz w:val="30"/>
          <w:szCs w:val="30"/>
        </w:rPr>
        <w:t xml:space="preserve"> в стране</w:t>
      </w:r>
      <w:r w:rsidR="00DF43AB" w:rsidRPr="00860331">
        <w:rPr>
          <w:rFonts w:ascii="Calibri" w:hAnsi="Calibri" w:cs="Arial"/>
          <w:sz w:val="30"/>
          <w:szCs w:val="30"/>
        </w:rPr>
        <w:t>. Максимальная сумма одного платежа не должна превышать 5 млн. тенге.</w:t>
      </w:r>
    </w:p>
    <w:p w:rsidR="00DF43AB" w:rsidRDefault="00DF43AB" w:rsidP="00610467">
      <w:pPr>
        <w:autoSpaceDE w:val="0"/>
        <w:autoSpaceDN w:val="0"/>
        <w:adjustRightInd w:val="0"/>
        <w:ind w:firstLine="709"/>
        <w:jc w:val="both"/>
        <w:rPr>
          <w:rFonts w:ascii="Calibri" w:hAnsi="Calibri" w:cs="Arial"/>
          <w:sz w:val="30"/>
          <w:szCs w:val="30"/>
        </w:rPr>
      </w:pPr>
      <w:r w:rsidRPr="00860331">
        <w:rPr>
          <w:rFonts w:ascii="Calibri" w:hAnsi="Calibri" w:cs="Arial"/>
          <w:sz w:val="30"/>
          <w:szCs w:val="30"/>
        </w:rPr>
        <w:t xml:space="preserve"> Система работает круглосуточно 7 дн</w:t>
      </w:r>
      <w:r w:rsidRPr="00DF43AB">
        <w:rPr>
          <w:rFonts w:ascii="Calibri" w:hAnsi="Calibri" w:cs="Arial"/>
          <w:sz w:val="30"/>
          <w:szCs w:val="30"/>
        </w:rPr>
        <w:t xml:space="preserve">ей в неделю. Особенность </w:t>
      </w:r>
      <w:r w:rsidR="008B106E">
        <w:rPr>
          <w:rFonts w:ascii="Calibri" w:hAnsi="Calibri" w:cs="Arial"/>
          <w:sz w:val="30"/>
          <w:szCs w:val="30"/>
        </w:rPr>
        <w:t>СМК</w:t>
      </w:r>
      <w:r w:rsidRPr="00DF43AB">
        <w:rPr>
          <w:rFonts w:ascii="Calibri" w:hAnsi="Calibri" w:cs="Arial"/>
          <w:sz w:val="30"/>
          <w:szCs w:val="30"/>
        </w:rPr>
        <w:t xml:space="preserve"> состоит в том, что платежные документы не обрабатываются индивидуально, а выстр</w:t>
      </w:r>
      <w:r>
        <w:rPr>
          <w:rFonts w:ascii="Calibri" w:hAnsi="Calibri" w:cs="Arial"/>
          <w:sz w:val="30"/>
          <w:szCs w:val="30"/>
        </w:rPr>
        <w:t xml:space="preserve">аиваются в очередь до момента </w:t>
      </w:r>
      <w:r w:rsidRPr="00DF43AB">
        <w:rPr>
          <w:rFonts w:ascii="Calibri" w:hAnsi="Calibri" w:cs="Arial"/>
          <w:sz w:val="30"/>
          <w:szCs w:val="30"/>
        </w:rPr>
        <w:t xml:space="preserve">расчета. </w:t>
      </w:r>
      <w:r>
        <w:rPr>
          <w:rFonts w:ascii="Calibri" w:hAnsi="Calibri" w:cs="Arial"/>
          <w:sz w:val="30"/>
          <w:szCs w:val="30"/>
        </w:rPr>
        <w:t xml:space="preserve"> В 15:00 часов проводится процедура клиринга имеющихся в очереди платежных сообщений и расчет чистых позиций участников. </w:t>
      </w:r>
      <w:r w:rsidRPr="00DF43AB">
        <w:rPr>
          <w:rFonts w:ascii="Calibri" w:hAnsi="Calibri" w:cs="Arial"/>
          <w:sz w:val="30"/>
          <w:szCs w:val="30"/>
        </w:rPr>
        <w:t xml:space="preserve">Межбанковский клиринг осуществляется на многосторонней основе без предварительного депонирования средств на счете </w:t>
      </w:r>
      <w:r w:rsidR="00765DC8">
        <w:rPr>
          <w:rFonts w:ascii="Calibri" w:hAnsi="Calibri" w:cs="Arial"/>
          <w:sz w:val="30"/>
          <w:szCs w:val="30"/>
        </w:rPr>
        <w:t>участника системы</w:t>
      </w:r>
      <w:r w:rsidRPr="00DF43AB">
        <w:rPr>
          <w:rFonts w:ascii="Calibri" w:hAnsi="Calibri" w:cs="Arial"/>
          <w:sz w:val="30"/>
          <w:szCs w:val="30"/>
        </w:rPr>
        <w:t xml:space="preserve">.  </w:t>
      </w:r>
      <w:r w:rsidR="009F6C5A">
        <w:rPr>
          <w:rFonts w:ascii="Calibri" w:hAnsi="Calibri" w:cs="Arial"/>
          <w:sz w:val="30"/>
          <w:szCs w:val="30"/>
        </w:rPr>
        <w:lastRenderedPageBreak/>
        <w:t xml:space="preserve">После расчета чистых позиций открывается новый операционный день системы. </w:t>
      </w:r>
    </w:p>
    <w:p w:rsidR="00DF43AB" w:rsidRPr="00DF43AB" w:rsidRDefault="00DF43AB" w:rsidP="00610467">
      <w:pPr>
        <w:autoSpaceDE w:val="0"/>
        <w:autoSpaceDN w:val="0"/>
        <w:adjustRightInd w:val="0"/>
        <w:ind w:firstLine="709"/>
        <w:jc w:val="both"/>
        <w:rPr>
          <w:rFonts w:ascii="Calibri" w:hAnsi="Calibri" w:cs="Arial"/>
          <w:sz w:val="30"/>
          <w:szCs w:val="30"/>
        </w:rPr>
      </w:pPr>
      <w:r w:rsidRPr="00DF43AB">
        <w:rPr>
          <w:rFonts w:ascii="Calibri" w:hAnsi="Calibri" w:cs="Arial"/>
          <w:sz w:val="30"/>
          <w:szCs w:val="30"/>
        </w:rPr>
        <w:t xml:space="preserve">В </w:t>
      </w:r>
      <w:r w:rsidR="00C52217">
        <w:rPr>
          <w:rFonts w:ascii="Calibri" w:hAnsi="Calibri" w:cs="Arial"/>
          <w:sz w:val="30"/>
          <w:szCs w:val="30"/>
        </w:rPr>
        <w:t xml:space="preserve">указанной платежной </w:t>
      </w:r>
      <w:r w:rsidRPr="00DF43AB">
        <w:rPr>
          <w:rFonts w:ascii="Calibri" w:hAnsi="Calibri" w:cs="Arial"/>
          <w:sz w:val="30"/>
          <w:szCs w:val="30"/>
        </w:rPr>
        <w:t>системе можно использовать дату валютирования, т.е. отправлять в систему  платежные документы с будущей датой платежа до трех дней</w:t>
      </w:r>
      <w:r>
        <w:rPr>
          <w:rFonts w:ascii="Calibri" w:hAnsi="Calibri" w:cs="Arial"/>
          <w:sz w:val="30"/>
          <w:szCs w:val="30"/>
        </w:rPr>
        <w:t>, что предоставляет</w:t>
      </w:r>
      <w:r w:rsidRPr="00DF43AB">
        <w:rPr>
          <w:rFonts w:ascii="Calibri" w:hAnsi="Calibri" w:cs="Arial"/>
          <w:sz w:val="30"/>
          <w:szCs w:val="30"/>
        </w:rPr>
        <w:t xml:space="preserve"> участникам возможность заранее планировать свою ликвидность. Каждый участник системы имеет доступ к информации обо всех своих платежах, находящихся в системе.</w:t>
      </w:r>
    </w:p>
    <w:p w:rsidR="008B106E" w:rsidRDefault="00F224A0" w:rsidP="00610467">
      <w:pPr>
        <w:autoSpaceDE w:val="0"/>
        <w:autoSpaceDN w:val="0"/>
        <w:adjustRightInd w:val="0"/>
        <w:ind w:firstLine="709"/>
        <w:jc w:val="both"/>
        <w:rPr>
          <w:rFonts w:ascii="Calibri" w:hAnsi="Calibri" w:cs="Arial"/>
          <w:sz w:val="30"/>
          <w:szCs w:val="30"/>
        </w:rPr>
      </w:pPr>
      <w:r w:rsidRPr="00F224A0">
        <w:rPr>
          <w:rFonts w:ascii="Calibri" w:hAnsi="Calibri" w:cs="Arial"/>
          <w:sz w:val="30"/>
          <w:szCs w:val="30"/>
        </w:rPr>
        <w:t xml:space="preserve">Учитывая значимость данных платежных систем для экономики Казахстана, основной акцент в работе систем ориентирован на высокий уровень безопасности и доступности (беспрерывности) работы систем. Указанные задачи в полной мере достигаются посредством применяемых </w:t>
      </w:r>
      <w:r w:rsidR="008B106E">
        <w:rPr>
          <w:rFonts w:ascii="Calibri" w:hAnsi="Calibri" w:cs="Arial"/>
          <w:sz w:val="30"/>
          <w:szCs w:val="30"/>
        </w:rPr>
        <w:t>методов управления операционным</w:t>
      </w:r>
      <w:r w:rsidRPr="00F224A0">
        <w:rPr>
          <w:rFonts w:ascii="Calibri" w:hAnsi="Calibri" w:cs="Arial"/>
          <w:sz w:val="30"/>
          <w:szCs w:val="30"/>
        </w:rPr>
        <w:t xml:space="preserve"> риск</w:t>
      </w:r>
      <w:r w:rsidR="008B106E">
        <w:rPr>
          <w:rFonts w:ascii="Calibri" w:hAnsi="Calibri" w:cs="Arial"/>
          <w:sz w:val="30"/>
          <w:szCs w:val="30"/>
        </w:rPr>
        <w:t>ом</w:t>
      </w:r>
      <w:r w:rsidRPr="00F224A0">
        <w:rPr>
          <w:rFonts w:ascii="Calibri" w:hAnsi="Calibri" w:cs="Arial"/>
          <w:sz w:val="30"/>
          <w:szCs w:val="30"/>
        </w:rPr>
        <w:t xml:space="preserve">, в том числе, путем постоянного мониторинга и анализа работы </w:t>
      </w:r>
      <w:r w:rsidR="00C52217">
        <w:rPr>
          <w:rFonts w:ascii="Calibri" w:hAnsi="Calibri" w:cs="Arial"/>
          <w:sz w:val="30"/>
          <w:szCs w:val="30"/>
        </w:rPr>
        <w:t xml:space="preserve">платежных </w:t>
      </w:r>
      <w:r w:rsidRPr="00F224A0">
        <w:rPr>
          <w:rFonts w:ascii="Calibri" w:hAnsi="Calibri" w:cs="Arial"/>
          <w:sz w:val="30"/>
          <w:szCs w:val="30"/>
        </w:rPr>
        <w:t xml:space="preserve">систем. </w:t>
      </w:r>
    </w:p>
    <w:p w:rsidR="00F224A0" w:rsidRPr="0047262C" w:rsidRDefault="00FA23F3" w:rsidP="00610467">
      <w:pPr>
        <w:autoSpaceDE w:val="0"/>
        <w:autoSpaceDN w:val="0"/>
        <w:adjustRightInd w:val="0"/>
        <w:ind w:firstLine="709"/>
        <w:jc w:val="both"/>
        <w:rPr>
          <w:rFonts w:ascii="Calibri" w:hAnsi="Calibri" w:cs="Arial"/>
          <w:spacing w:val="-4"/>
          <w:sz w:val="30"/>
          <w:szCs w:val="30"/>
        </w:rPr>
      </w:pPr>
      <w:r w:rsidRPr="00860331">
        <w:rPr>
          <w:rFonts w:ascii="Calibri" w:hAnsi="Calibri" w:cs="Arial"/>
          <w:spacing w:val="-4"/>
          <w:sz w:val="30"/>
          <w:szCs w:val="30"/>
        </w:rPr>
        <w:t>П</w:t>
      </w:r>
      <w:r w:rsidR="00F224A0" w:rsidRPr="00860331">
        <w:rPr>
          <w:rFonts w:ascii="Calibri" w:hAnsi="Calibri" w:cs="Arial"/>
          <w:spacing w:val="-4"/>
          <w:sz w:val="30"/>
          <w:szCs w:val="30"/>
        </w:rPr>
        <w:t>латежные системы</w:t>
      </w:r>
      <w:r w:rsidR="00C52217" w:rsidRPr="00860331">
        <w:rPr>
          <w:rFonts w:ascii="Calibri" w:hAnsi="Calibri" w:cs="Arial"/>
          <w:spacing w:val="-4"/>
          <w:sz w:val="30"/>
          <w:szCs w:val="30"/>
        </w:rPr>
        <w:t xml:space="preserve"> Национального Банка Казахстан</w:t>
      </w:r>
      <w:r w:rsidR="00842C3A" w:rsidRPr="00860331">
        <w:rPr>
          <w:rFonts w:ascii="Calibri" w:hAnsi="Calibri" w:cs="Arial"/>
          <w:spacing w:val="-4"/>
          <w:sz w:val="30"/>
          <w:szCs w:val="30"/>
        </w:rPr>
        <w:t>а</w:t>
      </w:r>
      <w:r w:rsidR="00F224A0" w:rsidRPr="00860331">
        <w:rPr>
          <w:rFonts w:ascii="Calibri" w:hAnsi="Calibri" w:cs="Arial"/>
          <w:spacing w:val="-4"/>
          <w:sz w:val="30"/>
          <w:szCs w:val="30"/>
        </w:rPr>
        <w:t xml:space="preserve"> соответствуют требованиям международных стандартов, в том числе, Принципов для инфраструктур финансового рынка, разработанных Комитетом по платежам и рыночным инфраструктурам Банка международных расчетов </w:t>
      </w:r>
      <w:r w:rsidR="000426FA" w:rsidRPr="00860331">
        <w:rPr>
          <w:rFonts w:ascii="Calibri" w:hAnsi="Calibri" w:cs="Arial"/>
          <w:spacing w:val="-4"/>
          <w:sz w:val="30"/>
          <w:szCs w:val="30"/>
        </w:rPr>
        <w:t xml:space="preserve"> (далее – КПРИ) </w:t>
      </w:r>
      <w:r w:rsidR="00F224A0" w:rsidRPr="00860331">
        <w:rPr>
          <w:rFonts w:ascii="Calibri" w:hAnsi="Calibri" w:cs="Arial"/>
          <w:spacing w:val="-4"/>
          <w:sz w:val="30"/>
          <w:szCs w:val="30"/>
        </w:rPr>
        <w:t>и Техническим комитетом Международной организации комиссий по ценным бумагам</w:t>
      </w:r>
      <w:r w:rsidR="008B106E" w:rsidRPr="00860331">
        <w:rPr>
          <w:rFonts w:ascii="Calibri" w:hAnsi="Calibri" w:cs="Arial"/>
          <w:spacing w:val="-4"/>
          <w:sz w:val="30"/>
          <w:szCs w:val="30"/>
        </w:rPr>
        <w:t xml:space="preserve"> (далее – Принципы для ИФР)</w:t>
      </w:r>
      <w:r w:rsidR="00F224A0" w:rsidRPr="00860331">
        <w:rPr>
          <w:rFonts w:ascii="Calibri" w:hAnsi="Calibri" w:cs="Arial"/>
          <w:spacing w:val="-4"/>
          <w:sz w:val="30"/>
          <w:szCs w:val="30"/>
        </w:rPr>
        <w:t>.</w:t>
      </w:r>
    </w:p>
    <w:p w:rsidR="003429D7" w:rsidRPr="0082483E" w:rsidRDefault="003429D7" w:rsidP="00610467">
      <w:pPr>
        <w:autoSpaceDE w:val="0"/>
        <w:autoSpaceDN w:val="0"/>
        <w:adjustRightInd w:val="0"/>
        <w:ind w:firstLine="709"/>
        <w:jc w:val="both"/>
        <w:rPr>
          <w:rFonts w:ascii="Calibri" w:hAnsi="Calibri" w:cs="Arial"/>
          <w:sz w:val="30"/>
          <w:szCs w:val="30"/>
        </w:rPr>
      </w:pPr>
    </w:p>
    <w:p w:rsidR="003429D7" w:rsidRPr="00015E28" w:rsidRDefault="00A30B7D" w:rsidP="00610467">
      <w:pPr>
        <w:pStyle w:val="1"/>
        <w:widowControl w:val="0"/>
        <w:pBdr>
          <w:bottom w:val="single" w:sz="12" w:space="1" w:color="auto"/>
        </w:pBdr>
        <w:tabs>
          <w:tab w:val="left" w:pos="561"/>
        </w:tabs>
        <w:spacing w:before="0" w:after="0"/>
        <w:jc w:val="both"/>
        <w:rPr>
          <w:rFonts w:ascii="Calibri" w:hAnsi="Calibri"/>
          <w:bCs w:val="0"/>
          <w:snapToGrid w:val="0"/>
          <w:color w:val="0E4C28"/>
          <w:spacing w:val="-2"/>
          <w:kern w:val="0"/>
        </w:rPr>
      </w:pPr>
      <w:bookmarkStart w:id="14" w:name="_Toc481418195"/>
      <w:r>
        <w:rPr>
          <w:rFonts w:ascii="Calibri" w:hAnsi="Calibri"/>
          <w:bCs w:val="0"/>
          <w:snapToGrid w:val="0"/>
          <w:color w:val="0E4C28"/>
          <w:spacing w:val="-2"/>
          <w:kern w:val="0"/>
        </w:rPr>
        <w:t>1</w:t>
      </w:r>
      <w:r w:rsidR="003429D7" w:rsidRPr="00015E28">
        <w:rPr>
          <w:rFonts w:ascii="Calibri" w:hAnsi="Calibri"/>
          <w:bCs w:val="0"/>
          <w:snapToGrid w:val="0"/>
          <w:color w:val="0E4C28"/>
          <w:spacing w:val="-2"/>
          <w:kern w:val="0"/>
        </w:rPr>
        <w:t>.</w:t>
      </w:r>
      <w:r w:rsidR="005528B2">
        <w:rPr>
          <w:rFonts w:ascii="Calibri" w:hAnsi="Calibri"/>
          <w:bCs w:val="0"/>
          <w:snapToGrid w:val="0"/>
          <w:color w:val="0E4C28"/>
          <w:spacing w:val="-2"/>
          <w:kern w:val="0"/>
        </w:rPr>
        <w:t>2</w:t>
      </w:r>
      <w:r w:rsidR="003429D7" w:rsidRPr="00015E28">
        <w:rPr>
          <w:rFonts w:ascii="Calibri" w:hAnsi="Calibri"/>
          <w:bCs w:val="0"/>
          <w:snapToGrid w:val="0"/>
          <w:color w:val="0E4C28"/>
          <w:spacing w:val="-2"/>
          <w:kern w:val="0"/>
        </w:rPr>
        <w:t xml:space="preserve">. </w:t>
      </w:r>
      <w:r w:rsidR="003429D7">
        <w:rPr>
          <w:rFonts w:ascii="Calibri" w:hAnsi="Calibri"/>
          <w:bCs w:val="0"/>
          <w:snapToGrid w:val="0"/>
          <w:color w:val="0E4C28"/>
          <w:spacing w:val="-2"/>
          <w:kern w:val="0"/>
        </w:rPr>
        <w:t>Соответствие платежных систем</w:t>
      </w:r>
      <w:r w:rsidR="00EA53E0">
        <w:rPr>
          <w:rFonts w:ascii="Calibri" w:hAnsi="Calibri"/>
          <w:bCs w:val="0"/>
          <w:snapToGrid w:val="0"/>
          <w:color w:val="0E4C28"/>
          <w:spacing w:val="-2"/>
          <w:kern w:val="0"/>
        </w:rPr>
        <w:t xml:space="preserve"> </w:t>
      </w:r>
      <w:r w:rsidR="003429D7">
        <w:rPr>
          <w:rFonts w:ascii="Calibri" w:hAnsi="Calibri"/>
          <w:bCs w:val="0"/>
          <w:snapToGrid w:val="0"/>
          <w:color w:val="0E4C28"/>
          <w:spacing w:val="-2"/>
          <w:kern w:val="0"/>
        </w:rPr>
        <w:t>Принципам для ИФР</w:t>
      </w:r>
      <w:bookmarkEnd w:id="14"/>
    </w:p>
    <w:p w:rsidR="000426FA" w:rsidRPr="00860331" w:rsidRDefault="000426FA" w:rsidP="00610467">
      <w:pPr>
        <w:widowControl w:val="0"/>
        <w:ind w:firstLine="720"/>
        <w:jc w:val="both"/>
        <w:rPr>
          <w:rFonts w:ascii="Calibri" w:hAnsi="Calibri" w:cs="Arial"/>
          <w:sz w:val="30"/>
          <w:szCs w:val="30"/>
        </w:rPr>
      </w:pPr>
      <w:r w:rsidRPr="00860331">
        <w:rPr>
          <w:rFonts w:ascii="Calibri" w:hAnsi="Calibri" w:cs="Arial"/>
          <w:sz w:val="30"/>
          <w:szCs w:val="30"/>
        </w:rPr>
        <w:t xml:space="preserve">При проведении надзора (оверсайта) за платежными системами центральные (национальные) банки особое внимание уделяют оценке соответствия платежных систем международным стандартам, в частности, Принципам для ИФР. </w:t>
      </w:r>
    </w:p>
    <w:p w:rsidR="003429D7" w:rsidRPr="00860331" w:rsidRDefault="003429D7" w:rsidP="00610467">
      <w:pPr>
        <w:widowControl w:val="0"/>
        <w:ind w:firstLine="720"/>
        <w:jc w:val="both"/>
        <w:rPr>
          <w:rFonts w:ascii="Calibri" w:hAnsi="Calibri" w:cs="Arial"/>
          <w:sz w:val="30"/>
          <w:szCs w:val="30"/>
        </w:rPr>
      </w:pPr>
      <w:r w:rsidRPr="00860331">
        <w:rPr>
          <w:rFonts w:ascii="Calibri" w:hAnsi="Calibri" w:cs="Arial"/>
          <w:sz w:val="30"/>
          <w:szCs w:val="30"/>
        </w:rPr>
        <w:t xml:space="preserve">В рамках </w:t>
      </w:r>
      <w:r w:rsidR="007067D2" w:rsidRPr="00860331">
        <w:rPr>
          <w:rFonts w:ascii="Calibri" w:hAnsi="Calibri" w:cs="Arial"/>
          <w:sz w:val="30"/>
          <w:szCs w:val="30"/>
        </w:rPr>
        <w:t>обеспечения соответствия платежных систем Принципам для ИФР</w:t>
      </w:r>
      <w:r w:rsidRPr="00860331">
        <w:rPr>
          <w:rFonts w:ascii="Calibri" w:hAnsi="Calibri" w:cs="Arial"/>
          <w:sz w:val="30"/>
          <w:szCs w:val="30"/>
        </w:rPr>
        <w:t xml:space="preserve"> Национальный Банк </w:t>
      </w:r>
      <w:r w:rsidR="000426FA" w:rsidRPr="00860331">
        <w:rPr>
          <w:rFonts w:ascii="Calibri" w:hAnsi="Calibri" w:cs="Arial"/>
          <w:sz w:val="30"/>
          <w:szCs w:val="30"/>
        </w:rPr>
        <w:t>Казахстана</w:t>
      </w:r>
      <w:r w:rsidR="00C52217" w:rsidRPr="00860331">
        <w:rPr>
          <w:rFonts w:ascii="Calibri" w:hAnsi="Calibri" w:cs="Arial"/>
          <w:sz w:val="30"/>
          <w:szCs w:val="30"/>
        </w:rPr>
        <w:t xml:space="preserve"> </w:t>
      </w:r>
      <w:r w:rsidR="008B106E" w:rsidRPr="00860331">
        <w:rPr>
          <w:rFonts w:ascii="Calibri" w:hAnsi="Calibri" w:cs="Arial"/>
          <w:sz w:val="30"/>
          <w:szCs w:val="30"/>
        </w:rPr>
        <w:t>в 2013 году</w:t>
      </w:r>
      <w:r w:rsidRPr="00860331">
        <w:rPr>
          <w:rFonts w:ascii="Calibri" w:hAnsi="Calibri" w:cs="Arial"/>
          <w:sz w:val="30"/>
          <w:szCs w:val="30"/>
        </w:rPr>
        <w:t xml:space="preserve"> приступил к проведению работ по имплементации </w:t>
      </w:r>
      <w:r w:rsidR="00C52217" w:rsidRPr="00860331">
        <w:rPr>
          <w:rFonts w:ascii="Calibri" w:hAnsi="Calibri" w:cs="Arial"/>
          <w:sz w:val="30"/>
          <w:szCs w:val="30"/>
        </w:rPr>
        <w:t>указанных Принципов</w:t>
      </w:r>
      <w:r w:rsidRPr="00860331">
        <w:rPr>
          <w:rFonts w:ascii="Calibri" w:hAnsi="Calibri" w:cs="Arial"/>
          <w:sz w:val="30"/>
          <w:szCs w:val="30"/>
        </w:rPr>
        <w:t xml:space="preserve">. В </w:t>
      </w:r>
      <w:proofErr w:type="gramStart"/>
      <w:r w:rsidRPr="00860331">
        <w:rPr>
          <w:rFonts w:ascii="Calibri" w:hAnsi="Calibri" w:cs="Arial"/>
          <w:sz w:val="30"/>
          <w:szCs w:val="30"/>
        </w:rPr>
        <w:t>январе</w:t>
      </w:r>
      <w:proofErr w:type="gramEnd"/>
      <w:r w:rsidRPr="00860331">
        <w:rPr>
          <w:rFonts w:ascii="Calibri" w:hAnsi="Calibri" w:cs="Arial"/>
          <w:sz w:val="30"/>
          <w:szCs w:val="30"/>
        </w:rPr>
        <w:t xml:space="preserve"> – феврале 2014 года в ходе совместной миссии МВФ и Всемирного Банка экспертами была проведена техническая оценка </w:t>
      </w:r>
      <w:r w:rsidR="008B106E" w:rsidRPr="00860331">
        <w:rPr>
          <w:rFonts w:ascii="Calibri" w:hAnsi="Calibri" w:cs="Arial"/>
          <w:sz w:val="30"/>
          <w:szCs w:val="30"/>
        </w:rPr>
        <w:t>платежных систем</w:t>
      </w:r>
      <w:r w:rsidRPr="00860331">
        <w:rPr>
          <w:rFonts w:ascii="Calibri" w:hAnsi="Calibri" w:cs="Arial"/>
          <w:sz w:val="30"/>
          <w:szCs w:val="30"/>
        </w:rPr>
        <w:t xml:space="preserve"> на предмет соответствия Принципам ИФР. П</w:t>
      </w:r>
      <w:r w:rsidR="00C52217" w:rsidRPr="00860331">
        <w:rPr>
          <w:rFonts w:ascii="Calibri" w:hAnsi="Calibri" w:cs="Arial"/>
          <w:sz w:val="30"/>
          <w:szCs w:val="30"/>
        </w:rPr>
        <w:t xml:space="preserve">о результатам технической оценки </w:t>
      </w:r>
      <w:r w:rsidRPr="00860331">
        <w:rPr>
          <w:rFonts w:ascii="Calibri" w:hAnsi="Calibri" w:cs="Arial"/>
          <w:sz w:val="30"/>
          <w:szCs w:val="30"/>
        </w:rPr>
        <w:t xml:space="preserve">был дан ряд рекомендаций по приведению </w:t>
      </w:r>
      <w:r w:rsidR="008B106E" w:rsidRPr="00860331">
        <w:rPr>
          <w:rFonts w:ascii="Calibri" w:hAnsi="Calibri" w:cs="Arial"/>
          <w:sz w:val="30"/>
          <w:szCs w:val="30"/>
        </w:rPr>
        <w:t>платежных систем</w:t>
      </w:r>
      <w:r w:rsidRPr="00860331">
        <w:rPr>
          <w:rFonts w:ascii="Calibri" w:hAnsi="Calibri" w:cs="Arial"/>
          <w:sz w:val="30"/>
          <w:szCs w:val="30"/>
        </w:rPr>
        <w:t xml:space="preserve"> и норматив</w:t>
      </w:r>
      <w:r w:rsidR="008B106E" w:rsidRPr="00860331">
        <w:rPr>
          <w:rFonts w:ascii="Calibri" w:hAnsi="Calibri" w:cs="Arial"/>
          <w:sz w:val="30"/>
          <w:szCs w:val="30"/>
        </w:rPr>
        <w:t>ной правовой базы, регламентирующей вопросы функционирования платежных систем,</w:t>
      </w:r>
      <w:r w:rsidRPr="00860331">
        <w:rPr>
          <w:rFonts w:ascii="Calibri" w:hAnsi="Calibri" w:cs="Arial"/>
          <w:sz w:val="30"/>
          <w:szCs w:val="30"/>
        </w:rPr>
        <w:t xml:space="preserve"> в соответствие с Принципами </w:t>
      </w:r>
      <w:r w:rsidR="008B106E" w:rsidRPr="00860331">
        <w:rPr>
          <w:rFonts w:ascii="Calibri" w:hAnsi="Calibri" w:cs="Arial"/>
          <w:sz w:val="30"/>
          <w:szCs w:val="30"/>
        </w:rPr>
        <w:t xml:space="preserve">для </w:t>
      </w:r>
      <w:r w:rsidRPr="00860331">
        <w:rPr>
          <w:rFonts w:ascii="Calibri" w:hAnsi="Calibri" w:cs="Arial"/>
          <w:sz w:val="30"/>
          <w:szCs w:val="30"/>
        </w:rPr>
        <w:t xml:space="preserve">ИФР. </w:t>
      </w:r>
      <w:r w:rsidR="007067D2" w:rsidRPr="00860331">
        <w:rPr>
          <w:rFonts w:ascii="Calibri" w:hAnsi="Calibri" w:cs="Arial"/>
          <w:sz w:val="30"/>
          <w:szCs w:val="30"/>
        </w:rPr>
        <w:t>В</w:t>
      </w:r>
      <w:r w:rsidRPr="00860331">
        <w:rPr>
          <w:rFonts w:ascii="Calibri" w:hAnsi="Calibri" w:cs="Arial"/>
          <w:sz w:val="30"/>
          <w:szCs w:val="30"/>
        </w:rPr>
        <w:t xml:space="preserve"> 2014 году Национальным Банком </w:t>
      </w:r>
      <w:r w:rsidR="008B106E" w:rsidRPr="00860331">
        <w:rPr>
          <w:rFonts w:ascii="Calibri" w:hAnsi="Calibri" w:cs="Arial"/>
          <w:sz w:val="30"/>
          <w:szCs w:val="30"/>
        </w:rPr>
        <w:t>Казахстан</w:t>
      </w:r>
      <w:r w:rsidR="00842C3A" w:rsidRPr="00860331">
        <w:rPr>
          <w:rFonts w:ascii="Calibri" w:hAnsi="Calibri" w:cs="Arial"/>
          <w:sz w:val="30"/>
          <w:szCs w:val="30"/>
        </w:rPr>
        <w:t>а</w:t>
      </w:r>
      <w:r w:rsidR="008B106E" w:rsidRPr="00860331">
        <w:rPr>
          <w:rFonts w:ascii="Calibri" w:hAnsi="Calibri" w:cs="Arial"/>
          <w:sz w:val="30"/>
          <w:szCs w:val="30"/>
        </w:rPr>
        <w:t xml:space="preserve"> </w:t>
      </w:r>
      <w:r w:rsidRPr="00860331">
        <w:rPr>
          <w:rFonts w:ascii="Calibri" w:hAnsi="Calibri" w:cs="Arial"/>
          <w:sz w:val="30"/>
          <w:szCs w:val="30"/>
        </w:rPr>
        <w:t>было завершено проведение самооц</w:t>
      </w:r>
      <w:r w:rsidRPr="00015E28">
        <w:rPr>
          <w:rFonts w:ascii="Calibri" w:hAnsi="Calibri" w:cs="Arial"/>
          <w:sz w:val="30"/>
          <w:szCs w:val="30"/>
        </w:rPr>
        <w:t xml:space="preserve">енки </w:t>
      </w:r>
      <w:r w:rsidR="005975A6" w:rsidRPr="00C52217">
        <w:rPr>
          <w:rFonts w:ascii="Calibri" w:hAnsi="Calibri" w:cs="Arial"/>
          <w:sz w:val="30"/>
          <w:szCs w:val="30"/>
        </w:rPr>
        <w:t>платежных систем</w:t>
      </w:r>
      <w:r w:rsidRPr="00015E28">
        <w:rPr>
          <w:rFonts w:ascii="Calibri" w:hAnsi="Calibri" w:cs="Arial"/>
          <w:sz w:val="30"/>
          <w:szCs w:val="30"/>
        </w:rPr>
        <w:t xml:space="preserve">. Результаты проведенной самооценки по компоненту «Платежные системы» </w:t>
      </w:r>
      <w:r w:rsidR="007067D2">
        <w:rPr>
          <w:rFonts w:ascii="Calibri" w:hAnsi="Calibri" w:cs="Arial"/>
          <w:sz w:val="30"/>
          <w:szCs w:val="30"/>
        </w:rPr>
        <w:t xml:space="preserve">были </w:t>
      </w:r>
      <w:r w:rsidRPr="00015E28">
        <w:rPr>
          <w:rFonts w:ascii="Calibri" w:hAnsi="Calibri" w:cs="Arial"/>
          <w:sz w:val="30"/>
          <w:szCs w:val="30"/>
        </w:rPr>
        <w:t xml:space="preserve">размещены на официальном сайте Национального </w:t>
      </w:r>
      <w:r w:rsidRPr="00860331">
        <w:rPr>
          <w:rFonts w:ascii="Calibri" w:hAnsi="Calibri" w:cs="Arial"/>
          <w:sz w:val="30"/>
          <w:szCs w:val="30"/>
        </w:rPr>
        <w:lastRenderedPageBreak/>
        <w:t xml:space="preserve">Банка </w:t>
      </w:r>
      <w:r w:rsidR="00C52217" w:rsidRPr="00860331">
        <w:rPr>
          <w:rFonts w:ascii="Calibri" w:hAnsi="Calibri" w:cs="Arial"/>
          <w:sz w:val="30"/>
          <w:szCs w:val="30"/>
        </w:rPr>
        <w:t>Казахстан</w:t>
      </w:r>
      <w:r w:rsidR="00842C3A" w:rsidRPr="00860331">
        <w:rPr>
          <w:rFonts w:ascii="Calibri" w:hAnsi="Calibri" w:cs="Arial"/>
          <w:sz w:val="30"/>
          <w:szCs w:val="30"/>
        </w:rPr>
        <w:t>а</w:t>
      </w:r>
      <w:r w:rsidR="00C52217" w:rsidRPr="00860331">
        <w:rPr>
          <w:rFonts w:ascii="Calibri" w:hAnsi="Calibri" w:cs="Arial"/>
          <w:sz w:val="30"/>
          <w:szCs w:val="30"/>
        </w:rPr>
        <w:t xml:space="preserve"> </w:t>
      </w:r>
      <w:r w:rsidRPr="00860331">
        <w:rPr>
          <w:rFonts w:ascii="Calibri" w:hAnsi="Calibri" w:cs="Arial"/>
          <w:sz w:val="30"/>
          <w:szCs w:val="30"/>
        </w:rPr>
        <w:t>в разделе «Публикация и доклады».</w:t>
      </w:r>
    </w:p>
    <w:p w:rsidR="00610467" w:rsidRPr="00860331" w:rsidRDefault="007067D2" w:rsidP="00610467">
      <w:pPr>
        <w:widowControl w:val="0"/>
        <w:autoSpaceDE w:val="0"/>
        <w:autoSpaceDN w:val="0"/>
        <w:adjustRightInd w:val="0"/>
        <w:ind w:firstLine="720"/>
        <w:jc w:val="both"/>
        <w:rPr>
          <w:rFonts w:ascii="Calibri" w:hAnsi="Calibri" w:cs="Arial"/>
          <w:sz w:val="30"/>
          <w:szCs w:val="30"/>
        </w:rPr>
      </w:pPr>
      <w:r w:rsidRPr="00860331">
        <w:rPr>
          <w:rFonts w:ascii="Calibri" w:hAnsi="Calibri" w:cs="Arial"/>
          <w:sz w:val="30"/>
          <w:szCs w:val="30"/>
        </w:rPr>
        <w:t xml:space="preserve">В 2015-2016 </w:t>
      </w:r>
      <w:proofErr w:type="gramStart"/>
      <w:r w:rsidRPr="00860331">
        <w:rPr>
          <w:rFonts w:ascii="Calibri" w:hAnsi="Calibri" w:cs="Arial"/>
          <w:sz w:val="30"/>
          <w:szCs w:val="30"/>
        </w:rPr>
        <w:t>годах</w:t>
      </w:r>
      <w:proofErr w:type="gramEnd"/>
      <w:r w:rsidRPr="00860331">
        <w:rPr>
          <w:rFonts w:ascii="Calibri" w:hAnsi="Calibri" w:cs="Arial"/>
          <w:sz w:val="30"/>
          <w:szCs w:val="30"/>
        </w:rPr>
        <w:t xml:space="preserve"> были проведены работы по совершенствованию нормативной правовой базы в области платежей и платежных систем и иные мероприятия, направленные на обеспечение соответствия платежных систем Принципам для ИФР. В частности, в рамках Закона Республики Казахстан  «О платежах и платежных системах» был</w:t>
      </w:r>
      <w:r w:rsidR="006F65CE" w:rsidRPr="00860331">
        <w:rPr>
          <w:rFonts w:ascii="Calibri" w:hAnsi="Calibri" w:cs="Arial"/>
          <w:sz w:val="30"/>
          <w:szCs w:val="30"/>
        </w:rPr>
        <w:t>а</w:t>
      </w:r>
      <w:r w:rsidRPr="00860331">
        <w:rPr>
          <w:rFonts w:ascii="Calibri" w:hAnsi="Calibri" w:cs="Arial"/>
          <w:sz w:val="30"/>
          <w:szCs w:val="30"/>
        </w:rPr>
        <w:t xml:space="preserve"> определен</w:t>
      </w:r>
      <w:r w:rsidR="006F65CE" w:rsidRPr="00860331">
        <w:rPr>
          <w:rFonts w:ascii="Calibri" w:hAnsi="Calibri" w:cs="Arial"/>
          <w:sz w:val="30"/>
          <w:szCs w:val="30"/>
        </w:rPr>
        <w:t>а</w:t>
      </w:r>
      <w:r w:rsidRPr="00860331">
        <w:rPr>
          <w:rFonts w:ascii="Calibri" w:hAnsi="Calibri" w:cs="Arial"/>
          <w:sz w:val="30"/>
          <w:szCs w:val="30"/>
        </w:rPr>
        <w:t xml:space="preserve"> классификация платежных систем</w:t>
      </w:r>
      <w:r w:rsidR="00C52217" w:rsidRPr="00860331">
        <w:rPr>
          <w:rFonts w:ascii="Calibri" w:hAnsi="Calibri" w:cs="Arial"/>
          <w:sz w:val="30"/>
          <w:szCs w:val="30"/>
        </w:rPr>
        <w:t xml:space="preserve">, </w:t>
      </w:r>
      <w:r w:rsidRPr="00860331">
        <w:rPr>
          <w:rFonts w:ascii="Calibri" w:hAnsi="Calibri" w:cs="Arial"/>
          <w:sz w:val="30"/>
          <w:szCs w:val="30"/>
        </w:rPr>
        <w:t xml:space="preserve"> </w:t>
      </w:r>
      <w:r w:rsidR="00C52217" w:rsidRPr="00860331">
        <w:rPr>
          <w:rFonts w:ascii="Calibri" w:hAnsi="Calibri" w:cs="Arial"/>
          <w:sz w:val="30"/>
          <w:szCs w:val="30"/>
        </w:rPr>
        <w:t>п</w:t>
      </w:r>
      <w:r w:rsidRPr="00860331">
        <w:rPr>
          <w:rFonts w:ascii="Calibri" w:hAnsi="Calibri" w:cs="Arial"/>
          <w:sz w:val="30"/>
          <w:szCs w:val="30"/>
        </w:rPr>
        <w:t xml:space="preserve">редусмотрены к операторам системно значимых и значимых платежных систем </w:t>
      </w:r>
      <w:r w:rsidR="006F65CE" w:rsidRPr="00860331">
        <w:rPr>
          <w:rFonts w:ascii="Calibri" w:hAnsi="Calibri" w:cs="Arial"/>
          <w:sz w:val="30"/>
          <w:szCs w:val="30"/>
        </w:rPr>
        <w:t xml:space="preserve">требования </w:t>
      </w:r>
      <w:r w:rsidRPr="00860331">
        <w:rPr>
          <w:rFonts w:ascii="Calibri" w:hAnsi="Calibri" w:cs="Arial"/>
          <w:sz w:val="30"/>
          <w:szCs w:val="30"/>
        </w:rPr>
        <w:t>по проведению оценки соблюдения Принципов для ИФР</w:t>
      </w:r>
      <w:r w:rsidR="00C52217" w:rsidRPr="00860331">
        <w:rPr>
          <w:rFonts w:ascii="Calibri" w:hAnsi="Calibri" w:cs="Arial"/>
          <w:sz w:val="30"/>
          <w:szCs w:val="30"/>
        </w:rPr>
        <w:t xml:space="preserve">, а также к </w:t>
      </w:r>
      <w:r w:rsidR="0047262C" w:rsidRPr="00860331">
        <w:rPr>
          <w:rFonts w:ascii="Calibri" w:hAnsi="Calibri" w:cs="Arial"/>
          <w:sz w:val="30"/>
          <w:szCs w:val="30"/>
        </w:rPr>
        <w:t xml:space="preserve">оформлению </w:t>
      </w:r>
      <w:r w:rsidR="006F65CE" w:rsidRPr="00860331">
        <w:rPr>
          <w:rFonts w:ascii="Calibri" w:hAnsi="Calibri" w:cs="Arial"/>
          <w:sz w:val="30"/>
          <w:szCs w:val="30"/>
        </w:rPr>
        <w:t>документации</w:t>
      </w:r>
      <w:r w:rsidR="0047262C" w:rsidRPr="00860331">
        <w:rPr>
          <w:rFonts w:ascii="Calibri" w:hAnsi="Calibri" w:cs="Arial"/>
          <w:sz w:val="30"/>
          <w:szCs w:val="30"/>
        </w:rPr>
        <w:t xml:space="preserve"> по управлению рисками</w:t>
      </w:r>
      <w:r w:rsidR="006F65CE" w:rsidRPr="00860331">
        <w:rPr>
          <w:rFonts w:ascii="Calibri" w:hAnsi="Calibri" w:cs="Arial"/>
          <w:sz w:val="30"/>
          <w:szCs w:val="30"/>
        </w:rPr>
        <w:t xml:space="preserve">. </w:t>
      </w:r>
    </w:p>
    <w:p w:rsidR="00610467" w:rsidRDefault="006F65CE" w:rsidP="00610467">
      <w:pPr>
        <w:widowControl w:val="0"/>
        <w:autoSpaceDE w:val="0"/>
        <w:autoSpaceDN w:val="0"/>
        <w:adjustRightInd w:val="0"/>
        <w:ind w:firstLine="720"/>
        <w:jc w:val="both"/>
        <w:rPr>
          <w:rFonts w:ascii="Calibri" w:hAnsi="Calibri" w:cs="Arial"/>
          <w:sz w:val="30"/>
          <w:szCs w:val="30"/>
        </w:rPr>
      </w:pPr>
      <w:r w:rsidRPr="00860331">
        <w:rPr>
          <w:rFonts w:ascii="Calibri" w:hAnsi="Calibri" w:cs="Arial"/>
          <w:sz w:val="30"/>
          <w:szCs w:val="30"/>
        </w:rPr>
        <w:t xml:space="preserve">Также определены нормы о завершенности (окончательности) платежей, в том числе, в целях урегулирования вопроса завершения платежей </w:t>
      </w:r>
      <w:r w:rsidR="005B5481" w:rsidRPr="00860331">
        <w:rPr>
          <w:rFonts w:ascii="Calibri" w:hAnsi="Calibri" w:cs="Arial"/>
          <w:sz w:val="30"/>
          <w:szCs w:val="30"/>
        </w:rPr>
        <w:t xml:space="preserve">в случае применения </w:t>
      </w:r>
      <w:r w:rsidR="00F13FD3" w:rsidRPr="00860331">
        <w:rPr>
          <w:rFonts w:ascii="Calibri" w:hAnsi="Calibri" w:cs="Arial"/>
          <w:sz w:val="30"/>
          <w:szCs w:val="30"/>
        </w:rPr>
        <w:t>в отношении клиента ускоренной реабилитационной процедуры, процедуры урегулирования неплатежеспособности должника, реабилитационной процедуры или признании клиента банкротом</w:t>
      </w:r>
      <w:r w:rsidR="005B5481" w:rsidRPr="00860331">
        <w:rPr>
          <w:rFonts w:ascii="Calibri" w:hAnsi="Calibri" w:cs="Arial"/>
          <w:sz w:val="30"/>
          <w:szCs w:val="30"/>
        </w:rPr>
        <w:t>. Глоссарий терминов, используемых в Законе</w:t>
      </w:r>
      <w:r w:rsidR="000426FA" w:rsidRPr="00860331">
        <w:rPr>
          <w:rFonts w:ascii="Calibri" w:hAnsi="Calibri" w:cs="Arial"/>
          <w:sz w:val="30"/>
          <w:szCs w:val="30"/>
        </w:rPr>
        <w:t xml:space="preserve"> Республики Казахстан «О платежах и платежных системах»</w:t>
      </w:r>
      <w:r w:rsidR="005B5481" w:rsidRPr="00860331">
        <w:rPr>
          <w:rFonts w:ascii="Calibri" w:hAnsi="Calibri" w:cs="Arial"/>
          <w:sz w:val="30"/>
          <w:szCs w:val="30"/>
        </w:rPr>
        <w:t>, приведен в соответствие с Глоссарием терминов КПРИ.</w:t>
      </w:r>
      <w:r w:rsidR="005B5481">
        <w:rPr>
          <w:rFonts w:ascii="Calibri" w:hAnsi="Calibri" w:cs="Arial"/>
          <w:sz w:val="30"/>
          <w:szCs w:val="30"/>
        </w:rPr>
        <w:t xml:space="preserve"> </w:t>
      </w:r>
    </w:p>
    <w:p w:rsidR="00FB4CF4" w:rsidRPr="00860331" w:rsidRDefault="005B5481" w:rsidP="00610467">
      <w:pPr>
        <w:widowControl w:val="0"/>
        <w:autoSpaceDE w:val="0"/>
        <w:autoSpaceDN w:val="0"/>
        <w:adjustRightInd w:val="0"/>
        <w:ind w:firstLine="720"/>
        <w:jc w:val="both"/>
        <w:rPr>
          <w:rFonts w:ascii="Calibri" w:hAnsi="Calibri" w:cs="Arial"/>
          <w:sz w:val="30"/>
          <w:szCs w:val="30"/>
        </w:rPr>
      </w:pPr>
      <w:r w:rsidRPr="00860331">
        <w:rPr>
          <w:rFonts w:ascii="Calibri" w:hAnsi="Calibri" w:cs="Arial"/>
          <w:sz w:val="30"/>
          <w:szCs w:val="30"/>
        </w:rPr>
        <w:t xml:space="preserve">В </w:t>
      </w:r>
      <w:proofErr w:type="gramStart"/>
      <w:r w:rsidRPr="00860331">
        <w:rPr>
          <w:rFonts w:ascii="Calibri" w:hAnsi="Calibri" w:cs="Arial"/>
          <w:sz w:val="30"/>
          <w:szCs w:val="30"/>
        </w:rPr>
        <w:t>целях</w:t>
      </w:r>
      <w:proofErr w:type="gramEnd"/>
      <w:r w:rsidRPr="00860331">
        <w:rPr>
          <w:rFonts w:ascii="Calibri" w:hAnsi="Calibri" w:cs="Arial"/>
          <w:sz w:val="30"/>
          <w:szCs w:val="30"/>
        </w:rPr>
        <w:t xml:space="preserve"> совершенствования методов управления риском ликвидности, кредитным и системным рисками в МСПД внедрен механизм предоставления </w:t>
      </w:r>
      <w:r w:rsidR="000426FA" w:rsidRPr="00860331">
        <w:rPr>
          <w:rFonts w:ascii="Calibri" w:hAnsi="Calibri" w:cs="Arial"/>
          <w:sz w:val="30"/>
          <w:szCs w:val="30"/>
        </w:rPr>
        <w:t xml:space="preserve">участникам системы </w:t>
      </w:r>
      <w:r w:rsidRPr="00860331">
        <w:rPr>
          <w:rFonts w:ascii="Calibri" w:hAnsi="Calibri" w:cs="Arial"/>
          <w:sz w:val="30"/>
          <w:szCs w:val="30"/>
        </w:rPr>
        <w:t xml:space="preserve">дополнительной </w:t>
      </w:r>
      <w:r w:rsidR="005528B2" w:rsidRPr="00860331">
        <w:rPr>
          <w:rFonts w:ascii="Calibri" w:hAnsi="Calibri" w:cs="Arial"/>
          <w:sz w:val="30"/>
          <w:szCs w:val="30"/>
        </w:rPr>
        <w:t xml:space="preserve">дневной </w:t>
      </w:r>
      <w:r w:rsidRPr="00860331">
        <w:rPr>
          <w:rFonts w:ascii="Calibri" w:hAnsi="Calibri" w:cs="Arial"/>
          <w:sz w:val="30"/>
          <w:szCs w:val="30"/>
        </w:rPr>
        <w:t xml:space="preserve">ликвидности (овердрафт) </w:t>
      </w:r>
      <w:r w:rsidR="000426FA" w:rsidRPr="00860331">
        <w:rPr>
          <w:rFonts w:ascii="Calibri" w:hAnsi="Calibri" w:cs="Arial"/>
          <w:sz w:val="30"/>
          <w:szCs w:val="30"/>
        </w:rPr>
        <w:t>под залог ценных бумаг</w:t>
      </w:r>
      <w:r w:rsidRPr="00860331">
        <w:rPr>
          <w:rFonts w:ascii="Calibri" w:hAnsi="Calibri" w:cs="Arial"/>
          <w:sz w:val="30"/>
          <w:szCs w:val="30"/>
        </w:rPr>
        <w:t xml:space="preserve">. </w:t>
      </w:r>
    </w:p>
    <w:p w:rsidR="00610467" w:rsidRPr="00860331" w:rsidRDefault="00610467" w:rsidP="00610467">
      <w:pPr>
        <w:widowControl w:val="0"/>
        <w:autoSpaceDE w:val="0"/>
        <w:autoSpaceDN w:val="0"/>
        <w:adjustRightInd w:val="0"/>
        <w:ind w:firstLine="720"/>
        <w:jc w:val="both"/>
        <w:rPr>
          <w:rFonts w:ascii="Calibri" w:hAnsi="Calibri" w:cs="Arial"/>
          <w:sz w:val="16"/>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4A0" w:firstRow="1" w:lastRow="0" w:firstColumn="1" w:lastColumn="0" w:noHBand="0" w:noVBand="1"/>
      </w:tblPr>
      <w:tblGrid>
        <w:gridCol w:w="1364"/>
        <w:gridCol w:w="8280"/>
      </w:tblGrid>
      <w:tr w:rsidR="006F65CE" w:rsidRPr="00687214" w:rsidTr="00610467">
        <w:tc>
          <w:tcPr>
            <w:tcW w:w="1364" w:type="dxa"/>
            <w:shd w:val="clear" w:color="auto" w:fill="F3F3F3"/>
          </w:tcPr>
          <w:p w:rsidR="006F65CE" w:rsidRPr="00860331" w:rsidRDefault="006F65CE" w:rsidP="00610467">
            <w:pPr>
              <w:rPr>
                <w:rFonts w:ascii="Calibri" w:hAnsi="Calibri"/>
              </w:rPr>
            </w:pPr>
          </w:p>
        </w:tc>
        <w:tc>
          <w:tcPr>
            <w:tcW w:w="8280" w:type="dxa"/>
            <w:shd w:val="clear" w:color="auto" w:fill="F3F3F3"/>
          </w:tcPr>
          <w:p w:rsidR="006F65CE" w:rsidRPr="00687214" w:rsidRDefault="006F65CE" w:rsidP="00610467">
            <w:pPr>
              <w:jc w:val="center"/>
              <w:rPr>
                <w:rFonts w:ascii="Calibri" w:hAnsi="Calibri"/>
                <w:b/>
              </w:rPr>
            </w:pPr>
            <w:r w:rsidRPr="00860331">
              <w:rPr>
                <w:rFonts w:ascii="Calibri" w:hAnsi="Calibri"/>
                <w:b/>
              </w:rPr>
              <w:t>Справка</w:t>
            </w:r>
            <w:r w:rsidR="00687214" w:rsidRPr="00860331">
              <w:rPr>
                <w:rFonts w:ascii="Calibri" w:hAnsi="Calibri"/>
                <w:b/>
              </w:rPr>
              <w:t xml:space="preserve"> </w:t>
            </w:r>
            <w:r w:rsidR="003E1657" w:rsidRPr="00860331">
              <w:rPr>
                <w:rFonts w:ascii="Calibri" w:hAnsi="Calibri"/>
                <w:b/>
              </w:rPr>
              <w:t>2</w:t>
            </w:r>
            <w:r w:rsidR="00687214" w:rsidRPr="00860331">
              <w:rPr>
                <w:rFonts w:ascii="Calibri" w:hAnsi="Calibri"/>
                <w:b/>
              </w:rPr>
              <w:t xml:space="preserve"> </w:t>
            </w:r>
            <w:r w:rsidRPr="00860331">
              <w:rPr>
                <w:rFonts w:ascii="Calibri" w:hAnsi="Calibri"/>
                <w:b/>
              </w:rPr>
              <w:t xml:space="preserve">– </w:t>
            </w:r>
            <w:r w:rsidR="00317C8E" w:rsidRPr="00860331">
              <w:rPr>
                <w:rFonts w:ascii="Calibri" w:hAnsi="Calibri"/>
                <w:b/>
              </w:rPr>
              <w:t>Краткая информация о с</w:t>
            </w:r>
            <w:r w:rsidRPr="00860331">
              <w:rPr>
                <w:rFonts w:ascii="Calibri" w:hAnsi="Calibri"/>
                <w:b/>
              </w:rPr>
              <w:t>оответстви</w:t>
            </w:r>
            <w:r w:rsidR="00317C8E" w:rsidRPr="00860331">
              <w:rPr>
                <w:rFonts w:ascii="Calibri" w:hAnsi="Calibri"/>
                <w:b/>
              </w:rPr>
              <w:t>и</w:t>
            </w:r>
            <w:r w:rsidRPr="00860331">
              <w:rPr>
                <w:rFonts w:ascii="Calibri" w:hAnsi="Calibri"/>
                <w:b/>
              </w:rPr>
              <w:t xml:space="preserve"> платежных систем </w:t>
            </w:r>
            <w:r w:rsidR="00317C8E" w:rsidRPr="00860331">
              <w:rPr>
                <w:rFonts w:ascii="Calibri" w:hAnsi="Calibri"/>
                <w:b/>
              </w:rPr>
              <w:t xml:space="preserve">Национального Банка </w:t>
            </w:r>
            <w:r w:rsidR="00842C3A" w:rsidRPr="00860331">
              <w:rPr>
                <w:rFonts w:ascii="Calibri" w:hAnsi="Calibri"/>
                <w:b/>
              </w:rPr>
              <w:t xml:space="preserve">Казахстана </w:t>
            </w:r>
            <w:r w:rsidRPr="00860331">
              <w:rPr>
                <w:rFonts w:ascii="Calibri" w:hAnsi="Calibri"/>
                <w:b/>
              </w:rPr>
              <w:t>Принципам для ИФР</w:t>
            </w:r>
          </w:p>
          <w:p w:rsidR="006F65CE" w:rsidRPr="00CB2E51" w:rsidRDefault="006F65CE" w:rsidP="00610467">
            <w:pPr>
              <w:jc w:val="center"/>
              <w:rPr>
                <w:rFonts w:ascii="Calibri" w:hAnsi="Calibri"/>
                <w:b/>
                <w:sz w:val="14"/>
              </w:rPr>
            </w:pPr>
          </w:p>
        </w:tc>
      </w:tr>
      <w:tr w:rsidR="006F65CE" w:rsidRPr="00FE202D" w:rsidTr="00610467">
        <w:trPr>
          <w:trHeight w:val="530"/>
        </w:trPr>
        <w:tc>
          <w:tcPr>
            <w:tcW w:w="9644" w:type="dxa"/>
            <w:gridSpan w:val="2"/>
            <w:shd w:val="clear" w:color="auto" w:fill="F3F3F3"/>
          </w:tcPr>
          <w:p w:rsidR="006F65CE" w:rsidRPr="005C7913" w:rsidRDefault="006F65CE" w:rsidP="005C7913">
            <w:pPr>
              <w:rPr>
                <w:rFonts w:ascii="Calibri" w:hAnsi="Calibri"/>
                <w:b/>
                <w:bCs/>
                <w:i/>
                <w:color w:val="548DD4" w:themeColor="text2" w:themeTint="99"/>
              </w:rPr>
            </w:pPr>
            <w:bookmarkStart w:id="15" w:name="_Toc407204665"/>
            <w:bookmarkStart w:id="16" w:name="_Toc480772943"/>
            <w:bookmarkStart w:id="17" w:name="_Toc480825632"/>
            <w:bookmarkStart w:id="18" w:name="_Toc481139473"/>
            <w:r w:rsidRPr="005C7913">
              <w:rPr>
                <w:rFonts w:ascii="Calibri" w:hAnsi="Calibri"/>
                <w:b/>
                <w:bCs/>
                <w:i/>
                <w:color w:val="548DD4" w:themeColor="text2" w:themeTint="99"/>
              </w:rPr>
              <w:t>Принцип 1. Правовая основа</w:t>
            </w:r>
            <w:bookmarkEnd w:id="15"/>
            <w:bookmarkEnd w:id="16"/>
            <w:bookmarkEnd w:id="17"/>
            <w:bookmarkEnd w:id="18"/>
          </w:p>
          <w:p w:rsidR="006F65CE" w:rsidRPr="00FE202D" w:rsidRDefault="006F65CE" w:rsidP="005C7913">
            <w:pPr>
              <w:jc w:val="both"/>
              <w:rPr>
                <w:rFonts w:ascii="Calibri" w:hAnsi="Calibri"/>
                <w:i/>
              </w:rPr>
            </w:pPr>
            <w:r w:rsidRPr="00FE202D">
              <w:rPr>
                <w:rFonts w:ascii="Calibri" w:eastAsia="ArialMT" w:hAnsi="Calibri"/>
                <w:i/>
              </w:rPr>
              <w:t>ИФР должна иметь хорошо обоснованную, четко сформулированную, прозрачную и обеспеченную правовой санкцией юридическую базу для каждого существенного аспекта своей деятельности во всех соответствующих юрисдикциях</w:t>
            </w:r>
          </w:p>
        </w:tc>
      </w:tr>
      <w:tr w:rsidR="006F65CE" w:rsidRPr="00687214" w:rsidTr="00610467">
        <w:tc>
          <w:tcPr>
            <w:tcW w:w="1364" w:type="dxa"/>
            <w:shd w:val="clear" w:color="auto" w:fill="F3F3F3"/>
          </w:tcPr>
          <w:p w:rsidR="006F65CE" w:rsidRPr="00687214" w:rsidRDefault="006F65CE" w:rsidP="00610467">
            <w:pPr>
              <w:rPr>
                <w:rFonts w:ascii="Calibri" w:hAnsi="Calibri"/>
                <w:i/>
              </w:rPr>
            </w:pPr>
            <w:r w:rsidRPr="00687214">
              <w:rPr>
                <w:rFonts w:ascii="Calibri" w:hAnsi="Calibri"/>
                <w:i/>
              </w:rPr>
              <w:t>Краткое изложение</w:t>
            </w:r>
          </w:p>
        </w:tc>
        <w:tc>
          <w:tcPr>
            <w:tcW w:w="8280" w:type="dxa"/>
            <w:shd w:val="clear" w:color="auto" w:fill="F3F3F3"/>
          </w:tcPr>
          <w:p w:rsidR="006F65CE" w:rsidRPr="00860331" w:rsidRDefault="0047262C" w:rsidP="00610467">
            <w:pPr>
              <w:jc w:val="both"/>
              <w:rPr>
                <w:rFonts w:ascii="Calibri" w:eastAsia="ArialMT" w:hAnsi="Calibri"/>
              </w:rPr>
            </w:pPr>
            <w:r w:rsidRPr="00860331">
              <w:rPr>
                <w:rFonts w:ascii="Calibri" w:eastAsia="ArialMT" w:hAnsi="Calibri"/>
              </w:rPr>
              <w:t xml:space="preserve">Нормативными правовыми актами Республики Казахстан и документами КЦМР </w:t>
            </w:r>
            <w:r w:rsidR="006F65CE" w:rsidRPr="00860331">
              <w:rPr>
                <w:rFonts w:ascii="Calibri" w:eastAsia="ArialMT" w:hAnsi="Calibri"/>
              </w:rPr>
              <w:t xml:space="preserve"> </w:t>
            </w:r>
            <w:r w:rsidRPr="00860331">
              <w:rPr>
                <w:rFonts w:ascii="Calibri" w:eastAsia="ArialMT" w:hAnsi="Calibri"/>
              </w:rPr>
              <w:t>установлена достаточная,</w:t>
            </w:r>
            <w:r w:rsidR="006F65CE" w:rsidRPr="00860331">
              <w:rPr>
                <w:rFonts w:ascii="Calibri" w:eastAsia="ArialMT" w:hAnsi="Calibri"/>
              </w:rPr>
              <w:t xml:space="preserve"> обоснованн</w:t>
            </w:r>
            <w:r w:rsidRPr="00860331">
              <w:rPr>
                <w:rFonts w:ascii="Calibri" w:eastAsia="ArialMT" w:hAnsi="Calibri"/>
              </w:rPr>
              <w:t>ая</w:t>
            </w:r>
            <w:r w:rsidR="006F65CE" w:rsidRPr="00860331">
              <w:rPr>
                <w:rFonts w:ascii="Calibri" w:eastAsia="ArialMT" w:hAnsi="Calibri"/>
              </w:rPr>
              <w:t>, прозрачн</w:t>
            </w:r>
            <w:r w:rsidRPr="00860331">
              <w:rPr>
                <w:rFonts w:ascii="Calibri" w:eastAsia="ArialMT" w:hAnsi="Calibri"/>
              </w:rPr>
              <w:t>ая</w:t>
            </w:r>
            <w:r w:rsidR="006F65CE" w:rsidRPr="00860331">
              <w:rPr>
                <w:rFonts w:ascii="Calibri" w:eastAsia="ArialMT" w:hAnsi="Calibri"/>
              </w:rPr>
              <w:t xml:space="preserve"> и обеспеченн</w:t>
            </w:r>
            <w:r w:rsidRPr="00860331">
              <w:rPr>
                <w:rFonts w:ascii="Calibri" w:eastAsia="ArialMT" w:hAnsi="Calibri"/>
              </w:rPr>
              <w:t>ая</w:t>
            </w:r>
            <w:r w:rsidR="006F65CE" w:rsidRPr="00860331">
              <w:rPr>
                <w:rFonts w:ascii="Calibri" w:eastAsia="ArialMT" w:hAnsi="Calibri"/>
              </w:rPr>
              <w:t xml:space="preserve"> правовой санкцией юридическ</w:t>
            </w:r>
            <w:r w:rsidRPr="00860331">
              <w:rPr>
                <w:rFonts w:ascii="Calibri" w:eastAsia="ArialMT" w:hAnsi="Calibri"/>
              </w:rPr>
              <w:t>ая</w:t>
            </w:r>
            <w:r w:rsidR="006F65CE" w:rsidRPr="00860331">
              <w:rPr>
                <w:rFonts w:ascii="Calibri" w:eastAsia="ArialMT" w:hAnsi="Calibri"/>
              </w:rPr>
              <w:t xml:space="preserve"> баз</w:t>
            </w:r>
            <w:r w:rsidRPr="00860331">
              <w:rPr>
                <w:rFonts w:ascii="Calibri" w:eastAsia="ArialMT" w:hAnsi="Calibri"/>
              </w:rPr>
              <w:t>а</w:t>
            </w:r>
            <w:r w:rsidR="006F65CE" w:rsidRPr="00860331">
              <w:rPr>
                <w:rFonts w:ascii="Calibri" w:eastAsia="ArialMT" w:hAnsi="Calibri"/>
              </w:rPr>
              <w:t xml:space="preserve"> для каждого существенного аспекта деятельности в МСПД и СМК</w:t>
            </w:r>
            <w:r w:rsidR="005B5481" w:rsidRPr="00860331">
              <w:rPr>
                <w:rFonts w:ascii="Calibri" w:eastAsia="ArialMT" w:hAnsi="Calibri"/>
              </w:rPr>
              <w:t>. Основным з</w:t>
            </w:r>
            <w:r w:rsidR="006F65CE" w:rsidRPr="00860331">
              <w:rPr>
                <w:rFonts w:ascii="Calibri" w:eastAsia="ArialMT" w:hAnsi="Calibri"/>
              </w:rPr>
              <w:t xml:space="preserve">аконом, регулирующим </w:t>
            </w:r>
            <w:r w:rsidRPr="00860331">
              <w:rPr>
                <w:rFonts w:ascii="Calibri" w:eastAsia="ArialMT" w:hAnsi="Calibri"/>
              </w:rPr>
              <w:t>правовые</w:t>
            </w:r>
            <w:r w:rsidR="006F65CE" w:rsidRPr="00860331">
              <w:rPr>
                <w:rFonts w:ascii="Calibri" w:eastAsia="ArialMT" w:hAnsi="Calibri"/>
              </w:rPr>
              <w:t xml:space="preserve"> нормы </w:t>
            </w:r>
            <w:r w:rsidR="005B5481" w:rsidRPr="00860331">
              <w:rPr>
                <w:rFonts w:ascii="Calibri" w:eastAsia="ArialMT" w:hAnsi="Calibri"/>
              </w:rPr>
              <w:t xml:space="preserve">в области функционирования платежных систем, </w:t>
            </w:r>
            <w:r w:rsidR="006F65CE" w:rsidRPr="00860331">
              <w:rPr>
                <w:rFonts w:ascii="Calibri" w:eastAsia="ArialMT" w:hAnsi="Calibri"/>
              </w:rPr>
              <w:t>является Закон Р</w:t>
            </w:r>
            <w:r w:rsidR="008B106E" w:rsidRPr="00860331">
              <w:rPr>
                <w:rFonts w:ascii="Calibri" w:eastAsia="ArialMT" w:hAnsi="Calibri"/>
              </w:rPr>
              <w:t>еспублики Казахстан</w:t>
            </w:r>
            <w:r w:rsidR="006F65CE" w:rsidRPr="00860331">
              <w:rPr>
                <w:rFonts w:ascii="Calibri" w:eastAsia="ArialMT" w:hAnsi="Calibri"/>
              </w:rPr>
              <w:t xml:space="preserve"> «О платежах и платежных системах</w:t>
            </w:r>
            <w:r w:rsidR="008B106E" w:rsidRPr="00860331">
              <w:rPr>
                <w:rFonts w:ascii="Calibri" w:eastAsia="ArialMT" w:hAnsi="Calibri"/>
              </w:rPr>
              <w:t>»</w:t>
            </w:r>
            <w:r w:rsidR="006F65CE" w:rsidRPr="00860331">
              <w:rPr>
                <w:rFonts w:ascii="Calibri" w:eastAsia="ArialMT" w:hAnsi="Calibri"/>
              </w:rPr>
              <w:t>.</w:t>
            </w:r>
          </w:p>
          <w:p w:rsidR="006F65CE" w:rsidRPr="00860331" w:rsidRDefault="006F65CE" w:rsidP="00610467">
            <w:pPr>
              <w:suppressAutoHyphens/>
              <w:autoSpaceDE w:val="0"/>
              <w:autoSpaceDN w:val="0"/>
              <w:adjustRightInd w:val="0"/>
              <w:jc w:val="both"/>
              <w:rPr>
                <w:rFonts w:ascii="Calibri" w:eastAsia="ArialMT" w:hAnsi="Calibri"/>
              </w:rPr>
            </w:pPr>
            <w:r w:rsidRPr="00860331">
              <w:rPr>
                <w:rFonts w:ascii="Calibri" w:eastAsia="ArialMT" w:hAnsi="Calibri"/>
              </w:rPr>
              <w:t xml:space="preserve">Все аспекты деятельности МСПД и СМК детально определены в соответствующих нормативных правовых актах: </w:t>
            </w:r>
            <w:proofErr w:type="gramStart"/>
            <w:r w:rsidRPr="00860331">
              <w:rPr>
                <w:rFonts w:ascii="Calibri" w:eastAsia="ArialMT" w:hAnsi="Calibri"/>
              </w:rPr>
              <w:t>Правилах</w:t>
            </w:r>
            <w:proofErr w:type="gramEnd"/>
            <w:r w:rsidRPr="00860331">
              <w:rPr>
                <w:rFonts w:ascii="Calibri" w:eastAsia="ArialMT" w:hAnsi="Calibri"/>
              </w:rPr>
              <w:t xml:space="preserve"> функционирования МСПД и Правилах функционирования СМК. Нормативные правовые акты, в том числе законы Республики Казахстан, обязательны для всех юридических и физических лиц на территории Казахстана, соответственно, не могут быть приостановлены или признаны недействительными без принятия соответствующего акта. Документы КЦМР, утвержденные Генеральным </w:t>
            </w:r>
            <w:r w:rsidRPr="00860331">
              <w:rPr>
                <w:rFonts w:ascii="Calibri" w:eastAsia="ArialMT" w:hAnsi="Calibri"/>
              </w:rPr>
              <w:lastRenderedPageBreak/>
              <w:t xml:space="preserve">директором КЦМР, обязательны для исполнения всеми </w:t>
            </w:r>
            <w:r w:rsidR="008B106E" w:rsidRPr="00860331">
              <w:rPr>
                <w:rFonts w:ascii="Calibri" w:eastAsia="ArialMT" w:hAnsi="Calibri"/>
              </w:rPr>
              <w:t>участниками</w:t>
            </w:r>
            <w:r w:rsidRPr="00860331">
              <w:rPr>
                <w:rFonts w:ascii="Calibri" w:eastAsia="ArialMT" w:hAnsi="Calibri"/>
              </w:rPr>
              <w:t xml:space="preserve"> платежных систем.</w:t>
            </w:r>
          </w:p>
          <w:p w:rsidR="006F65CE" w:rsidRPr="00860331" w:rsidRDefault="006F65CE" w:rsidP="00842C3A">
            <w:pPr>
              <w:suppressAutoHyphens/>
              <w:autoSpaceDE w:val="0"/>
              <w:autoSpaceDN w:val="0"/>
              <w:adjustRightInd w:val="0"/>
              <w:jc w:val="both"/>
              <w:rPr>
                <w:rFonts w:ascii="Calibri" w:eastAsia="ArialMT" w:hAnsi="Calibri"/>
              </w:rPr>
            </w:pPr>
            <w:r w:rsidRPr="00860331">
              <w:rPr>
                <w:rFonts w:ascii="Calibri" w:eastAsia="ArialMT" w:hAnsi="Calibri"/>
              </w:rPr>
              <w:t xml:space="preserve">Нормативные правовые акты, регулирующие вопросы функционирования платежных систем подлежат согласованию с </w:t>
            </w:r>
            <w:r w:rsidR="008B106E" w:rsidRPr="00860331">
              <w:rPr>
                <w:rFonts w:ascii="Calibri" w:eastAsia="ArialMT" w:hAnsi="Calibri"/>
              </w:rPr>
              <w:t>участниками</w:t>
            </w:r>
            <w:r w:rsidRPr="00860331">
              <w:rPr>
                <w:rFonts w:ascii="Calibri" w:eastAsia="ArialMT" w:hAnsi="Calibri"/>
              </w:rPr>
              <w:t xml:space="preserve"> платежных систем, заинтересованными государственными органами. Постановления Правления </w:t>
            </w:r>
            <w:r w:rsidR="008B106E" w:rsidRPr="00860331">
              <w:rPr>
                <w:rFonts w:ascii="Calibri" w:eastAsia="ArialMT" w:hAnsi="Calibri"/>
              </w:rPr>
              <w:t>Национального Банка Казахстан</w:t>
            </w:r>
            <w:r w:rsidR="00842C3A" w:rsidRPr="00860331">
              <w:rPr>
                <w:rFonts w:ascii="Calibri" w:eastAsia="ArialMT" w:hAnsi="Calibri"/>
              </w:rPr>
              <w:t>а</w:t>
            </w:r>
            <w:r w:rsidR="008B106E" w:rsidRPr="00860331">
              <w:rPr>
                <w:rFonts w:ascii="Calibri" w:eastAsia="ArialMT" w:hAnsi="Calibri"/>
              </w:rPr>
              <w:t xml:space="preserve"> </w:t>
            </w:r>
            <w:r w:rsidRPr="00860331">
              <w:rPr>
                <w:rFonts w:ascii="Calibri" w:eastAsia="ArialMT" w:hAnsi="Calibri"/>
              </w:rPr>
              <w:t>в обязательном порядке подлежат обязательному согласованию с Ассоциацией финансистов Казахстана, членами которого являются банки второго уровня Р</w:t>
            </w:r>
            <w:r w:rsidR="008B106E" w:rsidRPr="00860331">
              <w:rPr>
                <w:rFonts w:ascii="Calibri" w:eastAsia="ArialMT" w:hAnsi="Calibri"/>
              </w:rPr>
              <w:t>еспублики Казахстан</w:t>
            </w:r>
            <w:r w:rsidRPr="00860331">
              <w:rPr>
                <w:rFonts w:ascii="Calibri" w:eastAsia="ArialMT" w:hAnsi="Calibri"/>
              </w:rPr>
              <w:t xml:space="preserve">, Национальной палатой предпринимателей. После утверждения постановления Правления </w:t>
            </w:r>
            <w:r w:rsidR="008B106E" w:rsidRPr="00860331">
              <w:rPr>
                <w:rFonts w:ascii="Calibri" w:eastAsia="ArialMT" w:hAnsi="Calibri"/>
              </w:rPr>
              <w:t>Национального Банка Казахстан</w:t>
            </w:r>
            <w:r w:rsidR="00842C3A" w:rsidRPr="00860331">
              <w:rPr>
                <w:rFonts w:ascii="Calibri" w:eastAsia="ArialMT" w:hAnsi="Calibri"/>
              </w:rPr>
              <w:t>а</w:t>
            </w:r>
            <w:r w:rsidRPr="00860331">
              <w:rPr>
                <w:rFonts w:ascii="Calibri" w:eastAsia="ArialMT" w:hAnsi="Calibri"/>
              </w:rPr>
              <w:t xml:space="preserve"> подлежат обязательной государственной регистрации в Министерстве юстиции Республики Казахстан в целях обеспечения полного соответствия требованиям законодательства Республики Казахстан. Кроме того, проводится постоянный мониторинг действующих нормативных правовых актов на их актуальность, соответствие законодательству Республики Казахстан, отсутствие </w:t>
            </w:r>
            <w:proofErr w:type="spellStart"/>
            <w:r w:rsidRPr="00860331">
              <w:rPr>
                <w:rFonts w:ascii="Calibri" w:eastAsia="ArialMT" w:hAnsi="Calibri"/>
              </w:rPr>
              <w:t>коррупциогенных</w:t>
            </w:r>
            <w:proofErr w:type="spellEnd"/>
            <w:r w:rsidRPr="00860331">
              <w:rPr>
                <w:rFonts w:ascii="Calibri" w:eastAsia="ArialMT" w:hAnsi="Calibri"/>
              </w:rPr>
              <w:t xml:space="preserve"> и иных дефектных норм.</w:t>
            </w:r>
          </w:p>
        </w:tc>
      </w:tr>
      <w:tr w:rsidR="006F65CE" w:rsidRPr="00FE202D" w:rsidTr="00610467">
        <w:trPr>
          <w:trHeight w:val="530"/>
        </w:trPr>
        <w:tc>
          <w:tcPr>
            <w:tcW w:w="9644" w:type="dxa"/>
            <w:gridSpan w:val="2"/>
            <w:shd w:val="clear" w:color="auto" w:fill="F3F3F3"/>
          </w:tcPr>
          <w:p w:rsidR="006F65CE" w:rsidRPr="00860331" w:rsidRDefault="006F65CE" w:rsidP="005C7913">
            <w:pPr>
              <w:rPr>
                <w:rFonts w:ascii="Calibri" w:hAnsi="Calibri"/>
                <w:b/>
                <w:bCs/>
                <w:i/>
                <w:color w:val="548DD4" w:themeColor="text2" w:themeTint="99"/>
              </w:rPr>
            </w:pPr>
            <w:bookmarkStart w:id="19" w:name="_Toc407204666"/>
            <w:bookmarkStart w:id="20" w:name="_Toc480772944"/>
            <w:bookmarkStart w:id="21" w:name="_Toc480825633"/>
            <w:bookmarkStart w:id="22" w:name="_Toc481139474"/>
            <w:r w:rsidRPr="00860331">
              <w:rPr>
                <w:rFonts w:ascii="Calibri" w:hAnsi="Calibri"/>
                <w:b/>
                <w:bCs/>
                <w:i/>
                <w:color w:val="548DD4" w:themeColor="text2" w:themeTint="99"/>
              </w:rPr>
              <w:lastRenderedPageBreak/>
              <w:t>Принцип 2. Управление</w:t>
            </w:r>
            <w:bookmarkEnd w:id="19"/>
            <w:bookmarkEnd w:id="20"/>
            <w:bookmarkEnd w:id="21"/>
            <w:bookmarkEnd w:id="22"/>
          </w:p>
          <w:p w:rsidR="006F65CE" w:rsidRPr="00860331" w:rsidRDefault="006F65CE" w:rsidP="00610467">
            <w:pPr>
              <w:jc w:val="both"/>
              <w:rPr>
                <w:rFonts w:ascii="Calibri" w:hAnsi="Calibri"/>
                <w:i/>
              </w:rPr>
            </w:pPr>
            <w:r w:rsidRPr="00860331">
              <w:rPr>
                <w:rFonts w:ascii="Calibri" w:hAnsi="Calibri"/>
                <w:i/>
              </w:rPr>
              <w:t>ИФР должна иметь четкую и прозрачную систему управления, обеспечивающую безопасность и эффективность ИФР, а также стабильность финансовой системы в более широком смысле, другие аспекты, представляющие общественный интерес, и достижение целей заинтересованных сторон</w:t>
            </w:r>
          </w:p>
        </w:tc>
      </w:tr>
      <w:tr w:rsidR="006F65CE" w:rsidRPr="00687214" w:rsidTr="00610467">
        <w:tc>
          <w:tcPr>
            <w:tcW w:w="1364" w:type="dxa"/>
            <w:shd w:val="clear" w:color="auto" w:fill="F3F3F3"/>
          </w:tcPr>
          <w:p w:rsidR="006F65CE" w:rsidRPr="00687214" w:rsidRDefault="006F65CE" w:rsidP="00610467">
            <w:pPr>
              <w:rPr>
                <w:rFonts w:ascii="Calibri" w:hAnsi="Calibri"/>
                <w:i/>
              </w:rPr>
            </w:pPr>
            <w:r w:rsidRPr="00687214">
              <w:rPr>
                <w:rFonts w:ascii="Calibri" w:hAnsi="Calibri"/>
                <w:i/>
              </w:rPr>
              <w:t>Краткое изложение</w:t>
            </w:r>
          </w:p>
        </w:tc>
        <w:tc>
          <w:tcPr>
            <w:tcW w:w="8280" w:type="dxa"/>
            <w:shd w:val="clear" w:color="auto" w:fill="F3F3F3"/>
          </w:tcPr>
          <w:p w:rsidR="00B47A6D" w:rsidRPr="00860331" w:rsidRDefault="006F65CE" w:rsidP="00610467">
            <w:pPr>
              <w:jc w:val="both"/>
              <w:rPr>
                <w:rFonts w:ascii="Calibri" w:hAnsi="Calibri"/>
              </w:rPr>
            </w:pPr>
            <w:r w:rsidRPr="00860331">
              <w:rPr>
                <w:rFonts w:ascii="Calibri" w:hAnsi="Calibri"/>
              </w:rPr>
              <w:t>Механизм управления, на основании которых действуют органы</w:t>
            </w:r>
            <w:r w:rsidR="0047262C" w:rsidRPr="00860331">
              <w:rPr>
                <w:rFonts w:ascii="Calibri" w:hAnsi="Calibri"/>
              </w:rPr>
              <w:t xml:space="preserve"> управления </w:t>
            </w:r>
            <w:r w:rsidRPr="00860331">
              <w:rPr>
                <w:rFonts w:ascii="Calibri" w:hAnsi="Calibri"/>
              </w:rPr>
              <w:t xml:space="preserve">  </w:t>
            </w:r>
            <w:r w:rsidR="005B5481" w:rsidRPr="00860331">
              <w:rPr>
                <w:rFonts w:ascii="Calibri" w:hAnsi="Calibri"/>
              </w:rPr>
              <w:t xml:space="preserve">Национального </w:t>
            </w:r>
            <w:r w:rsidRPr="00860331">
              <w:rPr>
                <w:rFonts w:ascii="Calibri" w:hAnsi="Calibri"/>
              </w:rPr>
              <w:t xml:space="preserve"> </w:t>
            </w:r>
            <w:r w:rsidR="005B5481" w:rsidRPr="00860331">
              <w:rPr>
                <w:rFonts w:ascii="Calibri" w:hAnsi="Calibri"/>
              </w:rPr>
              <w:t>Банка Казахстан</w:t>
            </w:r>
            <w:r w:rsidR="00842C3A" w:rsidRPr="00860331">
              <w:rPr>
                <w:rFonts w:ascii="Calibri" w:hAnsi="Calibri"/>
              </w:rPr>
              <w:t>а</w:t>
            </w:r>
            <w:r w:rsidR="005B5481" w:rsidRPr="00860331">
              <w:rPr>
                <w:rFonts w:ascii="Calibri" w:hAnsi="Calibri"/>
              </w:rPr>
              <w:t xml:space="preserve"> </w:t>
            </w:r>
            <w:r w:rsidRPr="00860331">
              <w:rPr>
                <w:rFonts w:ascii="Calibri" w:hAnsi="Calibri"/>
              </w:rPr>
              <w:t>(</w:t>
            </w:r>
            <w:r w:rsidR="005B5481" w:rsidRPr="00860331">
              <w:rPr>
                <w:rFonts w:ascii="Calibri" w:hAnsi="Calibri"/>
              </w:rPr>
              <w:t>оператор</w:t>
            </w:r>
            <w:r w:rsidRPr="00860331">
              <w:rPr>
                <w:rFonts w:ascii="Calibri" w:hAnsi="Calibri"/>
              </w:rPr>
              <w:t xml:space="preserve"> платежных систем), определен Законом </w:t>
            </w:r>
            <w:r w:rsidR="005B5481" w:rsidRPr="00860331">
              <w:rPr>
                <w:rFonts w:ascii="Calibri" w:hAnsi="Calibri"/>
              </w:rPr>
              <w:t>Р</w:t>
            </w:r>
            <w:r w:rsidR="008B106E" w:rsidRPr="00860331">
              <w:rPr>
                <w:rFonts w:ascii="Calibri" w:hAnsi="Calibri"/>
              </w:rPr>
              <w:t>еспублики Казахстан</w:t>
            </w:r>
            <w:r w:rsidR="005B5481" w:rsidRPr="00860331">
              <w:rPr>
                <w:rFonts w:ascii="Calibri" w:hAnsi="Calibri"/>
              </w:rPr>
              <w:t xml:space="preserve"> «О Национальном Банке Республики Казахстан» </w:t>
            </w:r>
            <w:r w:rsidRPr="00860331">
              <w:rPr>
                <w:rFonts w:ascii="Calibri" w:hAnsi="Calibri"/>
              </w:rPr>
              <w:t xml:space="preserve">и Положением </w:t>
            </w:r>
            <w:r w:rsidR="00CC6A0E" w:rsidRPr="00860331">
              <w:rPr>
                <w:rFonts w:ascii="Calibri" w:hAnsi="Calibri"/>
              </w:rPr>
              <w:t>о</w:t>
            </w:r>
            <w:r w:rsidR="005B5481" w:rsidRPr="00860331">
              <w:rPr>
                <w:rFonts w:ascii="Calibri" w:hAnsi="Calibri"/>
              </w:rPr>
              <w:t xml:space="preserve"> Национальном Банке Казахстан</w:t>
            </w:r>
            <w:r w:rsidR="00842C3A" w:rsidRPr="00860331">
              <w:rPr>
                <w:rFonts w:ascii="Calibri" w:hAnsi="Calibri"/>
              </w:rPr>
              <w:t>а</w:t>
            </w:r>
            <w:r w:rsidRPr="00860331">
              <w:rPr>
                <w:rFonts w:ascii="Calibri" w:hAnsi="Calibri"/>
              </w:rPr>
              <w:t xml:space="preserve">. </w:t>
            </w:r>
          </w:p>
          <w:p w:rsidR="006F65CE" w:rsidRPr="00860331" w:rsidRDefault="006F65CE" w:rsidP="00842C3A">
            <w:pPr>
              <w:jc w:val="both"/>
              <w:rPr>
                <w:rFonts w:ascii="Calibri" w:hAnsi="Calibri"/>
              </w:rPr>
            </w:pPr>
            <w:r w:rsidRPr="00860331">
              <w:rPr>
                <w:rFonts w:ascii="Calibri" w:hAnsi="Calibri"/>
              </w:rPr>
              <w:t xml:space="preserve">Органами </w:t>
            </w:r>
            <w:r w:rsidR="005B5481" w:rsidRPr="00860331">
              <w:rPr>
                <w:rFonts w:ascii="Calibri" w:hAnsi="Calibri"/>
              </w:rPr>
              <w:t>Национального Банка Казахстан</w:t>
            </w:r>
            <w:r w:rsidR="00842C3A" w:rsidRPr="00860331">
              <w:rPr>
                <w:rFonts w:ascii="Calibri" w:hAnsi="Calibri"/>
              </w:rPr>
              <w:t>а</w:t>
            </w:r>
            <w:r w:rsidRPr="00860331">
              <w:rPr>
                <w:rFonts w:ascii="Calibri" w:hAnsi="Calibri"/>
              </w:rPr>
              <w:t xml:space="preserve"> являются Правление и Совет директоров. </w:t>
            </w:r>
            <w:r w:rsidR="0047262C" w:rsidRPr="00860331">
              <w:rPr>
                <w:rFonts w:ascii="Calibri" w:hAnsi="Calibri"/>
              </w:rPr>
              <w:t>Функции Правления и Совета директоров установлены в Законе РК «О Национальном Банке Республики Казахстан» и Положением о Национальном Банке Казахстан</w:t>
            </w:r>
            <w:r w:rsidR="00842C3A" w:rsidRPr="00860331">
              <w:rPr>
                <w:rFonts w:ascii="Calibri" w:hAnsi="Calibri"/>
              </w:rPr>
              <w:t>а</w:t>
            </w:r>
            <w:r w:rsidR="0047262C" w:rsidRPr="00860331">
              <w:rPr>
                <w:rFonts w:ascii="Calibri" w:hAnsi="Calibri"/>
              </w:rPr>
              <w:t>.</w:t>
            </w:r>
          </w:p>
        </w:tc>
      </w:tr>
      <w:tr w:rsidR="006F65CE" w:rsidRPr="00FE202D" w:rsidTr="00610467">
        <w:trPr>
          <w:trHeight w:val="530"/>
        </w:trPr>
        <w:tc>
          <w:tcPr>
            <w:tcW w:w="9644" w:type="dxa"/>
            <w:gridSpan w:val="2"/>
            <w:shd w:val="clear" w:color="auto" w:fill="F3F3F3"/>
          </w:tcPr>
          <w:p w:rsidR="006F65CE" w:rsidRPr="005C7913" w:rsidRDefault="006F65CE" w:rsidP="005C7913">
            <w:pPr>
              <w:rPr>
                <w:rFonts w:ascii="Calibri" w:hAnsi="Calibri"/>
                <w:b/>
                <w:bCs/>
                <w:i/>
                <w:color w:val="548DD4" w:themeColor="text2" w:themeTint="99"/>
              </w:rPr>
            </w:pPr>
            <w:bookmarkStart w:id="23" w:name="_Toc407204667"/>
            <w:bookmarkStart w:id="24" w:name="_Toc480772945"/>
            <w:bookmarkStart w:id="25" w:name="_Toc480825634"/>
            <w:bookmarkStart w:id="26" w:name="_Toc481139475"/>
            <w:r w:rsidRPr="005C7913">
              <w:rPr>
                <w:rFonts w:ascii="Calibri" w:hAnsi="Calibri"/>
                <w:b/>
                <w:bCs/>
                <w:i/>
                <w:color w:val="548DD4" w:themeColor="text2" w:themeTint="99"/>
              </w:rPr>
              <w:t>Принцип 3. Система комплексного управления рисками</w:t>
            </w:r>
            <w:bookmarkEnd w:id="23"/>
            <w:bookmarkEnd w:id="24"/>
            <w:bookmarkEnd w:id="25"/>
            <w:bookmarkEnd w:id="26"/>
            <w:r w:rsidRPr="005C7913">
              <w:rPr>
                <w:rFonts w:ascii="Calibri" w:hAnsi="Calibri"/>
                <w:b/>
                <w:bCs/>
                <w:i/>
                <w:color w:val="548DD4" w:themeColor="text2" w:themeTint="99"/>
              </w:rPr>
              <w:t xml:space="preserve"> </w:t>
            </w:r>
          </w:p>
          <w:p w:rsidR="006F65CE" w:rsidRPr="00FE202D" w:rsidRDefault="006F65CE" w:rsidP="00610467">
            <w:pPr>
              <w:jc w:val="both"/>
              <w:rPr>
                <w:rFonts w:ascii="Calibri" w:hAnsi="Calibri"/>
                <w:i/>
              </w:rPr>
            </w:pPr>
            <w:r w:rsidRPr="00FE202D">
              <w:rPr>
                <w:rFonts w:ascii="Calibri" w:eastAsia="ArialMT" w:hAnsi="Calibri"/>
                <w:i/>
              </w:rPr>
              <w:t xml:space="preserve">ИФР должна иметь устойчивую систему риск-менеджмента для </w:t>
            </w:r>
            <w:proofErr w:type="gramStart"/>
            <w:r w:rsidRPr="00FE202D">
              <w:rPr>
                <w:rFonts w:ascii="Calibri" w:eastAsia="ArialMT" w:hAnsi="Calibri"/>
                <w:i/>
              </w:rPr>
              <w:t>комплексного</w:t>
            </w:r>
            <w:proofErr w:type="gramEnd"/>
            <w:r w:rsidRPr="00FE202D">
              <w:rPr>
                <w:rFonts w:ascii="Calibri" w:eastAsia="ArialMT" w:hAnsi="Calibri"/>
                <w:i/>
              </w:rPr>
              <w:t xml:space="preserve"> управления правовым и кредитным рисками, риском ликвидности, операционным и другими рисками</w:t>
            </w:r>
          </w:p>
        </w:tc>
      </w:tr>
      <w:tr w:rsidR="006F65CE" w:rsidRPr="00687214" w:rsidTr="00610467">
        <w:tc>
          <w:tcPr>
            <w:tcW w:w="1364" w:type="dxa"/>
            <w:shd w:val="clear" w:color="auto" w:fill="F3F3F3"/>
          </w:tcPr>
          <w:p w:rsidR="006F65CE" w:rsidRPr="00687214" w:rsidRDefault="006F65CE" w:rsidP="007D0CC8">
            <w:pPr>
              <w:spacing w:line="235" w:lineRule="auto"/>
              <w:rPr>
                <w:rFonts w:ascii="Calibri" w:hAnsi="Calibri"/>
                <w:i/>
              </w:rPr>
            </w:pPr>
            <w:r w:rsidRPr="00687214">
              <w:rPr>
                <w:rFonts w:ascii="Calibri" w:hAnsi="Calibri"/>
                <w:i/>
              </w:rPr>
              <w:t>Краткое изложение</w:t>
            </w:r>
          </w:p>
        </w:tc>
        <w:tc>
          <w:tcPr>
            <w:tcW w:w="8280" w:type="dxa"/>
            <w:shd w:val="clear" w:color="auto" w:fill="F3F3F3"/>
          </w:tcPr>
          <w:p w:rsidR="006F65CE" w:rsidRPr="00860331" w:rsidRDefault="006F65CE" w:rsidP="007D0CC8">
            <w:pPr>
              <w:autoSpaceDE w:val="0"/>
              <w:autoSpaceDN w:val="0"/>
              <w:adjustRightInd w:val="0"/>
              <w:spacing w:line="235" w:lineRule="auto"/>
              <w:jc w:val="both"/>
              <w:rPr>
                <w:rFonts w:ascii="Calibri" w:eastAsia="ArialMT" w:hAnsi="Calibri"/>
              </w:rPr>
            </w:pPr>
            <w:r w:rsidRPr="00687214">
              <w:rPr>
                <w:rFonts w:ascii="Calibri" w:eastAsia="ArialMT" w:hAnsi="Calibri"/>
              </w:rPr>
              <w:t xml:space="preserve">Система управления рисками </w:t>
            </w:r>
            <w:r w:rsidR="002C2AFD">
              <w:rPr>
                <w:rFonts w:ascii="Calibri" w:eastAsia="ArialMT" w:hAnsi="Calibri"/>
              </w:rPr>
              <w:t xml:space="preserve">в платежных системах </w:t>
            </w:r>
            <w:r w:rsidRPr="00687214">
              <w:rPr>
                <w:rFonts w:ascii="Calibri" w:eastAsia="ArialMT" w:hAnsi="Calibri"/>
              </w:rPr>
              <w:t xml:space="preserve">направлена на обеспечение </w:t>
            </w:r>
            <w:r w:rsidR="002C2AFD" w:rsidRPr="00860331">
              <w:rPr>
                <w:rFonts w:ascii="Calibri" w:eastAsia="ArialMT" w:hAnsi="Calibri"/>
              </w:rPr>
              <w:t xml:space="preserve">их </w:t>
            </w:r>
            <w:r w:rsidRPr="00860331">
              <w:rPr>
                <w:rFonts w:ascii="Calibri" w:eastAsia="ArialMT" w:hAnsi="Calibri"/>
              </w:rPr>
              <w:t xml:space="preserve">эффективного, безопасного и беспрерывного функционирования. Оценка рисков, присущих платежным системам, осуществляется </w:t>
            </w:r>
            <w:r w:rsidR="002D2649" w:rsidRPr="00860331">
              <w:rPr>
                <w:rFonts w:ascii="Calibri" w:eastAsia="ArialMT" w:hAnsi="Calibri"/>
              </w:rPr>
              <w:t xml:space="preserve">Национальным Банком </w:t>
            </w:r>
            <w:r w:rsidR="00B47A6D" w:rsidRPr="00860331">
              <w:rPr>
                <w:rFonts w:ascii="Calibri" w:eastAsia="ArialMT" w:hAnsi="Calibri"/>
              </w:rPr>
              <w:t>Казахстана</w:t>
            </w:r>
            <w:r w:rsidR="002D2649" w:rsidRPr="00860331">
              <w:rPr>
                <w:rFonts w:ascii="Calibri" w:eastAsia="ArialMT" w:hAnsi="Calibri"/>
              </w:rPr>
              <w:t xml:space="preserve"> в рамках </w:t>
            </w:r>
            <w:r w:rsidRPr="00860331">
              <w:rPr>
                <w:rFonts w:ascii="Calibri" w:eastAsia="ArialMT" w:hAnsi="Calibri"/>
              </w:rPr>
              <w:t>анализа бизнес-процесса «Обеспечение фун</w:t>
            </w:r>
            <w:r w:rsidR="002D2649" w:rsidRPr="00860331">
              <w:rPr>
                <w:rFonts w:ascii="Calibri" w:eastAsia="ArialMT" w:hAnsi="Calibri"/>
              </w:rPr>
              <w:t>кционирования платежных систем»</w:t>
            </w:r>
            <w:r w:rsidR="00B47A6D" w:rsidRPr="00860331">
              <w:rPr>
                <w:rFonts w:ascii="Calibri" w:eastAsia="ArialMT" w:hAnsi="Calibri"/>
              </w:rPr>
              <w:t xml:space="preserve"> и</w:t>
            </w:r>
            <w:r w:rsidRPr="00860331">
              <w:rPr>
                <w:rFonts w:ascii="Calibri" w:eastAsia="ArialMT" w:hAnsi="Calibri"/>
              </w:rPr>
              <w:t xml:space="preserve"> надзора (оверсайта) платежных систем. </w:t>
            </w:r>
          </w:p>
          <w:p w:rsidR="006F65CE" w:rsidRPr="00687214" w:rsidRDefault="006F65CE" w:rsidP="007D0CC8">
            <w:pPr>
              <w:suppressAutoHyphens/>
              <w:autoSpaceDE w:val="0"/>
              <w:autoSpaceDN w:val="0"/>
              <w:adjustRightInd w:val="0"/>
              <w:spacing w:line="235" w:lineRule="auto"/>
              <w:jc w:val="both"/>
              <w:rPr>
                <w:rFonts w:ascii="Calibri" w:eastAsia="ArialMT" w:hAnsi="Calibri"/>
              </w:rPr>
            </w:pPr>
            <w:r w:rsidRPr="00860331">
              <w:rPr>
                <w:rFonts w:ascii="Calibri" w:eastAsia="ArialMT" w:hAnsi="Calibri"/>
              </w:rPr>
              <w:t>По каждому виду рисков предусмотрены методы их управления и минимизации (см. Принципы 4 «Кредитный риск», 7 «Риск ликвидности», 17 «Операционный риск»).</w:t>
            </w:r>
            <w:r w:rsidRPr="00687214">
              <w:rPr>
                <w:rFonts w:ascii="Calibri" w:eastAsia="ArialMT" w:hAnsi="Calibri"/>
              </w:rPr>
              <w:t xml:space="preserve"> </w:t>
            </w:r>
          </w:p>
          <w:p w:rsidR="006F65CE" w:rsidRPr="00687214" w:rsidRDefault="006F65CE" w:rsidP="007D0CC8">
            <w:pPr>
              <w:suppressAutoHyphens/>
              <w:spacing w:line="235" w:lineRule="auto"/>
              <w:jc w:val="both"/>
              <w:rPr>
                <w:rFonts w:ascii="Calibri" w:hAnsi="Calibri"/>
              </w:rPr>
            </w:pPr>
            <w:r w:rsidRPr="00687214">
              <w:rPr>
                <w:rFonts w:ascii="Calibri" w:eastAsia="ArialMT" w:hAnsi="Calibri"/>
              </w:rPr>
              <w:t xml:space="preserve">Информация о рисках, присущих </w:t>
            </w:r>
            <w:r w:rsidR="005B5481" w:rsidRPr="00687214">
              <w:rPr>
                <w:rFonts w:ascii="Calibri" w:eastAsia="ArialMT" w:hAnsi="Calibri"/>
              </w:rPr>
              <w:t>платежным системам</w:t>
            </w:r>
            <w:r w:rsidRPr="00687214">
              <w:rPr>
                <w:rFonts w:ascii="Calibri" w:eastAsia="ArialMT" w:hAnsi="Calibri"/>
              </w:rPr>
              <w:t xml:space="preserve">, и методах их управления представлена в </w:t>
            </w:r>
            <w:r w:rsidR="005B5481" w:rsidRPr="00687214">
              <w:rPr>
                <w:rFonts w:ascii="Calibri" w:eastAsia="ArialMT" w:hAnsi="Calibri"/>
              </w:rPr>
              <w:t>соответствующих нормативных правовых актах.</w:t>
            </w:r>
          </w:p>
        </w:tc>
      </w:tr>
      <w:tr w:rsidR="007D0CC8" w:rsidRPr="00687214" w:rsidTr="0035580C">
        <w:tc>
          <w:tcPr>
            <w:tcW w:w="9644" w:type="dxa"/>
            <w:gridSpan w:val="2"/>
            <w:shd w:val="clear" w:color="auto" w:fill="F3F3F3"/>
          </w:tcPr>
          <w:p w:rsidR="007D0CC8" w:rsidRPr="005C7913" w:rsidRDefault="007D0CC8" w:rsidP="005C7913">
            <w:pPr>
              <w:rPr>
                <w:rFonts w:ascii="Calibri" w:hAnsi="Calibri"/>
                <w:b/>
                <w:bCs/>
                <w:i/>
                <w:color w:val="548DD4" w:themeColor="text2" w:themeTint="99"/>
              </w:rPr>
            </w:pPr>
            <w:bookmarkStart w:id="27" w:name="_Toc407204668"/>
            <w:bookmarkStart w:id="28" w:name="_Toc480772946"/>
            <w:bookmarkStart w:id="29" w:name="_Toc480825635"/>
            <w:bookmarkStart w:id="30" w:name="_Toc481139476"/>
            <w:r w:rsidRPr="005C7913">
              <w:rPr>
                <w:rFonts w:ascii="Calibri" w:hAnsi="Calibri"/>
                <w:b/>
                <w:bCs/>
                <w:i/>
                <w:color w:val="548DD4" w:themeColor="text2" w:themeTint="99"/>
              </w:rPr>
              <w:t>Принцип 4. Кредитный риск</w:t>
            </w:r>
            <w:bookmarkEnd w:id="27"/>
            <w:bookmarkEnd w:id="28"/>
            <w:bookmarkEnd w:id="29"/>
            <w:bookmarkEnd w:id="30"/>
          </w:p>
          <w:p w:rsidR="007D0CC8" w:rsidRPr="00687214" w:rsidRDefault="007D0CC8" w:rsidP="007D0CC8">
            <w:pPr>
              <w:autoSpaceDE w:val="0"/>
              <w:autoSpaceDN w:val="0"/>
              <w:adjustRightInd w:val="0"/>
              <w:spacing w:line="235" w:lineRule="auto"/>
              <w:jc w:val="both"/>
              <w:rPr>
                <w:rFonts w:ascii="Calibri" w:eastAsia="ArialMT" w:hAnsi="Calibri"/>
              </w:rPr>
            </w:pPr>
            <w:r w:rsidRPr="007D0CC8">
              <w:rPr>
                <w:rFonts w:ascii="Calibri" w:hAnsi="Calibri"/>
                <w:bCs/>
                <w:i/>
                <w:spacing w:val="-4"/>
              </w:rPr>
              <w:t xml:space="preserve">ИФР    должна   обеспечивать    эффективное      измерение,   проводить    мониторинг    и управлять  своими    кредитными  рисками,  создаваемыми  участниками,  а  также  ее  платежными,       клиринговыми      и    расчетными      процессами.      ИФР     должна  поддерживать     достаточные    финансовые     ресурсы,   покрывающие      ее  кредитные  </w:t>
            </w:r>
            <w:r w:rsidRPr="007D0CC8">
              <w:rPr>
                <w:rFonts w:ascii="Calibri" w:hAnsi="Calibri"/>
                <w:bCs/>
                <w:i/>
                <w:spacing w:val="-4"/>
              </w:rPr>
              <w:lastRenderedPageBreak/>
              <w:t>риски,   создаваемые     каждым    из  участников,   в  полном    объеме    и с высокой  степенью уверенности. Кроме того, ЦКА, ведущий деятельность  с более сложным  профилем риска или являющийся  системно значимым  в нескольких юрисдикциях,  должен    поддерживать  дополнительные       финансовые     ресурсы,  достаточные     для покрытия  широкого  спектра  потенциальных  стрессовых  сценариев,  включающих,  но   не   ограничивающихся,  дефолтом  двух  крупнейших  участников и их  аффилированных лиц, потенциально способных  вызвать наибольший совокупный  кредитный  риск  у   ЦКА  в  экстремальных,  но  вероятных  рыночных  условиях. Все  другие  ЦКА должны поддерживать общие финансовые ресурсы, по меньшей мере,  достаточные      для    покрытия     дефолта     одного     из   участников     или    его  аффилированного        лица,    потенциально      способных      вызвать     наибольший  совокупный    кредитный    риск  у  ЦКА   в экстремальных,  но  вероятных рыночных условиях.</w:t>
            </w:r>
          </w:p>
        </w:tc>
      </w:tr>
      <w:tr w:rsidR="006F65CE" w:rsidRPr="00687214"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lastRenderedPageBreak/>
              <w:t>Краткое изложение</w:t>
            </w:r>
          </w:p>
        </w:tc>
        <w:tc>
          <w:tcPr>
            <w:tcW w:w="8280" w:type="dxa"/>
            <w:shd w:val="clear" w:color="auto" w:fill="F3F3F3"/>
          </w:tcPr>
          <w:p w:rsidR="006F65CE" w:rsidRPr="00860331" w:rsidRDefault="006F65CE" w:rsidP="00610467">
            <w:pPr>
              <w:suppressAutoHyphens/>
              <w:jc w:val="both"/>
              <w:rPr>
                <w:rFonts w:ascii="Calibri" w:eastAsia="ArialMT" w:hAnsi="Calibri"/>
              </w:rPr>
            </w:pPr>
            <w:r w:rsidRPr="00860331">
              <w:rPr>
                <w:rFonts w:ascii="Calibri" w:eastAsia="ArialMT" w:hAnsi="Calibri"/>
              </w:rPr>
              <w:t xml:space="preserve">МСПД является системой валовых расчетов в режиме реального времени и </w:t>
            </w:r>
            <w:proofErr w:type="gramStart"/>
            <w:r w:rsidRPr="00860331">
              <w:rPr>
                <w:rFonts w:ascii="Calibri" w:eastAsia="ArialMT" w:hAnsi="Calibri"/>
              </w:rPr>
              <w:t>обеспечивает гарантию</w:t>
            </w:r>
            <w:proofErr w:type="gramEnd"/>
            <w:r w:rsidRPr="00860331">
              <w:rPr>
                <w:rFonts w:ascii="Calibri" w:eastAsia="ArialMT" w:hAnsi="Calibri"/>
              </w:rPr>
              <w:t xml:space="preserve"> расчетов в течение одного операционного дня.</w:t>
            </w:r>
            <w:r w:rsidR="002D2649" w:rsidRPr="00860331">
              <w:rPr>
                <w:rFonts w:ascii="Calibri" w:eastAsia="ArialMT" w:hAnsi="Calibri"/>
              </w:rPr>
              <w:t xml:space="preserve"> В СМК отсутствует предварительное депонирование средств, расчеты осуществляются посредством клиринга платежных сообщений.  </w:t>
            </w:r>
            <w:r w:rsidRPr="00860331">
              <w:rPr>
                <w:rFonts w:ascii="Calibri" w:eastAsia="ArialMT" w:hAnsi="Calibri"/>
              </w:rPr>
              <w:t>Методы управления риском ликвидности и системным риском представлены при описании Принципа 7 «Риск ликвидности».</w:t>
            </w:r>
          </w:p>
          <w:p w:rsidR="006F65CE" w:rsidRPr="00860331" w:rsidRDefault="005528B2" w:rsidP="00610467">
            <w:pPr>
              <w:suppressAutoHyphens/>
              <w:jc w:val="both"/>
              <w:rPr>
                <w:rFonts w:ascii="Calibri" w:eastAsia="ArialMT" w:hAnsi="Calibri"/>
              </w:rPr>
            </w:pPr>
            <w:r w:rsidRPr="00860331">
              <w:rPr>
                <w:rFonts w:ascii="Calibri" w:eastAsia="ArialMT" w:hAnsi="Calibri"/>
              </w:rPr>
              <w:t>В МСПД в целях управления кредитным риском предусмотрен механизм предоставления Национальным Банком</w:t>
            </w:r>
            <w:r w:rsidR="00AB2BFD" w:rsidRPr="00860331">
              <w:rPr>
                <w:rFonts w:ascii="Calibri" w:eastAsia="ArialMT" w:hAnsi="Calibri"/>
              </w:rPr>
              <w:t xml:space="preserve"> Казахстана</w:t>
            </w:r>
            <w:r w:rsidRPr="00860331">
              <w:rPr>
                <w:rFonts w:ascii="Calibri" w:eastAsia="ArialMT" w:hAnsi="Calibri"/>
              </w:rPr>
              <w:t xml:space="preserve"> внутридневной ликвидности участнику </w:t>
            </w:r>
            <w:r w:rsidR="00FE202D" w:rsidRPr="00860331">
              <w:rPr>
                <w:rFonts w:ascii="Calibri" w:eastAsia="ArialMT" w:hAnsi="Calibri"/>
              </w:rPr>
              <w:t xml:space="preserve">платежной </w:t>
            </w:r>
            <w:r w:rsidRPr="00860331">
              <w:rPr>
                <w:rFonts w:ascii="Calibri" w:eastAsia="ArialMT" w:hAnsi="Calibri"/>
              </w:rPr>
              <w:t>системы в случае наличия у него проблем с ликвидностью для завершения платежа. Механизм заключения сделки «овердрафт» полностью автоматизирован и предполагает предоставление ликвидности в считанные минуты.</w:t>
            </w:r>
          </w:p>
          <w:p w:rsidR="002D2649" w:rsidRPr="00687214" w:rsidRDefault="002D2649" w:rsidP="00610467">
            <w:pPr>
              <w:suppressAutoHyphens/>
              <w:jc w:val="both"/>
              <w:rPr>
                <w:rFonts w:ascii="Calibri" w:hAnsi="Calibri"/>
              </w:rPr>
            </w:pPr>
            <w:r w:rsidRPr="00860331">
              <w:rPr>
                <w:rFonts w:ascii="Calibri" w:eastAsia="ArialMT" w:hAnsi="Calibri"/>
              </w:rPr>
              <w:t>Кроме того, предусмотрены процедуры</w:t>
            </w:r>
            <w:r w:rsidR="00FE202D" w:rsidRPr="00860331">
              <w:rPr>
                <w:rFonts w:ascii="Calibri" w:eastAsia="ArialMT" w:hAnsi="Calibri"/>
              </w:rPr>
              <w:t>,</w:t>
            </w:r>
            <w:r w:rsidRPr="00860331">
              <w:rPr>
                <w:rFonts w:ascii="Calibri" w:eastAsia="ArialMT" w:hAnsi="Calibri"/>
              </w:rPr>
              <w:t xml:space="preserve"> направленные на пополнение ликвидности участников платежных систем в отдельных стрессовых ситуациях.</w:t>
            </w:r>
          </w:p>
        </w:tc>
      </w:tr>
      <w:tr w:rsidR="006F65CE" w:rsidRPr="00FE202D" w:rsidTr="00610467">
        <w:trPr>
          <w:trHeight w:val="530"/>
        </w:trPr>
        <w:tc>
          <w:tcPr>
            <w:tcW w:w="9644" w:type="dxa"/>
            <w:gridSpan w:val="2"/>
            <w:shd w:val="clear" w:color="auto" w:fill="F3F3F3"/>
          </w:tcPr>
          <w:p w:rsidR="006F65CE" w:rsidRPr="005C7913" w:rsidRDefault="006F65CE" w:rsidP="005C7913">
            <w:pPr>
              <w:rPr>
                <w:rFonts w:ascii="Calibri" w:hAnsi="Calibri"/>
                <w:b/>
                <w:bCs/>
                <w:i/>
                <w:color w:val="548DD4" w:themeColor="text2" w:themeTint="99"/>
              </w:rPr>
            </w:pPr>
            <w:bookmarkStart w:id="31" w:name="_Toc407204669"/>
            <w:bookmarkStart w:id="32" w:name="_Toc480772947"/>
            <w:bookmarkStart w:id="33" w:name="_Toc480825636"/>
            <w:bookmarkStart w:id="34" w:name="_Toc481139477"/>
            <w:r w:rsidRPr="005C7913">
              <w:rPr>
                <w:rFonts w:ascii="Calibri" w:hAnsi="Calibri"/>
                <w:b/>
                <w:bCs/>
                <w:i/>
                <w:color w:val="548DD4" w:themeColor="text2" w:themeTint="99"/>
              </w:rPr>
              <w:t>Принцип 5. Залоговое обеспечение</w:t>
            </w:r>
            <w:bookmarkEnd w:id="31"/>
            <w:bookmarkEnd w:id="32"/>
            <w:bookmarkEnd w:id="33"/>
            <w:bookmarkEnd w:id="34"/>
          </w:p>
          <w:p w:rsidR="006F65CE" w:rsidRPr="00FE202D" w:rsidRDefault="006F65CE" w:rsidP="00610467">
            <w:pPr>
              <w:jc w:val="both"/>
              <w:rPr>
                <w:rFonts w:ascii="Calibri" w:hAnsi="Calibri"/>
                <w:i/>
              </w:rPr>
            </w:pPr>
            <w:r w:rsidRPr="00FE202D">
              <w:rPr>
                <w:rFonts w:ascii="Calibri" w:eastAsia="ArialMT" w:hAnsi="Calibri"/>
                <w:bCs/>
                <w:i/>
              </w:rPr>
              <w:t>ИФР, нуждающаяся в залоговом обеспечении для управления своим кредитным риском и кредитными рисками своих участников, должна принимать залоговое обеспечение с низким кредитным и рыночным риском и риском ликвидности. ИФР также должна установить и применять достаточно консервативные «стрижки» и лимиты концентрации</w:t>
            </w:r>
          </w:p>
        </w:tc>
      </w:tr>
      <w:tr w:rsidR="006F65CE" w:rsidRPr="00687214"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t>Краткое изложение</w:t>
            </w:r>
          </w:p>
        </w:tc>
        <w:tc>
          <w:tcPr>
            <w:tcW w:w="8280" w:type="dxa"/>
            <w:shd w:val="clear" w:color="auto" w:fill="F3F3F3"/>
          </w:tcPr>
          <w:p w:rsidR="002D2649" w:rsidRPr="00860331" w:rsidRDefault="002D2649" w:rsidP="00610467">
            <w:pPr>
              <w:jc w:val="both"/>
              <w:rPr>
                <w:rFonts w:ascii="Calibri" w:eastAsia="ArialMT" w:hAnsi="Calibri"/>
                <w:bCs/>
              </w:rPr>
            </w:pPr>
            <w:r w:rsidRPr="00860331">
              <w:rPr>
                <w:rFonts w:ascii="Calibri" w:eastAsia="ArialMT" w:hAnsi="Calibri"/>
                <w:bCs/>
              </w:rPr>
              <w:t>Предоставление Национальным Банком Казахстан</w:t>
            </w:r>
            <w:r w:rsidR="00AB2BFD" w:rsidRPr="00860331">
              <w:rPr>
                <w:rFonts w:ascii="Calibri" w:eastAsia="ArialMT" w:hAnsi="Calibri"/>
                <w:bCs/>
              </w:rPr>
              <w:t>а</w:t>
            </w:r>
            <w:r w:rsidRPr="00860331">
              <w:rPr>
                <w:rFonts w:ascii="Calibri" w:eastAsia="ArialMT" w:hAnsi="Calibri"/>
                <w:bCs/>
              </w:rPr>
              <w:t xml:space="preserve"> в МСПД участникам ликвидности «овердрафт» осуществляется под залог государственных эмиссионных ценных бумаг, эмитируемых Министерством финансов Республики Казахстан от лица Правительства Республики Казахстан (государственные казначейские обязательства), за исключением государственных долгосрочных сберегательных казначейских обязательств, привязанных к индексу инфляции</w:t>
            </w:r>
            <w:r w:rsidR="00CD23AC" w:rsidRPr="00860331">
              <w:rPr>
                <w:rFonts w:ascii="Calibri" w:eastAsia="ArialMT" w:hAnsi="Calibri"/>
                <w:bCs/>
              </w:rPr>
              <w:t>.</w:t>
            </w:r>
          </w:p>
          <w:p w:rsidR="002D2649" w:rsidRPr="00687214" w:rsidRDefault="002D2649" w:rsidP="0032750B">
            <w:pPr>
              <w:jc w:val="both"/>
              <w:rPr>
                <w:rFonts w:ascii="Calibri" w:hAnsi="Calibri"/>
              </w:rPr>
            </w:pPr>
            <w:r w:rsidRPr="00860331">
              <w:rPr>
                <w:rFonts w:ascii="Calibri" w:eastAsia="ArialMT" w:hAnsi="Calibri"/>
                <w:bCs/>
              </w:rPr>
              <w:t xml:space="preserve"> </w:t>
            </w:r>
            <w:r w:rsidR="00CD23AC" w:rsidRPr="00860331">
              <w:rPr>
                <w:rFonts w:ascii="Calibri" w:eastAsia="ArialMT" w:hAnsi="Calibri"/>
                <w:bCs/>
              </w:rPr>
              <w:t>Л</w:t>
            </w:r>
            <w:r w:rsidRPr="00860331">
              <w:rPr>
                <w:rFonts w:ascii="Calibri" w:eastAsia="ArialMT" w:hAnsi="Calibri"/>
                <w:bCs/>
              </w:rPr>
              <w:t xml:space="preserve">иквидность (овердрафт) представляется в рамках устанавливаемого на ежемесячной основе дневного лимита (лимит, установленный для </w:t>
            </w:r>
            <w:r w:rsidR="00FE202D" w:rsidRPr="00860331">
              <w:rPr>
                <w:rFonts w:ascii="Calibri" w:eastAsia="ArialMT" w:hAnsi="Calibri"/>
                <w:bCs/>
              </w:rPr>
              <w:t>участника платежной системы</w:t>
            </w:r>
            <w:r w:rsidRPr="00860331">
              <w:rPr>
                <w:rFonts w:ascii="Calibri" w:eastAsia="ArialMT" w:hAnsi="Calibri"/>
                <w:bCs/>
              </w:rPr>
              <w:t xml:space="preserve"> для использования в течение одного операционного дня МСПД, рассчитывается в определенном </w:t>
            </w:r>
            <w:r w:rsidR="00CD23AC" w:rsidRPr="00860331">
              <w:rPr>
                <w:rFonts w:ascii="Calibri" w:eastAsia="ArialMT" w:hAnsi="Calibri"/>
                <w:bCs/>
              </w:rPr>
              <w:t>Национальным Банком</w:t>
            </w:r>
            <w:r w:rsidR="00AB2BFD" w:rsidRPr="00860331">
              <w:rPr>
                <w:rFonts w:ascii="Calibri" w:eastAsia="ArialMT" w:hAnsi="Calibri"/>
                <w:bCs/>
              </w:rPr>
              <w:t xml:space="preserve"> Казахстана</w:t>
            </w:r>
            <w:r w:rsidRPr="00860331">
              <w:rPr>
                <w:rFonts w:ascii="Calibri" w:eastAsia="ArialMT" w:hAnsi="Calibri"/>
                <w:bCs/>
              </w:rPr>
              <w:t xml:space="preserve"> процентном соотношении от медианного значения объема исходящих безналичных платежей данного пользователя, осуществленных через МСПД за предыдущие </w:t>
            </w:r>
            <w:r w:rsidR="0032750B" w:rsidRPr="00860331">
              <w:rPr>
                <w:rFonts w:ascii="Calibri" w:eastAsia="ArialMT" w:hAnsi="Calibri"/>
                <w:bCs/>
              </w:rPr>
              <w:t>шесть</w:t>
            </w:r>
            <w:r w:rsidRPr="00860331">
              <w:rPr>
                <w:rFonts w:ascii="Calibri" w:eastAsia="ArialMT" w:hAnsi="Calibri"/>
                <w:bCs/>
              </w:rPr>
              <w:t xml:space="preserve"> месяцев).</w:t>
            </w:r>
            <w:r w:rsidR="00CD23AC" w:rsidRPr="00860331">
              <w:rPr>
                <w:rFonts w:ascii="Calibri" w:eastAsia="ArialMT" w:hAnsi="Calibri"/>
                <w:bCs/>
              </w:rPr>
              <w:t xml:space="preserve"> П</w:t>
            </w:r>
            <w:r w:rsidRPr="00860331">
              <w:rPr>
                <w:rFonts w:ascii="Calibri" w:eastAsia="ArialMT" w:hAnsi="Calibri"/>
                <w:bCs/>
              </w:rPr>
              <w:t>олученная ликвидность</w:t>
            </w:r>
            <w:r w:rsidR="00CD23AC" w:rsidRPr="00860331">
              <w:rPr>
                <w:rFonts w:ascii="Calibri" w:eastAsia="ArialMT" w:hAnsi="Calibri"/>
                <w:bCs/>
              </w:rPr>
              <w:t xml:space="preserve"> используется для завершения платежей клиентов участников платежной системы и </w:t>
            </w:r>
            <w:r w:rsidRPr="00860331">
              <w:rPr>
                <w:rFonts w:ascii="Calibri" w:eastAsia="ArialMT" w:hAnsi="Calibri"/>
                <w:bCs/>
              </w:rPr>
              <w:t xml:space="preserve">не может быть использована пользователем МСПД для проведения платежей по </w:t>
            </w:r>
            <w:r w:rsidRPr="00860331">
              <w:rPr>
                <w:rFonts w:ascii="Calibri" w:eastAsia="ArialMT" w:hAnsi="Calibri"/>
                <w:bCs/>
              </w:rPr>
              <w:lastRenderedPageBreak/>
              <w:t xml:space="preserve">операциям на внутреннем и внешнем валютном, денежном и фондовом </w:t>
            </w:r>
            <w:proofErr w:type="gramStart"/>
            <w:r w:rsidRPr="00860331">
              <w:rPr>
                <w:rFonts w:ascii="Calibri" w:eastAsia="ArialMT" w:hAnsi="Calibri"/>
                <w:bCs/>
              </w:rPr>
              <w:t>рынках</w:t>
            </w:r>
            <w:proofErr w:type="gramEnd"/>
            <w:r w:rsidRPr="00860331">
              <w:rPr>
                <w:rFonts w:ascii="Calibri" w:eastAsia="ArialMT" w:hAnsi="Calibri"/>
                <w:bCs/>
              </w:rPr>
              <w:t>, в том числе по указаниям клиентов.</w:t>
            </w:r>
          </w:p>
        </w:tc>
      </w:tr>
      <w:tr w:rsidR="006F65CE" w:rsidRPr="00FE202D" w:rsidTr="00610467">
        <w:trPr>
          <w:trHeight w:val="530"/>
        </w:trPr>
        <w:tc>
          <w:tcPr>
            <w:tcW w:w="9644" w:type="dxa"/>
            <w:gridSpan w:val="2"/>
            <w:shd w:val="clear" w:color="auto" w:fill="F3F3F3"/>
          </w:tcPr>
          <w:p w:rsidR="006F65CE" w:rsidRPr="005C7913" w:rsidRDefault="006F65CE" w:rsidP="005C7913">
            <w:pPr>
              <w:rPr>
                <w:rFonts w:ascii="Calibri" w:hAnsi="Calibri"/>
                <w:b/>
                <w:bCs/>
                <w:i/>
                <w:color w:val="548DD4" w:themeColor="text2" w:themeTint="99"/>
              </w:rPr>
            </w:pPr>
            <w:bookmarkStart w:id="35" w:name="_Toc407204670"/>
            <w:bookmarkStart w:id="36" w:name="_Toc480772948"/>
            <w:bookmarkStart w:id="37" w:name="_Toc480825637"/>
            <w:bookmarkStart w:id="38" w:name="_Toc481139478"/>
            <w:r w:rsidRPr="005C7913">
              <w:rPr>
                <w:rFonts w:ascii="Calibri" w:hAnsi="Calibri"/>
                <w:b/>
                <w:bCs/>
                <w:i/>
                <w:color w:val="548DD4" w:themeColor="text2" w:themeTint="99"/>
              </w:rPr>
              <w:lastRenderedPageBreak/>
              <w:t>Принцип 6. Гарантийный депозит</w:t>
            </w:r>
            <w:bookmarkEnd w:id="35"/>
            <w:bookmarkEnd w:id="36"/>
            <w:bookmarkEnd w:id="37"/>
            <w:bookmarkEnd w:id="38"/>
          </w:p>
          <w:p w:rsidR="006F65CE" w:rsidRPr="00FE202D" w:rsidRDefault="006F65CE" w:rsidP="00610467">
            <w:pPr>
              <w:jc w:val="both"/>
              <w:rPr>
                <w:rFonts w:ascii="Calibri" w:hAnsi="Calibri"/>
                <w:i/>
              </w:rPr>
            </w:pPr>
            <w:r w:rsidRPr="00FE202D">
              <w:rPr>
                <w:rFonts w:ascii="Calibri" w:eastAsia="ArialMT" w:hAnsi="Calibri"/>
                <w:bCs/>
                <w:i/>
              </w:rPr>
              <w:t>ЦКА должен покрывать свои кредитные риски, создаваемые его участниками, по всем продуктам с помощью эффективной системы гарантийных депозитов, учитывающей риски и регулярно пересматриваемой.</w:t>
            </w:r>
          </w:p>
        </w:tc>
      </w:tr>
      <w:tr w:rsidR="006F65CE" w:rsidRPr="00687214" w:rsidTr="00610467">
        <w:tc>
          <w:tcPr>
            <w:tcW w:w="1364" w:type="dxa"/>
            <w:shd w:val="clear" w:color="auto" w:fill="F3F3F3"/>
          </w:tcPr>
          <w:p w:rsidR="006F65CE" w:rsidRPr="00687214" w:rsidRDefault="006F65CE" w:rsidP="00610467">
            <w:pPr>
              <w:rPr>
                <w:rFonts w:ascii="Calibri" w:hAnsi="Calibri"/>
                <w:i/>
              </w:rPr>
            </w:pPr>
            <w:r w:rsidRPr="00687214">
              <w:rPr>
                <w:rFonts w:ascii="Calibri" w:hAnsi="Calibri"/>
                <w:i/>
              </w:rPr>
              <w:t>Краткое изложение</w:t>
            </w:r>
          </w:p>
        </w:tc>
        <w:tc>
          <w:tcPr>
            <w:tcW w:w="8280" w:type="dxa"/>
            <w:shd w:val="clear" w:color="auto" w:fill="F3F3F3"/>
          </w:tcPr>
          <w:p w:rsidR="006F65CE" w:rsidRPr="00687214" w:rsidRDefault="006F65CE" w:rsidP="00610467">
            <w:pPr>
              <w:suppressAutoHyphens/>
              <w:jc w:val="both"/>
              <w:rPr>
                <w:rFonts w:ascii="Calibri" w:hAnsi="Calibri"/>
              </w:rPr>
            </w:pPr>
            <w:r w:rsidRPr="00687214">
              <w:rPr>
                <w:rFonts w:ascii="Calibri" w:eastAsia="ArialMT" w:hAnsi="Calibri"/>
              </w:rPr>
              <w:t xml:space="preserve">Положения </w:t>
            </w:r>
            <w:r w:rsidR="003405AE">
              <w:rPr>
                <w:rFonts w:ascii="Calibri" w:eastAsia="ArialMT" w:hAnsi="Calibri"/>
              </w:rPr>
              <w:t xml:space="preserve">данного принципа не применимы в отношении </w:t>
            </w:r>
            <w:r w:rsidRPr="00687214">
              <w:rPr>
                <w:rFonts w:ascii="Calibri" w:eastAsia="ArialMT" w:hAnsi="Calibri"/>
              </w:rPr>
              <w:t>МСПД и СМК.</w:t>
            </w:r>
          </w:p>
        </w:tc>
      </w:tr>
      <w:tr w:rsidR="006F65CE" w:rsidRPr="00FE202D" w:rsidTr="00610467">
        <w:trPr>
          <w:trHeight w:val="530"/>
        </w:trPr>
        <w:tc>
          <w:tcPr>
            <w:tcW w:w="9644" w:type="dxa"/>
            <w:gridSpan w:val="2"/>
            <w:shd w:val="clear" w:color="auto" w:fill="F3F3F3"/>
          </w:tcPr>
          <w:p w:rsidR="006F65CE" w:rsidRPr="005C7913" w:rsidRDefault="006F65CE" w:rsidP="005C7913">
            <w:pPr>
              <w:rPr>
                <w:rFonts w:ascii="Calibri" w:hAnsi="Calibri"/>
                <w:b/>
                <w:bCs/>
                <w:i/>
                <w:color w:val="548DD4" w:themeColor="text2" w:themeTint="99"/>
              </w:rPr>
            </w:pPr>
            <w:bookmarkStart w:id="39" w:name="_Toc407204671"/>
            <w:bookmarkStart w:id="40" w:name="_Toc480772949"/>
            <w:bookmarkStart w:id="41" w:name="_Toc480825638"/>
            <w:bookmarkStart w:id="42" w:name="_Toc481139479"/>
            <w:r w:rsidRPr="005C7913">
              <w:rPr>
                <w:rFonts w:ascii="Calibri" w:hAnsi="Calibri"/>
                <w:b/>
                <w:bCs/>
                <w:i/>
                <w:color w:val="548DD4" w:themeColor="text2" w:themeTint="99"/>
              </w:rPr>
              <w:t>Принцип 7. Риск ликвидности</w:t>
            </w:r>
            <w:bookmarkEnd w:id="39"/>
            <w:bookmarkEnd w:id="40"/>
            <w:bookmarkEnd w:id="41"/>
            <w:bookmarkEnd w:id="42"/>
          </w:p>
          <w:p w:rsidR="006F65CE" w:rsidRPr="00FE202D" w:rsidRDefault="006F65CE" w:rsidP="00610467">
            <w:pPr>
              <w:jc w:val="both"/>
              <w:rPr>
                <w:rFonts w:ascii="Calibri" w:hAnsi="Calibri"/>
                <w:i/>
              </w:rPr>
            </w:pPr>
            <w:r w:rsidRPr="00FE202D">
              <w:rPr>
                <w:rFonts w:ascii="Calibri" w:eastAsia="ArialMT" w:hAnsi="Calibri"/>
                <w:bCs/>
                <w:i/>
              </w:rPr>
              <w:t>ИФР должна эффективно оценивать, проводить мониторинг и управлять своим риском ликвидности. ИФР должна поддерживать достаточные ликвидные ресурсы во всех необходимых валютах для осуществления расчетов по платежным обязательствам день в день и, при необходимости, в течение одного дня или нескольких дней, с высокой степенью надежности, в соответствии с широким спектром потенциально стрессовых сценариев, включающих, но не ограничивающихся невыполнением обязательств участником и его аффилированными лицами, способным привести к наибольшим совокупным обязательствам ИФР по ликвидности в экстремальных, но вероятных рыночных условиях.</w:t>
            </w:r>
          </w:p>
        </w:tc>
      </w:tr>
      <w:tr w:rsidR="006F65CE" w:rsidRPr="00687214"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t>Краткое изложение</w:t>
            </w:r>
          </w:p>
        </w:tc>
        <w:tc>
          <w:tcPr>
            <w:tcW w:w="8280" w:type="dxa"/>
            <w:shd w:val="clear" w:color="auto" w:fill="F3F3F3"/>
          </w:tcPr>
          <w:p w:rsidR="006F65CE" w:rsidRPr="00860331" w:rsidRDefault="006F65CE" w:rsidP="00610467">
            <w:pPr>
              <w:suppressAutoHyphens/>
              <w:jc w:val="both"/>
              <w:rPr>
                <w:rFonts w:ascii="Calibri" w:eastAsia="ArialMT" w:hAnsi="Calibri"/>
              </w:rPr>
            </w:pPr>
            <w:r w:rsidRPr="00860331">
              <w:rPr>
                <w:rFonts w:ascii="Calibri" w:eastAsia="ArialMT" w:hAnsi="Calibri"/>
              </w:rPr>
              <w:t>Для управления риском ликвидности в МСПД используются следующие механизмы:</w:t>
            </w:r>
          </w:p>
          <w:p w:rsidR="006F65CE" w:rsidRPr="00860331" w:rsidRDefault="006F65CE" w:rsidP="00610467">
            <w:pPr>
              <w:suppressAutoHyphens/>
              <w:jc w:val="both"/>
              <w:rPr>
                <w:rFonts w:ascii="Calibri" w:eastAsia="ArialMT" w:hAnsi="Calibri"/>
              </w:rPr>
            </w:pPr>
            <w:r w:rsidRPr="00860331">
              <w:rPr>
                <w:rFonts w:ascii="Calibri" w:eastAsia="ArialMT" w:hAnsi="Calibri"/>
              </w:rPr>
              <w:t>1) механизм управления очередью;</w:t>
            </w:r>
          </w:p>
          <w:p w:rsidR="006F65CE" w:rsidRPr="00860331" w:rsidRDefault="006F65CE" w:rsidP="00610467">
            <w:pPr>
              <w:suppressAutoHyphens/>
              <w:jc w:val="both"/>
              <w:rPr>
                <w:rFonts w:ascii="Calibri" w:eastAsia="ArialMT" w:hAnsi="Calibri"/>
              </w:rPr>
            </w:pPr>
            <w:r w:rsidRPr="00860331">
              <w:rPr>
                <w:rFonts w:ascii="Calibri" w:eastAsia="ArialMT" w:hAnsi="Calibri"/>
              </w:rPr>
              <w:t xml:space="preserve">2) дополнительные переводы денег с корреспондентского счета </w:t>
            </w:r>
            <w:r w:rsidR="005528B2" w:rsidRPr="00860331">
              <w:rPr>
                <w:rFonts w:ascii="Calibri" w:eastAsia="ArialMT" w:hAnsi="Calibri"/>
              </w:rPr>
              <w:t>участника</w:t>
            </w:r>
            <w:r w:rsidR="00FE202D" w:rsidRPr="00860331">
              <w:rPr>
                <w:rFonts w:ascii="Calibri" w:eastAsia="ArialMT" w:hAnsi="Calibri"/>
              </w:rPr>
              <w:t xml:space="preserve"> платежной системы</w:t>
            </w:r>
            <w:r w:rsidRPr="00860331">
              <w:rPr>
                <w:rFonts w:ascii="Calibri" w:eastAsia="ArialMT" w:hAnsi="Calibri"/>
              </w:rPr>
              <w:t>, открытого в Н</w:t>
            </w:r>
            <w:r w:rsidR="00CD23AC" w:rsidRPr="00860331">
              <w:rPr>
                <w:rFonts w:ascii="Calibri" w:eastAsia="ArialMT" w:hAnsi="Calibri"/>
              </w:rPr>
              <w:t>ациональном Банке Казахстан</w:t>
            </w:r>
            <w:r w:rsidR="00AB2BFD" w:rsidRPr="00860331">
              <w:rPr>
                <w:rFonts w:ascii="Calibri" w:eastAsia="ArialMT" w:hAnsi="Calibri"/>
              </w:rPr>
              <w:t>а</w:t>
            </w:r>
            <w:r w:rsidRPr="00860331">
              <w:rPr>
                <w:rFonts w:ascii="Calibri" w:eastAsia="ArialMT" w:hAnsi="Calibri"/>
              </w:rPr>
              <w:t>, на его позицию в МСПД:</w:t>
            </w:r>
          </w:p>
          <w:p w:rsidR="006F65CE" w:rsidRPr="00860331" w:rsidRDefault="006F65CE" w:rsidP="00610467">
            <w:pPr>
              <w:suppressAutoHyphens/>
              <w:jc w:val="both"/>
              <w:rPr>
                <w:rFonts w:ascii="Calibri" w:eastAsia="ArialMT" w:hAnsi="Calibri"/>
              </w:rPr>
            </w:pPr>
            <w:r w:rsidRPr="00860331">
              <w:rPr>
                <w:rFonts w:ascii="Calibri" w:eastAsia="ArialMT" w:hAnsi="Calibri"/>
              </w:rPr>
              <w:t xml:space="preserve">- в случае недостаточности ликвидности для расчета чистых позиций в МСПД по результатам клиринга; </w:t>
            </w:r>
          </w:p>
          <w:p w:rsidR="006F65CE" w:rsidRPr="00860331" w:rsidRDefault="006F65CE" w:rsidP="00610467">
            <w:pPr>
              <w:suppressAutoHyphens/>
              <w:jc w:val="both"/>
              <w:rPr>
                <w:rFonts w:ascii="Calibri" w:hAnsi="Calibri"/>
              </w:rPr>
            </w:pPr>
            <w:r w:rsidRPr="00860331">
              <w:rPr>
                <w:rFonts w:ascii="Calibri" w:eastAsia="ArialMT" w:hAnsi="Calibri"/>
              </w:rPr>
              <w:t xml:space="preserve">- при образовании очереди платежных документов у </w:t>
            </w:r>
            <w:r w:rsidR="005528B2" w:rsidRPr="00860331">
              <w:rPr>
                <w:rFonts w:ascii="Calibri" w:eastAsia="ArialMT" w:hAnsi="Calibri"/>
              </w:rPr>
              <w:t>участника</w:t>
            </w:r>
            <w:r w:rsidRPr="00860331">
              <w:rPr>
                <w:rFonts w:ascii="Calibri" w:eastAsia="ArialMT" w:hAnsi="Calibri"/>
              </w:rPr>
              <w:t xml:space="preserve"> в конце операционного дня МСПД (в течение тридцати минут до закрытия операционного дня). При отсутствии достаточной суммы денег на корреспондентском счете </w:t>
            </w:r>
            <w:r w:rsidR="00FE202D" w:rsidRPr="00860331">
              <w:rPr>
                <w:rFonts w:ascii="Calibri" w:eastAsia="ArialMT" w:hAnsi="Calibri"/>
              </w:rPr>
              <w:t>участника платежной системы</w:t>
            </w:r>
            <w:r w:rsidRPr="00860331">
              <w:rPr>
                <w:rFonts w:ascii="Calibri" w:eastAsia="ArialMT" w:hAnsi="Calibri"/>
              </w:rPr>
              <w:t xml:space="preserve"> в </w:t>
            </w:r>
            <w:r w:rsidR="005528B2" w:rsidRPr="00860331">
              <w:rPr>
                <w:rFonts w:ascii="Calibri" w:eastAsia="ArialMT" w:hAnsi="Calibri"/>
              </w:rPr>
              <w:t>Национальном Банке</w:t>
            </w:r>
            <w:r w:rsidRPr="00860331">
              <w:rPr>
                <w:rFonts w:ascii="Calibri" w:eastAsia="ArialMT" w:hAnsi="Calibri"/>
              </w:rPr>
              <w:t xml:space="preserve"> </w:t>
            </w:r>
            <w:r w:rsidR="00AB2BFD" w:rsidRPr="00860331">
              <w:rPr>
                <w:rFonts w:ascii="Calibri" w:eastAsia="ArialMT" w:hAnsi="Calibri"/>
              </w:rPr>
              <w:t xml:space="preserve">Казахстана </w:t>
            </w:r>
            <w:r w:rsidRPr="00860331">
              <w:rPr>
                <w:rFonts w:ascii="Calibri" w:eastAsia="ArialMT" w:hAnsi="Calibri"/>
              </w:rPr>
              <w:t xml:space="preserve">ответственный работник </w:t>
            </w:r>
            <w:r w:rsidR="005528B2" w:rsidRPr="00860331">
              <w:rPr>
                <w:rFonts w:ascii="Calibri" w:eastAsia="ArialMT" w:hAnsi="Calibri"/>
              </w:rPr>
              <w:t>Национального Банка</w:t>
            </w:r>
            <w:r w:rsidR="00AB2BFD" w:rsidRPr="00860331">
              <w:rPr>
                <w:rFonts w:ascii="Calibri" w:eastAsia="ArialMT" w:hAnsi="Calibri"/>
              </w:rPr>
              <w:t xml:space="preserve"> Казахстана</w:t>
            </w:r>
            <w:r w:rsidRPr="00860331">
              <w:rPr>
                <w:rFonts w:ascii="Calibri" w:eastAsia="ArialMT" w:hAnsi="Calibri"/>
              </w:rPr>
              <w:t xml:space="preserve"> совместно с </w:t>
            </w:r>
            <w:r w:rsidR="00FE202D" w:rsidRPr="00860331">
              <w:rPr>
                <w:rFonts w:ascii="Calibri" w:eastAsia="ArialMT" w:hAnsi="Calibri"/>
              </w:rPr>
              <w:t>участником</w:t>
            </w:r>
            <w:r w:rsidRPr="00860331">
              <w:rPr>
                <w:rFonts w:ascii="Calibri" w:eastAsia="ArialMT" w:hAnsi="Calibri"/>
              </w:rPr>
              <w:t xml:space="preserve"> рассматривают способы урегулирования данной очереди</w:t>
            </w:r>
            <w:r w:rsidR="005528B2" w:rsidRPr="00860331">
              <w:rPr>
                <w:rFonts w:ascii="Calibri" w:eastAsia="ArialMT" w:hAnsi="Calibri"/>
              </w:rPr>
              <w:t>;</w:t>
            </w:r>
          </w:p>
          <w:p w:rsidR="005528B2" w:rsidRPr="00860331" w:rsidRDefault="005528B2" w:rsidP="00610467">
            <w:pPr>
              <w:suppressAutoHyphens/>
              <w:jc w:val="both"/>
              <w:rPr>
                <w:rFonts w:ascii="Calibri" w:eastAsia="ArialMT" w:hAnsi="Calibri"/>
              </w:rPr>
            </w:pPr>
            <w:r w:rsidRPr="00860331">
              <w:rPr>
                <w:rFonts w:ascii="Calibri" w:eastAsia="ArialMT" w:hAnsi="Calibri"/>
              </w:rPr>
              <w:t xml:space="preserve">3) предоставление ликвидности Национальным Банком  </w:t>
            </w:r>
            <w:r w:rsidR="00AB2BFD" w:rsidRPr="00860331">
              <w:rPr>
                <w:rFonts w:ascii="Calibri" w:eastAsia="ArialMT" w:hAnsi="Calibri"/>
              </w:rPr>
              <w:t xml:space="preserve">Казахстана </w:t>
            </w:r>
            <w:r w:rsidRPr="00860331">
              <w:rPr>
                <w:rFonts w:ascii="Calibri" w:eastAsia="ArialMT" w:hAnsi="Calibri"/>
              </w:rPr>
              <w:t xml:space="preserve">участнику </w:t>
            </w:r>
            <w:r w:rsidR="00FE202D" w:rsidRPr="00860331">
              <w:rPr>
                <w:rFonts w:ascii="Calibri" w:eastAsia="ArialMT" w:hAnsi="Calibri"/>
              </w:rPr>
              <w:t xml:space="preserve">платежной </w:t>
            </w:r>
            <w:r w:rsidRPr="00860331">
              <w:rPr>
                <w:rFonts w:ascii="Calibri" w:eastAsia="ArialMT" w:hAnsi="Calibri"/>
              </w:rPr>
              <w:t xml:space="preserve">системы </w:t>
            </w:r>
            <w:r w:rsidR="00AB2BFD" w:rsidRPr="00860331">
              <w:rPr>
                <w:rFonts w:ascii="Calibri" w:eastAsia="ArialMT" w:hAnsi="Calibri"/>
              </w:rPr>
              <w:t>под залог ценных бумаг</w:t>
            </w:r>
            <w:r w:rsidRPr="00860331">
              <w:rPr>
                <w:rFonts w:ascii="Calibri" w:eastAsia="ArialMT" w:hAnsi="Calibri"/>
              </w:rPr>
              <w:t xml:space="preserve"> (сделка «овердрафт»);</w:t>
            </w:r>
          </w:p>
          <w:p w:rsidR="005528B2" w:rsidRPr="00860331" w:rsidRDefault="005528B2" w:rsidP="00610467">
            <w:pPr>
              <w:suppressAutoHyphens/>
              <w:jc w:val="both"/>
              <w:rPr>
                <w:rFonts w:ascii="Calibri" w:eastAsia="ArialMT" w:hAnsi="Calibri"/>
              </w:rPr>
            </w:pPr>
            <w:r w:rsidRPr="00860331">
              <w:rPr>
                <w:rFonts w:ascii="Calibri" w:eastAsia="ArialMT" w:hAnsi="Calibri"/>
              </w:rPr>
              <w:t xml:space="preserve">4) при наличии в конце операционного дня </w:t>
            </w:r>
            <w:r w:rsidR="00CD23AC" w:rsidRPr="00860331">
              <w:rPr>
                <w:rFonts w:ascii="Calibri" w:eastAsia="ArialMT" w:hAnsi="Calibri"/>
              </w:rPr>
              <w:t xml:space="preserve">МСПД </w:t>
            </w:r>
            <w:r w:rsidRPr="00860331">
              <w:rPr>
                <w:rFonts w:ascii="Calibri" w:eastAsia="ArialMT" w:hAnsi="Calibri"/>
              </w:rPr>
              <w:t xml:space="preserve">нерассчитанной очереди платежных документов </w:t>
            </w:r>
            <w:r w:rsidR="00FE202D" w:rsidRPr="00860331">
              <w:rPr>
                <w:rFonts w:ascii="Calibri" w:eastAsia="ArialMT" w:hAnsi="Calibri"/>
              </w:rPr>
              <w:t>у</w:t>
            </w:r>
            <w:r w:rsidRPr="00860331">
              <w:rPr>
                <w:rFonts w:ascii="Calibri" w:eastAsia="ArialMT" w:hAnsi="Calibri"/>
              </w:rPr>
              <w:t xml:space="preserve"> двух и более </w:t>
            </w:r>
            <w:r w:rsidR="00FE202D" w:rsidRPr="00860331">
              <w:rPr>
                <w:rFonts w:ascii="Calibri" w:eastAsia="ArialMT" w:hAnsi="Calibri"/>
              </w:rPr>
              <w:t>участников</w:t>
            </w:r>
            <w:r w:rsidRPr="00860331">
              <w:rPr>
                <w:rFonts w:ascii="Calibri" w:eastAsia="ArialMT" w:hAnsi="Calibri"/>
              </w:rPr>
              <w:t xml:space="preserve"> КЦМР выполняет взаимозачет платежных документов, находящихся в очереди, с учетом остатка денег </w:t>
            </w:r>
            <w:r w:rsidR="00FE202D" w:rsidRPr="00860331">
              <w:rPr>
                <w:rFonts w:ascii="Calibri" w:eastAsia="ArialMT" w:hAnsi="Calibri"/>
              </w:rPr>
              <w:t>участников</w:t>
            </w:r>
            <w:r w:rsidRPr="00860331">
              <w:rPr>
                <w:rFonts w:ascii="Calibri" w:eastAsia="ArialMT" w:hAnsi="Calibri"/>
              </w:rPr>
              <w:t xml:space="preserve"> в системе.</w:t>
            </w:r>
          </w:p>
          <w:p w:rsidR="005528B2" w:rsidRPr="00860331" w:rsidRDefault="005528B2" w:rsidP="00610467">
            <w:pPr>
              <w:suppressAutoHyphens/>
              <w:jc w:val="both"/>
              <w:rPr>
                <w:rFonts w:ascii="Calibri" w:eastAsia="ArialMT" w:hAnsi="Calibri"/>
              </w:rPr>
            </w:pPr>
            <w:r w:rsidRPr="00860331">
              <w:rPr>
                <w:rFonts w:ascii="Calibri" w:eastAsia="ArialMT" w:hAnsi="Calibri"/>
              </w:rPr>
              <w:t xml:space="preserve">В СМК для управления риском ликвидности используется механизм раскрутки очереди платежных документов и перерасчета чистых позиций </w:t>
            </w:r>
            <w:r w:rsidR="00FE202D" w:rsidRPr="00860331">
              <w:rPr>
                <w:rFonts w:ascii="Calibri" w:eastAsia="ArialMT" w:hAnsi="Calibri"/>
              </w:rPr>
              <w:t>участников платежной системы</w:t>
            </w:r>
            <w:r w:rsidRPr="00860331">
              <w:rPr>
                <w:rFonts w:ascii="Calibri" w:eastAsia="ArialMT" w:hAnsi="Calibri"/>
              </w:rPr>
              <w:t xml:space="preserve">. </w:t>
            </w:r>
          </w:p>
          <w:p w:rsidR="006F65CE" w:rsidRPr="00687214" w:rsidRDefault="005528B2" w:rsidP="00AB2BFD">
            <w:pPr>
              <w:tabs>
                <w:tab w:val="left" w:pos="1234"/>
              </w:tabs>
              <w:suppressAutoHyphens/>
              <w:jc w:val="both"/>
              <w:rPr>
                <w:rFonts w:ascii="Calibri" w:hAnsi="Calibri"/>
              </w:rPr>
            </w:pPr>
            <w:r w:rsidRPr="00860331">
              <w:rPr>
                <w:rFonts w:ascii="Calibri" w:eastAsia="ArialMT" w:hAnsi="Calibri"/>
              </w:rPr>
              <w:t>При этом Национальным Банком Казахстан</w:t>
            </w:r>
            <w:r w:rsidR="00AB2BFD" w:rsidRPr="00860331">
              <w:rPr>
                <w:rFonts w:ascii="Calibri" w:eastAsia="ArialMT" w:hAnsi="Calibri"/>
              </w:rPr>
              <w:t>а</w:t>
            </w:r>
            <w:r w:rsidRPr="00860331">
              <w:rPr>
                <w:rFonts w:ascii="Calibri" w:eastAsia="ArialMT" w:hAnsi="Calibri"/>
              </w:rPr>
              <w:t xml:space="preserve"> проводится </w:t>
            </w:r>
            <w:r w:rsidR="006F65CE" w:rsidRPr="00860331">
              <w:rPr>
                <w:rFonts w:ascii="Calibri" w:eastAsia="ArialMT" w:hAnsi="Calibri"/>
              </w:rPr>
              <w:t xml:space="preserve">постоянный мониторинг позиций </w:t>
            </w:r>
            <w:r w:rsidRPr="00860331">
              <w:rPr>
                <w:rFonts w:ascii="Calibri" w:eastAsia="ArialMT" w:hAnsi="Calibri"/>
              </w:rPr>
              <w:t>участников</w:t>
            </w:r>
            <w:r w:rsidR="006F65CE" w:rsidRPr="00860331">
              <w:rPr>
                <w:rFonts w:ascii="Calibri" w:eastAsia="ArialMT" w:hAnsi="Calibri"/>
              </w:rPr>
              <w:t xml:space="preserve"> платежной системы в режиме реального времени</w:t>
            </w:r>
            <w:r w:rsidRPr="00860331">
              <w:rPr>
                <w:rFonts w:ascii="Calibri" w:eastAsia="ArialMT" w:hAnsi="Calibri"/>
              </w:rPr>
              <w:t xml:space="preserve">, а также </w:t>
            </w:r>
            <w:r w:rsidR="006F65CE" w:rsidRPr="00860331">
              <w:rPr>
                <w:rFonts w:ascii="Calibri" w:eastAsia="ArialMT" w:hAnsi="Calibri"/>
              </w:rPr>
              <w:t>анализ информации о неисполненных (отозванных) платежах в МСПД, очереди платежных документов за предыдущий день</w:t>
            </w:r>
            <w:r w:rsidRPr="00860331">
              <w:rPr>
                <w:rFonts w:ascii="Calibri" w:eastAsia="ArialMT" w:hAnsi="Calibri"/>
              </w:rPr>
              <w:t>, аннулированных платежных документов в СМК</w:t>
            </w:r>
            <w:r w:rsidR="006F65CE" w:rsidRPr="00860331">
              <w:rPr>
                <w:rFonts w:ascii="Calibri" w:eastAsia="ArialMT" w:hAnsi="Calibri"/>
              </w:rPr>
              <w:t xml:space="preserve"> на ежедневной основе в рамках надзора (оверсайта) платежных систем</w:t>
            </w:r>
            <w:r w:rsidRPr="00860331">
              <w:rPr>
                <w:rFonts w:ascii="Calibri" w:eastAsia="ArialMT" w:hAnsi="Calibri"/>
              </w:rPr>
              <w:t>.</w:t>
            </w:r>
          </w:p>
        </w:tc>
      </w:tr>
      <w:tr w:rsidR="006F65CE" w:rsidRPr="00FE202D" w:rsidTr="00610467">
        <w:trPr>
          <w:trHeight w:val="530"/>
        </w:trPr>
        <w:tc>
          <w:tcPr>
            <w:tcW w:w="9644" w:type="dxa"/>
            <w:gridSpan w:val="2"/>
            <w:shd w:val="clear" w:color="auto" w:fill="F3F3F3"/>
          </w:tcPr>
          <w:p w:rsidR="006F65CE" w:rsidRPr="005C7913" w:rsidRDefault="006F65CE" w:rsidP="005C7913">
            <w:pPr>
              <w:rPr>
                <w:rFonts w:ascii="Calibri" w:hAnsi="Calibri"/>
                <w:b/>
                <w:bCs/>
                <w:i/>
                <w:color w:val="548DD4" w:themeColor="text2" w:themeTint="99"/>
              </w:rPr>
            </w:pPr>
            <w:bookmarkStart w:id="43" w:name="_Toc407204672"/>
            <w:bookmarkStart w:id="44" w:name="_Toc480772950"/>
            <w:bookmarkStart w:id="45" w:name="_Toc480825639"/>
            <w:bookmarkStart w:id="46" w:name="_Toc481139480"/>
            <w:r w:rsidRPr="005C7913">
              <w:rPr>
                <w:rFonts w:ascii="Calibri" w:hAnsi="Calibri"/>
                <w:b/>
                <w:bCs/>
                <w:i/>
                <w:color w:val="548DD4" w:themeColor="text2" w:themeTint="99"/>
              </w:rPr>
              <w:lastRenderedPageBreak/>
              <w:t>Принцип 8. Завершенность расчетов</w:t>
            </w:r>
            <w:bookmarkEnd w:id="43"/>
            <w:bookmarkEnd w:id="44"/>
            <w:bookmarkEnd w:id="45"/>
            <w:bookmarkEnd w:id="46"/>
          </w:p>
          <w:p w:rsidR="006F65CE" w:rsidRPr="00FE202D" w:rsidRDefault="006F65CE" w:rsidP="00610467">
            <w:pPr>
              <w:jc w:val="both"/>
              <w:rPr>
                <w:rFonts w:ascii="Calibri" w:hAnsi="Calibri"/>
                <w:i/>
              </w:rPr>
            </w:pPr>
            <w:r w:rsidRPr="00FE202D">
              <w:rPr>
                <w:rFonts w:ascii="Calibri" w:eastAsia="ArialMT" w:hAnsi="Calibri"/>
                <w:bCs/>
                <w:i/>
              </w:rPr>
              <w:t>ИФР должна обеспечивать четкий и определенный окончательный расчет, по меньшей мере, до завершения даты валютирования. Если это необходимо или целесообразно, ИФР должна обеспечивать окончательный расчет в течение операционного дня или в режиме реального времени.</w:t>
            </w:r>
          </w:p>
        </w:tc>
      </w:tr>
      <w:tr w:rsidR="006F65CE" w:rsidRPr="00687214" w:rsidTr="00610467">
        <w:tc>
          <w:tcPr>
            <w:tcW w:w="1364" w:type="dxa"/>
            <w:shd w:val="clear" w:color="auto" w:fill="F3F3F3"/>
          </w:tcPr>
          <w:p w:rsidR="006F65CE" w:rsidRPr="00687214" w:rsidRDefault="006F65CE" w:rsidP="00610467">
            <w:pPr>
              <w:rPr>
                <w:rFonts w:ascii="Calibri" w:hAnsi="Calibri"/>
                <w:i/>
              </w:rPr>
            </w:pPr>
            <w:r w:rsidRPr="00687214">
              <w:rPr>
                <w:rFonts w:ascii="Calibri" w:hAnsi="Calibri"/>
                <w:i/>
              </w:rPr>
              <w:t>Краткое изложение</w:t>
            </w:r>
          </w:p>
        </w:tc>
        <w:tc>
          <w:tcPr>
            <w:tcW w:w="8280" w:type="dxa"/>
            <w:shd w:val="clear" w:color="auto" w:fill="F3F3F3"/>
          </w:tcPr>
          <w:p w:rsidR="006F65CE" w:rsidRPr="00687214" w:rsidRDefault="006F65CE" w:rsidP="00610467">
            <w:pPr>
              <w:suppressAutoHyphens/>
              <w:jc w:val="both"/>
              <w:rPr>
                <w:rFonts w:ascii="Calibri" w:hAnsi="Calibri"/>
              </w:rPr>
            </w:pPr>
            <w:r w:rsidRPr="00687214">
              <w:rPr>
                <w:rFonts w:ascii="Calibri" w:eastAsia="ArialMT" w:hAnsi="Calibri"/>
              </w:rPr>
              <w:t xml:space="preserve">МСПД обеспечивает окончательный расчет каждого платежного документа индивидуально в режиме реального времени. </w:t>
            </w:r>
            <w:r w:rsidR="005528B2" w:rsidRPr="00687214">
              <w:rPr>
                <w:rFonts w:ascii="Calibri" w:eastAsia="ArialMT" w:hAnsi="Calibri"/>
              </w:rPr>
              <w:t xml:space="preserve"> СМК обеспечивает окончательный расчет в течение одного операционного дня.</w:t>
            </w:r>
          </w:p>
        </w:tc>
      </w:tr>
      <w:tr w:rsidR="006F65CE" w:rsidRPr="00FE202D" w:rsidTr="00610467">
        <w:trPr>
          <w:trHeight w:val="530"/>
        </w:trPr>
        <w:tc>
          <w:tcPr>
            <w:tcW w:w="9644" w:type="dxa"/>
            <w:gridSpan w:val="2"/>
            <w:shd w:val="clear" w:color="auto" w:fill="F3F3F3"/>
          </w:tcPr>
          <w:p w:rsidR="006F65CE" w:rsidRPr="005C7913" w:rsidRDefault="006F65CE" w:rsidP="005C7913">
            <w:pPr>
              <w:rPr>
                <w:rFonts w:ascii="Calibri" w:hAnsi="Calibri"/>
                <w:b/>
                <w:bCs/>
                <w:i/>
                <w:color w:val="548DD4" w:themeColor="text2" w:themeTint="99"/>
              </w:rPr>
            </w:pPr>
            <w:bookmarkStart w:id="47" w:name="_Toc407204673"/>
            <w:bookmarkStart w:id="48" w:name="_Toc480772951"/>
            <w:bookmarkStart w:id="49" w:name="_Toc480825640"/>
            <w:bookmarkStart w:id="50" w:name="_Toc481139481"/>
            <w:r w:rsidRPr="005C7913">
              <w:rPr>
                <w:rFonts w:ascii="Calibri" w:hAnsi="Calibri"/>
                <w:b/>
                <w:bCs/>
                <w:i/>
                <w:color w:val="548DD4" w:themeColor="text2" w:themeTint="99"/>
              </w:rPr>
              <w:t>Принцип 9. Денежные расчеты</w:t>
            </w:r>
            <w:bookmarkEnd w:id="47"/>
            <w:bookmarkEnd w:id="48"/>
            <w:bookmarkEnd w:id="49"/>
            <w:bookmarkEnd w:id="50"/>
          </w:p>
          <w:p w:rsidR="006F65CE" w:rsidRPr="00FE202D" w:rsidRDefault="006F65CE" w:rsidP="00610467">
            <w:pPr>
              <w:jc w:val="both"/>
              <w:rPr>
                <w:rFonts w:ascii="Calibri" w:hAnsi="Calibri"/>
                <w:i/>
              </w:rPr>
            </w:pPr>
            <w:r w:rsidRPr="00FE202D">
              <w:rPr>
                <w:rFonts w:ascii="Calibri" w:eastAsia="ArialMT" w:hAnsi="Calibri"/>
                <w:bCs/>
                <w:i/>
              </w:rPr>
              <w:t>ИФР должна осуществлять денежные расчеты в средствах центрального банка в тех случаях, когда это целесообразно и возможно. Если средства центрального банка не используются, ИФР должна минимизировать и строго контролировать кредитные риски и риски ликвидности, возникающие вследствие использования средств коммерческих банков.</w:t>
            </w:r>
          </w:p>
        </w:tc>
      </w:tr>
      <w:tr w:rsidR="006F65CE" w:rsidRPr="00687214"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t>Краткое изложение</w:t>
            </w:r>
          </w:p>
        </w:tc>
        <w:tc>
          <w:tcPr>
            <w:tcW w:w="8280" w:type="dxa"/>
            <w:shd w:val="clear" w:color="auto" w:fill="F3F3F3"/>
          </w:tcPr>
          <w:p w:rsidR="00025FFE" w:rsidRPr="00860331" w:rsidRDefault="005528B2" w:rsidP="00610467">
            <w:pPr>
              <w:jc w:val="both"/>
              <w:rPr>
                <w:rFonts w:ascii="Calibri" w:hAnsi="Calibri"/>
              </w:rPr>
            </w:pPr>
            <w:r w:rsidRPr="00860331">
              <w:rPr>
                <w:rFonts w:ascii="Calibri" w:hAnsi="Calibri"/>
              </w:rPr>
              <w:t>Перевод денег в МСПД осуществляется в пределах сумм</w:t>
            </w:r>
            <w:r w:rsidR="0032750B" w:rsidRPr="00860331">
              <w:rPr>
                <w:rFonts w:ascii="Calibri" w:hAnsi="Calibri"/>
              </w:rPr>
              <w:t xml:space="preserve"> денег</w:t>
            </w:r>
            <w:r w:rsidRPr="00860331">
              <w:rPr>
                <w:rFonts w:ascii="Calibri" w:hAnsi="Calibri"/>
              </w:rPr>
              <w:t xml:space="preserve">, находящихся на </w:t>
            </w:r>
            <w:r w:rsidR="00FE202D" w:rsidRPr="00860331">
              <w:rPr>
                <w:rFonts w:ascii="Calibri" w:hAnsi="Calibri"/>
              </w:rPr>
              <w:t xml:space="preserve">корреспондентских </w:t>
            </w:r>
            <w:r w:rsidRPr="00860331">
              <w:rPr>
                <w:rFonts w:ascii="Calibri" w:hAnsi="Calibri"/>
              </w:rPr>
              <w:t>счетах участников системы в Национальном Банке</w:t>
            </w:r>
            <w:r w:rsidR="00AB2BFD" w:rsidRPr="00860331">
              <w:rPr>
                <w:rFonts w:ascii="Calibri" w:hAnsi="Calibri"/>
              </w:rPr>
              <w:t xml:space="preserve"> Казахстана</w:t>
            </w:r>
            <w:r w:rsidRPr="00860331">
              <w:rPr>
                <w:rFonts w:ascii="Calibri" w:hAnsi="Calibri"/>
              </w:rPr>
              <w:t xml:space="preserve">. Расчеты по результатам клиринга в СМК </w:t>
            </w:r>
            <w:r w:rsidR="00025FFE" w:rsidRPr="00860331">
              <w:rPr>
                <w:rFonts w:ascii="Calibri" w:hAnsi="Calibri"/>
              </w:rPr>
              <w:t xml:space="preserve">осуществляются в МСПД. </w:t>
            </w:r>
          </w:p>
          <w:p w:rsidR="006F65CE" w:rsidRPr="00687214" w:rsidRDefault="006F65CE" w:rsidP="00AB2BFD">
            <w:pPr>
              <w:jc w:val="both"/>
              <w:rPr>
                <w:rFonts w:ascii="Calibri" w:hAnsi="Calibri"/>
              </w:rPr>
            </w:pPr>
            <w:r w:rsidRPr="00860331">
              <w:rPr>
                <w:rFonts w:ascii="Calibri" w:hAnsi="Calibri"/>
              </w:rPr>
              <w:t>Деньги, имеющиеся на счетах в банках второго уровня (коммерческих банках)</w:t>
            </w:r>
            <w:r w:rsidR="00FE202D" w:rsidRPr="00860331">
              <w:rPr>
                <w:rFonts w:ascii="Calibri" w:hAnsi="Calibri"/>
              </w:rPr>
              <w:t>,</w:t>
            </w:r>
            <w:r w:rsidRPr="00860331">
              <w:rPr>
                <w:rFonts w:ascii="Calibri" w:hAnsi="Calibri"/>
              </w:rPr>
              <w:t xml:space="preserve"> не используются. Следовательно, единственным расчетным банком МСПД </w:t>
            </w:r>
            <w:r w:rsidR="00FE202D" w:rsidRPr="00860331">
              <w:rPr>
                <w:rFonts w:ascii="Calibri" w:hAnsi="Calibri"/>
              </w:rPr>
              <w:t xml:space="preserve">и </w:t>
            </w:r>
            <w:r w:rsidRPr="00860331">
              <w:rPr>
                <w:rFonts w:ascii="Calibri" w:hAnsi="Calibri"/>
              </w:rPr>
              <w:t xml:space="preserve">оператором </w:t>
            </w:r>
            <w:r w:rsidR="00FE202D" w:rsidRPr="00860331">
              <w:rPr>
                <w:rFonts w:ascii="Calibri" w:hAnsi="Calibri"/>
              </w:rPr>
              <w:t>системы является Национальный Банк Казахстан</w:t>
            </w:r>
            <w:r w:rsidR="00AB2BFD" w:rsidRPr="00860331">
              <w:rPr>
                <w:rFonts w:ascii="Calibri" w:hAnsi="Calibri"/>
              </w:rPr>
              <w:t>а</w:t>
            </w:r>
            <w:r w:rsidR="00025FFE" w:rsidRPr="00860331">
              <w:rPr>
                <w:rFonts w:ascii="Calibri" w:hAnsi="Calibri"/>
              </w:rPr>
              <w:t>.</w:t>
            </w:r>
          </w:p>
        </w:tc>
      </w:tr>
      <w:tr w:rsidR="006F65CE" w:rsidRPr="00FE202D" w:rsidTr="00610467">
        <w:trPr>
          <w:trHeight w:val="762"/>
        </w:trPr>
        <w:tc>
          <w:tcPr>
            <w:tcW w:w="9644" w:type="dxa"/>
            <w:gridSpan w:val="2"/>
            <w:shd w:val="clear" w:color="auto" w:fill="F3F3F3"/>
          </w:tcPr>
          <w:p w:rsidR="006F65CE" w:rsidRPr="005C7913" w:rsidRDefault="006F65CE" w:rsidP="005C7913">
            <w:pPr>
              <w:rPr>
                <w:rFonts w:ascii="Calibri" w:hAnsi="Calibri"/>
                <w:b/>
                <w:bCs/>
                <w:i/>
                <w:color w:val="548DD4" w:themeColor="text2" w:themeTint="99"/>
              </w:rPr>
            </w:pPr>
            <w:bookmarkStart w:id="51" w:name="_Toc407204674"/>
            <w:bookmarkStart w:id="52" w:name="_Toc480772952"/>
            <w:bookmarkStart w:id="53" w:name="_Toc480825641"/>
            <w:bookmarkStart w:id="54" w:name="_Toc481139482"/>
            <w:r w:rsidRPr="005C7913">
              <w:rPr>
                <w:rFonts w:ascii="Calibri" w:hAnsi="Calibri"/>
                <w:b/>
                <w:bCs/>
                <w:i/>
                <w:color w:val="548DD4" w:themeColor="text2" w:themeTint="99"/>
              </w:rPr>
              <w:t>Принцип 10. Фактическая поставка</w:t>
            </w:r>
            <w:bookmarkEnd w:id="51"/>
            <w:bookmarkEnd w:id="52"/>
            <w:bookmarkEnd w:id="53"/>
            <w:bookmarkEnd w:id="54"/>
          </w:p>
          <w:p w:rsidR="006F65CE" w:rsidRPr="00FE202D" w:rsidRDefault="006F65CE" w:rsidP="00610467">
            <w:pPr>
              <w:jc w:val="both"/>
              <w:rPr>
                <w:rFonts w:ascii="Calibri" w:hAnsi="Calibri"/>
                <w:i/>
              </w:rPr>
            </w:pPr>
            <w:r w:rsidRPr="00FE202D">
              <w:rPr>
                <w:rFonts w:ascii="Calibri" w:eastAsia="ArialMT" w:hAnsi="Calibri"/>
                <w:i/>
              </w:rPr>
              <w:t>ИФР должна четко определять свои обязательства в отношении поставки реальных инструментов или товаров, а также выявлять, проводить мониторинг и управлять рисками, связанными с фактической поставкой.</w:t>
            </w:r>
          </w:p>
        </w:tc>
      </w:tr>
      <w:tr w:rsidR="006F65CE" w:rsidRPr="00687214" w:rsidTr="00610467">
        <w:tc>
          <w:tcPr>
            <w:tcW w:w="1364" w:type="dxa"/>
            <w:shd w:val="clear" w:color="auto" w:fill="F3F3F3"/>
          </w:tcPr>
          <w:p w:rsidR="006F65CE" w:rsidRPr="00687214" w:rsidRDefault="006F65CE" w:rsidP="00610467">
            <w:pPr>
              <w:rPr>
                <w:rFonts w:ascii="Calibri" w:hAnsi="Calibri"/>
                <w:i/>
              </w:rPr>
            </w:pPr>
            <w:r w:rsidRPr="00687214">
              <w:rPr>
                <w:rFonts w:ascii="Calibri" w:hAnsi="Calibri"/>
                <w:i/>
              </w:rPr>
              <w:t>Краткое изложение</w:t>
            </w:r>
          </w:p>
        </w:tc>
        <w:tc>
          <w:tcPr>
            <w:tcW w:w="8280" w:type="dxa"/>
            <w:shd w:val="clear" w:color="auto" w:fill="F3F3F3"/>
          </w:tcPr>
          <w:p w:rsidR="006F65CE" w:rsidRPr="00687214" w:rsidRDefault="003405AE" w:rsidP="00610467">
            <w:pPr>
              <w:jc w:val="both"/>
              <w:rPr>
                <w:rFonts w:ascii="Calibri" w:hAnsi="Calibri"/>
              </w:rPr>
            </w:pPr>
            <w:r w:rsidRPr="00687214">
              <w:rPr>
                <w:rFonts w:ascii="Calibri" w:eastAsia="ArialMT" w:hAnsi="Calibri"/>
              </w:rPr>
              <w:t xml:space="preserve">Положения </w:t>
            </w:r>
            <w:r>
              <w:rPr>
                <w:rFonts w:ascii="Calibri" w:eastAsia="ArialMT" w:hAnsi="Calibri"/>
              </w:rPr>
              <w:t xml:space="preserve">данного принципа не применимы в отношении </w:t>
            </w:r>
            <w:r w:rsidRPr="00687214">
              <w:rPr>
                <w:rFonts w:ascii="Calibri" w:eastAsia="ArialMT" w:hAnsi="Calibri"/>
              </w:rPr>
              <w:t>МСПД и СМК.</w:t>
            </w:r>
          </w:p>
        </w:tc>
      </w:tr>
      <w:tr w:rsidR="006F65CE" w:rsidRPr="003405AE" w:rsidTr="00610467">
        <w:trPr>
          <w:trHeight w:val="530"/>
        </w:trPr>
        <w:tc>
          <w:tcPr>
            <w:tcW w:w="9644" w:type="dxa"/>
            <w:gridSpan w:val="2"/>
            <w:shd w:val="clear" w:color="auto" w:fill="F3F3F3"/>
          </w:tcPr>
          <w:p w:rsidR="006F65CE" w:rsidRPr="005C7913" w:rsidRDefault="006F65CE" w:rsidP="005C7913">
            <w:pPr>
              <w:rPr>
                <w:rFonts w:ascii="Calibri" w:hAnsi="Calibri"/>
                <w:b/>
                <w:bCs/>
                <w:i/>
                <w:color w:val="548DD4" w:themeColor="text2" w:themeTint="99"/>
              </w:rPr>
            </w:pPr>
            <w:bookmarkStart w:id="55" w:name="_Toc407204675"/>
            <w:bookmarkStart w:id="56" w:name="_Toc480772953"/>
            <w:bookmarkStart w:id="57" w:name="_Toc480825642"/>
            <w:bookmarkStart w:id="58" w:name="_Toc481139483"/>
            <w:r w:rsidRPr="005C7913">
              <w:rPr>
                <w:rFonts w:ascii="Calibri" w:hAnsi="Calibri"/>
                <w:b/>
                <w:bCs/>
                <w:i/>
                <w:color w:val="548DD4" w:themeColor="text2" w:themeTint="99"/>
              </w:rPr>
              <w:t>Принцип 11. Центральные депозитарии ценных бумаг</w:t>
            </w:r>
            <w:bookmarkEnd w:id="55"/>
            <w:bookmarkEnd w:id="56"/>
            <w:bookmarkEnd w:id="57"/>
            <w:bookmarkEnd w:id="58"/>
          </w:p>
          <w:p w:rsidR="006F65CE" w:rsidRPr="003405AE" w:rsidRDefault="006F65CE" w:rsidP="00610467">
            <w:pPr>
              <w:jc w:val="both"/>
              <w:rPr>
                <w:rFonts w:ascii="Calibri" w:hAnsi="Calibri"/>
                <w:i/>
              </w:rPr>
            </w:pPr>
            <w:r w:rsidRPr="003405AE">
              <w:rPr>
                <w:rFonts w:ascii="Calibri" w:eastAsia="ArialMT" w:hAnsi="Calibri"/>
                <w:i/>
              </w:rPr>
              <w:t>ЦДЦБ должен иметь соответствующие правила и процедуры, способствующие обеспечению сохранности выпусков ценных бумаг, минимизации и управлению рисками, связанными с хранением и передачей ценных бумаг. ЦДЦБ должен учитывать ценные бумаги в иммобилизованной или дематериализованной форме с целью их перевода в бездокументарной форме.</w:t>
            </w:r>
          </w:p>
        </w:tc>
      </w:tr>
      <w:tr w:rsidR="006F65CE" w:rsidRPr="00687214" w:rsidTr="00610467">
        <w:tc>
          <w:tcPr>
            <w:tcW w:w="1364" w:type="dxa"/>
            <w:shd w:val="clear" w:color="auto" w:fill="F3F3F3"/>
          </w:tcPr>
          <w:p w:rsidR="006F65CE" w:rsidRPr="00687214" w:rsidRDefault="006F65CE" w:rsidP="00610467">
            <w:pPr>
              <w:rPr>
                <w:rFonts w:ascii="Calibri" w:hAnsi="Calibri"/>
                <w:i/>
              </w:rPr>
            </w:pPr>
            <w:r w:rsidRPr="00687214">
              <w:rPr>
                <w:rFonts w:ascii="Calibri" w:hAnsi="Calibri"/>
                <w:i/>
              </w:rPr>
              <w:t>Краткое изложение</w:t>
            </w:r>
          </w:p>
        </w:tc>
        <w:tc>
          <w:tcPr>
            <w:tcW w:w="8280" w:type="dxa"/>
            <w:shd w:val="clear" w:color="auto" w:fill="F3F3F3"/>
          </w:tcPr>
          <w:p w:rsidR="006F65CE" w:rsidRPr="00687214" w:rsidRDefault="003405AE" w:rsidP="00610467">
            <w:pPr>
              <w:rPr>
                <w:rFonts w:ascii="Calibri" w:hAnsi="Calibri"/>
              </w:rPr>
            </w:pPr>
            <w:r w:rsidRPr="00687214">
              <w:rPr>
                <w:rFonts w:ascii="Calibri" w:eastAsia="ArialMT" w:hAnsi="Calibri"/>
              </w:rPr>
              <w:t xml:space="preserve">Положения </w:t>
            </w:r>
            <w:r>
              <w:rPr>
                <w:rFonts w:ascii="Calibri" w:eastAsia="ArialMT" w:hAnsi="Calibri"/>
              </w:rPr>
              <w:t xml:space="preserve">данного принципа не применимы в отношении </w:t>
            </w:r>
            <w:r w:rsidRPr="00687214">
              <w:rPr>
                <w:rFonts w:ascii="Calibri" w:eastAsia="ArialMT" w:hAnsi="Calibri"/>
              </w:rPr>
              <w:t>МСПД и СМК.</w:t>
            </w:r>
          </w:p>
        </w:tc>
      </w:tr>
      <w:tr w:rsidR="006F65CE" w:rsidRPr="003405AE" w:rsidTr="00610467">
        <w:trPr>
          <w:trHeight w:val="530"/>
        </w:trPr>
        <w:tc>
          <w:tcPr>
            <w:tcW w:w="9644" w:type="dxa"/>
            <w:gridSpan w:val="2"/>
            <w:shd w:val="clear" w:color="auto" w:fill="F3F3F3"/>
          </w:tcPr>
          <w:p w:rsidR="006F65CE" w:rsidRPr="005C7913" w:rsidRDefault="006F65CE" w:rsidP="005C7913">
            <w:pPr>
              <w:rPr>
                <w:rFonts w:ascii="Calibri" w:hAnsi="Calibri"/>
                <w:b/>
                <w:bCs/>
                <w:i/>
                <w:color w:val="548DD4" w:themeColor="text2" w:themeTint="99"/>
              </w:rPr>
            </w:pPr>
            <w:bookmarkStart w:id="59" w:name="_Toc407204676"/>
            <w:bookmarkStart w:id="60" w:name="_Toc480772954"/>
            <w:bookmarkStart w:id="61" w:name="_Toc480825643"/>
            <w:bookmarkStart w:id="62" w:name="_Toc481139484"/>
            <w:r w:rsidRPr="005C7913">
              <w:rPr>
                <w:rFonts w:ascii="Calibri" w:hAnsi="Calibri"/>
                <w:b/>
                <w:bCs/>
                <w:i/>
                <w:color w:val="548DD4" w:themeColor="text2" w:themeTint="99"/>
              </w:rPr>
              <w:t>Принцип 12. Расчетные системы обмена активами</w:t>
            </w:r>
            <w:bookmarkEnd w:id="59"/>
            <w:bookmarkEnd w:id="60"/>
            <w:bookmarkEnd w:id="61"/>
            <w:bookmarkEnd w:id="62"/>
          </w:p>
          <w:p w:rsidR="006F65CE" w:rsidRPr="003405AE" w:rsidRDefault="006F65CE" w:rsidP="00610467">
            <w:pPr>
              <w:jc w:val="both"/>
              <w:rPr>
                <w:rFonts w:ascii="Calibri" w:hAnsi="Calibri"/>
                <w:i/>
              </w:rPr>
            </w:pPr>
            <w:r w:rsidRPr="003405AE">
              <w:rPr>
                <w:rFonts w:ascii="Calibri" w:eastAsia="ArialMT" w:hAnsi="Calibri"/>
                <w:bCs/>
                <w:i/>
              </w:rPr>
              <w:t>Если ИФР осуществляет расчеты по сделкам, включающие расчеты по двум взаимосвязанным обязательствам (например, транзакции с ценными бумагами или иностранной валютой), то она должна исключать риск потери основной суммы, производя окончательный расчет по одному обязательству после окончательного расчета по другому обязательству</w:t>
            </w:r>
            <w:r w:rsidRPr="003405AE">
              <w:rPr>
                <w:rFonts w:ascii="Calibri" w:eastAsia="ArialMT" w:hAnsi="Calibri"/>
                <w:i/>
              </w:rPr>
              <w:t>.</w:t>
            </w:r>
          </w:p>
        </w:tc>
      </w:tr>
      <w:tr w:rsidR="006F65CE" w:rsidRPr="00687214" w:rsidTr="00610467">
        <w:tc>
          <w:tcPr>
            <w:tcW w:w="1364" w:type="dxa"/>
            <w:shd w:val="clear" w:color="auto" w:fill="F3F3F3"/>
          </w:tcPr>
          <w:p w:rsidR="006F65CE" w:rsidRPr="00687214" w:rsidRDefault="006F65CE" w:rsidP="00610467">
            <w:pPr>
              <w:rPr>
                <w:rFonts w:ascii="Calibri" w:hAnsi="Calibri"/>
                <w:i/>
              </w:rPr>
            </w:pPr>
            <w:r w:rsidRPr="00687214">
              <w:rPr>
                <w:rFonts w:ascii="Calibri" w:hAnsi="Calibri"/>
                <w:i/>
              </w:rPr>
              <w:t>Краткое изложение</w:t>
            </w:r>
          </w:p>
        </w:tc>
        <w:tc>
          <w:tcPr>
            <w:tcW w:w="8280" w:type="dxa"/>
            <w:shd w:val="clear" w:color="auto" w:fill="F3F3F3"/>
          </w:tcPr>
          <w:p w:rsidR="00A3494E" w:rsidRDefault="006F65CE" w:rsidP="006E2AC8">
            <w:pPr>
              <w:suppressAutoHyphens/>
              <w:autoSpaceDE w:val="0"/>
              <w:autoSpaceDN w:val="0"/>
              <w:adjustRightInd w:val="0"/>
              <w:jc w:val="both"/>
              <w:rPr>
                <w:rFonts w:ascii="Calibri" w:hAnsi="Calibri"/>
              </w:rPr>
            </w:pPr>
            <w:r w:rsidRPr="00687214">
              <w:rPr>
                <w:rFonts w:ascii="Calibri" w:hAnsi="Calibri"/>
              </w:rPr>
              <w:t>В МСПД</w:t>
            </w:r>
            <w:r w:rsidR="00025FFE" w:rsidRPr="00687214">
              <w:rPr>
                <w:rFonts w:ascii="Calibri" w:hAnsi="Calibri"/>
              </w:rPr>
              <w:t xml:space="preserve"> и СМК</w:t>
            </w:r>
            <w:r w:rsidRPr="00687214">
              <w:rPr>
                <w:rFonts w:ascii="Calibri" w:hAnsi="Calibri"/>
              </w:rPr>
              <w:t xml:space="preserve"> осуществляются расчеты только с деньгами. При этом через </w:t>
            </w:r>
            <w:r w:rsidR="00025FFE" w:rsidRPr="00687214">
              <w:rPr>
                <w:rFonts w:ascii="Calibri" w:hAnsi="Calibri"/>
              </w:rPr>
              <w:t>МСПД</w:t>
            </w:r>
            <w:r w:rsidRPr="00687214">
              <w:rPr>
                <w:rFonts w:ascii="Calibri" w:hAnsi="Calibri"/>
              </w:rPr>
              <w:t xml:space="preserve"> проводятся расчеты с деньгами по операциям с ценными бумагами. При проведении платежей по операциям с ценными бумагами каждая операция проводится индивидуально на валовой основе в реальном времени: отдельно расч</w:t>
            </w:r>
            <w:r w:rsidR="003405AE">
              <w:rPr>
                <w:rFonts w:ascii="Calibri" w:hAnsi="Calibri"/>
              </w:rPr>
              <w:t>е</w:t>
            </w:r>
            <w:r w:rsidRPr="00687214">
              <w:rPr>
                <w:rFonts w:ascii="Calibri" w:hAnsi="Calibri"/>
              </w:rPr>
              <w:t xml:space="preserve">ты по деньгам, отдельно </w:t>
            </w:r>
            <w:r w:rsidR="003405AE">
              <w:rPr>
                <w:rFonts w:ascii="Calibri" w:hAnsi="Calibri"/>
              </w:rPr>
              <w:t xml:space="preserve">- </w:t>
            </w:r>
            <w:r w:rsidRPr="00687214">
              <w:rPr>
                <w:rFonts w:ascii="Calibri" w:hAnsi="Calibri"/>
              </w:rPr>
              <w:t>по ценным бумагам.</w:t>
            </w:r>
            <w:r w:rsidR="00025FFE" w:rsidRPr="00687214">
              <w:rPr>
                <w:rFonts w:ascii="Calibri" w:hAnsi="Calibri"/>
              </w:rPr>
              <w:t xml:space="preserve"> Р</w:t>
            </w:r>
            <w:r w:rsidRPr="00687214">
              <w:rPr>
                <w:rFonts w:ascii="Calibri" w:hAnsi="Calibri"/>
              </w:rPr>
              <w:t xml:space="preserve">асчеты по операциям с ценными бумагами осуществляются по принципу DVP - «поставка против платежа». </w:t>
            </w:r>
          </w:p>
          <w:p w:rsidR="006E2AC8" w:rsidRPr="00687214" w:rsidRDefault="006E2AC8" w:rsidP="006E2AC8">
            <w:pPr>
              <w:suppressAutoHyphens/>
              <w:autoSpaceDE w:val="0"/>
              <w:autoSpaceDN w:val="0"/>
              <w:adjustRightInd w:val="0"/>
              <w:jc w:val="both"/>
              <w:rPr>
                <w:rFonts w:ascii="Calibri" w:hAnsi="Calibri"/>
              </w:rPr>
            </w:pPr>
          </w:p>
        </w:tc>
      </w:tr>
      <w:tr w:rsidR="006F65CE" w:rsidRPr="003405AE" w:rsidTr="00610467">
        <w:trPr>
          <w:trHeight w:val="530"/>
        </w:trPr>
        <w:tc>
          <w:tcPr>
            <w:tcW w:w="9644" w:type="dxa"/>
            <w:gridSpan w:val="2"/>
            <w:shd w:val="clear" w:color="auto" w:fill="F3F3F3"/>
          </w:tcPr>
          <w:p w:rsidR="006F65CE" w:rsidRPr="005C7913" w:rsidRDefault="006F65CE" w:rsidP="005C7913">
            <w:pPr>
              <w:jc w:val="both"/>
              <w:rPr>
                <w:rFonts w:ascii="Calibri" w:hAnsi="Calibri"/>
                <w:b/>
                <w:bCs/>
                <w:i/>
                <w:color w:val="548DD4" w:themeColor="text2" w:themeTint="99"/>
              </w:rPr>
            </w:pPr>
            <w:bookmarkStart w:id="63" w:name="_Toc407204677"/>
            <w:bookmarkStart w:id="64" w:name="_Toc480772955"/>
            <w:bookmarkStart w:id="65" w:name="_Toc480825644"/>
            <w:bookmarkStart w:id="66" w:name="_Toc481139485"/>
            <w:r w:rsidRPr="005C7913">
              <w:rPr>
                <w:rFonts w:ascii="Calibri" w:hAnsi="Calibri"/>
                <w:b/>
                <w:bCs/>
                <w:i/>
                <w:color w:val="548DD4" w:themeColor="text2" w:themeTint="99"/>
              </w:rPr>
              <w:lastRenderedPageBreak/>
              <w:t>Принцип 13. Правила и процедуры, относящиеся к невыполнению обязательств участником</w:t>
            </w:r>
            <w:bookmarkEnd w:id="63"/>
            <w:bookmarkEnd w:id="64"/>
            <w:bookmarkEnd w:id="65"/>
            <w:bookmarkEnd w:id="66"/>
          </w:p>
          <w:p w:rsidR="006F65CE" w:rsidRPr="003405AE" w:rsidRDefault="006F65CE" w:rsidP="00610467">
            <w:pPr>
              <w:jc w:val="both"/>
              <w:rPr>
                <w:rFonts w:ascii="Calibri" w:hAnsi="Calibri"/>
                <w:i/>
              </w:rPr>
            </w:pPr>
            <w:r w:rsidRPr="003405AE">
              <w:rPr>
                <w:rFonts w:ascii="Calibri" w:eastAsia="ArialMT" w:hAnsi="Calibri"/>
                <w:bCs/>
                <w:i/>
              </w:rPr>
              <w:t>ИФР должна иметь эффективные и четко определенные правила и процедуры по управлению в случае невыполнения обязательств участником. Правила и процедуры должны быть разработаны, чтобы гарантировать возможность совершения ИФР своевременных действий для снижения убытков и дефицита ликвидности и продолжения выполнения своих обязательств.</w:t>
            </w:r>
          </w:p>
        </w:tc>
      </w:tr>
      <w:tr w:rsidR="006F65CE" w:rsidRPr="00687214"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t>Краткое изложение</w:t>
            </w:r>
          </w:p>
        </w:tc>
        <w:tc>
          <w:tcPr>
            <w:tcW w:w="8280" w:type="dxa"/>
            <w:shd w:val="clear" w:color="auto" w:fill="F3F3F3"/>
          </w:tcPr>
          <w:p w:rsidR="003405AE" w:rsidRPr="00860331" w:rsidRDefault="00025FFE" w:rsidP="00610467">
            <w:pPr>
              <w:suppressAutoHyphens/>
              <w:autoSpaceDE w:val="0"/>
              <w:autoSpaceDN w:val="0"/>
              <w:adjustRightInd w:val="0"/>
              <w:jc w:val="both"/>
              <w:rPr>
                <w:rFonts w:ascii="Calibri" w:hAnsi="Calibri"/>
              </w:rPr>
            </w:pPr>
            <w:r w:rsidRPr="00860331">
              <w:rPr>
                <w:rFonts w:ascii="Calibri" w:hAnsi="Calibri"/>
              </w:rPr>
              <w:t>Национальный Банк</w:t>
            </w:r>
            <w:r w:rsidR="006F65CE" w:rsidRPr="00860331">
              <w:rPr>
                <w:rFonts w:ascii="Calibri" w:hAnsi="Calibri"/>
              </w:rPr>
              <w:t xml:space="preserve"> </w:t>
            </w:r>
            <w:r w:rsidR="00CD23AC" w:rsidRPr="00860331">
              <w:rPr>
                <w:rFonts w:ascii="Calibri" w:hAnsi="Calibri"/>
              </w:rPr>
              <w:t>Казахстан</w:t>
            </w:r>
            <w:r w:rsidR="00B47A6D" w:rsidRPr="00860331">
              <w:rPr>
                <w:rFonts w:ascii="Calibri" w:hAnsi="Calibri"/>
              </w:rPr>
              <w:t>а</w:t>
            </w:r>
            <w:r w:rsidR="00CD23AC" w:rsidRPr="00860331">
              <w:rPr>
                <w:rFonts w:ascii="Calibri" w:hAnsi="Calibri"/>
              </w:rPr>
              <w:t xml:space="preserve"> </w:t>
            </w:r>
            <w:r w:rsidR="006F65CE" w:rsidRPr="00860331">
              <w:rPr>
                <w:rFonts w:ascii="Calibri" w:hAnsi="Calibri"/>
              </w:rPr>
              <w:t xml:space="preserve">может направить в КЦМР уведомление о прекращении </w:t>
            </w:r>
            <w:r w:rsidR="00CD23AC" w:rsidRPr="00860331">
              <w:rPr>
                <w:rFonts w:ascii="Calibri" w:hAnsi="Calibri"/>
              </w:rPr>
              <w:t>расходных</w:t>
            </w:r>
            <w:r w:rsidR="006F65CE" w:rsidRPr="00860331">
              <w:rPr>
                <w:rFonts w:ascii="Calibri" w:hAnsi="Calibri"/>
              </w:rPr>
              <w:t xml:space="preserve"> операци</w:t>
            </w:r>
            <w:r w:rsidR="00B47A6D" w:rsidRPr="00860331">
              <w:rPr>
                <w:rFonts w:ascii="Calibri" w:hAnsi="Calibri"/>
              </w:rPr>
              <w:t>й участника платежной системы</w:t>
            </w:r>
            <w:r w:rsidR="00CD23AC" w:rsidRPr="00860331">
              <w:rPr>
                <w:rFonts w:ascii="Calibri" w:hAnsi="Calibri"/>
              </w:rPr>
              <w:t xml:space="preserve"> в соответствии с условиями договора корреспондентского счета, заключенного </w:t>
            </w:r>
            <w:r w:rsidR="00B47A6D" w:rsidRPr="00860331">
              <w:rPr>
                <w:rFonts w:ascii="Calibri" w:hAnsi="Calibri"/>
              </w:rPr>
              <w:t xml:space="preserve">участником </w:t>
            </w:r>
            <w:r w:rsidR="00CD23AC" w:rsidRPr="00860331">
              <w:rPr>
                <w:rFonts w:ascii="Calibri" w:hAnsi="Calibri"/>
              </w:rPr>
              <w:t>с Национальным Банком</w:t>
            </w:r>
            <w:r w:rsidR="00B47A6D" w:rsidRPr="00860331">
              <w:rPr>
                <w:rFonts w:ascii="Calibri" w:hAnsi="Calibri"/>
              </w:rPr>
              <w:t xml:space="preserve"> Казахстана</w:t>
            </w:r>
            <w:r w:rsidR="006F65CE" w:rsidRPr="00860331">
              <w:rPr>
                <w:rFonts w:ascii="Calibri" w:hAnsi="Calibri"/>
                <w:color w:val="000000"/>
              </w:rPr>
              <w:t>.</w:t>
            </w:r>
            <w:r w:rsidR="003405AE" w:rsidRPr="00860331">
              <w:rPr>
                <w:rFonts w:ascii="Calibri" w:hAnsi="Calibri"/>
                <w:color w:val="000000"/>
              </w:rPr>
              <w:t xml:space="preserve"> </w:t>
            </w:r>
            <w:r w:rsidR="003405AE" w:rsidRPr="00860331">
              <w:rPr>
                <w:rFonts w:ascii="Calibri" w:hAnsi="Calibri"/>
              </w:rPr>
              <w:t>При получении КЦМР от Национального Банка</w:t>
            </w:r>
            <w:r w:rsidR="00AB2BFD" w:rsidRPr="00860331">
              <w:rPr>
                <w:rFonts w:ascii="Calibri" w:hAnsi="Calibri"/>
              </w:rPr>
              <w:t xml:space="preserve"> </w:t>
            </w:r>
            <w:r w:rsidR="003405AE" w:rsidRPr="00860331">
              <w:rPr>
                <w:rFonts w:ascii="Calibri" w:hAnsi="Calibri"/>
              </w:rPr>
              <w:t>Казахстан</w:t>
            </w:r>
            <w:r w:rsidR="00AB2BFD" w:rsidRPr="00860331">
              <w:rPr>
                <w:rFonts w:ascii="Calibri" w:hAnsi="Calibri"/>
              </w:rPr>
              <w:t>а</w:t>
            </w:r>
            <w:r w:rsidR="003405AE" w:rsidRPr="00860331">
              <w:rPr>
                <w:rFonts w:ascii="Calibri" w:hAnsi="Calibri"/>
              </w:rPr>
              <w:t xml:space="preserve"> письма о временном приостановлении отдельных положений договора об участии, заключенного с участником системы, КЦМР приостанавливает операции по позиции данного участника, за исключением операций по принятию (зачислению) сумм денег в пользу участника. </w:t>
            </w:r>
          </w:p>
          <w:p w:rsidR="006F65CE" w:rsidRPr="00687214" w:rsidRDefault="00CD23AC" w:rsidP="0032750B">
            <w:pPr>
              <w:suppressAutoHyphens/>
              <w:autoSpaceDE w:val="0"/>
              <w:autoSpaceDN w:val="0"/>
              <w:adjustRightInd w:val="0"/>
              <w:jc w:val="both"/>
              <w:rPr>
                <w:rFonts w:ascii="Calibri" w:hAnsi="Calibri"/>
              </w:rPr>
            </w:pPr>
            <w:r w:rsidRPr="00860331">
              <w:rPr>
                <w:rFonts w:ascii="Calibri" w:hAnsi="Calibri"/>
              </w:rPr>
              <w:t>В</w:t>
            </w:r>
            <w:r w:rsidR="006F65CE" w:rsidRPr="00860331">
              <w:rPr>
                <w:rFonts w:ascii="Calibri" w:hAnsi="Calibri"/>
              </w:rPr>
              <w:t xml:space="preserve"> </w:t>
            </w:r>
            <w:proofErr w:type="gramStart"/>
            <w:r w:rsidR="006F65CE" w:rsidRPr="00860331">
              <w:rPr>
                <w:rFonts w:ascii="Calibri" w:hAnsi="Calibri"/>
              </w:rPr>
              <w:t>целях</w:t>
            </w:r>
            <w:proofErr w:type="gramEnd"/>
            <w:r w:rsidR="006F65CE" w:rsidRPr="00860331">
              <w:rPr>
                <w:rFonts w:ascii="Calibri" w:hAnsi="Calibri"/>
              </w:rPr>
              <w:t xml:space="preserve"> управления ликвидным и системным риск</w:t>
            </w:r>
            <w:r w:rsidR="0032750B" w:rsidRPr="00860331">
              <w:rPr>
                <w:rFonts w:ascii="Calibri" w:hAnsi="Calibri"/>
              </w:rPr>
              <w:t>ами</w:t>
            </w:r>
            <w:r w:rsidR="006F65CE" w:rsidRPr="00860331">
              <w:rPr>
                <w:rFonts w:ascii="Calibri" w:hAnsi="Calibri"/>
              </w:rPr>
              <w:t xml:space="preserve"> (риск невыполнения  обязательств одного или нескольких пользователей по одному или нескольким переводам  денег, вызванный невыполнением  обязательств  одного или нескольких пользователей) применяются механизмы, указанные по Принципу 7.</w:t>
            </w:r>
            <w:r w:rsidR="006F65CE" w:rsidRPr="00687214">
              <w:rPr>
                <w:rFonts w:ascii="Calibri" w:hAnsi="Calibri"/>
              </w:rPr>
              <w:t xml:space="preserve"> </w:t>
            </w:r>
          </w:p>
        </w:tc>
      </w:tr>
      <w:tr w:rsidR="006F65CE" w:rsidRPr="003405AE" w:rsidTr="00610467">
        <w:trPr>
          <w:trHeight w:val="530"/>
        </w:trPr>
        <w:tc>
          <w:tcPr>
            <w:tcW w:w="9644" w:type="dxa"/>
            <w:gridSpan w:val="2"/>
            <w:shd w:val="clear" w:color="auto" w:fill="F3F3F3"/>
          </w:tcPr>
          <w:p w:rsidR="006F65CE" w:rsidRPr="005C7913" w:rsidRDefault="006F65CE" w:rsidP="005C7913">
            <w:pPr>
              <w:jc w:val="both"/>
              <w:rPr>
                <w:rFonts w:ascii="Calibri" w:hAnsi="Calibri"/>
                <w:b/>
                <w:bCs/>
                <w:i/>
                <w:color w:val="548DD4" w:themeColor="text2" w:themeTint="99"/>
              </w:rPr>
            </w:pPr>
            <w:bookmarkStart w:id="67" w:name="_Toc407204678"/>
            <w:bookmarkStart w:id="68" w:name="_Toc480772956"/>
            <w:bookmarkStart w:id="69" w:name="_Toc480825645"/>
            <w:bookmarkStart w:id="70" w:name="_Toc481139486"/>
            <w:r w:rsidRPr="005C7913">
              <w:rPr>
                <w:rFonts w:ascii="Calibri" w:hAnsi="Calibri"/>
                <w:b/>
                <w:bCs/>
                <w:i/>
                <w:color w:val="548DD4" w:themeColor="text2" w:themeTint="99"/>
              </w:rPr>
              <w:t>Принцип 14. Сегрегация и перемещаемость</w:t>
            </w:r>
            <w:bookmarkEnd w:id="67"/>
            <w:bookmarkEnd w:id="68"/>
            <w:bookmarkEnd w:id="69"/>
            <w:bookmarkEnd w:id="70"/>
          </w:p>
          <w:p w:rsidR="006F65CE" w:rsidRPr="003405AE" w:rsidRDefault="006F65CE" w:rsidP="00610467">
            <w:pPr>
              <w:jc w:val="both"/>
              <w:rPr>
                <w:rFonts w:ascii="Calibri" w:hAnsi="Calibri"/>
                <w:i/>
              </w:rPr>
            </w:pPr>
            <w:r w:rsidRPr="003405AE">
              <w:rPr>
                <w:rFonts w:ascii="Calibri" w:eastAsia="ArialMT" w:hAnsi="Calibri"/>
                <w:i/>
              </w:rPr>
              <w:t>ИФР должна четко определять свои обязательства в отношении поставки реальных инструментов или товаров, а также выявлять, проводить мониторинг и управлять рисками, связанными с фактической поставкой.</w:t>
            </w:r>
          </w:p>
        </w:tc>
      </w:tr>
      <w:tr w:rsidR="006F65CE" w:rsidRPr="00687214" w:rsidTr="00610467">
        <w:tc>
          <w:tcPr>
            <w:tcW w:w="1364" w:type="dxa"/>
            <w:shd w:val="clear" w:color="auto" w:fill="F3F3F3"/>
          </w:tcPr>
          <w:p w:rsidR="006F65CE" w:rsidRPr="00687214" w:rsidRDefault="006F65CE" w:rsidP="00610467">
            <w:pPr>
              <w:rPr>
                <w:rFonts w:ascii="Calibri" w:hAnsi="Calibri"/>
                <w:i/>
              </w:rPr>
            </w:pPr>
            <w:r w:rsidRPr="00687214">
              <w:rPr>
                <w:rFonts w:ascii="Calibri" w:hAnsi="Calibri"/>
                <w:i/>
              </w:rPr>
              <w:t>Краткое изложение</w:t>
            </w:r>
          </w:p>
        </w:tc>
        <w:tc>
          <w:tcPr>
            <w:tcW w:w="8280" w:type="dxa"/>
            <w:shd w:val="clear" w:color="auto" w:fill="F3F3F3"/>
          </w:tcPr>
          <w:p w:rsidR="006F65CE" w:rsidRPr="00687214" w:rsidRDefault="003405AE" w:rsidP="00610467">
            <w:pPr>
              <w:autoSpaceDE w:val="0"/>
              <w:autoSpaceDN w:val="0"/>
              <w:adjustRightInd w:val="0"/>
              <w:jc w:val="both"/>
              <w:rPr>
                <w:rFonts w:ascii="Calibri" w:eastAsia="ArialMT" w:hAnsi="Calibri"/>
              </w:rPr>
            </w:pPr>
            <w:r w:rsidRPr="00687214">
              <w:rPr>
                <w:rFonts w:ascii="Calibri" w:eastAsia="ArialMT" w:hAnsi="Calibri"/>
              </w:rPr>
              <w:t xml:space="preserve">Положения </w:t>
            </w:r>
            <w:r>
              <w:rPr>
                <w:rFonts w:ascii="Calibri" w:eastAsia="ArialMT" w:hAnsi="Calibri"/>
              </w:rPr>
              <w:t xml:space="preserve">данного принципа не применимы в отношении </w:t>
            </w:r>
            <w:r w:rsidRPr="00687214">
              <w:rPr>
                <w:rFonts w:ascii="Calibri" w:eastAsia="ArialMT" w:hAnsi="Calibri"/>
              </w:rPr>
              <w:t>МСПД и СМК.</w:t>
            </w:r>
          </w:p>
        </w:tc>
      </w:tr>
      <w:tr w:rsidR="006F65CE" w:rsidRPr="003405AE" w:rsidTr="00610467">
        <w:trPr>
          <w:trHeight w:val="530"/>
        </w:trPr>
        <w:tc>
          <w:tcPr>
            <w:tcW w:w="9644" w:type="dxa"/>
            <w:gridSpan w:val="2"/>
            <w:shd w:val="clear" w:color="auto" w:fill="F3F3F3"/>
          </w:tcPr>
          <w:p w:rsidR="006F65CE" w:rsidRPr="005C7913" w:rsidRDefault="006F65CE" w:rsidP="005C7913">
            <w:pPr>
              <w:jc w:val="both"/>
              <w:rPr>
                <w:rFonts w:ascii="Calibri" w:hAnsi="Calibri"/>
                <w:b/>
                <w:bCs/>
                <w:i/>
                <w:color w:val="548DD4" w:themeColor="text2" w:themeTint="99"/>
              </w:rPr>
            </w:pPr>
            <w:bookmarkStart w:id="71" w:name="_Toc407204679"/>
            <w:bookmarkStart w:id="72" w:name="_Toc480772957"/>
            <w:bookmarkStart w:id="73" w:name="_Toc480825646"/>
            <w:bookmarkStart w:id="74" w:name="_Toc481139487"/>
            <w:r w:rsidRPr="005C7913">
              <w:rPr>
                <w:rFonts w:ascii="Calibri" w:hAnsi="Calibri"/>
                <w:b/>
                <w:bCs/>
                <w:i/>
                <w:color w:val="548DD4" w:themeColor="text2" w:themeTint="99"/>
              </w:rPr>
              <w:t>Принцип 15. Общий коммерческий риск</w:t>
            </w:r>
            <w:bookmarkEnd w:id="71"/>
            <w:bookmarkEnd w:id="72"/>
            <w:bookmarkEnd w:id="73"/>
            <w:bookmarkEnd w:id="74"/>
          </w:p>
          <w:p w:rsidR="006F65CE" w:rsidRPr="003405AE" w:rsidRDefault="006F65CE" w:rsidP="00610467">
            <w:pPr>
              <w:jc w:val="both"/>
              <w:rPr>
                <w:rFonts w:ascii="Calibri" w:hAnsi="Calibri"/>
                <w:i/>
              </w:rPr>
            </w:pPr>
            <w:r w:rsidRPr="003405AE">
              <w:rPr>
                <w:rFonts w:ascii="Calibri" w:eastAsia="ArialMT" w:hAnsi="Calibri"/>
                <w:bCs/>
                <w:i/>
              </w:rPr>
              <w:t>ИФР должна выявлять, проводить мониторинг и управлять общим коммерческим риском, а также располагать чистыми ликвидными активами, финансируемыми за счет собственного капитала, и достаточными для покрытия потенциальных общих коммерческих убытков, чтобы продолжать выполнение операций и оказание услуг как функционирующая структура в случае, если убытки станут реальными. Кроме того, чистые ликвидные активы всегда должны быть достаточными для восстановления или упорядоченного прекращения критически важных операций и услуг</w:t>
            </w:r>
            <w:r w:rsidRPr="003405AE">
              <w:rPr>
                <w:rFonts w:ascii="Calibri" w:eastAsia="ArialMT" w:hAnsi="Calibri"/>
                <w:i/>
              </w:rPr>
              <w:t>.</w:t>
            </w:r>
          </w:p>
        </w:tc>
      </w:tr>
      <w:tr w:rsidR="006F65CE" w:rsidRPr="00687214"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t>Краткое изложение</w:t>
            </w:r>
          </w:p>
        </w:tc>
        <w:tc>
          <w:tcPr>
            <w:tcW w:w="8280" w:type="dxa"/>
            <w:shd w:val="clear" w:color="auto" w:fill="F3F3F3"/>
          </w:tcPr>
          <w:p w:rsidR="006E2AC8" w:rsidRPr="00687214" w:rsidRDefault="00025FFE" w:rsidP="006E2AC8">
            <w:pPr>
              <w:suppressAutoHyphens/>
              <w:autoSpaceDE w:val="0"/>
              <w:autoSpaceDN w:val="0"/>
              <w:adjustRightInd w:val="0"/>
              <w:jc w:val="both"/>
              <w:rPr>
                <w:rFonts w:ascii="Calibri" w:eastAsia="ArialMT" w:hAnsi="Calibri"/>
              </w:rPr>
            </w:pPr>
            <w:r w:rsidRPr="00860331">
              <w:rPr>
                <w:rFonts w:ascii="Calibri" w:eastAsia="ArialMT" w:hAnsi="Calibri"/>
              </w:rPr>
              <w:t>Оператором платежных систем выступает Национальный Банк Казахстан</w:t>
            </w:r>
            <w:r w:rsidR="00AB2BFD" w:rsidRPr="00860331">
              <w:rPr>
                <w:rFonts w:ascii="Calibri" w:eastAsia="ArialMT" w:hAnsi="Calibri"/>
              </w:rPr>
              <w:t>а</w:t>
            </w:r>
            <w:r w:rsidRPr="00860331">
              <w:rPr>
                <w:rFonts w:ascii="Calibri" w:eastAsia="ArialMT" w:hAnsi="Calibri"/>
              </w:rPr>
              <w:t xml:space="preserve">. </w:t>
            </w:r>
            <w:proofErr w:type="gramStart"/>
            <w:r w:rsidRPr="00860331">
              <w:rPr>
                <w:rFonts w:ascii="Calibri" w:eastAsia="ArialMT" w:hAnsi="Calibri"/>
              </w:rPr>
              <w:t xml:space="preserve">Операционный центр </w:t>
            </w:r>
            <w:r w:rsidR="00D91C2B" w:rsidRPr="00860331">
              <w:rPr>
                <w:rFonts w:ascii="Calibri" w:eastAsia="ArialMT" w:hAnsi="Calibri"/>
              </w:rPr>
              <w:t>(</w:t>
            </w:r>
            <w:r w:rsidR="006F65CE" w:rsidRPr="00860331">
              <w:rPr>
                <w:rFonts w:ascii="Calibri" w:eastAsia="ArialMT" w:hAnsi="Calibri"/>
              </w:rPr>
              <w:t>КЦМР</w:t>
            </w:r>
            <w:r w:rsidR="00D91C2B" w:rsidRPr="00860331">
              <w:rPr>
                <w:rFonts w:ascii="Calibri" w:eastAsia="ArialMT" w:hAnsi="Calibri"/>
              </w:rPr>
              <w:t xml:space="preserve">) </w:t>
            </w:r>
            <w:r w:rsidR="006F65CE" w:rsidRPr="00860331">
              <w:rPr>
                <w:rFonts w:ascii="Calibri" w:eastAsia="ArialMT" w:hAnsi="Calibri"/>
              </w:rPr>
              <w:t>является дочерней организацией Н</w:t>
            </w:r>
            <w:r w:rsidR="003405AE" w:rsidRPr="00860331">
              <w:rPr>
                <w:rFonts w:ascii="Calibri" w:eastAsia="ArialMT" w:hAnsi="Calibri"/>
              </w:rPr>
              <w:t>ационального Банка Казахстан</w:t>
            </w:r>
            <w:r w:rsidR="00AB2BFD" w:rsidRPr="00860331">
              <w:rPr>
                <w:rFonts w:ascii="Calibri" w:eastAsia="ArialMT" w:hAnsi="Calibri"/>
              </w:rPr>
              <w:t>а</w:t>
            </w:r>
            <w:r w:rsidR="006F65CE" w:rsidRPr="00860331">
              <w:rPr>
                <w:rFonts w:ascii="Calibri" w:eastAsia="ArialMT" w:hAnsi="Calibri"/>
              </w:rPr>
              <w:t xml:space="preserve">, созданной в форме республиканского государственного предприятия на праве хозяйственного ведения, и в своей финансовой деятельности подотчетен </w:t>
            </w:r>
            <w:r w:rsidR="003405AE" w:rsidRPr="00860331">
              <w:rPr>
                <w:rFonts w:ascii="Calibri" w:eastAsia="ArialMT" w:hAnsi="Calibri"/>
              </w:rPr>
              <w:t>Национальному Банку Казахстан</w:t>
            </w:r>
            <w:r w:rsidR="00AB2BFD" w:rsidRPr="00860331">
              <w:rPr>
                <w:rFonts w:ascii="Calibri" w:eastAsia="ArialMT" w:hAnsi="Calibri"/>
              </w:rPr>
              <w:t>а</w:t>
            </w:r>
            <w:r w:rsidR="006F65CE" w:rsidRPr="00860331">
              <w:rPr>
                <w:rFonts w:ascii="Calibri" w:eastAsia="ArialMT" w:hAnsi="Calibri"/>
              </w:rPr>
              <w:t xml:space="preserve"> (государственному учреждению).</w:t>
            </w:r>
            <w:proofErr w:type="gramEnd"/>
            <w:r w:rsidR="006F65CE" w:rsidRPr="00860331">
              <w:rPr>
                <w:rFonts w:ascii="Calibri" w:eastAsia="ArialMT" w:hAnsi="Calibri"/>
              </w:rPr>
              <w:t xml:space="preserve"> Управление капиталом, ввиду того, что КЦМР является республиканским государственным предприятием на </w:t>
            </w:r>
            <w:proofErr w:type="gramStart"/>
            <w:r w:rsidR="006F65CE" w:rsidRPr="00860331">
              <w:rPr>
                <w:rFonts w:ascii="Calibri" w:eastAsia="ArialMT" w:hAnsi="Calibri"/>
              </w:rPr>
              <w:t>праве</w:t>
            </w:r>
            <w:proofErr w:type="gramEnd"/>
            <w:r w:rsidR="006F65CE" w:rsidRPr="00860331">
              <w:rPr>
                <w:rFonts w:ascii="Calibri" w:eastAsia="ArialMT" w:hAnsi="Calibri"/>
              </w:rPr>
              <w:t xml:space="preserve"> хозяйственного ведения, осуществляется</w:t>
            </w:r>
            <w:r w:rsidR="00D91C2B" w:rsidRPr="00860331">
              <w:rPr>
                <w:rFonts w:ascii="Calibri" w:eastAsia="ArialMT" w:hAnsi="Calibri"/>
              </w:rPr>
              <w:t>,</w:t>
            </w:r>
            <w:r w:rsidR="003405AE" w:rsidRPr="00860331">
              <w:rPr>
                <w:rFonts w:ascii="Calibri" w:eastAsia="ArialMT" w:hAnsi="Calibri"/>
              </w:rPr>
              <w:t xml:space="preserve"> согласно законодательству Республики Казахстан</w:t>
            </w:r>
            <w:r w:rsidR="006F65CE" w:rsidRPr="00860331">
              <w:rPr>
                <w:rFonts w:ascii="Calibri" w:eastAsia="ArialMT" w:hAnsi="Calibri"/>
              </w:rPr>
              <w:t xml:space="preserve"> и правовым документам </w:t>
            </w:r>
            <w:r w:rsidRPr="00860331">
              <w:rPr>
                <w:rFonts w:ascii="Calibri" w:eastAsia="ArialMT" w:hAnsi="Calibri"/>
              </w:rPr>
              <w:t>Национального Банка</w:t>
            </w:r>
            <w:r w:rsidR="00AB2BFD" w:rsidRPr="00860331">
              <w:rPr>
                <w:rFonts w:ascii="Calibri" w:eastAsia="ArialMT" w:hAnsi="Calibri"/>
              </w:rPr>
              <w:t xml:space="preserve"> Казахстана</w:t>
            </w:r>
            <w:r w:rsidR="006F65CE" w:rsidRPr="00860331">
              <w:rPr>
                <w:rFonts w:ascii="Calibri" w:eastAsia="ArialMT" w:hAnsi="Calibri"/>
              </w:rPr>
              <w:t>.</w:t>
            </w:r>
          </w:p>
        </w:tc>
      </w:tr>
      <w:tr w:rsidR="006F65CE" w:rsidRPr="003405AE" w:rsidTr="00610467">
        <w:trPr>
          <w:trHeight w:val="530"/>
        </w:trPr>
        <w:tc>
          <w:tcPr>
            <w:tcW w:w="9644" w:type="dxa"/>
            <w:gridSpan w:val="2"/>
            <w:shd w:val="clear" w:color="auto" w:fill="F3F3F3"/>
          </w:tcPr>
          <w:p w:rsidR="006F65CE" w:rsidRPr="005C7913" w:rsidRDefault="006F65CE" w:rsidP="005C7913">
            <w:pPr>
              <w:jc w:val="both"/>
              <w:rPr>
                <w:rFonts w:ascii="Calibri" w:hAnsi="Calibri"/>
                <w:b/>
                <w:bCs/>
                <w:i/>
                <w:color w:val="548DD4" w:themeColor="text2" w:themeTint="99"/>
              </w:rPr>
            </w:pPr>
            <w:bookmarkStart w:id="75" w:name="_Toc407204680"/>
            <w:bookmarkStart w:id="76" w:name="_Toc480772958"/>
            <w:bookmarkStart w:id="77" w:name="_Toc480825647"/>
            <w:bookmarkStart w:id="78" w:name="_Toc481139488"/>
            <w:r w:rsidRPr="005C7913">
              <w:rPr>
                <w:rFonts w:ascii="Calibri" w:hAnsi="Calibri"/>
                <w:b/>
                <w:bCs/>
                <w:i/>
                <w:color w:val="548DD4" w:themeColor="text2" w:themeTint="99"/>
              </w:rPr>
              <w:t>Принцип 16. Депозитарный и инвестиционный риск</w:t>
            </w:r>
            <w:bookmarkEnd w:id="75"/>
            <w:bookmarkEnd w:id="76"/>
            <w:bookmarkEnd w:id="77"/>
            <w:bookmarkEnd w:id="78"/>
          </w:p>
          <w:p w:rsidR="006F65CE" w:rsidRPr="003405AE" w:rsidRDefault="006F65CE" w:rsidP="00610467">
            <w:pPr>
              <w:jc w:val="both"/>
              <w:rPr>
                <w:rFonts w:ascii="Calibri" w:hAnsi="Calibri"/>
                <w:i/>
              </w:rPr>
            </w:pPr>
            <w:r w:rsidRPr="003405AE">
              <w:rPr>
                <w:rFonts w:ascii="Calibri" w:eastAsia="ArialMT" w:hAnsi="Calibri"/>
                <w:bCs/>
                <w:i/>
              </w:rPr>
              <w:t xml:space="preserve">ИФР должна защищать свои активы и активы своих участников и минимизировать риск потерь и несвоевременного доступа к ним. ИФР должна инвестировать в инструменты с </w:t>
            </w:r>
            <w:proofErr w:type="gramStart"/>
            <w:r w:rsidRPr="003405AE">
              <w:rPr>
                <w:rFonts w:ascii="Calibri" w:eastAsia="ArialMT" w:hAnsi="Calibri"/>
                <w:bCs/>
                <w:i/>
              </w:rPr>
              <w:t>минимальными</w:t>
            </w:r>
            <w:proofErr w:type="gramEnd"/>
            <w:r w:rsidRPr="003405AE">
              <w:rPr>
                <w:rFonts w:ascii="Calibri" w:eastAsia="ArialMT" w:hAnsi="Calibri"/>
                <w:bCs/>
                <w:i/>
              </w:rPr>
              <w:t xml:space="preserve"> кредитным и рыночным риском и риском ликвидности.</w:t>
            </w:r>
          </w:p>
        </w:tc>
      </w:tr>
      <w:tr w:rsidR="006F65CE" w:rsidRPr="00687214" w:rsidTr="00610467">
        <w:tc>
          <w:tcPr>
            <w:tcW w:w="1364" w:type="dxa"/>
            <w:shd w:val="clear" w:color="auto" w:fill="F3F3F3"/>
          </w:tcPr>
          <w:p w:rsidR="006F65CE" w:rsidRPr="00860331" w:rsidRDefault="006F65CE" w:rsidP="00610467">
            <w:pPr>
              <w:jc w:val="both"/>
              <w:rPr>
                <w:rFonts w:ascii="Calibri" w:hAnsi="Calibri"/>
                <w:i/>
              </w:rPr>
            </w:pPr>
            <w:r w:rsidRPr="00860331">
              <w:rPr>
                <w:rFonts w:ascii="Calibri" w:hAnsi="Calibri"/>
                <w:i/>
              </w:rPr>
              <w:lastRenderedPageBreak/>
              <w:t>Краткое изложение</w:t>
            </w:r>
          </w:p>
        </w:tc>
        <w:tc>
          <w:tcPr>
            <w:tcW w:w="8280" w:type="dxa"/>
            <w:shd w:val="clear" w:color="auto" w:fill="F3F3F3"/>
          </w:tcPr>
          <w:p w:rsidR="006F65CE" w:rsidRPr="00687214" w:rsidRDefault="003405AE" w:rsidP="00AB2BFD">
            <w:pPr>
              <w:autoSpaceDE w:val="0"/>
              <w:autoSpaceDN w:val="0"/>
              <w:adjustRightInd w:val="0"/>
              <w:jc w:val="both"/>
              <w:rPr>
                <w:rFonts w:ascii="Calibri" w:eastAsia="ArialMT" w:hAnsi="Calibri"/>
              </w:rPr>
            </w:pPr>
            <w:r w:rsidRPr="00860331">
              <w:rPr>
                <w:rFonts w:ascii="Calibri" w:eastAsia="ArialMT" w:hAnsi="Calibri"/>
              </w:rPr>
              <w:t>Положения данного принципа не применимы в отношении МСПД и СМК.</w:t>
            </w:r>
            <w:r w:rsidR="006F65CE" w:rsidRPr="00860331">
              <w:rPr>
                <w:rFonts w:ascii="Calibri" w:eastAsia="ArialMT" w:hAnsi="Calibri"/>
              </w:rPr>
              <w:t xml:space="preserve"> Деньги </w:t>
            </w:r>
            <w:r w:rsidR="00025FFE" w:rsidRPr="00860331">
              <w:rPr>
                <w:rFonts w:ascii="Calibri" w:eastAsia="ArialMT" w:hAnsi="Calibri"/>
              </w:rPr>
              <w:t>участников</w:t>
            </w:r>
            <w:r w:rsidR="006F65CE" w:rsidRPr="00860331">
              <w:rPr>
                <w:rFonts w:ascii="Calibri" w:eastAsia="ArialMT" w:hAnsi="Calibri"/>
              </w:rPr>
              <w:t xml:space="preserve"> находятся на </w:t>
            </w:r>
            <w:r w:rsidRPr="00860331">
              <w:rPr>
                <w:rFonts w:ascii="Calibri" w:eastAsia="ArialMT" w:hAnsi="Calibri"/>
              </w:rPr>
              <w:t xml:space="preserve">корреспондентских </w:t>
            </w:r>
            <w:r w:rsidR="006F65CE" w:rsidRPr="00860331">
              <w:rPr>
                <w:rFonts w:ascii="Calibri" w:eastAsia="ArialMT" w:hAnsi="Calibri"/>
              </w:rPr>
              <w:t xml:space="preserve">счетах, открытых в </w:t>
            </w:r>
            <w:r w:rsidRPr="00860331">
              <w:rPr>
                <w:rFonts w:ascii="Calibri" w:eastAsia="ArialMT" w:hAnsi="Calibri"/>
              </w:rPr>
              <w:t>Национальном Банке Казахстан</w:t>
            </w:r>
            <w:r w:rsidR="00AB2BFD" w:rsidRPr="00860331">
              <w:rPr>
                <w:rFonts w:ascii="Calibri" w:eastAsia="ArialMT" w:hAnsi="Calibri"/>
              </w:rPr>
              <w:t>а</w:t>
            </w:r>
            <w:r w:rsidR="006F65CE" w:rsidRPr="00860331">
              <w:rPr>
                <w:rFonts w:ascii="Calibri" w:eastAsia="ArialMT" w:hAnsi="Calibri"/>
              </w:rPr>
              <w:t>.</w:t>
            </w:r>
            <w:r w:rsidR="006F65CE" w:rsidRPr="00687214">
              <w:rPr>
                <w:rFonts w:ascii="Calibri" w:eastAsia="ArialMT" w:hAnsi="Calibri"/>
              </w:rPr>
              <w:t xml:space="preserve"> </w:t>
            </w:r>
          </w:p>
        </w:tc>
      </w:tr>
      <w:tr w:rsidR="006F65CE" w:rsidRPr="003405AE" w:rsidTr="00610467">
        <w:trPr>
          <w:trHeight w:val="530"/>
        </w:trPr>
        <w:tc>
          <w:tcPr>
            <w:tcW w:w="9644" w:type="dxa"/>
            <w:gridSpan w:val="2"/>
            <w:shd w:val="clear" w:color="auto" w:fill="F3F3F3"/>
          </w:tcPr>
          <w:p w:rsidR="006F65CE" w:rsidRPr="005C7913" w:rsidRDefault="006F65CE" w:rsidP="005C7913">
            <w:pPr>
              <w:jc w:val="both"/>
              <w:rPr>
                <w:rFonts w:ascii="Calibri" w:hAnsi="Calibri"/>
                <w:b/>
                <w:bCs/>
                <w:i/>
                <w:color w:val="548DD4" w:themeColor="text2" w:themeTint="99"/>
              </w:rPr>
            </w:pPr>
            <w:bookmarkStart w:id="79" w:name="_Toc407204681"/>
            <w:bookmarkStart w:id="80" w:name="_Toc480772959"/>
            <w:bookmarkStart w:id="81" w:name="_Toc480825648"/>
            <w:bookmarkStart w:id="82" w:name="_Toc481139489"/>
            <w:r w:rsidRPr="005C7913">
              <w:rPr>
                <w:rFonts w:ascii="Calibri" w:hAnsi="Calibri"/>
                <w:b/>
                <w:bCs/>
                <w:i/>
                <w:color w:val="548DD4" w:themeColor="text2" w:themeTint="99"/>
              </w:rPr>
              <w:t>Принцип 17. Операционный риск</w:t>
            </w:r>
            <w:bookmarkEnd w:id="79"/>
            <w:bookmarkEnd w:id="80"/>
            <w:bookmarkEnd w:id="81"/>
            <w:bookmarkEnd w:id="82"/>
          </w:p>
          <w:p w:rsidR="006F65CE" w:rsidRPr="003405AE" w:rsidRDefault="006F65CE" w:rsidP="00610467">
            <w:pPr>
              <w:jc w:val="both"/>
              <w:rPr>
                <w:rFonts w:ascii="Calibri" w:hAnsi="Calibri"/>
                <w:i/>
              </w:rPr>
            </w:pPr>
            <w:r w:rsidRPr="003405AE">
              <w:rPr>
                <w:rFonts w:ascii="Calibri" w:eastAsia="ArialMT" w:hAnsi="Calibri"/>
                <w:bCs/>
                <w:i/>
              </w:rPr>
              <w:t>ИФР должна выявлять все возможные источники операционного риска, как внутренние, так и внешние, и ослаблять их влияние за счет использования надлежащих систем, политик, процедур и методов контроля. Системы должны обеспечивать высокую степень безопасности и операционной надежности и иметь достаточную наращиваемую пропускную способность. Управление непрерывностью деятельности должно быть направлено на своевременное восстановление операций и выполнение обязательств ИФР, в том числе в случае широкомасштабного или крупного нарушения в работе.</w:t>
            </w:r>
          </w:p>
        </w:tc>
      </w:tr>
      <w:tr w:rsidR="006F65CE" w:rsidRPr="00687214"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t>Краткое изложение</w:t>
            </w:r>
          </w:p>
        </w:tc>
        <w:tc>
          <w:tcPr>
            <w:tcW w:w="8280" w:type="dxa"/>
            <w:shd w:val="clear" w:color="auto" w:fill="F3F3F3"/>
          </w:tcPr>
          <w:p w:rsidR="006F65CE" w:rsidRPr="00860331" w:rsidRDefault="006F65CE" w:rsidP="00610467">
            <w:pPr>
              <w:suppressAutoHyphens/>
              <w:jc w:val="both"/>
              <w:rPr>
                <w:rFonts w:ascii="Calibri" w:eastAsia="ArialMT" w:hAnsi="Calibri"/>
                <w:bCs/>
              </w:rPr>
            </w:pPr>
            <w:r w:rsidRPr="00860331">
              <w:rPr>
                <w:rFonts w:ascii="Calibri" w:eastAsia="ArialMT" w:hAnsi="Calibri"/>
                <w:bCs/>
              </w:rPr>
              <w:t>КЦМР в целях управления операционным риском и</w:t>
            </w:r>
            <w:r w:rsidRPr="00860331">
              <w:rPr>
                <w:rFonts w:ascii="Calibri" w:hAnsi="Calibri"/>
              </w:rPr>
              <w:t xml:space="preserve">спользуются необходимые методы управления физической и информационной безопасностью, основанные на международных стандартах. Также в целях управления операционным риском </w:t>
            </w:r>
            <w:r w:rsidRPr="00860331">
              <w:rPr>
                <w:rFonts w:ascii="Calibri" w:eastAsia="ArialMT" w:hAnsi="Calibri"/>
                <w:bCs/>
              </w:rPr>
              <w:t>разработан и подлежит ежегодному пересмотру план восстановления плат</w:t>
            </w:r>
            <w:r w:rsidR="00D91C2B" w:rsidRPr="00860331">
              <w:rPr>
                <w:rFonts w:ascii="Calibri" w:eastAsia="ArialMT" w:hAnsi="Calibri"/>
                <w:bCs/>
              </w:rPr>
              <w:t>е</w:t>
            </w:r>
            <w:r w:rsidRPr="00860331">
              <w:rPr>
                <w:rFonts w:ascii="Calibri" w:eastAsia="ArialMT" w:hAnsi="Calibri"/>
                <w:bCs/>
              </w:rPr>
              <w:t xml:space="preserve">жных систем, осуществляется копирование информации в режиме реального времени в резервный центр, проводится архивирование данных, обновление эксплуатируемой техники, имеется команда восстановления, организована работа резервного центра, осуществляется анализ со стороны руководства выполнения контрольных мер по минимизации выявленных факторов риска, применение средств криптографической защиты информации, </w:t>
            </w:r>
            <w:r w:rsidR="00025FFE" w:rsidRPr="00860331">
              <w:rPr>
                <w:rFonts w:ascii="Calibri" w:eastAsia="ArialMT" w:hAnsi="Calibri"/>
                <w:bCs/>
              </w:rPr>
              <w:t>а также применяются иные меры управления операционным риском. Разработаны специальные документы, определяющие действия по управлению данным риском</w:t>
            </w:r>
            <w:r w:rsidRPr="00860331">
              <w:rPr>
                <w:rFonts w:ascii="Calibri" w:eastAsia="ArialMT" w:hAnsi="Calibri"/>
                <w:bCs/>
              </w:rPr>
              <w:t xml:space="preserve">. </w:t>
            </w:r>
          </w:p>
          <w:p w:rsidR="006F65CE" w:rsidRPr="00860331" w:rsidRDefault="006F65CE" w:rsidP="00610467">
            <w:pPr>
              <w:suppressAutoHyphens/>
              <w:autoSpaceDE w:val="0"/>
              <w:autoSpaceDN w:val="0"/>
              <w:adjustRightInd w:val="0"/>
              <w:jc w:val="both"/>
              <w:rPr>
                <w:rFonts w:ascii="Calibri" w:hAnsi="Calibri"/>
              </w:rPr>
            </w:pPr>
            <w:r w:rsidRPr="00860331">
              <w:rPr>
                <w:rFonts w:ascii="Calibri" w:eastAsia="ArialMT" w:hAnsi="Calibri"/>
              </w:rPr>
              <w:t>В целях управления операционным риско</w:t>
            </w:r>
            <w:r w:rsidR="00D91C2B" w:rsidRPr="00860331">
              <w:rPr>
                <w:rFonts w:ascii="Calibri" w:eastAsia="ArialMT" w:hAnsi="Calibri"/>
              </w:rPr>
              <w:t>м</w:t>
            </w:r>
            <w:r w:rsidRPr="00860331">
              <w:rPr>
                <w:rFonts w:ascii="Calibri" w:eastAsia="ArialMT" w:hAnsi="Calibri"/>
              </w:rPr>
              <w:t xml:space="preserve"> в рамках надзора (оверсайта) платежных систем </w:t>
            </w:r>
            <w:r w:rsidR="00025FFE" w:rsidRPr="00860331">
              <w:rPr>
                <w:rFonts w:ascii="Calibri" w:eastAsia="ArialMT" w:hAnsi="Calibri"/>
              </w:rPr>
              <w:t>Национальный Банк</w:t>
            </w:r>
            <w:r w:rsidR="00AB2BFD" w:rsidRPr="00860331">
              <w:rPr>
                <w:rFonts w:ascii="Calibri" w:eastAsia="ArialMT" w:hAnsi="Calibri"/>
              </w:rPr>
              <w:t xml:space="preserve"> Казахстана</w:t>
            </w:r>
            <w:r w:rsidRPr="00860331">
              <w:rPr>
                <w:rFonts w:ascii="Calibri" w:hAnsi="Calibri"/>
              </w:rPr>
              <w:t xml:space="preserve"> проверяет организацию и функционирование платежных систем, проводит анализ результатов перевода работы платежных систем  на программно-технический комплекс резервного сервера, а также применяет совместно с КЦМР иные меры по управлению риском.</w:t>
            </w:r>
          </w:p>
          <w:p w:rsidR="006F65CE" w:rsidRPr="00860331" w:rsidRDefault="00025FFE" w:rsidP="00610467">
            <w:pPr>
              <w:suppressAutoHyphens/>
              <w:autoSpaceDE w:val="0"/>
              <w:autoSpaceDN w:val="0"/>
              <w:adjustRightInd w:val="0"/>
              <w:jc w:val="both"/>
              <w:rPr>
                <w:rFonts w:ascii="Calibri" w:eastAsia="ArialMT" w:hAnsi="Calibri"/>
                <w:bCs/>
              </w:rPr>
            </w:pPr>
            <w:r w:rsidRPr="00860331">
              <w:rPr>
                <w:rFonts w:ascii="Calibri" w:eastAsia="ArialMT" w:hAnsi="Calibri"/>
                <w:bCs/>
              </w:rPr>
              <w:t>Р</w:t>
            </w:r>
            <w:r w:rsidR="006F65CE" w:rsidRPr="00860331">
              <w:rPr>
                <w:rFonts w:ascii="Calibri" w:eastAsia="ArialMT" w:hAnsi="Calibri"/>
                <w:bCs/>
              </w:rPr>
              <w:t xml:space="preserve">езервный центр </w:t>
            </w:r>
            <w:r w:rsidRPr="00860331">
              <w:rPr>
                <w:rFonts w:ascii="Calibri" w:eastAsia="ArialMT" w:hAnsi="Calibri"/>
                <w:bCs/>
              </w:rPr>
              <w:t xml:space="preserve">платежных систем </w:t>
            </w:r>
            <w:r w:rsidR="006F65CE" w:rsidRPr="00860331">
              <w:rPr>
                <w:rFonts w:ascii="Calibri" w:eastAsia="ArialMT" w:hAnsi="Calibri"/>
                <w:bCs/>
              </w:rPr>
              <w:t xml:space="preserve">имеет идентичные технические и коммуникационные параметры с основным центром. Между основным и резервным центрами осуществляется моментальная синхронизация данными, при возникновении внештатной ситуации в основном центре обработка платежных сообщений продолжится в резервном центре.  </w:t>
            </w:r>
          </w:p>
          <w:p w:rsidR="006E2AC8" w:rsidRPr="00687214" w:rsidRDefault="00025FFE" w:rsidP="00503833">
            <w:pPr>
              <w:suppressAutoHyphens/>
              <w:autoSpaceDE w:val="0"/>
              <w:autoSpaceDN w:val="0"/>
              <w:adjustRightInd w:val="0"/>
              <w:jc w:val="both"/>
              <w:rPr>
                <w:rFonts w:ascii="Calibri" w:hAnsi="Calibri"/>
              </w:rPr>
            </w:pPr>
            <w:r w:rsidRPr="00860331">
              <w:rPr>
                <w:rFonts w:ascii="Calibri" w:eastAsia="ArialMT" w:hAnsi="Calibri"/>
                <w:bCs/>
              </w:rPr>
              <w:t>Установлены требования к участникам платежных систем в части обеспечения безопасности рабочего места, посредством которого осуществляется связь с платежными системами, в том числе, предусмотрены требования к наличию резервных каналов связи и резервных рабочих мест, а также к плану восстановления деятельности участника платежной системы.</w:t>
            </w:r>
            <w:r w:rsidRPr="00687214">
              <w:rPr>
                <w:rFonts w:ascii="Calibri" w:eastAsia="ArialMT" w:hAnsi="Calibri"/>
                <w:bCs/>
              </w:rPr>
              <w:t xml:space="preserve"> </w:t>
            </w:r>
          </w:p>
        </w:tc>
      </w:tr>
      <w:tr w:rsidR="006F65CE" w:rsidRPr="003405AE" w:rsidTr="00610467">
        <w:trPr>
          <w:trHeight w:val="530"/>
        </w:trPr>
        <w:tc>
          <w:tcPr>
            <w:tcW w:w="9644" w:type="dxa"/>
            <w:gridSpan w:val="2"/>
            <w:shd w:val="clear" w:color="auto" w:fill="F3F3F3"/>
          </w:tcPr>
          <w:p w:rsidR="006F65CE" w:rsidRPr="005C7913" w:rsidRDefault="006F65CE" w:rsidP="005C7913">
            <w:pPr>
              <w:jc w:val="both"/>
              <w:rPr>
                <w:rFonts w:ascii="Calibri" w:hAnsi="Calibri"/>
                <w:b/>
                <w:bCs/>
                <w:i/>
                <w:color w:val="548DD4" w:themeColor="text2" w:themeTint="99"/>
              </w:rPr>
            </w:pPr>
            <w:bookmarkStart w:id="83" w:name="_Toc407204682"/>
            <w:bookmarkStart w:id="84" w:name="_Toc480772960"/>
            <w:bookmarkStart w:id="85" w:name="_Toc480825649"/>
            <w:bookmarkStart w:id="86" w:name="_Toc481139490"/>
            <w:r w:rsidRPr="005C7913">
              <w:rPr>
                <w:rFonts w:ascii="Calibri" w:hAnsi="Calibri"/>
                <w:b/>
                <w:bCs/>
                <w:i/>
                <w:color w:val="548DD4" w:themeColor="text2" w:themeTint="99"/>
              </w:rPr>
              <w:t>Принцип 18. Требования к доступу и участию</w:t>
            </w:r>
            <w:bookmarkEnd w:id="83"/>
            <w:bookmarkEnd w:id="84"/>
            <w:bookmarkEnd w:id="85"/>
            <w:bookmarkEnd w:id="86"/>
          </w:p>
          <w:p w:rsidR="006F65CE" w:rsidRPr="003405AE" w:rsidRDefault="006F65CE" w:rsidP="00610467">
            <w:pPr>
              <w:jc w:val="both"/>
              <w:rPr>
                <w:rFonts w:ascii="Calibri" w:hAnsi="Calibri"/>
                <w:i/>
              </w:rPr>
            </w:pPr>
            <w:r w:rsidRPr="003405AE">
              <w:rPr>
                <w:rFonts w:ascii="Calibri" w:eastAsia="ArialMT" w:hAnsi="Calibri"/>
                <w:bCs/>
                <w:i/>
              </w:rPr>
              <w:t>ИФР должны иметь объективные, основанные на риске публично раскрываемые критерии участия, обеспечивающие справедливый и открытый доступ</w:t>
            </w:r>
          </w:p>
        </w:tc>
      </w:tr>
      <w:tr w:rsidR="006F65CE" w:rsidRPr="00860331"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t>Краткое изложение</w:t>
            </w:r>
          </w:p>
        </w:tc>
        <w:tc>
          <w:tcPr>
            <w:tcW w:w="8280" w:type="dxa"/>
            <w:shd w:val="clear" w:color="auto" w:fill="F3F3F3"/>
          </w:tcPr>
          <w:p w:rsidR="006F65CE" w:rsidRDefault="00025FFE" w:rsidP="00B47A6D">
            <w:pPr>
              <w:autoSpaceDE w:val="0"/>
              <w:autoSpaceDN w:val="0"/>
              <w:adjustRightInd w:val="0"/>
              <w:jc w:val="both"/>
              <w:rPr>
                <w:rFonts w:ascii="Calibri" w:eastAsia="ArialMT" w:hAnsi="Calibri"/>
                <w:bCs/>
              </w:rPr>
            </w:pPr>
            <w:r w:rsidRPr="00860331">
              <w:rPr>
                <w:rFonts w:ascii="Calibri" w:eastAsia="ArialMT" w:hAnsi="Calibri"/>
                <w:bCs/>
              </w:rPr>
              <w:t xml:space="preserve">Критерии доступа к МСПД и СМК  отражены в </w:t>
            </w:r>
            <w:r w:rsidR="00FA23F3" w:rsidRPr="00860331">
              <w:rPr>
                <w:rFonts w:ascii="Calibri" w:eastAsia="ArialMT" w:hAnsi="Calibri"/>
                <w:bCs/>
              </w:rPr>
              <w:t xml:space="preserve">деталях в </w:t>
            </w:r>
            <w:r w:rsidRPr="00860331">
              <w:rPr>
                <w:rFonts w:ascii="Calibri" w:eastAsia="ArialMT" w:hAnsi="Calibri"/>
                <w:bCs/>
              </w:rPr>
              <w:t>Правилах функционирования данных  платежных систем, едины для всех участников и</w:t>
            </w:r>
            <w:r w:rsidR="00FA23F3" w:rsidRPr="00860331">
              <w:rPr>
                <w:rFonts w:ascii="Calibri" w:eastAsia="ArialMT" w:hAnsi="Calibri"/>
                <w:bCs/>
              </w:rPr>
              <w:t xml:space="preserve"> доступны общественности и всем субъектам.</w:t>
            </w:r>
            <w:r w:rsidRPr="00860331">
              <w:rPr>
                <w:rFonts w:ascii="Calibri" w:eastAsia="ArialMT" w:hAnsi="Calibri"/>
                <w:bCs/>
              </w:rPr>
              <w:t xml:space="preserve">  </w:t>
            </w:r>
          </w:p>
          <w:p w:rsidR="00503833" w:rsidRPr="00860331" w:rsidRDefault="00503833" w:rsidP="00B47A6D">
            <w:pPr>
              <w:autoSpaceDE w:val="0"/>
              <w:autoSpaceDN w:val="0"/>
              <w:adjustRightInd w:val="0"/>
              <w:jc w:val="both"/>
              <w:rPr>
                <w:rFonts w:ascii="Calibri" w:eastAsia="ArialMT" w:hAnsi="Calibri"/>
                <w:bCs/>
              </w:rPr>
            </w:pPr>
          </w:p>
        </w:tc>
      </w:tr>
      <w:tr w:rsidR="006F65CE" w:rsidRPr="00860331" w:rsidTr="00610467">
        <w:trPr>
          <w:trHeight w:val="530"/>
        </w:trPr>
        <w:tc>
          <w:tcPr>
            <w:tcW w:w="9644" w:type="dxa"/>
            <w:gridSpan w:val="2"/>
            <w:shd w:val="clear" w:color="auto" w:fill="F3F3F3"/>
          </w:tcPr>
          <w:p w:rsidR="006F65CE" w:rsidRPr="00860331" w:rsidRDefault="006F65CE" w:rsidP="005C7913">
            <w:pPr>
              <w:jc w:val="both"/>
              <w:rPr>
                <w:rFonts w:ascii="Calibri" w:hAnsi="Calibri"/>
                <w:b/>
                <w:bCs/>
                <w:i/>
                <w:color w:val="548DD4" w:themeColor="text2" w:themeTint="99"/>
              </w:rPr>
            </w:pPr>
            <w:bookmarkStart w:id="87" w:name="_Toc407204683"/>
            <w:bookmarkStart w:id="88" w:name="_Toc480772961"/>
            <w:bookmarkStart w:id="89" w:name="_Toc480825650"/>
            <w:bookmarkStart w:id="90" w:name="_Toc481139491"/>
            <w:r w:rsidRPr="00860331">
              <w:rPr>
                <w:rFonts w:ascii="Calibri" w:hAnsi="Calibri"/>
                <w:b/>
                <w:bCs/>
                <w:i/>
                <w:color w:val="548DD4" w:themeColor="text2" w:themeTint="99"/>
              </w:rPr>
              <w:lastRenderedPageBreak/>
              <w:t>Принцип 19. Многоуровневая система участия</w:t>
            </w:r>
            <w:bookmarkEnd w:id="87"/>
            <w:bookmarkEnd w:id="88"/>
            <w:bookmarkEnd w:id="89"/>
            <w:bookmarkEnd w:id="90"/>
          </w:p>
          <w:p w:rsidR="006F65CE" w:rsidRPr="00860331" w:rsidRDefault="006F65CE" w:rsidP="00610467">
            <w:pPr>
              <w:jc w:val="both"/>
              <w:rPr>
                <w:rFonts w:ascii="Calibri" w:hAnsi="Calibri"/>
                <w:i/>
              </w:rPr>
            </w:pPr>
            <w:r w:rsidRPr="00860331">
              <w:rPr>
                <w:rFonts w:ascii="Calibri" w:eastAsia="ArialMT" w:hAnsi="Calibri"/>
                <w:bCs/>
                <w:i/>
              </w:rPr>
              <w:t>ИФР должна выявлять, проводить мониторинг и управлять существенными рисками, создаваемыми для ИФР многоуровневой структурой участия</w:t>
            </w:r>
          </w:p>
        </w:tc>
      </w:tr>
      <w:tr w:rsidR="006F65CE" w:rsidRPr="00687214"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t>Краткое изложение</w:t>
            </w:r>
          </w:p>
        </w:tc>
        <w:tc>
          <w:tcPr>
            <w:tcW w:w="8280" w:type="dxa"/>
            <w:shd w:val="clear" w:color="auto" w:fill="F3F3F3"/>
          </w:tcPr>
          <w:p w:rsidR="00D91C2B" w:rsidRPr="00860331" w:rsidRDefault="006F65CE" w:rsidP="00610467">
            <w:pPr>
              <w:suppressAutoHyphens/>
              <w:jc w:val="both"/>
              <w:rPr>
                <w:rFonts w:ascii="Calibri" w:eastAsia="ArialMT" w:hAnsi="Calibri"/>
                <w:bCs/>
              </w:rPr>
            </w:pPr>
            <w:r w:rsidRPr="00860331">
              <w:rPr>
                <w:rFonts w:ascii="Calibri" w:eastAsia="ArialMT" w:hAnsi="Calibri"/>
                <w:bCs/>
              </w:rPr>
              <w:t>В МСПД</w:t>
            </w:r>
            <w:r w:rsidR="00FA23F3" w:rsidRPr="00860331">
              <w:rPr>
                <w:rFonts w:ascii="Calibri" w:eastAsia="ArialMT" w:hAnsi="Calibri"/>
                <w:bCs/>
              </w:rPr>
              <w:t xml:space="preserve"> и СМК </w:t>
            </w:r>
            <w:r w:rsidRPr="00860331">
              <w:rPr>
                <w:rFonts w:ascii="Calibri" w:eastAsia="ArialMT" w:hAnsi="Calibri"/>
                <w:bCs/>
              </w:rPr>
              <w:t xml:space="preserve">отсутствует многоуровневая структура участия. Прямыми участниками МСПД </w:t>
            </w:r>
            <w:r w:rsidR="00FA23F3" w:rsidRPr="00860331">
              <w:rPr>
                <w:rFonts w:ascii="Calibri" w:eastAsia="ArialMT" w:hAnsi="Calibri"/>
                <w:bCs/>
              </w:rPr>
              <w:t xml:space="preserve">и СМК </w:t>
            </w:r>
            <w:r w:rsidRPr="00860331">
              <w:rPr>
                <w:rFonts w:ascii="Calibri" w:eastAsia="ArialMT" w:hAnsi="Calibri"/>
                <w:bCs/>
              </w:rPr>
              <w:t xml:space="preserve">являются банки и организации, осуществляющие отдельные виды банковских операций, заключившие договора с </w:t>
            </w:r>
            <w:r w:rsidR="00D91C2B" w:rsidRPr="00860331">
              <w:rPr>
                <w:rFonts w:ascii="Calibri" w:eastAsia="ArialMT" w:hAnsi="Calibri"/>
                <w:bCs/>
              </w:rPr>
              <w:t xml:space="preserve">Национальным Банком </w:t>
            </w:r>
            <w:r w:rsidR="00AB2BFD" w:rsidRPr="00860331">
              <w:rPr>
                <w:rFonts w:ascii="Calibri" w:eastAsia="ArialMT" w:hAnsi="Calibri"/>
                <w:bCs/>
              </w:rPr>
              <w:t xml:space="preserve">Казахстана </w:t>
            </w:r>
            <w:r w:rsidR="00D91C2B" w:rsidRPr="00860331">
              <w:rPr>
                <w:rFonts w:ascii="Calibri" w:eastAsia="ArialMT" w:hAnsi="Calibri"/>
                <w:bCs/>
              </w:rPr>
              <w:t xml:space="preserve">на участие в системе и с </w:t>
            </w:r>
            <w:r w:rsidRPr="00860331">
              <w:rPr>
                <w:rFonts w:ascii="Calibri" w:eastAsia="ArialMT" w:hAnsi="Calibri"/>
                <w:bCs/>
              </w:rPr>
              <w:t xml:space="preserve">КЦМР об оказании услуг в </w:t>
            </w:r>
            <w:r w:rsidR="00D91C2B" w:rsidRPr="00860331">
              <w:rPr>
                <w:rFonts w:ascii="Calibri" w:eastAsia="ArialMT" w:hAnsi="Calibri"/>
                <w:bCs/>
              </w:rPr>
              <w:t>системе.</w:t>
            </w:r>
            <w:r w:rsidRPr="00860331">
              <w:rPr>
                <w:rFonts w:ascii="Calibri" w:eastAsia="ArialMT" w:hAnsi="Calibri"/>
                <w:bCs/>
              </w:rPr>
              <w:t xml:space="preserve"> </w:t>
            </w:r>
          </w:p>
          <w:p w:rsidR="006F65CE" w:rsidRPr="00860331" w:rsidRDefault="006F65CE" w:rsidP="00610467">
            <w:pPr>
              <w:suppressAutoHyphens/>
              <w:jc w:val="both"/>
              <w:rPr>
                <w:rFonts w:ascii="Calibri" w:eastAsia="ArialMT" w:hAnsi="Calibri"/>
                <w:bCs/>
              </w:rPr>
            </w:pPr>
            <w:r w:rsidRPr="00860331">
              <w:rPr>
                <w:rFonts w:ascii="Calibri" w:eastAsia="ArialMT" w:hAnsi="Calibri"/>
                <w:bCs/>
              </w:rPr>
              <w:t>Непрямыми участниками МСПД</w:t>
            </w:r>
            <w:r w:rsidR="00FA23F3" w:rsidRPr="00860331">
              <w:rPr>
                <w:rFonts w:ascii="Calibri" w:eastAsia="ArialMT" w:hAnsi="Calibri"/>
                <w:bCs/>
              </w:rPr>
              <w:t xml:space="preserve"> и СМК</w:t>
            </w:r>
            <w:r w:rsidRPr="00860331">
              <w:rPr>
                <w:rFonts w:ascii="Calibri" w:eastAsia="ArialMT" w:hAnsi="Calibri"/>
                <w:bCs/>
              </w:rPr>
              <w:t xml:space="preserve"> являются клиенты (физические и юридические лица) прямых </w:t>
            </w:r>
            <w:r w:rsidR="003405AE" w:rsidRPr="00860331">
              <w:rPr>
                <w:rFonts w:ascii="Calibri" w:eastAsia="ArialMT" w:hAnsi="Calibri"/>
                <w:bCs/>
              </w:rPr>
              <w:t>участников</w:t>
            </w:r>
            <w:r w:rsidRPr="00860331">
              <w:rPr>
                <w:rFonts w:ascii="Calibri" w:eastAsia="ArialMT" w:hAnsi="Calibri"/>
                <w:bCs/>
              </w:rPr>
              <w:t xml:space="preserve">, </w:t>
            </w:r>
            <w:r w:rsidR="003405AE" w:rsidRPr="00860331">
              <w:rPr>
                <w:rFonts w:ascii="Calibri" w:eastAsia="ArialMT" w:hAnsi="Calibri"/>
                <w:bCs/>
              </w:rPr>
              <w:t xml:space="preserve">платежные указания которых направляются прямыми участниками в платежную систему для расчетов и </w:t>
            </w:r>
            <w:r w:rsidRPr="00860331">
              <w:rPr>
                <w:rFonts w:ascii="Calibri" w:eastAsia="ArialMT" w:hAnsi="Calibri"/>
                <w:bCs/>
              </w:rPr>
              <w:t xml:space="preserve">с которыми </w:t>
            </w:r>
            <w:r w:rsidR="003405AE" w:rsidRPr="00860331">
              <w:rPr>
                <w:rFonts w:ascii="Calibri" w:eastAsia="ArialMT" w:hAnsi="Calibri"/>
                <w:bCs/>
              </w:rPr>
              <w:t>участниками</w:t>
            </w:r>
            <w:r w:rsidRPr="00860331">
              <w:rPr>
                <w:rFonts w:ascii="Calibri" w:eastAsia="ArialMT" w:hAnsi="Calibri"/>
                <w:bCs/>
              </w:rPr>
              <w:t xml:space="preserve"> системы заключены договора банковского обслуживания (договора банковского счета, о переводе денег, банковского вклада).</w:t>
            </w:r>
          </w:p>
          <w:p w:rsidR="006F65CE" w:rsidRPr="00687214" w:rsidRDefault="00FA23F3" w:rsidP="00AB2BFD">
            <w:pPr>
              <w:suppressAutoHyphens/>
              <w:jc w:val="both"/>
              <w:rPr>
                <w:rFonts w:ascii="Calibri" w:hAnsi="Calibri"/>
              </w:rPr>
            </w:pPr>
            <w:r w:rsidRPr="00860331">
              <w:rPr>
                <w:rFonts w:ascii="Calibri" w:eastAsia="ArialMT" w:hAnsi="Calibri"/>
                <w:bCs/>
              </w:rPr>
              <w:t>Предусмотрено представление операторами системно значимых и значимых платежных систем в Национальный Банк</w:t>
            </w:r>
            <w:r w:rsidR="003405AE" w:rsidRPr="00860331">
              <w:rPr>
                <w:rFonts w:ascii="Calibri" w:eastAsia="ArialMT" w:hAnsi="Calibri"/>
                <w:bCs/>
              </w:rPr>
              <w:t xml:space="preserve"> Казахстан</w:t>
            </w:r>
            <w:r w:rsidR="00AB2BFD" w:rsidRPr="00860331">
              <w:rPr>
                <w:rFonts w:ascii="Calibri" w:eastAsia="ArialMT" w:hAnsi="Calibri"/>
                <w:bCs/>
              </w:rPr>
              <w:t>а</w:t>
            </w:r>
            <w:r w:rsidRPr="00860331">
              <w:rPr>
                <w:rFonts w:ascii="Calibri" w:eastAsia="ArialMT" w:hAnsi="Calibri"/>
                <w:bCs/>
              </w:rPr>
              <w:t xml:space="preserve"> сведений о платежах, проводимых значимыми клиентами участников платежных систем.</w:t>
            </w:r>
          </w:p>
        </w:tc>
      </w:tr>
      <w:tr w:rsidR="006F65CE" w:rsidRPr="003405AE" w:rsidTr="00610467">
        <w:trPr>
          <w:trHeight w:val="530"/>
        </w:trPr>
        <w:tc>
          <w:tcPr>
            <w:tcW w:w="9644" w:type="dxa"/>
            <w:gridSpan w:val="2"/>
            <w:shd w:val="clear" w:color="auto" w:fill="F3F3F3"/>
          </w:tcPr>
          <w:p w:rsidR="006F65CE" w:rsidRPr="005C7913" w:rsidRDefault="006F65CE" w:rsidP="005C7913">
            <w:pPr>
              <w:jc w:val="both"/>
              <w:rPr>
                <w:rFonts w:ascii="Calibri" w:hAnsi="Calibri"/>
                <w:b/>
                <w:bCs/>
                <w:i/>
                <w:color w:val="548DD4" w:themeColor="text2" w:themeTint="99"/>
              </w:rPr>
            </w:pPr>
            <w:bookmarkStart w:id="91" w:name="_Toc407204684"/>
            <w:bookmarkStart w:id="92" w:name="_Toc480772962"/>
            <w:bookmarkStart w:id="93" w:name="_Toc480825651"/>
            <w:bookmarkStart w:id="94" w:name="_Toc481139492"/>
            <w:r w:rsidRPr="005C7913">
              <w:rPr>
                <w:rFonts w:ascii="Calibri" w:hAnsi="Calibri"/>
                <w:b/>
                <w:bCs/>
                <w:i/>
                <w:color w:val="548DD4" w:themeColor="text2" w:themeTint="99"/>
              </w:rPr>
              <w:t>Принцип 20. Связи ИФР</w:t>
            </w:r>
            <w:bookmarkEnd w:id="91"/>
            <w:bookmarkEnd w:id="92"/>
            <w:bookmarkEnd w:id="93"/>
            <w:bookmarkEnd w:id="94"/>
          </w:p>
          <w:p w:rsidR="006F65CE" w:rsidRPr="003405AE" w:rsidRDefault="006F65CE" w:rsidP="00610467">
            <w:pPr>
              <w:jc w:val="both"/>
              <w:rPr>
                <w:rFonts w:ascii="Calibri" w:hAnsi="Calibri"/>
                <w:i/>
              </w:rPr>
            </w:pPr>
            <w:r w:rsidRPr="003405AE">
              <w:rPr>
                <w:rFonts w:ascii="Calibri" w:eastAsia="ArialMT" w:hAnsi="Calibri"/>
                <w:bCs/>
                <w:i/>
                <w:iCs/>
              </w:rPr>
              <w:t>ИФР, устанавливающая связи с одной или несколькими ИФР, должна выявлять, проводить мониторинг и управлять рисками, создаваемыми этими связями</w:t>
            </w:r>
          </w:p>
        </w:tc>
      </w:tr>
      <w:tr w:rsidR="006F65CE" w:rsidRPr="00687214" w:rsidTr="00610467">
        <w:tc>
          <w:tcPr>
            <w:tcW w:w="1364" w:type="dxa"/>
            <w:shd w:val="clear" w:color="auto" w:fill="F3F3F3"/>
          </w:tcPr>
          <w:p w:rsidR="006F65CE" w:rsidRPr="00687214" w:rsidRDefault="006F65CE" w:rsidP="00610467">
            <w:pPr>
              <w:rPr>
                <w:rFonts w:ascii="Calibri" w:hAnsi="Calibri"/>
                <w:i/>
              </w:rPr>
            </w:pPr>
            <w:r w:rsidRPr="00687214">
              <w:rPr>
                <w:rFonts w:ascii="Calibri" w:hAnsi="Calibri"/>
                <w:i/>
              </w:rPr>
              <w:t>Краткое изложение</w:t>
            </w:r>
          </w:p>
        </w:tc>
        <w:tc>
          <w:tcPr>
            <w:tcW w:w="8280" w:type="dxa"/>
            <w:shd w:val="clear" w:color="auto" w:fill="F3F3F3"/>
          </w:tcPr>
          <w:p w:rsidR="006F65CE" w:rsidRPr="00687214" w:rsidRDefault="003405AE" w:rsidP="00610467">
            <w:pPr>
              <w:suppressAutoHyphens/>
              <w:jc w:val="both"/>
              <w:rPr>
                <w:rFonts w:ascii="Calibri" w:eastAsia="ArialMT" w:hAnsi="Calibri"/>
                <w:bCs/>
              </w:rPr>
            </w:pPr>
            <w:r w:rsidRPr="00687214">
              <w:rPr>
                <w:rFonts w:ascii="Calibri" w:eastAsia="ArialMT" w:hAnsi="Calibri"/>
              </w:rPr>
              <w:t xml:space="preserve">Положения </w:t>
            </w:r>
            <w:r>
              <w:rPr>
                <w:rFonts w:ascii="Calibri" w:eastAsia="ArialMT" w:hAnsi="Calibri"/>
              </w:rPr>
              <w:t xml:space="preserve">данного принципа не применимы в отношении </w:t>
            </w:r>
            <w:r w:rsidRPr="00687214">
              <w:rPr>
                <w:rFonts w:ascii="Calibri" w:eastAsia="ArialMT" w:hAnsi="Calibri"/>
              </w:rPr>
              <w:t>МСПД и СМК.</w:t>
            </w:r>
          </w:p>
          <w:p w:rsidR="006F65CE" w:rsidRPr="00687214" w:rsidRDefault="006F65CE" w:rsidP="00610467">
            <w:pPr>
              <w:suppressAutoHyphens/>
              <w:jc w:val="both"/>
              <w:rPr>
                <w:rFonts w:ascii="Calibri" w:eastAsia="ArialMT" w:hAnsi="Calibri"/>
                <w:bCs/>
              </w:rPr>
            </w:pPr>
          </w:p>
        </w:tc>
      </w:tr>
      <w:tr w:rsidR="006F65CE" w:rsidRPr="003405AE" w:rsidTr="00610467">
        <w:trPr>
          <w:trHeight w:val="530"/>
        </w:trPr>
        <w:tc>
          <w:tcPr>
            <w:tcW w:w="9644" w:type="dxa"/>
            <w:gridSpan w:val="2"/>
            <w:shd w:val="clear" w:color="auto" w:fill="F3F3F3"/>
          </w:tcPr>
          <w:p w:rsidR="006F65CE" w:rsidRPr="005C7913" w:rsidRDefault="006F65CE" w:rsidP="005C7913">
            <w:pPr>
              <w:jc w:val="both"/>
              <w:rPr>
                <w:rFonts w:ascii="Calibri" w:hAnsi="Calibri"/>
                <w:b/>
                <w:bCs/>
                <w:i/>
                <w:color w:val="548DD4" w:themeColor="text2" w:themeTint="99"/>
              </w:rPr>
            </w:pPr>
            <w:bookmarkStart w:id="95" w:name="_Toc407204685"/>
            <w:bookmarkStart w:id="96" w:name="_Toc480772963"/>
            <w:bookmarkStart w:id="97" w:name="_Toc480825652"/>
            <w:bookmarkStart w:id="98" w:name="_Toc481139493"/>
            <w:r w:rsidRPr="005C7913">
              <w:rPr>
                <w:rFonts w:ascii="Calibri" w:hAnsi="Calibri"/>
                <w:b/>
                <w:bCs/>
                <w:i/>
                <w:color w:val="548DD4" w:themeColor="text2" w:themeTint="99"/>
              </w:rPr>
              <w:t>Принцип 21. Эффективность и результативность</w:t>
            </w:r>
            <w:bookmarkEnd w:id="95"/>
            <w:bookmarkEnd w:id="96"/>
            <w:bookmarkEnd w:id="97"/>
            <w:bookmarkEnd w:id="98"/>
          </w:p>
          <w:p w:rsidR="006F65CE" w:rsidRPr="003405AE" w:rsidRDefault="006F65CE" w:rsidP="00610467">
            <w:pPr>
              <w:jc w:val="both"/>
              <w:rPr>
                <w:rFonts w:ascii="Calibri" w:hAnsi="Calibri"/>
                <w:i/>
              </w:rPr>
            </w:pPr>
            <w:r w:rsidRPr="003405AE">
              <w:rPr>
                <w:rFonts w:ascii="Calibri" w:eastAsia="ArialMT" w:hAnsi="Calibri"/>
                <w:i/>
              </w:rPr>
              <w:t>ИФР должна обеспечивать эффективность и результативность выполнения требований обслуживаемых ею участников и рынков.</w:t>
            </w:r>
          </w:p>
        </w:tc>
      </w:tr>
      <w:tr w:rsidR="006F65CE" w:rsidRPr="00687214"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t>Краткое изложение</w:t>
            </w:r>
          </w:p>
        </w:tc>
        <w:tc>
          <w:tcPr>
            <w:tcW w:w="8280" w:type="dxa"/>
            <w:shd w:val="clear" w:color="auto" w:fill="F3F3F3"/>
          </w:tcPr>
          <w:p w:rsidR="00FA23F3" w:rsidRPr="00860331" w:rsidRDefault="00FA23F3" w:rsidP="00610467">
            <w:pPr>
              <w:suppressAutoHyphens/>
              <w:jc w:val="both"/>
              <w:rPr>
                <w:rFonts w:ascii="Calibri" w:eastAsia="ArialMT" w:hAnsi="Calibri"/>
                <w:bCs/>
              </w:rPr>
            </w:pPr>
            <w:r w:rsidRPr="00860331">
              <w:rPr>
                <w:rFonts w:ascii="Calibri" w:eastAsia="ArialMT" w:hAnsi="Calibri"/>
                <w:bCs/>
              </w:rPr>
              <w:t xml:space="preserve">В своей деятельности Национальный Банк </w:t>
            </w:r>
            <w:r w:rsidR="00D91C2B" w:rsidRPr="00860331">
              <w:rPr>
                <w:rFonts w:ascii="Calibri" w:eastAsia="ArialMT" w:hAnsi="Calibri"/>
                <w:bCs/>
              </w:rPr>
              <w:t>Казахстан</w:t>
            </w:r>
            <w:r w:rsidR="00AB2BFD" w:rsidRPr="00860331">
              <w:rPr>
                <w:rFonts w:ascii="Calibri" w:eastAsia="ArialMT" w:hAnsi="Calibri"/>
                <w:bCs/>
              </w:rPr>
              <w:t>а</w:t>
            </w:r>
            <w:r w:rsidRPr="00860331">
              <w:rPr>
                <w:rFonts w:ascii="Calibri" w:eastAsia="ArialMT" w:hAnsi="Calibri"/>
                <w:bCs/>
              </w:rPr>
              <w:t xml:space="preserve"> и КЦМР руководствуются принципом полного обслуживания </w:t>
            </w:r>
            <w:r w:rsidR="00802CD3" w:rsidRPr="00860331">
              <w:rPr>
                <w:rFonts w:ascii="Calibri" w:eastAsia="ArialMT" w:hAnsi="Calibri"/>
                <w:bCs/>
              </w:rPr>
              <w:t>участников</w:t>
            </w:r>
            <w:r w:rsidRPr="00860331">
              <w:rPr>
                <w:rFonts w:ascii="Calibri" w:eastAsia="ArialMT" w:hAnsi="Calibri"/>
                <w:bCs/>
              </w:rPr>
              <w:t xml:space="preserve"> МСПД и СМК. Основными преимуществами МСПД и СМК являются высокий уровень безопасности, высокая скорость передачи информации, </w:t>
            </w:r>
            <w:r w:rsidR="003405AE" w:rsidRPr="00860331">
              <w:rPr>
                <w:rFonts w:ascii="Calibri" w:eastAsia="ArialMT" w:hAnsi="Calibri"/>
                <w:bCs/>
              </w:rPr>
              <w:t xml:space="preserve">в МСПД </w:t>
            </w:r>
            <w:r w:rsidRPr="00860331">
              <w:rPr>
                <w:rFonts w:ascii="Calibri" w:eastAsia="ArialMT" w:hAnsi="Calibri"/>
                <w:bCs/>
              </w:rPr>
              <w:t>возможность проведения платежей в режиме реального времени.</w:t>
            </w:r>
          </w:p>
          <w:p w:rsidR="006F65CE" w:rsidRPr="00860331" w:rsidRDefault="006F65CE" w:rsidP="00610467">
            <w:pPr>
              <w:suppressAutoHyphens/>
              <w:jc w:val="both"/>
              <w:rPr>
                <w:rFonts w:ascii="Calibri" w:eastAsia="ArialMT" w:hAnsi="Calibri"/>
                <w:bCs/>
              </w:rPr>
            </w:pPr>
            <w:r w:rsidRPr="00860331">
              <w:rPr>
                <w:rFonts w:ascii="Calibri" w:eastAsia="ArialMT" w:hAnsi="Calibri"/>
                <w:bCs/>
              </w:rPr>
              <w:t>МСПД должна оставаться лидером в сфере предоставления услуг по межбанковским переводам денег, гарантируя мировой уровень качества и обеспечивая соблюдение международных стандартов (Принципов для ИФР).</w:t>
            </w:r>
          </w:p>
          <w:p w:rsidR="006F65CE" w:rsidRPr="00860331" w:rsidRDefault="006F65CE" w:rsidP="00610467">
            <w:pPr>
              <w:tabs>
                <w:tab w:val="left" w:pos="993"/>
              </w:tabs>
              <w:jc w:val="both"/>
              <w:rPr>
                <w:rFonts w:ascii="Calibri" w:eastAsia="ArialMT" w:hAnsi="Calibri"/>
                <w:bCs/>
              </w:rPr>
            </w:pPr>
            <w:r w:rsidRPr="00860331">
              <w:rPr>
                <w:rFonts w:ascii="Calibri" w:eastAsia="ArialMT" w:hAnsi="Calibri"/>
                <w:bCs/>
              </w:rPr>
              <w:t xml:space="preserve">При этом КЦМР добросовестно и тщательно выполняет взятые на себя в отношении </w:t>
            </w:r>
            <w:r w:rsidR="00FA23F3" w:rsidRPr="00860331">
              <w:rPr>
                <w:rFonts w:ascii="Calibri" w:eastAsia="ArialMT" w:hAnsi="Calibri"/>
                <w:bCs/>
              </w:rPr>
              <w:t>участников</w:t>
            </w:r>
            <w:r w:rsidRPr="00860331">
              <w:rPr>
                <w:rFonts w:ascii="Calibri" w:eastAsia="ArialMT" w:hAnsi="Calibri"/>
                <w:bCs/>
              </w:rPr>
              <w:t xml:space="preserve"> обязательства на основе принципа «Лояльное и равноправное отношение к любому </w:t>
            </w:r>
            <w:r w:rsidR="00FA23F3" w:rsidRPr="00860331">
              <w:rPr>
                <w:rFonts w:ascii="Calibri" w:eastAsia="ArialMT" w:hAnsi="Calibri"/>
                <w:bCs/>
              </w:rPr>
              <w:t>участнику</w:t>
            </w:r>
            <w:r w:rsidRPr="00860331">
              <w:rPr>
                <w:rFonts w:ascii="Calibri" w:eastAsia="ArialMT" w:hAnsi="Calibri"/>
                <w:bCs/>
              </w:rPr>
              <w:t xml:space="preserve">». При работе с </w:t>
            </w:r>
            <w:r w:rsidR="00FA23F3" w:rsidRPr="00860331">
              <w:rPr>
                <w:rFonts w:ascii="Calibri" w:eastAsia="ArialMT" w:hAnsi="Calibri"/>
                <w:bCs/>
              </w:rPr>
              <w:t>участниками</w:t>
            </w:r>
            <w:r w:rsidRPr="00860331">
              <w:rPr>
                <w:rFonts w:ascii="Calibri" w:eastAsia="ArialMT" w:hAnsi="Calibri"/>
                <w:bCs/>
              </w:rPr>
              <w:t xml:space="preserve"> действует принцип «вежливое и оперативное выполнение услуг по запросу пользователя».</w:t>
            </w:r>
          </w:p>
          <w:p w:rsidR="006F65CE" w:rsidRPr="00860331" w:rsidRDefault="006F65CE" w:rsidP="00610467">
            <w:pPr>
              <w:suppressAutoHyphens/>
              <w:jc w:val="both"/>
              <w:rPr>
                <w:rFonts w:ascii="Calibri" w:eastAsia="ArialMT" w:hAnsi="Calibri"/>
                <w:bCs/>
              </w:rPr>
            </w:pPr>
            <w:r w:rsidRPr="00860331">
              <w:rPr>
                <w:rFonts w:ascii="Calibri" w:eastAsia="ArialMT" w:hAnsi="Calibri"/>
                <w:bCs/>
              </w:rPr>
              <w:t xml:space="preserve">Определение соответствия МСПД требованиям и потребностям участников определяется посредством анкетирования  </w:t>
            </w:r>
            <w:r w:rsidR="00FA23F3" w:rsidRPr="00860331">
              <w:rPr>
                <w:rFonts w:ascii="Calibri" w:eastAsia="ArialMT" w:hAnsi="Calibri"/>
                <w:bCs/>
              </w:rPr>
              <w:t>участников</w:t>
            </w:r>
            <w:r w:rsidRPr="00860331">
              <w:rPr>
                <w:rFonts w:ascii="Calibri" w:eastAsia="ArialMT" w:hAnsi="Calibri"/>
                <w:bCs/>
              </w:rPr>
              <w:t>,  ежегодных встреч (семинаров) с пользователями МСПД с целью решения общих вопросов, информирования о новых проектах и направлениях деятельности, обсуждения последних тенденций</w:t>
            </w:r>
            <w:r w:rsidR="003405AE" w:rsidRPr="00860331">
              <w:rPr>
                <w:rFonts w:ascii="Calibri" w:eastAsia="ArialMT" w:hAnsi="Calibri"/>
                <w:bCs/>
              </w:rPr>
              <w:t>.</w:t>
            </w:r>
          </w:p>
          <w:p w:rsidR="00A3494E" w:rsidRDefault="006F65CE" w:rsidP="006E2AC8">
            <w:pPr>
              <w:tabs>
                <w:tab w:val="left" w:pos="167"/>
              </w:tabs>
              <w:suppressAutoHyphens/>
              <w:jc w:val="both"/>
              <w:rPr>
                <w:rFonts w:ascii="Calibri" w:eastAsia="ArialMT" w:hAnsi="Calibri"/>
                <w:bCs/>
              </w:rPr>
            </w:pPr>
            <w:r w:rsidRPr="00860331">
              <w:rPr>
                <w:rFonts w:ascii="Calibri" w:eastAsia="ArialMT" w:hAnsi="Calibri"/>
                <w:bCs/>
              </w:rPr>
              <w:t xml:space="preserve">На постоянной основе </w:t>
            </w:r>
            <w:r w:rsidR="00FA23F3" w:rsidRPr="00860331">
              <w:rPr>
                <w:rFonts w:ascii="Calibri" w:eastAsia="ArialMT" w:hAnsi="Calibri"/>
                <w:bCs/>
              </w:rPr>
              <w:t>Национальным Банком Казахстан</w:t>
            </w:r>
            <w:r w:rsidR="00AB2BFD" w:rsidRPr="00860331">
              <w:rPr>
                <w:rFonts w:ascii="Calibri" w:eastAsia="ArialMT" w:hAnsi="Calibri"/>
                <w:bCs/>
              </w:rPr>
              <w:t>а</w:t>
            </w:r>
            <w:r w:rsidRPr="00860331">
              <w:rPr>
                <w:rFonts w:ascii="Calibri" w:eastAsia="ArialMT" w:hAnsi="Calibri"/>
                <w:bCs/>
              </w:rPr>
              <w:t xml:space="preserve"> проводятся работы по </w:t>
            </w:r>
            <w:r w:rsidR="003405AE" w:rsidRPr="00860331">
              <w:rPr>
                <w:rFonts w:ascii="Calibri" w:eastAsia="ArialMT" w:hAnsi="Calibri"/>
                <w:bCs/>
              </w:rPr>
              <w:t xml:space="preserve">мониторингу и </w:t>
            </w:r>
            <w:r w:rsidRPr="00860331">
              <w:rPr>
                <w:rFonts w:ascii="Calibri" w:eastAsia="ArialMT" w:hAnsi="Calibri"/>
                <w:bCs/>
              </w:rPr>
              <w:t>совершенствованию нормативных правовых актов, определяющих условия и порядок организации и функционирования МСПД</w:t>
            </w:r>
            <w:r w:rsidR="00FA23F3" w:rsidRPr="00860331">
              <w:rPr>
                <w:rFonts w:ascii="Calibri" w:eastAsia="ArialMT" w:hAnsi="Calibri"/>
                <w:bCs/>
              </w:rPr>
              <w:t xml:space="preserve"> и СМК</w:t>
            </w:r>
            <w:r w:rsidRPr="00860331">
              <w:rPr>
                <w:rFonts w:ascii="Calibri" w:eastAsia="ArialMT" w:hAnsi="Calibri"/>
                <w:bCs/>
              </w:rPr>
              <w:t>.</w:t>
            </w:r>
            <w:r w:rsidRPr="00687214">
              <w:rPr>
                <w:rFonts w:ascii="Calibri" w:eastAsia="ArialMT" w:hAnsi="Calibri"/>
                <w:bCs/>
              </w:rPr>
              <w:t xml:space="preserve"> </w:t>
            </w:r>
          </w:p>
          <w:p w:rsidR="00503833" w:rsidRPr="00687214" w:rsidRDefault="00503833" w:rsidP="006E2AC8">
            <w:pPr>
              <w:tabs>
                <w:tab w:val="left" w:pos="167"/>
              </w:tabs>
              <w:suppressAutoHyphens/>
              <w:jc w:val="both"/>
              <w:rPr>
                <w:rFonts w:ascii="Calibri" w:hAnsi="Calibri"/>
              </w:rPr>
            </w:pPr>
          </w:p>
        </w:tc>
      </w:tr>
      <w:tr w:rsidR="006F65CE" w:rsidRPr="003405AE" w:rsidTr="00610467">
        <w:trPr>
          <w:trHeight w:val="530"/>
        </w:trPr>
        <w:tc>
          <w:tcPr>
            <w:tcW w:w="9644" w:type="dxa"/>
            <w:gridSpan w:val="2"/>
            <w:shd w:val="clear" w:color="auto" w:fill="F3F3F3"/>
          </w:tcPr>
          <w:p w:rsidR="006F65CE" w:rsidRPr="005C7913" w:rsidRDefault="006F65CE" w:rsidP="005C7913">
            <w:pPr>
              <w:jc w:val="both"/>
              <w:rPr>
                <w:rFonts w:ascii="Calibri" w:hAnsi="Calibri"/>
                <w:b/>
                <w:bCs/>
                <w:i/>
                <w:color w:val="548DD4" w:themeColor="text2" w:themeTint="99"/>
              </w:rPr>
            </w:pPr>
            <w:bookmarkStart w:id="99" w:name="_Toc407204686"/>
            <w:bookmarkStart w:id="100" w:name="_Toc480772964"/>
            <w:bookmarkStart w:id="101" w:name="_Toc480825653"/>
            <w:bookmarkStart w:id="102" w:name="_Toc481139494"/>
            <w:r w:rsidRPr="005C7913">
              <w:rPr>
                <w:rFonts w:ascii="Calibri" w:hAnsi="Calibri"/>
                <w:b/>
                <w:bCs/>
                <w:i/>
                <w:color w:val="548DD4" w:themeColor="text2" w:themeTint="99"/>
              </w:rPr>
              <w:lastRenderedPageBreak/>
              <w:t>Принцип 22. Процедуры и стандарты передачи сообщений</w:t>
            </w:r>
            <w:bookmarkEnd w:id="99"/>
            <w:bookmarkEnd w:id="100"/>
            <w:bookmarkEnd w:id="101"/>
            <w:bookmarkEnd w:id="102"/>
          </w:p>
          <w:p w:rsidR="006F65CE" w:rsidRPr="003405AE" w:rsidRDefault="006F65CE" w:rsidP="00610467">
            <w:pPr>
              <w:jc w:val="both"/>
              <w:rPr>
                <w:rFonts w:ascii="Calibri" w:hAnsi="Calibri"/>
                <w:i/>
              </w:rPr>
            </w:pPr>
            <w:r w:rsidRPr="003405AE">
              <w:rPr>
                <w:rFonts w:ascii="Calibri" w:eastAsia="ArialMT" w:hAnsi="Calibri"/>
                <w:i/>
              </w:rPr>
              <w:t>ИФР должна использовать, или, по меньшей мере, обеспечивать оперативную совместимость с международными процедурами и стандартами передачи сообщений для обеспечения эффективных платежей, клиринга, расчетов и учета.</w:t>
            </w:r>
          </w:p>
        </w:tc>
      </w:tr>
      <w:tr w:rsidR="006F65CE" w:rsidRPr="00687214"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t>Краткое изложение</w:t>
            </w:r>
          </w:p>
        </w:tc>
        <w:tc>
          <w:tcPr>
            <w:tcW w:w="8280" w:type="dxa"/>
            <w:shd w:val="clear" w:color="auto" w:fill="F3F3F3"/>
          </w:tcPr>
          <w:p w:rsidR="006F65CE" w:rsidRPr="00860331" w:rsidRDefault="006F65CE" w:rsidP="00610467">
            <w:pPr>
              <w:suppressAutoHyphens/>
              <w:jc w:val="both"/>
              <w:rPr>
                <w:rFonts w:ascii="Calibri" w:eastAsia="ArialMT" w:hAnsi="Calibri"/>
                <w:bCs/>
              </w:rPr>
            </w:pPr>
            <w:r w:rsidRPr="00860331">
              <w:rPr>
                <w:rFonts w:ascii="Calibri" w:eastAsia="ArialMT" w:hAnsi="Calibri"/>
                <w:bCs/>
              </w:rPr>
              <w:t xml:space="preserve">В МСПД/СМК не используются международные форматы сообщений, а применяются внутренние </w:t>
            </w:r>
            <w:r w:rsidRPr="00860331">
              <w:rPr>
                <w:rFonts w:ascii="Calibri" w:eastAsia="ArialMT" w:hAnsi="Calibri"/>
                <w:bCs/>
                <w:lang w:val="en-US"/>
              </w:rPr>
              <w:t>SWIFT</w:t>
            </w:r>
            <w:r w:rsidRPr="00860331">
              <w:rPr>
                <w:rFonts w:ascii="Calibri" w:eastAsia="ArialMT" w:hAnsi="Calibri"/>
                <w:bCs/>
              </w:rPr>
              <w:t xml:space="preserve">-подобные форматы сообщений.  При этом в целях обеспечения оперативной совместимости с международными форматами сообщений (для интеграции с зарубежными платежными системами в будущем) в платежных системах Казахстана были внедрены международные стандарты номеров банковских счетов и банковских идентификационных кодов ISO 13616: IBAN (International </w:t>
            </w:r>
            <w:proofErr w:type="spellStart"/>
            <w:r w:rsidRPr="00860331">
              <w:rPr>
                <w:rFonts w:ascii="Calibri" w:eastAsia="ArialMT" w:hAnsi="Calibri"/>
                <w:bCs/>
              </w:rPr>
              <w:t>Bank</w:t>
            </w:r>
            <w:proofErr w:type="spellEnd"/>
            <w:r w:rsidRPr="00860331">
              <w:rPr>
                <w:rFonts w:ascii="Calibri" w:eastAsia="ArialMT" w:hAnsi="Calibri"/>
                <w:bCs/>
              </w:rPr>
              <w:t xml:space="preserve"> </w:t>
            </w:r>
            <w:proofErr w:type="spellStart"/>
            <w:r w:rsidRPr="00860331">
              <w:rPr>
                <w:rFonts w:ascii="Calibri" w:eastAsia="ArialMT" w:hAnsi="Calibri"/>
                <w:bCs/>
              </w:rPr>
              <w:t>Account</w:t>
            </w:r>
            <w:proofErr w:type="spellEnd"/>
            <w:r w:rsidRPr="00860331">
              <w:rPr>
                <w:rFonts w:ascii="Calibri" w:eastAsia="ArialMT" w:hAnsi="Calibri"/>
                <w:bCs/>
              </w:rPr>
              <w:t xml:space="preserve"> </w:t>
            </w:r>
            <w:proofErr w:type="spellStart"/>
            <w:r w:rsidRPr="00860331">
              <w:rPr>
                <w:rFonts w:ascii="Calibri" w:eastAsia="ArialMT" w:hAnsi="Calibri"/>
                <w:bCs/>
              </w:rPr>
              <w:t>Number</w:t>
            </w:r>
            <w:proofErr w:type="spellEnd"/>
            <w:r w:rsidRPr="00860331">
              <w:rPr>
                <w:rFonts w:ascii="Calibri" w:eastAsia="ArialMT" w:hAnsi="Calibri"/>
                <w:bCs/>
              </w:rPr>
              <w:t xml:space="preserve"> - международный номер банковского счета) и ISO 9362: BIC (</w:t>
            </w:r>
            <w:proofErr w:type="spellStart"/>
            <w:r w:rsidRPr="00860331">
              <w:rPr>
                <w:rFonts w:ascii="Calibri" w:eastAsia="ArialMT" w:hAnsi="Calibri"/>
                <w:bCs/>
              </w:rPr>
              <w:t>Bank</w:t>
            </w:r>
            <w:proofErr w:type="spellEnd"/>
            <w:r w:rsidRPr="00860331">
              <w:rPr>
                <w:rFonts w:ascii="Calibri" w:eastAsia="ArialMT" w:hAnsi="Calibri"/>
                <w:bCs/>
              </w:rPr>
              <w:t xml:space="preserve"> </w:t>
            </w:r>
            <w:proofErr w:type="spellStart"/>
            <w:r w:rsidRPr="00860331">
              <w:rPr>
                <w:rFonts w:ascii="Calibri" w:eastAsia="ArialMT" w:hAnsi="Calibri"/>
                <w:bCs/>
              </w:rPr>
              <w:t>Identifier</w:t>
            </w:r>
            <w:proofErr w:type="spellEnd"/>
            <w:r w:rsidRPr="00860331">
              <w:rPr>
                <w:rFonts w:ascii="Calibri" w:eastAsia="ArialMT" w:hAnsi="Calibri"/>
                <w:bCs/>
              </w:rPr>
              <w:t xml:space="preserve"> </w:t>
            </w:r>
            <w:proofErr w:type="spellStart"/>
            <w:r w:rsidRPr="00860331">
              <w:rPr>
                <w:rFonts w:ascii="Calibri" w:eastAsia="ArialMT" w:hAnsi="Calibri"/>
                <w:bCs/>
              </w:rPr>
              <w:t>Codes</w:t>
            </w:r>
            <w:proofErr w:type="spellEnd"/>
            <w:r w:rsidRPr="00860331">
              <w:rPr>
                <w:rFonts w:ascii="Calibri" w:eastAsia="ArialMT" w:hAnsi="Calibri"/>
                <w:bCs/>
              </w:rPr>
              <w:t xml:space="preserve"> - банковские идентификационные коды). </w:t>
            </w:r>
          </w:p>
          <w:p w:rsidR="006F65CE" w:rsidRPr="00687214" w:rsidRDefault="00E74F09" w:rsidP="00610467">
            <w:pPr>
              <w:suppressAutoHyphens/>
              <w:jc w:val="both"/>
              <w:rPr>
                <w:rFonts w:ascii="Calibri" w:hAnsi="Calibri"/>
              </w:rPr>
            </w:pPr>
            <w:r w:rsidRPr="00860331">
              <w:rPr>
                <w:rFonts w:ascii="Calibri" w:eastAsia="ArialMT" w:hAnsi="Calibri"/>
                <w:bCs/>
              </w:rPr>
              <w:t>Следует отметить, что участники</w:t>
            </w:r>
            <w:r w:rsidR="006F65CE" w:rsidRPr="00860331">
              <w:rPr>
                <w:rFonts w:ascii="Calibri" w:hAnsi="Calibri"/>
              </w:rPr>
              <w:t xml:space="preserve"> могут  использовать различные виды связи  (</w:t>
            </w:r>
            <w:proofErr w:type="gramStart"/>
            <w:r w:rsidR="006F65CE" w:rsidRPr="00860331">
              <w:rPr>
                <w:rFonts w:ascii="Calibri" w:hAnsi="Calibri"/>
              </w:rPr>
              <w:t>модемная</w:t>
            </w:r>
            <w:proofErr w:type="gramEnd"/>
            <w:r w:rsidR="006F65CE" w:rsidRPr="00860331">
              <w:rPr>
                <w:rFonts w:ascii="Calibri" w:hAnsi="Calibri"/>
              </w:rPr>
              <w:t xml:space="preserve">, выделенные каналы, интернет) для связи с КЦМР. </w:t>
            </w:r>
            <w:r w:rsidR="006F65CE" w:rsidRPr="00860331">
              <w:rPr>
                <w:rFonts w:ascii="Calibri" w:eastAsia="ArialMT" w:hAnsi="Calibri"/>
                <w:bCs/>
              </w:rPr>
              <w:t xml:space="preserve">КЦМР предоставляет возможность подключения ко всем сервисам КЦМР с использованием технологий </w:t>
            </w:r>
            <w:proofErr w:type="spellStart"/>
            <w:r w:rsidR="006F65CE" w:rsidRPr="00860331">
              <w:rPr>
                <w:rFonts w:ascii="Calibri" w:eastAsia="ArialMT" w:hAnsi="Calibri"/>
                <w:bCs/>
              </w:rPr>
              <w:t>Frame-Relay</w:t>
            </w:r>
            <w:proofErr w:type="spellEnd"/>
            <w:r w:rsidR="006F65CE" w:rsidRPr="00860331">
              <w:rPr>
                <w:rFonts w:ascii="Calibri" w:eastAsia="ArialMT" w:hAnsi="Calibri"/>
                <w:bCs/>
              </w:rPr>
              <w:t xml:space="preserve">, MPLS IP VPN, </w:t>
            </w:r>
            <w:proofErr w:type="spellStart"/>
            <w:r w:rsidR="006F65CE" w:rsidRPr="00860331">
              <w:rPr>
                <w:rFonts w:ascii="Calibri" w:eastAsia="ArialMT" w:hAnsi="Calibri"/>
                <w:bCs/>
              </w:rPr>
              <w:t>Internet</w:t>
            </w:r>
            <w:proofErr w:type="spellEnd"/>
            <w:r w:rsidR="006F65CE" w:rsidRPr="00860331">
              <w:rPr>
                <w:rFonts w:ascii="Calibri" w:eastAsia="ArialMT" w:hAnsi="Calibri"/>
                <w:bCs/>
              </w:rPr>
              <w:t xml:space="preserve">, а так же дополнительно </w:t>
            </w:r>
            <w:proofErr w:type="spellStart"/>
            <w:r w:rsidR="006F65CE" w:rsidRPr="00860331">
              <w:rPr>
                <w:rFonts w:ascii="Calibri" w:eastAsia="ArialMT" w:hAnsi="Calibri"/>
                <w:bCs/>
              </w:rPr>
              <w:t>Dial-Up</w:t>
            </w:r>
            <w:proofErr w:type="spellEnd"/>
            <w:r w:rsidR="006F65CE" w:rsidRPr="00860331">
              <w:rPr>
                <w:rFonts w:ascii="Calibri" w:eastAsia="ArialMT" w:hAnsi="Calibri"/>
                <w:bCs/>
              </w:rPr>
              <w:t xml:space="preserve"> (коммутируемый доступ) для платежных систем и удостоверяющего центра.</w:t>
            </w:r>
            <w:r w:rsidR="006F65CE" w:rsidRPr="00687214">
              <w:rPr>
                <w:rFonts w:ascii="Calibri" w:eastAsia="ArialMT" w:hAnsi="Calibri"/>
                <w:bCs/>
              </w:rPr>
              <w:t xml:space="preserve"> </w:t>
            </w:r>
          </w:p>
        </w:tc>
      </w:tr>
      <w:tr w:rsidR="006F65CE" w:rsidRPr="009B1B20" w:rsidTr="00610467">
        <w:trPr>
          <w:trHeight w:val="530"/>
        </w:trPr>
        <w:tc>
          <w:tcPr>
            <w:tcW w:w="9644" w:type="dxa"/>
            <w:gridSpan w:val="2"/>
            <w:shd w:val="clear" w:color="auto" w:fill="F3F3F3"/>
          </w:tcPr>
          <w:p w:rsidR="006F65CE" w:rsidRPr="005C7913" w:rsidRDefault="006F65CE" w:rsidP="005C7913">
            <w:pPr>
              <w:jc w:val="both"/>
              <w:rPr>
                <w:rFonts w:ascii="Calibri" w:hAnsi="Calibri"/>
                <w:b/>
                <w:bCs/>
                <w:i/>
                <w:color w:val="548DD4" w:themeColor="text2" w:themeTint="99"/>
              </w:rPr>
            </w:pPr>
            <w:bookmarkStart w:id="103" w:name="_Toc407204687"/>
            <w:bookmarkStart w:id="104" w:name="_Toc480772965"/>
            <w:bookmarkStart w:id="105" w:name="_Toc480825654"/>
            <w:bookmarkStart w:id="106" w:name="_Toc481139495"/>
            <w:r w:rsidRPr="005C7913">
              <w:rPr>
                <w:rFonts w:ascii="Calibri" w:hAnsi="Calibri"/>
                <w:b/>
                <w:bCs/>
                <w:i/>
                <w:color w:val="548DD4" w:themeColor="text2" w:themeTint="99"/>
              </w:rPr>
              <w:t>Принцип 23. Раскрытие правил, основных процедур и рыночных данных</w:t>
            </w:r>
            <w:bookmarkEnd w:id="103"/>
            <w:bookmarkEnd w:id="104"/>
            <w:bookmarkEnd w:id="105"/>
            <w:bookmarkEnd w:id="106"/>
          </w:p>
          <w:p w:rsidR="006F65CE" w:rsidRPr="009B1B20" w:rsidRDefault="006F65CE" w:rsidP="00610467">
            <w:pPr>
              <w:jc w:val="both"/>
              <w:rPr>
                <w:rFonts w:ascii="Calibri" w:hAnsi="Calibri"/>
                <w:i/>
              </w:rPr>
            </w:pPr>
            <w:r w:rsidRPr="009B1B20">
              <w:rPr>
                <w:rFonts w:ascii="Calibri" w:eastAsia="ArialMT" w:hAnsi="Calibri"/>
                <w:i/>
              </w:rPr>
              <w:t>ИФР должны иметь четко сформулированные комплексные правила и процедуры и предоставлять достаточную информацию, позволяющую обеспечивать четкое понимание участниками рисков, сборов и других существенных издержек, связанных с их участием в ИФР. Все соответствующие правила и основные процедуры должны раскрываться публично.</w:t>
            </w:r>
          </w:p>
        </w:tc>
      </w:tr>
      <w:tr w:rsidR="006F65CE" w:rsidRPr="00687214" w:rsidTr="00610467">
        <w:tc>
          <w:tcPr>
            <w:tcW w:w="1364" w:type="dxa"/>
            <w:shd w:val="clear" w:color="auto" w:fill="F3F3F3"/>
          </w:tcPr>
          <w:p w:rsidR="006F65CE" w:rsidRPr="00860331" w:rsidRDefault="006F65CE" w:rsidP="00610467">
            <w:pPr>
              <w:rPr>
                <w:rFonts w:ascii="Calibri" w:hAnsi="Calibri"/>
                <w:i/>
              </w:rPr>
            </w:pPr>
            <w:r w:rsidRPr="00860331">
              <w:rPr>
                <w:rFonts w:ascii="Calibri" w:hAnsi="Calibri"/>
                <w:i/>
              </w:rPr>
              <w:t>Краткое изложение</w:t>
            </w:r>
          </w:p>
        </w:tc>
        <w:tc>
          <w:tcPr>
            <w:tcW w:w="8280" w:type="dxa"/>
            <w:shd w:val="clear" w:color="auto" w:fill="F3F3F3"/>
          </w:tcPr>
          <w:p w:rsidR="009B1B20" w:rsidRPr="00860331" w:rsidRDefault="006F65CE" w:rsidP="00610467">
            <w:pPr>
              <w:suppressAutoHyphens/>
              <w:autoSpaceDE w:val="0"/>
              <w:autoSpaceDN w:val="0"/>
              <w:adjustRightInd w:val="0"/>
              <w:jc w:val="both"/>
              <w:rPr>
                <w:rFonts w:ascii="Calibri" w:eastAsia="ArialMT" w:hAnsi="Calibri"/>
              </w:rPr>
            </w:pPr>
            <w:r w:rsidRPr="00860331">
              <w:rPr>
                <w:rFonts w:ascii="Calibri" w:eastAsia="ArialMT" w:hAnsi="Calibri"/>
              </w:rPr>
              <w:t xml:space="preserve">Правила и процедуры </w:t>
            </w:r>
            <w:r w:rsidR="00FA23F3" w:rsidRPr="00860331">
              <w:rPr>
                <w:rFonts w:ascii="Calibri" w:eastAsia="ArialMT" w:hAnsi="Calibri"/>
              </w:rPr>
              <w:t>МСПД и СМК</w:t>
            </w:r>
            <w:r w:rsidRPr="00860331">
              <w:rPr>
                <w:rFonts w:ascii="Calibri" w:eastAsia="ArialMT" w:hAnsi="Calibri"/>
              </w:rPr>
              <w:t xml:space="preserve">, в том числе, определяющие </w:t>
            </w:r>
            <w:r w:rsidR="009B1B20" w:rsidRPr="00860331">
              <w:rPr>
                <w:rFonts w:ascii="Calibri" w:eastAsia="ArialMT" w:hAnsi="Calibri"/>
              </w:rPr>
              <w:t>действия</w:t>
            </w:r>
            <w:r w:rsidRPr="00860331">
              <w:rPr>
                <w:rFonts w:ascii="Calibri" w:eastAsia="ArialMT" w:hAnsi="Calibri"/>
              </w:rPr>
              <w:t xml:space="preserve"> участников и оператора</w:t>
            </w:r>
            <w:r w:rsidR="00E74F09" w:rsidRPr="00860331">
              <w:rPr>
                <w:rFonts w:ascii="Calibri" w:eastAsia="ArialMT" w:hAnsi="Calibri"/>
              </w:rPr>
              <w:t>, операционного центра</w:t>
            </w:r>
            <w:r w:rsidRPr="00860331">
              <w:rPr>
                <w:rFonts w:ascii="Calibri" w:eastAsia="ArialMT" w:hAnsi="Calibri"/>
              </w:rPr>
              <w:t xml:space="preserve"> платежных систем, риски и методы управления рисками, тарифы, действующие в платежных системах, форматы сообщений раскрыты </w:t>
            </w:r>
            <w:r w:rsidR="00FA23F3" w:rsidRPr="00860331">
              <w:rPr>
                <w:rFonts w:ascii="Calibri" w:eastAsia="ArialMT" w:hAnsi="Calibri"/>
              </w:rPr>
              <w:t xml:space="preserve">в Правилах функционирования указанных систем, а также </w:t>
            </w:r>
            <w:r w:rsidR="009B1B20" w:rsidRPr="00860331">
              <w:rPr>
                <w:rFonts w:ascii="Calibri" w:eastAsia="ArialMT" w:hAnsi="Calibri"/>
              </w:rPr>
              <w:t>иных документах</w:t>
            </w:r>
            <w:r w:rsidRPr="00860331">
              <w:rPr>
                <w:rFonts w:ascii="Calibri" w:eastAsia="ArialMT" w:hAnsi="Calibri"/>
              </w:rPr>
              <w:t xml:space="preserve">. При этом указанные документы  размещены на </w:t>
            </w:r>
            <w:proofErr w:type="spellStart"/>
            <w:r w:rsidR="00FA23F3" w:rsidRPr="00860331">
              <w:rPr>
                <w:rFonts w:ascii="Calibri" w:eastAsia="ArialMT" w:hAnsi="Calibri"/>
              </w:rPr>
              <w:t>интернет-ресурсе</w:t>
            </w:r>
            <w:proofErr w:type="spellEnd"/>
            <w:r w:rsidR="00FA23F3" w:rsidRPr="00860331">
              <w:rPr>
                <w:rFonts w:ascii="Calibri" w:eastAsia="ArialMT" w:hAnsi="Calibri"/>
              </w:rPr>
              <w:t xml:space="preserve"> Национального Банка Казахстан</w:t>
            </w:r>
            <w:r w:rsidR="00842C3A" w:rsidRPr="00860331">
              <w:rPr>
                <w:rFonts w:ascii="Calibri" w:eastAsia="ArialMT" w:hAnsi="Calibri"/>
              </w:rPr>
              <w:t>а</w:t>
            </w:r>
            <w:r w:rsidRPr="00860331">
              <w:rPr>
                <w:rFonts w:ascii="Calibri" w:eastAsia="ArialMT" w:hAnsi="Calibri"/>
              </w:rPr>
              <w:t>, на сайте КЦМР</w:t>
            </w:r>
            <w:r w:rsidR="009B1B20" w:rsidRPr="00860331">
              <w:rPr>
                <w:rFonts w:ascii="Calibri" w:eastAsia="ArialMT" w:hAnsi="Calibri"/>
              </w:rPr>
              <w:t xml:space="preserve"> (в том числе, документы КЦМР «Система платежей – процедуры обмена и форматы сообщений»,  «Проверки, применяемые при разборе платежных сообщений»)</w:t>
            </w:r>
            <w:r w:rsidRPr="00860331">
              <w:rPr>
                <w:rFonts w:ascii="Calibri" w:eastAsia="ArialMT" w:hAnsi="Calibri"/>
              </w:rPr>
              <w:t xml:space="preserve">, а также в </w:t>
            </w:r>
            <w:r w:rsidR="00E74F09" w:rsidRPr="00860331">
              <w:rPr>
                <w:rFonts w:ascii="Calibri" w:eastAsia="ArialMT" w:hAnsi="Calibri"/>
              </w:rPr>
              <w:t>и</w:t>
            </w:r>
            <w:r w:rsidR="009B1B20" w:rsidRPr="00860331">
              <w:rPr>
                <w:rFonts w:ascii="Calibri" w:eastAsia="ArialMT" w:hAnsi="Calibri"/>
              </w:rPr>
              <w:t xml:space="preserve">нформационной системе «Юрист». </w:t>
            </w:r>
          </w:p>
          <w:p w:rsidR="006F65CE" w:rsidRPr="00842C3A" w:rsidRDefault="006F65CE" w:rsidP="00802CD3">
            <w:pPr>
              <w:suppressAutoHyphens/>
              <w:autoSpaceDE w:val="0"/>
              <w:autoSpaceDN w:val="0"/>
              <w:adjustRightInd w:val="0"/>
              <w:jc w:val="both"/>
              <w:rPr>
                <w:rFonts w:ascii="Calibri" w:eastAsia="ArialMT" w:hAnsi="Calibri"/>
                <w:bCs/>
              </w:rPr>
            </w:pPr>
            <w:r w:rsidRPr="00860331">
              <w:rPr>
                <w:rFonts w:ascii="Calibri" w:eastAsia="ArialMT" w:hAnsi="Calibri"/>
              </w:rPr>
              <w:t xml:space="preserve">Сведения об изменении требований к программно-техническому взаимодействию между КЦМР и </w:t>
            </w:r>
            <w:r w:rsidR="00802CD3" w:rsidRPr="00860331">
              <w:rPr>
                <w:rFonts w:ascii="Calibri" w:eastAsia="ArialMT" w:hAnsi="Calibri"/>
              </w:rPr>
              <w:t>участниками систем</w:t>
            </w:r>
            <w:r w:rsidRPr="00860331">
              <w:rPr>
                <w:rFonts w:ascii="Calibri" w:eastAsia="ArialMT" w:hAnsi="Calibri"/>
              </w:rPr>
              <w:t xml:space="preserve">, процедур по обмену электронными сообщениями в обязательном порядке согласовываются и доводятся до сведения </w:t>
            </w:r>
            <w:r w:rsidR="009B1B20" w:rsidRPr="00860331">
              <w:rPr>
                <w:rFonts w:ascii="Calibri" w:eastAsia="ArialMT" w:hAnsi="Calibri"/>
              </w:rPr>
              <w:t xml:space="preserve">участников. </w:t>
            </w:r>
            <w:r w:rsidR="00FA23F3" w:rsidRPr="00860331">
              <w:rPr>
                <w:rFonts w:ascii="Calibri" w:eastAsia="ArialMT" w:hAnsi="Calibri"/>
              </w:rPr>
              <w:t>П</w:t>
            </w:r>
            <w:r w:rsidRPr="00860331">
              <w:rPr>
                <w:rFonts w:ascii="Calibri" w:eastAsia="ArialMT" w:hAnsi="Calibri"/>
                <w:bCs/>
              </w:rPr>
              <w:t xml:space="preserve">ублично </w:t>
            </w:r>
            <w:r w:rsidR="00FA23F3" w:rsidRPr="00860331">
              <w:rPr>
                <w:rFonts w:ascii="Calibri" w:eastAsia="ArialMT" w:hAnsi="Calibri"/>
                <w:bCs/>
              </w:rPr>
              <w:t xml:space="preserve">на </w:t>
            </w:r>
            <w:proofErr w:type="spellStart"/>
            <w:r w:rsidR="00FA23F3" w:rsidRPr="00860331">
              <w:rPr>
                <w:rFonts w:ascii="Calibri" w:eastAsia="ArialMT" w:hAnsi="Calibri"/>
                <w:bCs/>
              </w:rPr>
              <w:t>интернет-ресурсе</w:t>
            </w:r>
            <w:proofErr w:type="spellEnd"/>
            <w:r w:rsidR="00FA23F3" w:rsidRPr="00860331">
              <w:rPr>
                <w:rFonts w:ascii="Calibri" w:eastAsia="ArialMT" w:hAnsi="Calibri"/>
                <w:bCs/>
              </w:rPr>
              <w:t xml:space="preserve"> Национального Банка Казахстан</w:t>
            </w:r>
            <w:r w:rsidR="00842C3A" w:rsidRPr="00860331">
              <w:rPr>
                <w:rFonts w:ascii="Calibri" w:eastAsia="ArialMT" w:hAnsi="Calibri"/>
                <w:bCs/>
              </w:rPr>
              <w:t>а</w:t>
            </w:r>
            <w:r w:rsidR="00FA23F3" w:rsidRPr="00860331">
              <w:rPr>
                <w:rFonts w:ascii="Calibri" w:eastAsia="ArialMT" w:hAnsi="Calibri"/>
                <w:bCs/>
              </w:rPr>
              <w:t xml:space="preserve"> </w:t>
            </w:r>
            <w:r w:rsidRPr="00860331">
              <w:rPr>
                <w:rFonts w:ascii="Calibri" w:eastAsia="ArialMT" w:hAnsi="Calibri"/>
                <w:bCs/>
              </w:rPr>
              <w:t xml:space="preserve">раскрывается </w:t>
            </w:r>
            <w:r w:rsidR="00FA23F3" w:rsidRPr="00860331">
              <w:rPr>
                <w:rFonts w:ascii="Calibri" w:eastAsia="ArialMT" w:hAnsi="Calibri"/>
                <w:bCs/>
              </w:rPr>
              <w:t>статистическая информация о функционировании МСПД и СМК.</w:t>
            </w:r>
          </w:p>
        </w:tc>
      </w:tr>
      <w:tr w:rsidR="006F65CE" w:rsidRPr="009B1B20" w:rsidTr="00610467">
        <w:trPr>
          <w:trHeight w:val="530"/>
        </w:trPr>
        <w:tc>
          <w:tcPr>
            <w:tcW w:w="9644" w:type="dxa"/>
            <w:gridSpan w:val="2"/>
            <w:shd w:val="clear" w:color="auto" w:fill="F3F3F3"/>
          </w:tcPr>
          <w:p w:rsidR="006F65CE" w:rsidRPr="005C7913" w:rsidRDefault="006F65CE" w:rsidP="005C7913">
            <w:pPr>
              <w:jc w:val="both"/>
              <w:rPr>
                <w:rFonts w:ascii="Calibri" w:hAnsi="Calibri"/>
                <w:b/>
                <w:bCs/>
                <w:i/>
                <w:color w:val="548DD4" w:themeColor="text2" w:themeTint="99"/>
              </w:rPr>
            </w:pPr>
            <w:bookmarkStart w:id="107" w:name="_Toc407204688"/>
            <w:bookmarkStart w:id="108" w:name="_Toc480772966"/>
            <w:bookmarkStart w:id="109" w:name="_Toc480825655"/>
            <w:bookmarkStart w:id="110" w:name="_Toc481139496"/>
            <w:r w:rsidRPr="005C7913">
              <w:rPr>
                <w:rFonts w:ascii="Calibri" w:hAnsi="Calibri"/>
                <w:b/>
                <w:bCs/>
                <w:i/>
                <w:color w:val="548DD4" w:themeColor="text2" w:themeTint="99"/>
              </w:rPr>
              <w:t xml:space="preserve">Принцип 24. Раскрытие рыночных данных торговыми </w:t>
            </w:r>
            <w:proofErr w:type="spellStart"/>
            <w:r w:rsidRPr="005C7913">
              <w:rPr>
                <w:rFonts w:ascii="Calibri" w:hAnsi="Calibri"/>
                <w:b/>
                <w:bCs/>
                <w:i/>
                <w:color w:val="548DD4" w:themeColor="text2" w:themeTint="99"/>
              </w:rPr>
              <w:t>репозиториями</w:t>
            </w:r>
            <w:bookmarkEnd w:id="107"/>
            <w:bookmarkEnd w:id="108"/>
            <w:bookmarkEnd w:id="109"/>
            <w:bookmarkEnd w:id="110"/>
            <w:proofErr w:type="spellEnd"/>
          </w:p>
          <w:p w:rsidR="006F65CE" w:rsidRDefault="006F65CE" w:rsidP="00610467">
            <w:pPr>
              <w:jc w:val="both"/>
              <w:rPr>
                <w:rFonts w:ascii="Calibri" w:eastAsia="ArialMT" w:hAnsi="Calibri"/>
                <w:i/>
              </w:rPr>
            </w:pPr>
            <w:r w:rsidRPr="009B1B20">
              <w:rPr>
                <w:rFonts w:ascii="Calibri" w:eastAsia="ArialMT" w:hAnsi="Calibri"/>
                <w:i/>
              </w:rPr>
              <w:t>Торговый репозиторий должен обеспечивать своевременное и точное  предоставление данных соответствующим компетентным органам и общественности в соответствии с их потребностями.</w:t>
            </w:r>
          </w:p>
          <w:p w:rsidR="006E2AC8" w:rsidRPr="009B1B20" w:rsidRDefault="006E2AC8" w:rsidP="00610467">
            <w:pPr>
              <w:jc w:val="both"/>
              <w:rPr>
                <w:rFonts w:ascii="Calibri" w:hAnsi="Calibri"/>
                <w:i/>
              </w:rPr>
            </w:pPr>
          </w:p>
        </w:tc>
      </w:tr>
      <w:tr w:rsidR="006F65CE" w:rsidRPr="00687214" w:rsidTr="00610467">
        <w:tc>
          <w:tcPr>
            <w:tcW w:w="1364" w:type="dxa"/>
            <w:shd w:val="clear" w:color="auto" w:fill="F3F3F3"/>
          </w:tcPr>
          <w:p w:rsidR="006F65CE" w:rsidRPr="00687214" w:rsidRDefault="006F65CE" w:rsidP="00610467">
            <w:pPr>
              <w:rPr>
                <w:rFonts w:ascii="Calibri" w:hAnsi="Calibri"/>
                <w:i/>
              </w:rPr>
            </w:pPr>
            <w:r w:rsidRPr="00687214">
              <w:rPr>
                <w:rFonts w:ascii="Calibri" w:hAnsi="Calibri"/>
                <w:i/>
              </w:rPr>
              <w:t>Краткое изложение</w:t>
            </w:r>
          </w:p>
        </w:tc>
        <w:tc>
          <w:tcPr>
            <w:tcW w:w="8280" w:type="dxa"/>
            <w:shd w:val="clear" w:color="auto" w:fill="F3F3F3"/>
          </w:tcPr>
          <w:p w:rsidR="006F65CE" w:rsidRPr="00687214" w:rsidRDefault="003405AE" w:rsidP="00610467">
            <w:pPr>
              <w:tabs>
                <w:tab w:val="left" w:pos="312"/>
              </w:tabs>
              <w:jc w:val="both"/>
              <w:rPr>
                <w:rFonts w:ascii="Calibri" w:hAnsi="Calibri"/>
              </w:rPr>
            </w:pPr>
            <w:r w:rsidRPr="00687214">
              <w:rPr>
                <w:rFonts w:ascii="Calibri" w:eastAsia="ArialMT" w:hAnsi="Calibri"/>
              </w:rPr>
              <w:t xml:space="preserve">Положения </w:t>
            </w:r>
            <w:r>
              <w:rPr>
                <w:rFonts w:ascii="Calibri" w:eastAsia="ArialMT" w:hAnsi="Calibri"/>
              </w:rPr>
              <w:t xml:space="preserve">данного принципа не применимы в отношении </w:t>
            </w:r>
            <w:r w:rsidRPr="00687214">
              <w:rPr>
                <w:rFonts w:ascii="Calibri" w:eastAsia="ArialMT" w:hAnsi="Calibri"/>
              </w:rPr>
              <w:t>МСПД и СМК.</w:t>
            </w:r>
          </w:p>
        </w:tc>
      </w:tr>
    </w:tbl>
    <w:p w:rsidR="00A3494E" w:rsidRDefault="00A3494E" w:rsidP="00E909F9">
      <w:pPr>
        <w:autoSpaceDE w:val="0"/>
        <w:autoSpaceDN w:val="0"/>
        <w:adjustRightInd w:val="0"/>
        <w:ind w:firstLine="709"/>
        <w:jc w:val="both"/>
        <w:rPr>
          <w:rFonts w:ascii="Calibri" w:hAnsi="Calibri" w:cs="Arial"/>
          <w:sz w:val="30"/>
          <w:szCs w:val="30"/>
        </w:rPr>
      </w:pPr>
    </w:p>
    <w:p w:rsidR="00F43EE2" w:rsidRDefault="00E909F9" w:rsidP="00E909F9">
      <w:pPr>
        <w:autoSpaceDE w:val="0"/>
        <w:autoSpaceDN w:val="0"/>
        <w:adjustRightInd w:val="0"/>
        <w:ind w:firstLine="709"/>
        <w:jc w:val="both"/>
        <w:rPr>
          <w:rFonts w:ascii="Calibri" w:hAnsi="Calibri" w:cs="Arial"/>
          <w:sz w:val="30"/>
          <w:szCs w:val="30"/>
        </w:rPr>
      </w:pPr>
      <w:r w:rsidRPr="00860331">
        <w:rPr>
          <w:rFonts w:ascii="Calibri" w:hAnsi="Calibri" w:cs="Arial"/>
          <w:sz w:val="30"/>
          <w:szCs w:val="30"/>
        </w:rPr>
        <w:lastRenderedPageBreak/>
        <w:t xml:space="preserve">По итогам проведенных работ можно </w:t>
      </w:r>
      <w:r w:rsidRPr="00860331">
        <w:rPr>
          <w:rFonts w:ascii="Calibri" w:hAnsi="Calibri" w:cs="Arial"/>
          <w:b/>
          <w:sz w:val="30"/>
          <w:szCs w:val="30"/>
        </w:rPr>
        <w:t xml:space="preserve">констатировать соответствие платежных систем Национального Банка </w:t>
      </w:r>
      <w:r w:rsidR="009B1B20" w:rsidRPr="00860331">
        <w:rPr>
          <w:rFonts w:ascii="Calibri" w:hAnsi="Calibri" w:cs="Arial"/>
          <w:b/>
          <w:sz w:val="30"/>
          <w:szCs w:val="30"/>
        </w:rPr>
        <w:t>Казахстан</w:t>
      </w:r>
      <w:r w:rsidR="00842C3A" w:rsidRPr="00860331">
        <w:rPr>
          <w:rFonts w:ascii="Calibri" w:hAnsi="Calibri" w:cs="Arial"/>
          <w:b/>
          <w:sz w:val="30"/>
          <w:szCs w:val="30"/>
        </w:rPr>
        <w:t>а</w:t>
      </w:r>
      <w:r w:rsidR="009B1B20" w:rsidRPr="00860331">
        <w:rPr>
          <w:rFonts w:ascii="Calibri" w:hAnsi="Calibri" w:cs="Arial"/>
          <w:b/>
          <w:sz w:val="30"/>
          <w:szCs w:val="30"/>
        </w:rPr>
        <w:t xml:space="preserve"> </w:t>
      </w:r>
      <w:r w:rsidRPr="00860331">
        <w:rPr>
          <w:rFonts w:ascii="Calibri" w:hAnsi="Calibri" w:cs="Arial"/>
          <w:b/>
          <w:sz w:val="30"/>
          <w:szCs w:val="30"/>
        </w:rPr>
        <w:t>установленным Принципам для ИФР</w:t>
      </w:r>
      <w:r w:rsidRPr="00860331">
        <w:rPr>
          <w:rFonts w:ascii="Calibri" w:hAnsi="Calibri" w:cs="Arial"/>
          <w:sz w:val="30"/>
          <w:szCs w:val="30"/>
        </w:rPr>
        <w:t>, в том числе, в части законодательной базы, управления рисками, информационной безопасности</w:t>
      </w:r>
      <w:r w:rsidR="009B1B20" w:rsidRPr="00860331">
        <w:rPr>
          <w:rFonts w:ascii="Calibri" w:hAnsi="Calibri" w:cs="Arial"/>
          <w:sz w:val="30"/>
          <w:szCs w:val="30"/>
        </w:rPr>
        <w:t xml:space="preserve"> и</w:t>
      </w:r>
      <w:r w:rsidRPr="00860331">
        <w:rPr>
          <w:rFonts w:ascii="Calibri" w:hAnsi="Calibri" w:cs="Arial"/>
          <w:sz w:val="30"/>
          <w:szCs w:val="30"/>
        </w:rPr>
        <w:t xml:space="preserve"> технического обеспечения.</w:t>
      </w:r>
    </w:p>
    <w:p w:rsidR="00A3494E" w:rsidRDefault="00A3494E" w:rsidP="007D0CC8">
      <w:pPr>
        <w:pStyle w:val="1"/>
        <w:pBdr>
          <w:bottom w:val="single" w:sz="12" w:space="1" w:color="auto"/>
        </w:pBdr>
        <w:tabs>
          <w:tab w:val="left" w:pos="561"/>
        </w:tabs>
        <w:spacing w:before="0" w:after="0" w:line="233" w:lineRule="auto"/>
        <w:rPr>
          <w:rFonts w:ascii="Calibri" w:hAnsi="Calibri"/>
          <w:bCs w:val="0"/>
          <w:snapToGrid w:val="0"/>
          <w:color w:val="0E4C28"/>
          <w:spacing w:val="-2"/>
          <w:kern w:val="0"/>
        </w:rPr>
      </w:pPr>
      <w:bookmarkStart w:id="111" w:name="_Toc481418196"/>
    </w:p>
    <w:p w:rsidR="007D0CC8" w:rsidRDefault="00A30B7D" w:rsidP="007D0CC8">
      <w:pPr>
        <w:pStyle w:val="1"/>
        <w:pBdr>
          <w:bottom w:val="single" w:sz="12" w:space="1" w:color="auto"/>
        </w:pBdr>
        <w:tabs>
          <w:tab w:val="left" w:pos="561"/>
        </w:tabs>
        <w:spacing w:before="0" w:after="0" w:line="233" w:lineRule="auto"/>
        <w:rPr>
          <w:rFonts w:ascii="Calibri" w:hAnsi="Calibri"/>
          <w:bCs w:val="0"/>
          <w:snapToGrid w:val="0"/>
          <w:color w:val="0E4C28"/>
          <w:spacing w:val="-2"/>
          <w:kern w:val="0"/>
        </w:rPr>
      </w:pPr>
      <w:r>
        <w:rPr>
          <w:rFonts w:ascii="Calibri" w:hAnsi="Calibri"/>
          <w:bCs w:val="0"/>
          <w:snapToGrid w:val="0"/>
          <w:color w:val="0E4C28"/>
          <w:spacing w:val="-2"/>
          <w:kern w:val="0"/>
        </w:rPr>
        <w:t>1</w:t>
      </w:r>
      <w:r w:rsidR="00FA23F3">
        <w:rPr>
          <w:rFonts w:ascii="Calibri" w:hAnsi="Calibri"/>
          <w:bCs w:val="0"/>
          <w:snapToGrid w:val="0"/>
          <w:color w:val="0E4C28"/>
          <w:spacing w:val="-2"/>
          <w:kern w:val="0"/>
        </w:rPr>
        <w:t>.3</w:t>
      </w:r>
      <w:r w:rsidR="009E09D9" w:rsidRPr="00015E28">
        <w:rPr>
          <w:rFonts w:ascii="Calibri" w:hAnsi="Calibri"/>
          <w:bCs w:val="0"/>
          <w:snapToGrid w:val="0"/>
          <w:color w:val="0E4C28"/>
          <w:spacing w:val="-2"/>
          <w:kern w:val="0"/>
        </w:rPr>
        <w:t>. Показатели развития платежных систем</w:t>
      </w:r>
      <w:bookmarkEnd w:id="11"/>
      <w:bookmarkEnd w:id="111"/>
    </w:p>
    <w:p w:rsidR="00EE6892" w:rsidRPr="00860331" w:rsidRDefault="005975A6" w:rsidP="007D0CC8">
      <w:pPr>
        <w:autoSpaceDE w:val="0"/>
        <w:autoSpaceDN w:val="0"/>
        <w:adjustRightInd w:val="0"/>
        <w:ind w:firstLine="709"/>
        <w:jc w:val="both"/>
        <w:rPr>
          <w:rFonts w:ascii="Calibri" w:hAnsi="Calibri" w:cs="Arial"/>
          <w:sz w:val="30"/>
          <w:szCs w:val="30"/>
        </w:rPr>
      </w:pPr>
      <w:r w:rsidRPr="00860331">
        <w:rPr>
          <w:rFonts w:ascii="Calibri" w:hAnsi="Calibri" w:cs="Arial"/>
          <w:sz w:val="30"/>
          <w:szCs w:val="30"/>
        </w:rPr>
        <w:t>В 2016 году сохранилась</w:t>
      </w:r>
      <w:r w:rsidR="009E09D9" w:rsidRPr="00860331">
        <w:rPr>
          <w:rFonts w:ascii="Calibri" w:hAnsi="Calibri" w:cs="Arial"/>
          <w:sz w:val="30"/>
          <w:szCs w:val="30"/>
        </w:rPr>
        <w:t xml:space="preserve"> тенденция ежегодного роста объемов платежей в платежных системах Национального Банка</w:t>
      </w:r>
      <w:r w:rsidR="00E74F09" w:rsidRPr="00860331">
        <w:rPr>
          <w:rFonts w:ascii="Calibri" w:hAnsi="Calibri" w:cs="Arial"/>
          <w:sz w:val="30"/>
          <w:szCs w:val="30"/>
        </w:rPr>
        <w:t xml:space="preserve"> Казахстан</w:t>
      </w:r>
      <w:r w:rsidR="00842C3A" w:rsidRPr="00860331">
        <w:rPr>
          <w:rFonts w:ascii="Calibri" w:hAnsi="Calibri" w:cs="Arial"/>
          <w:sz w:val="30"/>
          <w:szCs w:val="30"/>
        </w:rPr>
        <w:t>а</w:t>
      </w:r>
      <w:r w:rsidR="009E09D9" w:rsidRPr="00860331">
        <w:rPr>
          <w:rFonts w:ascii="Calibri" w:hAnsi="Calibri" w:cs="Arial"/>
          <w:sz w:val="30"/>
          <w:szCs w:val="30"/>
        </w:rPr>
        <w:t xml:space="preserve">. Так, </w:t>
      </w:r>
      <w:r w:rsidR="009E09D9" w:rsidRPr="00860331">
        <w:rPr>
          <w:rFonts w:ascii="Calibri" w:hAnsi="Calibri" w:cs="Arial"/>
          <w:b/>
          <w:sz w:val="30"/>
          <w:szCs w:val="30"/>
        </w:rPr>
        <w:t xml:space="preserve">за 2016 год через </w:t>
      </w:r>
      <w:r w:rsidR="00317C8E" w:rsidRPr="00860331">
        <w:rPr>
          <w:rFonts w:ascii="Calibri" w:hAnsi="Calibri" w:cs="Arial"/>
          <w:b/>
          <w:sz w:val="30"/>
          <w:szCs w:val="30"/>
        </w:rPr>
        <w:t>МСПД и СМК</w:t>
      </w:r>
      <w:r w:rsidR="009E09D9" w:rsidRPr="00860331">
        <w:rPr>
          <w:rFonts w:ascii="Calibri" w:hAnsi="Calibri" w:cs="Arial"/>
          <w:b/>
          <w:sz w:val="30"/>
          <w:szCs w:val="30"/>
        </w:rPr>
        <w:t xml:space="preserve"> было проведено 35,3 млн. транзакций на сумму 590,7 трлн. тенге</w:t>
      </w:r>
      <w:r w:rsidR="009E09D9" w:rsidRPr="00860331">
        <w:rPr>
          <w:rFonts w:ascii="Calibri" w:hAnsi="Calibri" w:cs="Arial"/>
          <w:sz w:val="30"/>
          <w:szCs w:val="30"/>
        </w:rPr>
        <w:t xml:space="preserve">. </w:t>
      </w:r>
    </w:p>
    <w:p w:rsidR="00C70E3B" w:rsidRPr="00860331" w:rsidRDefault="00EE6892" w:rsidP="007D0CC8">
      <w:pPr>
        <w:autoSpaceDE w:val="0"/>
        <w:autoSpaceDN w:val="0"/>
        <w:adjustRightInd w:val="0"/>
        <w:ind w:firstLine="709"/>
        <w:jc w:val="both"/>
        <w:rPr>
          <w:rFonts w:ascii="Calibri" w:hAnsi="Calibri" w:cs="Arial"/>
          <w:sz w:val="30"/>
          <w:szCs w:val="30"/>
        </w:rPr>
      </w:pPr>
      <w:r w:rsidRPr="00860331">
        <w:rPr>
          <w:rFonts w:ascii="Calibri" w:hAnsi="Calibri" w:cs="Arial"/>
          <w:sz w:val="30"/>
          <w:szCs w:val="30"/>
        </w:rPr>
        <w:t>В</w:t>
      </w:r>
      <w:r w:rsidR="00C70E3B" w:rsidRPr="00860331">
        <w:rPr>
          <w:rFonts w:ascii="Calibri" w:hAnsi="Calibri" w:cs="Arial"/>
          <w:sz w:val="30"/>
          <w:szCs w:val="30"/>
        </w:rPr>
        <w:t xml:space="preserve"> </w:t>
      </w:r>
      <w:proofErr w:type="gramStart"/>
      <w:r w:rsidR="00C70E3B" w:rsidRPr="00860331">
        <w:rPr>
          <w:rFonts w:ascii="Calibri" w:hAnsi="Calibri" w:cs="Arial"/>
          <w:sz w:val="30"/>
          <w:szCs w:val="30"/>
        </w:rPr>
        <w:t>среднем</w:t>
      </w:r>
      <w:proofErr w:type="gramEnd"/>
      <w:r w:rsidR="00C70E3B" w:rsidRPr="00860331">
        <w:rPr>
          <w:rFonts w:ascii="Calibri" w:hAnsi="Calibri" w:cs="Arial"/>
          <w:sz w:val="30"/>
          <w:szCs w:val="30"/>
        </w:rPr>
        <w:t xml:space="preserve"> за день через платежные системы за 2016 год проводилось 144,1 тыс. транзакций на сумму 2</w:t>
      </w:r>
      <w:r w:rsidR="00802CD3" w:rsidRPr="00860331">
        <w:rPr>
          <w:rFonts w:ascii="Calibri" w:hAnsi="Calibri" w:cs="Arial"/>
          <w:sz w:val="30"/>
          <w:szCs w:val="30"/>
        </w:rPr>
        <w:t>,4</w:t>
      </w:r>
      <w:r w:rsidR="00C70E3B" w:rsidRPr="00860331">
        <w:rPr>
          <w:rFonts w:ascii="Calibri" w:hAnsi="Calibri" w:cs="Arial"/>
          <w:sz w:val="30"/>
          <w:szCs w:val="30"/>
        </w:rPr>
        <w:t xml:space="preserve"> </w:t>
      </w:r>
      <w:r w:rsidR="00802CD3" w:rsidRPr="00860331">
        <w:rPr>
          <w:rFonts w:ascii="Calibri" w:hAnsi="Calibri" w:cs="Arial"/>
          <w:sz w:val="30"/>
          <w:szCs w:val="30"/>
        </w:rPr>
        <w:t>трлн</w:t>
      </w:r>
      <w:r w:rsidR="00C70E3B" w:rsidRPr="00860331">
        <w:rPr>
          <w:rFonts w:ascii="Calibri" w:hAnsi="Calibri" w:cs="Arial"/>
          <w:sz w:val="30"/>
          <w:szCs w:val="30"/>
        </w:rPr>
        <w:t xml:space="preserve">. тенге. </w:t>
      </w:r>
    </w:p>
    <w:p w:rsidR="00C70E3B" w:rsidRPr="00860331" w:rsidRDefault="00C70E3B" w:rsidP="00C70E3B">
      <w:pPr>
        <w:autoSpaceDE w:val="0"/>
        <w:autoSpaceDN w:val="0"/>
        <w:adjustRightInd w:val="0"/>
        <w:ind w:firstLine="709"/>
        <w:jc w:val="both"/>
        <w:rPr>
          <w:rFonts w:ascii="Calibri" w:hAnsi="Calibri" w:cs="Arial"/>
          <w:sz w:val="30"/>
          <w:szCs w:val="30"/>
        </w:rPr>
      </w:pPr>
      <w:r w:rsidRPr="00860331">
        <w:rPr>
          <w:rFonts w:ascii="Calibri" w:hAnsi="Calibri" w:cs="Arial"/>
          <w:sz w:val="30"/>
          <w:szCs w:val="30"/>
        </w:rPr>
        <w:t xml:space="preserve">Для сравнения объем произведенного Валового внутреннего продукта Казахстана за 2016 год (по оперативным данным) составил </w:t>
      </w:r>
      <w:r w:rsidR="001566AE" w:rsidRPr="00860331">
        <w:rPr>
          <w:rFonts w:ascii="Calibri" w:hAnsi="Calibri" w:cs="Arial"/>
          <w:sz w:val="30"/>
          <w:szCs w:val="30"/>
        </w:rPr>
        <w:t>46,2</w:t>
      </w:r>
      <w:r w:rsidRPr="00860331">
        <w:rPr>
          <w:rFonts w:ascii="Calibri" w:hAnsi="Calibri" w:cs="Arial"/>
          <w:sz w:val="30"/>
          <w:szCs w:val="30"/>
        </w:rPr>
        <w:t xml:space="preserve"> трлн. тенге</w:t>
      </w:r>
      <w:r w:rsidRPr="00860331">
        <w:rPr>
          <w:rStyle w:val="a6"/>
          <w:rFonts w:ascii="Calibri" w:hAnsi="Calibri" w:cs="Arial"/>
          <w:sz w:val="30"/>
          <w:szCs w:val="30"/>
        </w:rPr>
        <w:footnoteReference w:id="2"/>
      </w:r>
      <w:r w:rsidRPr="00860331">
        <w:rPr>
          <w:rFonts w:ascii="Calibri" w:hAnsi="Calibri" w:cs="Arial"/>
          <w:sz w:val="30"/>
          <w:szCs w:val="30"/>
        </w:rPr>
        <w:t>. Таким образом, объем проведенных платежей через платежные системы превышает уровень ВВП Казахс</w:t>
      </w:r>
      <w:r w:rsidR="00E74F09" w:rsidRPr="00860331">
        <w:rPr>
          <w:rFonts w:ascii="Calibri" w:hAnsi="Calibri" w:cs="Arial"/>
          <w:sz w:val="30"/>
          <w:szCs w:val="30"/>
        </w:rPr>
        <w:t xml:space="preserve">тана за 2016 год почти в </w:t>
      </w:r>
      <w:r w:rsidR="00DA72E1" w:rsidRPr="00860331">
        <w:rPr>
          <w:rFonts w:ascii="Calibri" w:hAnsi="Calibri" w:cs="Arial"/>
          <w:sz w:val="30"/>
          <w:szCs w:val="30"/>
        </w:rPr>
        <w:t>12,8</w:t>
      </w:r>
      <w:r w:rsidR="00E74F09" w:rsidRPr="00860331">
        <w:rPr>
          <w:rFonts w:ascii="Calibri" w:hAnsi="Calibri" w:cs="Arial"/>
          <w:sz w:val="30"/>
          <w:szCs w:val="30"/>
        </w:rPr>
        <w:t xml:space="preserve"> раз, т</w:t>
      </w:r>
      <w:r w:rsidRPr="00860331">
        <w:rPr>
          <w:rFonts w:ascii="Calibri" w:hAnsi="Calibri" w:cs="Arial"/>
          <w:sz w:val="30"/>
          <w:szCs w:val="30"/>
        </w:rPr>
        <w:t>о есть в среднем в месяц через платежные системы провод</w:t>
      </w:r>
      <w:r w:rsidR="00E74F09" w:rsidRPr="00860331">
        <w:rPr>
          <w:rFonts w:ascii="Calibri" w:hAnsi="Calibri" w:cs="Arial"/>
          <w:sz w:val="30"/>
          <w:szCs w:val="30"/>
        </w:rPr>
        <w:t>ятся</w:t>
      </w:r>
      <w:r w:rsidRPr="00860331">
        <w:rPr>
          <w:rFonts w:ascii="Calibri" w:hAnsi="Calibri" w:cs="Arial"/>
          <w:sz w:val="30"/>
          <w:szCs w:val="30"/>
        </w:rPr>
        <w:t xml:space="preserve"> платежи на сумму более годового объема ВВП страны. </w:t>
      </w:r>
    </w:p>
    <w:p w:rsidR="00610467" w:rsidRPr="00860331" w:rsidRDefault="009E09D9" w:rsidP="00855CAB">
      <w:pPr>
        <w:autoSpaceDE w:val="0"/>
        <w:autoSpaceDN w:val="0"/>
        <w:adjustRightInd w:val="0"/>
        <w:ind w:firstLine="709"/>
        <w:jc w:val="both"/>
        <w:rPr>
          <w:rFonts w:ascii="Calibri" w:hAnsi="Calibri" w:cs="Arial"/>
          <w:sz w:val="30"/>
          <w:szCs w:val="30"/>
        </w:rPr>
      </w:pPr>
      <w:r w:rsidRPr="00860331">
        <w:rPr>
          <w:rFonts w:ascii="Calibri" w:hAnsi="Calibri" w:cs="Arial"/>
          <w:sz w:val="30"/>
          <w:szCs w:val="30"/>
        </w:rPr>
        <w:t xml:space="preserve">По сравнению с 2015 годом количество платежей в платежных системах увеличилось на 0,3%, </w:t>
      </w:r>
      <w:r w:rsidRPr="00860331">
        <w:rPr>
          <w:rFonts w:ascii="Calibri" w:hAnsi="Calibri" w:cs="Arial"/>
          <w:b/>
          <w:sz w:val="30"/>
          <w:szCs w:val="30"/>
        </w:rPr>
        <w:t xml:space="preserve">сумма платежей </w:t>
      </w:r>
      <w:r w:rsidR="00E74F09" w:rsidRPr="00860331">
        <w:rPr>
          <w:rFonts w:ascii="Calibri" w:hAnsi="Calibri" w:cs="Arial"/>
          <w:b/>
          <w:sz w:val="30"/>
          <w:szCs w:val="30"/>
        </w:rPr>
        <w:t xml:space="preserve">выросла </w:t>
      </w:r>
      <w:r w:rsidRPr="00860331">
        <w:rPr>
          <w:rFonts w:ascii="Calibri" w:hAnsi="Calibri" w:cs="Arial"/>
          <w:b/>
          <w:sz w:val="30"/>
          <w:szCs w:val="30"/>
        </w:rPr>
        <w:t>в 2,5 раз</w:t>
      </w:r>
      <w:r w:rsidR="00802CD3" w:rsidRPr="00860331">
        <w:rPr>
          <w:rFonts w:ascii="Calibri" w:hAnsi="Calibri" w:cs="Arial"/>
          <w:b/>
          <w:sz w:val="30"/>
          <w:szCs w:val="30"/>
        </w:rPr>
        <w:t>а</w:t>
      </w:r>
      <w:r w:rsidRPr="00860331">
        <w:rPr>
          <w:rFonts w:ascii="Calibri" w:hAnsi="Calibri" w:cs="Arial"/>
          <w:b/>
          <w:sz w:val="30"/>
          <w:szCs w:val="30"/>
        </w:rPr>
        <w:t>.</w:t>
      </w:r>
      <w:r w:rsidR="00E74F09" w:rsidRPr="00860331">
        <w:rPr>
          <w:rFonts w:ascii="Calibri" w:hAnsi="Calibri" w:cs="Arial"/>
          <w:sz w:val="30"/>
          <w:szCs w:val="30"/>
        </w:rPr>
        <w:t xml:space="preserve"> </w:t>
      </w:r>
    </w:p>
    <w:p w:rsidR="00855CAB" w:rsidRDefault="00E74F09" w:rsidP="00855CAB">
      <w:pPr>
        <w:autoSpaceDE w:val="0"/>
        <w:autoSpaceDN w:val="0"/>
        <w:adjustRightInd w:val="0"/>
        <w:ind w:firstLine="709"/>
        <w:jc w:val="both"/>
        <w:rPr>
          <w:rFonts w:ascii="Calibri" w:hAnsi="Calibri" w:cs="Arial"/>
          <w:sz w:val="30"/>
          <w:szCs w:val="30"/>
        </w:rPr>
      </w:pPr>
      <w:r w:rsidRPr="00860331">
        <w:rPr>
          <w:rFonts w:ascii="Calibri" w:hAnsi="Calibri" w:cs="Arial"/>
          <w:sz w:val="30"/>
          <w:szCs w:val="30"/>
        </w:rPr>
        <w:t>При этом</w:t>
      </w:r>
      <w:r w:rsidR="009E09D9" w:rsidRPr="00860331">
        <w:rPr>
          <w:rFonts w:ascii="Calibri" w:hAnsi="Calibri" w:cs="Arial"/>
          <w:sz w:val="30"/>
          <w:szCs w:val="30"/>
        </w:rPr>
        <w:t xml:space="preserve"> за последние пять лет количество платежей</w:t>
      </w:r>
      <w:r w:rsidRPr="00860331">
        <w:rPr>
          <w:rFonts w:ascii="Calibri" w:hAnsi="Calibri" w:cs="Arial"/>
          <w:sz w:val="30"/>
          <w:szCs w:val="30"/>
        </w:rPr>
        <w:t>,</w:t>
      </w:r>
      <w:r w:rsidR="009E09D9" w:rsidRPr="00860331">
        <w:rPr>
          <w:rFonts w:ascii="Calibri" w:hAnsi="Calibri" w:cs="Arial"/>
          <w:sz w:val="30"/>
          <w:szCs w:val="30"/>
        </w:rPr>
        <w:t xml:space="preserve"> проведенных через платежные системы</w:t>
      </w:r>
      <w:r w:rsidRPr="00860331">
        <w:rPr>
          <w:rFonts w:ascii="Calibri" w:hAnsi="Calibri" w:cs="Arial"/>
          <w:sz w:val="30"/>
          <w:szCs w:val="30"/>
        </w:rPr>
        <w:t>,</w:t>
      </w:r>
      <w:r w:rsidR="009E09D9" w:rsidRPr="00860331">
        <w:rPr>
          <w:rFonts w:ascii="Calibri" w:hAnsi="Calibri" w:cs="Arial"/>
          <w:sz w:val="30"/>
          <w:szCs w:val="30"/>
        </w:rPr>
        <w:t xml:space="preserve"> увеличилось на 9,1%, тогда как сумма платежей </w:t>
      </w:r>
      <w:r w:rsidR="00DA72E1" w:rsidRPr="00860331">
        <w:rPr>
          <w:rFonts w:ascii="Calibri" w:hAnsi="Calibri" w:cs="Arial"/>
          <w:sz w:val="30"/>
          <w:szCs w:val="30"/>
        </w:rPr>
        <w:t>выросла</w:t>
      </w:r>
      <w:r w:rsidR="009E09D9" w:rsidRPr="00860331">
        <w:rPr>
          <w:rFonts w:ascii="Calibri" w:hAnsi="Calibri" w:cs="Arial"/>
          <w:sz w:val="30"/>
          <w:szCs w:val="30"/>
        </w:rPr>
        <w:t xml:space="preserve"> в 3,5 раза. </w:t>
      </w:r>
    </w:p>
    <w:p w:rsidR="00A3494E" w:rsidRPr="00860331" w:rsidRDefault="00A3494E" w:rsidP="00855CAB">
      <w:pPr>
        <w:autoSpaceDE w:val="0"/>
        <w:autoSpaceDN w:val="0"/>
        <w:adjustRightInd w:val="0"/>
        <w:ind w:firstLine="709"/>
        <w:jc w:val="both"/>
        <w:rPr>
          <w:rFonts w:ascii="Calibri" w:hAnsi="Calibri" w:cs="Arial"/>
          <w:sz w:val="30"/>
          <w:szCs w:val="30"/>
        </w:rPr>
      </w:pPr>
    </w:p>
    <w:p w:rsidR="00E74F09" w:rsidRPr="00860331" w:rsidRDefault="00C70E3B" w:rsidP="00E74F09">
      <w:pPr>
        <w:autoSpaceDE w:val="0"/>
        <w:autoSpaceDN w:val="0"/>
        <w:adjustRightInd w:val="0"/>
        <w:jc w:val="center"/>
        <w:rPr>
          <w:rFonts w:ascii="Calibri" w:hAnsi="Calibri" w:cs="Arial"/>
          <w:b/>
          <w:color w:val="0E4C28"/>
          <w:sz w:val="28"/>
          <w:szCs w:val="28"/>
        </w:rPr>
      </w:pPr>
      <w:r w:rsidRPr="00860331">
        <w:rPr>
          <w:rFonts w:ascii="Calibri" w:hAnsi="Calibri" w:cs="Arial"/>
          <w:b/>
          <w:color w:val="0E4C28"/>
          <w:sz w:val="28"/>
          <w:szCs w:val="28"/>
        </w:rPr>
        <w:t>Объ</w:t>
      </w:r>
      <w:r w:rsidR="00855CAB" w:rsidRPr="00860331">
        <w:rPr>
          <w:rFonts w:ascii="Calibri" w:hAnsi="Calibri" w:cs="Arial"/>
          <w:b/>
          <w:color w:val="0E4C28"/>
          <w:sz w:val="28"/>
          <w:szCs w:val="28"/>
        </w:rPr>
        <w:t xml:space="preserve">емы платежей в платежных системах  </w:t>
      </w:r>
    </w:p>
    <w:p w:rsidR="00855CAB" w:rsidRPr="00855CAB" w:rsidRDefault="00855CAB" w:rsidP="00E74F09">
      <w:pPr>
        <w:autoSpaceDE w:val="0"/>
        <w:autoSpaceDN w:val="0"/>
        <w:adjustRightInd w:val="0"/>
        <w:jc w:val="center"/>
        <w:rPr>
          <w:rFonts w:ascii="Calibri" w:hAnsi="Calibri" w:cs="Arial"/>
          <w:b/>
          <w:color w:val="0E4C28"/>
          <w:sz w:val="28"/>
          <w:szCs w:val="28"/>
        </w:rPr>
      </w:pPr>
      <w:r w:rsidRPr="00860331">
        <w:rPr>
          <w:rFonts w:ascii="Calibri" w:hAnsi="Calibri" w:cs="Arial"/>
          <w:b/>
          <w:color w:val="0E4C28"/>
          <w:sz w:val="28"/>
          <w:szCs w:val="28"/>
        </w:rPr>
        <w:t>Национального Банка</w:t>
      </w:r>
      <w:r w:rsidR="00E74F09" w:rsidRPr="00860331">
        <w:rPr>
          <w:rFonts w:ascii="Calibri" w:hAnsi="Calibri" w:cs="Arial"/>
          <w:b/>
          <w:color w:val="0E4C28"/>
          <w:sz w:val="28"/>
          <w:szCs w:val="28"/>
        </w:rPr>
        <w:t xml:space="preserve"> Казахстан</w:t>
      </w:r>
      <w:r w:rsidR="00842C3A" w:rsidRPr="00860331">
        <w:rPr>
          <w:rFonts w:ascii="Calibri" w:hAnsi="Calibri" w:cs="Arial"/>
          <w:b/>
          <w:color w:val="0E4C28"/>
          <w:sz w:val="28"/>
          <w:szCs w:val="28"/>
        </w:rPr>
        <w:t>а</w:t>
      </w:r>
    </w:p>
    <w:p w:rsidR="00A3494E" w:rsidRDefault="00B41594" w:rsidP="00F43EE2">
      <w:pPr>
        <w:jc w:val="both"/>
      </w:pPr>
      <w:r>
        <w:rPr>
          <w:noProof/>
        </w:rPr>
        <w:drawing>
          <wp:inline distT="0" distB="0" distL="0" distR="0" wp14:anchorId="7361C4B5" wp14:editId="08C44B7E">
            <wp:extent cx="5939625" cy="2186608"/>
            <wp:effectExtent l="0" t="0" r="4445" b="4445"/>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F43EE2">
        <w:tab/>
      </w:r>
    </w:p>
    <w:p w:rsidR="00DA72E1" w:rsidRDefault="00F43EE2" w:rsidP="00F43EE2">
      <w:pPr>
        <w:jc w:val="both"/>
        <w:rPr>
          <w:rFonts w:ascii="Calibri" w:hAnsi="Calibri" w:cs="Arial"/>
          <w:b/>
          <w:i/>
          <w:noProof/>
          <w:color w:val="00B050"/>
          <w:sz w:val="32"/>
          <w:szCs w:val="32"/>
        </w:rPr>
      </w:pPr>
      <w:r w:rsidRPr="00C70E3B">
        <w:rPr>
          <w:rFonts w:ascii="Calibri" w:hAnsi="Calibri" w:cs="Arial"/>
          <w:sz w:val="30"/>
          <w:szCs w:val="30"/>
        </w:rPr>
        <w:lastRenderedPageBreak/>
        <w:t>Рост суммы платежей в платежных системах вызван увеличением объемов платежей по операциям с ценными бумагами и депозитами</w:t>
      </w:r>
      <w:r>
        <w:rPr>
          <w:rFonts w:ascii="Calibri" w:hAnsi="Calibri" w:cs="Arial"/>
          <w:sz w:val="30"/>
          <w:szCs w:val="30"/>
        </w:rPr>
        <w:t>.</w:t>
      </w:r>
      <w:r w:rsidRPr="00F43EE2">
        <w:rPr>
          <w:rFonts w:ascii="Calibri" w:hAnsi="Calibri" w:cs="Arial"/>
          <w:sz w:val="30"/>
          <w:szCs w:val="30"/>
        </w:rPr>
        <w:t xml:space="preserve"> </w:t>
      </w:r>
    </w:p>
    <w:p w:rsidR="00257626" w:rsidRDefault="00257626" w:rsidP="00F43EE2">
      <w:pPr>
        <w:jc w:val="both"/>
        <w:rPr>
          <w:rFonts w:ascii="Calibri" w:hAnsi="Calibri" w:cs="Arial"/>
          <w:b/>
          <w:i/>
          <w:noProof/>
          <w:color w:val="00B050"/>
          <w:sz w:val="32"/>
          <w:szCs w:val="32"/>
        </w:rPr>
      </w:pPr>
      <w:r w:rsidRPr="00257626">
        <w:rPr>
          <w:rFonts w:ascii="Calibri" w:hAnsi="Calibri" w:cs="Arial"/>
          <w:b/>
          <w:i/>
          <w:noProof/>
          <w:color w:val="00B050"/>
          <w:sz w:val="32"/>
          <w:szCs w:val="32"/>
        </w:rPr>
        <w:drawing>
          <wp:inline distT="0" distB="0" distL="0" distR="0" wp14:anchorId="1DD9E07A" wp14:editId="4A855C05">
            <wp:extent cx="5829300" cy="2746317"/>
            <wp:effectExtent l="0" t="0" r="0" b="0"/>
            <wp:docPr id="450" name="Диаграмма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70E3B" w:rsidRPr="00860331" w:rsidRDefault="00F43EE2" w:rsidP="00215A65">
      <w:pPr>
        <w:ind w:firstLine="708"/>
        <w:jc w:val="both"/>
        <w:rPr>
          <w:rFonts w:ascii="Calibri" w:hAnsi="Calibri" w:cs="Arial"/>
          <w:sz w:val="30"/>
          <w:szCs w:val="30"/>
        </w:rPr>
      </w:pPr>
      <w:r w:rsidRPr="00860331">
        <w:rPr>
          <w:rFonts w:ascii="Calibri" w:hAnsi="Calibri" w:cs="Arial"/>
          <w:sz w:val="30"/>
          <w:szCs w:val="30"/>
        </w:rPr>
        <w:t>В частности, указанное увеличение</w:t>
      </w:r>
      <w:r w:rsidR="00C70E3B" w:rsidRPr="00860331">
        <w:rPr>
          <w:rFonts w:ascii="Calibri" w:hAnsi="Calibri" w:cs="Arial"/>
          <w:sz w:val="30"/>
          <w:szCs w:val="30"/>
        </w:rPr>
        <w:t xml:space="preserve"> связано с проводимыми </w:t>
      </w:r>
      <w:r w:rsidR="00215A65" w:rsidRPr="00860331">
        <w:rPr>
          <w:rFonts w:ascii="Calibri" w:hAnsi="Calibri" w:cs="Arial"/>
          <w:sz w:val="30"/>
          <w:szCs w:val="30"/>
        </w:rPr>
        <w:t xml:space="preserve">операциями с государственными ценными бумагами и </w:t>
      </w:r>
      <w:r w:rsidR="00C70E3B" w:rsidRPr="00860331">
        <w:rPr>
          <w:rFonts w:ascii="Calibri" w:hAnsi="Calibri" w:cs="Arial"/>
          <w:sz w:val="30"/>
          <w:szCs w:val="30"/>
        </w:rPr>
        <w:t xml:space="preserve">депозитными операциями </w:t>
      </w:r>
      <w:r w:rsidR="00215A65" w:rsidRPr="00860331">
        <w:rPr>
          <w:rFonts w:ascii="Calibri" w:hAnsi="Calibri" w:cs="Arial"/>
          <w:sz w:val="30"/>
          <w:szCs w:val="30"/>
        </w:rPr>
        <w:t>между Национальным Банком</w:t>
      </w:r>
      <w:r w:rsidR="00AB2BFD" w:rsidRPr="00860331">
        <w:rPr>
          <w:rFonts w:ascii="Calibri" w:hAnsi="Calibri" w:cs="Arial"/>
          <w:sz w:val="30"/>
          <w:szCs w:val="30"/>
        </w:rPr>
        <w:t xml:space="preserve"> Казахстана</w:t>
      </w:r>
      <w:r w:rsidR="00215A65" w:rsidRPr="00860331">
        <w:rPr>
          <w:rFonts w:ascii="Calibri" w:hAnsi="Calibri" w:cs="Arial"/>
          <w:sz w:val="30"/>
          <w:szCs w:val="30"/>
        </w:rPr>
        <w:t xml:space="preserve"> и банками второго уровня Республики Казахстан </w:t>
      </w:r>
      <w:r w:rsidR="00C70E3B" w:rsidRPr="00860331">
        <w:rPr>
          <w:rFonts w:ascii="Calibri" w:hAnsi="Calibri" w:cs="Arial"/>
          <w:sz w:val="30"/>
          <w:szCs w:val="30"/>
        </w:rPr>
        <w:t xml:space="preserve">в целях регулирования </w:t>
      </w:r>
      <w:proofErr w:type="spellStart"/>
      <w:r w:rsidR="00C70E3B" w:rsidRPr="00860331">
        <w:rPr>
          <w:rFonts w:ascii="Calibri" w:hAnsi="Calibri" w:cs="Arial"/>
          <w:sz w:val="30"/>
          <w:szCs w:val="30"/>
        </w:rPr>
        <w:t>тенговой</w:t>
      </w:r>
      <w:proofErr w:type="spellEnd"/>
      <w:r w:rsidR="00C70E3B" w:rsidRPr="00860331">
        <w:rPr>
          <w:rFonts w:ascii="Calibri" w:hAnsi="Calibri" w:cs="Arial"/>
          <w:sz w:val="30"/>
          <w:szCs w:val="30"/>
        </w:rPr>
        <w:t xml:space="preserve"> ликвидности.</w:t>
      </w:r>
    </w:p>
    <w:tbl>
      <w:tblPr>
        <w:tblW w:w="10145" w:type="dxa"/>
        <w:tblLayout w:type="fixed"/>
        <w:tblLook w:val="04A0" w:firstRow="1" w:lastRow="0" w:firstColumn="1" w:lastColumn="0" w:noHBand="0" w:noVBand="1"/>
      </w:tblPr>
      <w:tblGrid>
        <w:gridCol w:w="4739"/>
        <w:gridCol w:w="5406"/>
      </w:tblGrid>
      <w:tr w:rsidR="009E09D9" w:rsidTr="007D0CC8">
        <w:tc>
          <w:tcPr>
            <w:tcW w:w="4739" w:type="dxa"/>
            <w:shd w:val="clear" w:color="auto" w:fill="auto"/>
          </w:tcPr>
          <w:p w:rsidR="009E09D9" w:rsidRPr="00860331" w:rsidRDefault="00F43EE2" w:rsidP="00015E28">
            <w:pPr>
              <w:ind w:firstLine="709"/>
              <w:jc w:val="both"/>
              <w:rPr>
                <w:rFonts w:ascii="Calibri" w:hAnsi="Calibri" w:cs="Arial"/>
                <w:sz w:val="30"/>
                <w:szCs w:val="30"/>
              </w:rPr>
            </w:pPr>
            <w:r w:rsidRPr="00860331">
              <w:rPr>
                <w:rFonts w:ascii="Calibri" w:hAnsi="Calibri" w:cs="Arial"/>
                <w:b/>
                <w:sz w:val="30"/>
                <w:szCs w:val="30"/>
              </w:rPr>
              <w:t>При этом н</w:t>
            </w:r>
            <w:r w:rsidR="009E09D9" w:rsidRPr="00860331">
              <w:rPr>
                <w:rFonts w:ascii="Calibri" w:hAnsi="Calibri" w:cs="Arial"/>
                <w:b/>
                <w:sz w:val="30"/>
                <w:szCs w:val="30"/>
              </w:rPr>
              <w:t>а МСПД приходится основная доля от суммы платежей, проведенных через платежные системы Национального Банка</w:t>
            </w:r>
            <w:r w:rsidR="00215A65" w:rsidRPr="00860331">
              <w:rPr>
                <w:rFonts w:ascii="Calibri" w:hAnsi="Calibri" w:cs="Arial"/>
                <w:b/>
                <w:sz w:val="30"/>
                <w:szCs w:val="30"/>
              </w:rPr>
              <w:t xml:space="preserve"> Казахстан</w:t>
            </w:r>
            <w:r w:rsidR="00842C3A" w:rsidRPr="00860331">
              <w:rPr>
                <w:rFonts w:ascii="Calibri" w:hAnsi="Calibri" w:cs="Arial"/>
                <w:b/>
                <w:sz w:val="30"/>
                <w:szCs w:val="30"/>
              </w:rPr>
              <w:t>а</w:t>
            </w:r>
            <w:r w:rsidR="009E09D9" w:rsidRPr="00860331">
              <w:rPr>
                <w:rFonts w:ascii="Calibri" w:hAnsi="Calibri" w:cs="Arial"/>
                <w:b/>
                <w:sz w:val="30"/>
                <w:szCs w:val="30"/>
              </w:rPr>
              <w:t xml:space="preserve"> (99</w:t>
            </w:r>
            <w:r w:rsidR="00215A65" w:rsidRPr="00860331">
              <w:rPr>
                <w:rFonts w:ascii="Calibri" w:hAnsi="Calibri" w:cs="Arial"/>
                <w:b/>
                <w:sz w:val="30"/>
                <w:szCs w:val="30"/>
              </w:rPr>
              <w:t>%</w:t>
            </w:r>
            <w:r w:rsidR="009E09D9" w:rsidRPr="00860331">
              <w:rPr>
                <w:rFonts w:ascii="Calibri" w:hAnsi="Calibri" w:cs="Arial"/>
                <w:b/>
                <w:sz w:val="30"/>
                <w:szCs w:val="30"/>
              </w:rPr>
              <w:t>),</w:t>
            </w:r>
            <w:r w:rsidR="009E09D9" w:rsidRPr="00860331">
              <w:rPr>
                <w:rFonts w:ascii="Calibri" w:hAnsi="Calibri" w:cs="Arial"/>
                <w:sz w:val="30"/>
                <w:szCs w:val="30"/>
              </w:rPr>
              <w:t xml:space="preserve"> </w:t>
            </w:r>
            <w:r w:rsidRPr="00860331">
              <w:rPr>
                <w:rFonts w:ascii="Calibri" w:hAnsi="Calibri" w:cs="Arial"/>
                <w:sz w:val="30"/>
                <w:szCs w:val="30"/>
              </w:rPr>
              <w:t xml:space="preserve">тогда </w:t>
            </w:r>
            <w:r w:rsidR="009E09D9" w:rsidRPr="00860331">
              <w:rPr>
                <w:rFonts w:ascii="Calibri" w:hAnsi="Calibri" w:cs="Arial"/>
                <w:sz w:val="30"/>
                <w:szCs w:val="30"/>
              </w:rPr>
              <w:t xml:space="preserve"> как основное количество </w:t>
            </w:r>
            <w:r w:rsidR="004C066E" w:rsidRPr="00860331">
              <w:rPr>
                <w:rFonts w:ascii="Calibri" w:hAnsi="Calibri" w:cs="Arial"/>
                <w:sz w:val="30"/>
                <w:szCs w:val="30"/>
              </w:rPr>
              <w:t>платежных сообщений</w:t>
            </w:r>
            <w:r w:rsidR="009E09D9" w:rsidRPr="00860331">
              <w:rPr>
                <w:rFonts w:ascii="Calibri" w:hAnsi="Calibri" w:cs="Arial"/>
                <w:sz w:val="30"/>
                <w:szCs w:val="30"/>
              </w:rPr>
              <w:t xml:space="preserve"> обрабатывается через СМК (доля - 60%). </w:t>
            </w:r>
          </w:p>
          <w:p w:rsidR="009E09D9" w:rsidRPr="00860331" w:rsidRDefault="009E09D9" w:rsidP="00EE6892">
            <w:pPr>
              <w:autoSpaceDE w:val="0"/>
              <w:autoSpaceDN w:val="0"/>
              <w:adjustRightInd w:val="0"/>
              <w:jc w:val="both"/>
              <w:rPr>
                <w:rFonts w:ascii="Calibri" w:hAnsi="Calibri" w:cs="Arial"/>
                <w:sz w:val="30"/>
                <w:szCs w:val="30"/>
              </w:rPr>
            </w:pPr>
            <w:r w:rsidRPr="00860331">
              <w:rPr>
                <w:rFonts w:ascii="Calibri" w:hAnsi="Calibri" w:cs="Arial"/>
                <w:sz w:val="30"/>
                <w:szCs w:val="30"/>
              </w:rPr>
              <w:t xml:space="preserve">Средняя сумма одного платежного </w:t>
            </w:r>
            <w:r w:rsidR="004C066E" w:rsidRPr="00860331">
              <w:rPr>
                <w:rFonts w:ascii="Calibri" w:hAnsi="Calibri" w:cs="Arial"/>
                <w:sz w:val="30"/>
                <w:szCs w:val="30"/>
              </w:rPr>
              <w:t>сообщения</w:t>
            </w:r>
            <w:r w:rsidRPr="00860331">
              <w:rPr>
                <w:rFonts w:ascii="Calibri" w:hAnsi="Calibri" w:cs="Arial"/>
                <w:sz w:val="30"/>
                <w:szCs w:val="30"/>
              </w:rPr>
              <w:t xml:space="preserve"> в МСПД за 2016 год составила 41,7 млн. тенге и увеличилась по сравнению с 2015 годом в 2,5 раза (на 25,0 млн. тенге). Средняя сумма одного платежного сообщения в С</w:t>
            </w:r>
            <w:r w:rsidR="00E74F09" w:rsidRPr="00860331">
              <w:rPr>
                <w:rFonts w:ascii="Calibri" w:hAnsi="Calibri" w:cs="Arial"/>
                <w:sz w:val="30"/>
                <w:szCs w:val="30"/>
              </w:rPr>
              <w:t>МК</w:t>
            </w:r>
            <w:r w:rsidRPr="00860331">
              <w:rPr>
                <w:rFonts w:ascii="Calibri" w:hAnsi="Calibri" w:cs="Arial"/>
                <w:sz w:val="30"/>
                <w:szCs w:val="30"/>
              </w:rPr>
              <w:t xml:space="preserve"> за 2016 год составила 282,4 тыс. тенге, </w:t>
            </w:r>
            <w:r w:rsidR="00F43EE2" w:rsidRPr="00860331">
              <w:rPr>
                <w:rFonts w:ascii="Calibri" w:hAnsi="Calibri" w:cs="Arial"/>
                <w:sz w:val="30"/>
                <w:szCs w:val="30"/>
              </w:rPr>
              <w:t xml:space="preserve"> увеличившись по сравнению с 2015 годом на 10,9% (на 27,8 тыс. тенге).</w:t>
            </w:r>
            <w:r w:rsidRPr="00860331">
              <w:rPr>
                <w:rFonts w:ascii="Calibri" w:hAnsi="Calibri" w:cs="Arial"/>
                <w:sz w:val="30"/>
                <w:szCs w:val="30"/>
              </w:rPr>
              <w:t xml:space="preserve"> </w:t>
            </w:r>
          </w:p>
        </w:tc>
        <w:tc>
          <w:tcPr>
            <w:tcW w:w="5406" w:type="dxa"/>
            <w:shd w:val="clear" w:color="auto" w:fill="auto"/>
          </w:tcPr>
          <w:p w:rsidR="009E09D9" w:rsidRPr="00860331" w:rsidRDefault="00B41594" w:rsidP="00015E28">
            <w:pPr>
              <w:autoSpaceDE w:val="0"/>
              <w:autoSpaceDN w:val="0"/>
              <w:adjustRightInd w:val="0"/>
              <w:jc w:val="both"/>
              <w:rPr>
                <w:rFonts w:ascii="Calibri" w:hAnsi="Calibri" w:cs="Arial"/>
                <w:sz w:val="20"/>
                <w:szCs w:val="20"/>
              </w:rPr>
            </w:pPr>
            <w:r w:rsidRPr="00860331">
              <w:rPr>
                <w:rFonts w:ascii="Calibri" w:hAnsi="Calibri" w:cs="Arial"/>
                <w:noProof/>
                <w:sz w:val="20"/>
                <w:szCs w:val="20"/>
              </w:rPr>
              <w:drawing>
                <wp:inline distT="0" distB="0" distL="0" distR="0" wp14:anchorId="79281264" wp14:editId="115679B9">
                  <wp:extent cx="2930237" cy="1610591"/>
                  <wp:effectExtent l="0" t="0" r="3810" b="889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E09D9" w:rsidRPr="00860331" w:rsidRDefault="00B41594" w:rsidP="00015E28">
            <w:pPr>
              <w:autoSpaceDE w:val="0"/>
              <w:autoSpaceDN w:val="0"/>
              <w:adjustRightInd w:val="0"/>
              <w:jc w:val="both"/>
              <w:rPr>
                <w:rFonts w:ascii="Calibri" w:hAnsi="Calibri" w:cs="Arial"/>
                <w:sz w:val="30"/>
                <w:szCs w:val="30"/>
              </w:rPr>
            </w:pPr>
            <w:r w:rsidRPr="00860331">
              <w:rPr>
                <w:rFonts w:ascii="Calibri" w:hAnsi="Calibri" w:cs="Arial"/>
                <w:noProof/>
                <w:sz w:val="30"/>
                <w:szCs w:val="30"/>
              </w:rPr>
              <w:drawing>
                <wp:inline distT="0" distB="0" distL="0" distR="0" wp14:anchorId="3D885731" wp14:editId="3285DA5A">
                  <wp:extent cx="3075709" cy="1662546"/>
                  <wp:effectExtent l="0" t="0" r="0" b="0"/>
                  <wp:docPr id="5" name="Диаграмма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E09D9" w:rsidRPr="00015E28" w:rsidRDefault="00B41594" w:rsidP="00015E28">
            <w:pPr>
              <w:autoSpaceDE w:val="0"/>
              <w:autoSpaceDN w:val="0"/>
              <w:adjustRightInd w:val="0"/>
              <w:jc w:val="both"/>
              <w:rPr>
                <w:rFonts w:ascii="Calibri" w:hAnsi="Calibri" w:cs="Arial"/>
                <w:sz w:val="30"/>
                <w:szCs w:val="30"/>
              </w:rPr>
            </w:pPr>
            <w:r w:rsidRPr="00860331">
              <w:rPr>
                <w:noProof/>
              </w:rPr>
              <mc:AlternateContent>
                <mc:Choice Requires="wpg">
                  <w:drawing>
                    <wp:anchor distT="0" distB="0" distL="114300" distR="114300" simplePos="0" relativeHeight="251643904" behindDoc="0" locked="0" layoutInCell="1" allowOverlap="1" wp14:anchorId="54168995" wp14:editId="7FA8FFA1">
                      <wp:simplePos x="0" y="0"/>
                      <wp:positionH relativeFrom="column">
                        <wp:posOffset>20320</wp:posOffset>
                      </wp:positionH>
                      <wp:positionV relativeFrom="paragraph">
                        <wp:posOffset>81280</wp:posOffset>
                      </wp:positionV>
                      <wp:extent cx="2752725" cy="1297305"/>
                      <wp:effectExtent l="0" t="0" r="28575" b="0"/>
                      <wp:wrapSquare wrapText="bothSides"/>
                      <wp:docPr id="51"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725" cy="1297305"/>
                                <a:chOff x="2385" y="10067"/>
                                <a:chExt cx="7498" cy="1703"/>
                              </a:xfrm>
                            </wpg:grpSpPr>
                            <wps:wsp>
                              <wps:cNvPr id="54" name="Овал 5"/>
                              <wps:cNvSpPr>
                                <a:spLocks noChangeArrowheads="1"/>
                              </wps:cNvSpPr>
                              <wps:spPr bwMode="auto">
                                <a:xfrm>
                                  <a:off x="2910" y="10353"/>
                                  <a:ext cx="3270" cy="1005"/>
                                </a:xfrm>
                                <a:prstGeom prst="ellipse">
                                  <a:avLst/>
                                </a:prstGeom>
                                <a:solidFill>
                                  <a:srgbClr val="92D050"/>
                                </a:solidFill>
                                <a:ln w="25400" algn="ctr">
                                  <a:solidFill>
                                    <a:srgbClr val="385D8A"/>
                                  </a:solidFill>
                                  <a:round/>
                                  <a:headEnd/>
                                  <a:tailEnd/>
                                </a:ln>
                              </wps:spPr>
                              <wps:txbx>
                                <w:txbxContent>
                                  <w:p w:rsidR="00A3494E" w:rsidRPr="00015E28" w:rsidRDefault="00A3494E" w:rsidP="009E09D9">
                                    <w:pPr>
                                      <w:jc w:val="center"/>
                                      <w:rPr>
                                        <w:rFonts w:ascii="Calibri" w:hAnsi="Calibri"/>
                                        <w:sz w:val="20"/>
                                        <w:szCs w:val="20"/>
                                      </w:rPr>
                                    </w:pPr>
                                    <w:r w:rsidRPr="00015E28">
                                      <w:rPr>
                                        <w:rFonts w:ascii="Calibri" w:hAnsi="Calibri"/>
                                        <w:sz w:val="20"/>
                                        <w:szCs w:val="20"/>
                                      </w:rPr>
                                      <w:t>41,7 млн. тенге</w:t>
                                    </w:r>
                                  </w:p>
                                </w:txbxContent>
                              </wps:txbx>
                              <wps:bodyPr rot="0" vert="horz" wrap="square" lIns="91440" tIns="45720" rIns="91440" bIns="45720" anchor="ctr" anchorCtr="0" upright="1">
                                <a:noAutofit/>
                              </wps:bodyPr>
                            </wps:wsp>
                            <wps:wsp>
                              <wps:cNvPr id="55" name="Овал 6"/>
                              <wps:cNvSpPr>
                                <a:spLocks noChangeArrowheads="1"/>
                              </wps:cNvSpPr>
                              <wps:spPr bwMode="auto">
                                <a:xfrm>
                                  <a:off x="7119" y="10997"/>
                                  <a:ext cx="507" cy="271"/>
                                </a:xfrm>
                                <a:prstGeom prst="ellipse">
                                  <a:avLst/>
                                </a:prstGeom>
                                <a:solidFill>
                                  <a:srgbClr val="C0504D"/>
                                </a:solidFill>
                                <a:ln w="25400" algn="ctr">
                                  <a:solidFill>
                                    <a:srgbClr val="8C3836"/>
                                  </a:solidFill>
                                  <a:round/>
                                  <a:headEnd/>
                                  <a:tailEnd/>
                                </a:ln>
                              </wps:spPr>
                              <wps:txbx>
                                <w:txbxContent>
                                  <w:p w:rsidR="00A3494E" w:rsidRDefault="00A3494E" w:rsidP="009E09D9">
                                    <w:pPr>
                                      <w:jc w:val="center"/>
                                    </w:pPr>
                                  </w:p>
                                </w:txbxContent>
                              </wps:txbx>
                              <wps:bodyPr rot="0" vert="horz" wrap="square" lIns="91440" tIns="45720" rIns="91440" bIns="45720" anchor="ctr" anchorCtr="0" upright="1">
                                <a:noAutofit/>
                              </wps:bodyPr>
                            </wps:wsp>
                            <wps:wsp>
                              <wps:cNvPr id="57" name="Двойные фигурные скобки 7"/>
                              <wps:cNvSpPr>
                                <a:spLocks noChangeArrowheads="1"/>
                              </wps:cNvSpPr>
                              <wps:spPr bwMode="auto">
                                <a:xfrm>
                                  <a:off x="2385" y="10067"/>
                                  <a:ext cx="7498" cy="1680"/>
                                </a:xfrm>
                                <a:prstGeom prst="bracePair">
                                  <a:avLst>
                                    <a:gd name="adj" fmla="val 8333"/>
                                  </a:avLst>
                                </a:prstGeom>
                                <a:noFill/>
                                <a:ln w="9525" algn="ctr">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8" name="Надпись 2"/>
                              <wps:cNvSpPr txBox="1">
                                <a:spLocks noChangeArrowheads="1"/>
                              </wps:cNvSpPr>
                              <wps:spPr bwMode="auto">
                                <a:xfrm>
                                  <a:off x="3354" y="11365"/>
                                  <a:ext cx="219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94E" w:rsidRPr="00015E28" w:rsidRDefault="00A3494E" w:rsidP="009E09D9">
                                    <w:pPr>
                                      <w:jc w:val="center"/>
                                      <w:rPr>
                                        <w:rFonts w:ascii="Calibri" w:hAnsi="Calibri"/>
                                        <w:b/>
                                      </w:rPr>
                                    </w:pPr>
                                    <w:r w:rsidRPr="00015E28">
                                      <w:rPr>
                                        <w:rFonts w:ascii="Calibri" w:hAnsi="Calibri"/>
                                        <w:b/>
                                      </w:rPr>
                                      <w:t>МСПД</w:t>
                                    </w:r>
                                  </w:p>
                                </w:txbxContent>
                              </wps:txbx>
                              <wps:bodyPr rot="0" vert="horz" wrap="square" lIns="91440" tIns="45720" rIns="91440" bIns="45720" anchor="t" anchorCtr="0" upright="1">
                                <a:noAutofit/>
                              </wps:bodyPr>
                            </wps:wsp>
                            <wps:wsp>
                              <wps:cNvPr id="59" name="Надпись 2"/>
                              <wps:cNvSpPr txBox="1">
                                <a:spLocks noChangeArrowheads="1"/>
                              </wps:cNvSpPr>
                              <wps:spPr bwMode="auto">
                                <a:xfrm>
                                  <a:off x="6423" y="11347"/>
                                  <a:ext cx="194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94E" w:rsidRPr="00015E28" w:rsidRDefault="00A3494E" w:rsidP="009E09D9">
                                    <w:pPr>
                                      <w:jc w:val="center"/>
                                      <w:rPr>
                                        <w:rFonts w:ascii="Calibri" w:hAnsi="Calibri"/>
                                        <w:b/>
                                      </w:rPr>
                                    </w:pPr>
                                    <w:r w:rsidRPr="00015E28">
                                      <w:rPr>
                                        <w:rFonts w:ascii="Calibri" w:hAnsi="Calibri"/>
                                        <w:b/>
                                      </w:rPr>
                                      <w:t>СМК</w:t>
                                    </w:r>
                                  </w:p>
                                </w:txbxContent>
                              </wps:txbx>
                              <wps:bodyPr rot="0" vert="horz" wrap="square" lIns="91440" tIns="45720" rIns="91440" bIns="45720" anchor="t" anchorCtr="0" upright="1">
                                <a:noAutofit/>
                              </wps:bodyPr>
                            </wps:wsp>
                            <wps:wsp>
                              <wps:cNvPr id="60" name="Скругленная прямоугольная выноска 13"/>
                              <wps:cNvSpPr>
                                <a:spLocks noChangeArrowheads="1"/>
                              </wps:cNvSpPr>
                              <wps:spPr bwMode="auto">
                                <a:xfrm>
                                  <a:off x="7323" y="10248"/>
                                  <a:ext cx="2053" cy="675"/>
                                </a:xfrm>
                                <a:prstGeom prst="wedgeRoundRectCallout">
                                  <a:avLst>
                                    <a:gd name="adj1" fmla="val -45176"/>
                                    <a:gd name="adj2" fmla="val 71773"/>
                                    <a:gd name="adj3" fmla="val 16667"/>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A3494E" w:rsidRPr="00015E28" w:rsidRDefault="00A3494E" w:rsidP="009E09D9">
                                    <w:pPr>
                                      <w:jc w:val="center"/>
                                      <w:rPr>
                                        <w:rFonts w:ascii="Calibri" w:hAnsi="Calibri"/>
                                        <w:sz w:val="20"/>
                                        <w:szCs w:val="20"/>
                                      </w:rPr>
                                    </w:pPr>
                                    <w:r w:rsidRPr="00015E28">
                                      <w:rPr>
                                        <w:rFonts w:ascii="Calibri" w:hAnsi="Calibri"/>
                                        <w:sz w:val="20"/>
                                        <w:szCs w:val="20"/>
                                      </w:rPr>
                                      <w:t>282,4 тыс. тенге</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030" style="position:absolute;left:0;text-align:left;margin-left:1.6pt;margin-top:6.4pt;width:216.75pt;height:102.15pt;z-index:251643904" coordorigin="2385,10067" coordsize="7498,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">
                      <v:oval id="Овал 5" o:spid="_x0000_s1031" style="position:absolute;left:2910;top:10353;width:3270;height:1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9d/MMA&#10;AADbAAAADwAAAGRycy9kb3ducmV2LnhtbESPT2sCMRTE74V+h/AK3mrW4j9Wo5TCQi+1uorn5+a5&#10;u3TzEpJUt9/eFASPw8z8hlmue9OJC/nQWlYwGmYgiCurW64VHPbF6xxEiMgaO8uk4I8CrFfPT0vM&#10;tb3yji5lrEWCcMhRQROjy6UMVUMGw9A64uSdrTcYk/S11B6vCW46+ZZlU2mw5bTQoKOPhqqf8tco&#10;mG2/CjSnXZHNN25T+uN5O3LfSg1e+vcFiEh9fITv7U+tYDKG/y/p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9d/MMAAADbAAAADwAAAAAAAAAAAAAAAACYAgAAZHJzL2Rv&#10;d25yZXYueG1sUEsFBgAAAAAEAAQA9QAAAIgDAAAAAA==&#10;" fillcolor="#92d050" strokecolor="#385d8a" strokeweight="2pt">
                        <v:textbox>
                          <w:txbxContent>
                            <w:p w:rsidR="00A3494E" w:rsidRPr="00015E28" w:rsidRDefault="00A3494E" w:rsidP="009E09D9">
                              <w:pPr>
                                <w:jc w:val="center"/>
                                <w:rPr>
                                  <w:rFonts w:ascii="Calibri" w:hAnsi="Calibri"/>
                                  <w:sz w:val="20"/>
                                  <w:szCs w:val="20"/>
                                </w:rPr>
                              </w:pPr>
                              <w:r w:rsidRPr="00015E28">
                                <w:rPr>
                                  <w:rFonts w:ascii="Calibri" w:hAnsi="Calibri"/>
                                  <w:sz w:val="20"/>
                                  <w:szCs w:val="20"/>
                                </w:rPr>
                                <w:t>41,7 млн. тенге</w:t>
                              </w:r>
                            </w:p>
                          </w:txbxContent>
                        </v:textbox>
                      </v:oval>
                      <v:oval id="Овал 6" o:spid="_x0000_s1032" style="position:absolute;left:7119;top:10997;width:507;height:2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mscIA&#10;AADbAAAADwAAAGRycy9kb3ducmV2LnhtbESPQWvCQBSE70L/w/IKvemmpWqJbkIplApeamLvz+xL&#10;NjT7NmS3Jv57Vyh4HGa+GWabT7YTZxp861jB8yIBQVw53XKj4Fh+zt9A+ICssXNMCi7kIc8eZltM&#10;tRv5QOciNCKWsE9RgQmhT6X0lSGLfuF64ujVbrAYohwaqQccY7nt5EuSrKTFluOCwZ4+DFW/xZ9V&#10;sKy/Ub4Wh/Wl/PrZj7WfWJ+MUk+P0/sGRKAp3MP/9E5Hbgm3L/EHy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maxwgAAANsAAAAPAAAAAAAAAAAAAAAAAJgCAABkcnMvZG93&#10;bnJldi54bWxQSwUGAAAAAAQABAD1AAAAhwMAAAAA&#10;" fillcolor="#c0504d" strokecolor="#8c3836" strokeweight="2pt">
                        <v:textbox>
                          <w:txbxContent>
                            <w:p w:rsidR="00A3494E" w:rsidRDefault="00A3494E" w:rsidP="009E09D9">
                              <w:pPr>
                                <w:jc w:val="center"/>
                              </w:pPr>
                            </w:p>
                          </w:txbxContent>
                        </v:textbox>
                      </v:oval>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7" o:spid="_x0000_s1033" type="#_x0000_t186" style="position:absolute;left:2385;top:10067;width:7498;height:1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A4uMQA&#10;AADbAAAADwAAAGRycy9kb3ducmV2LnhtbESPQWvCQBSE70L/w/IK3sxGobVNs0oRrBVPTYPnZ/aZ&#10;BLNvw+4a03/fLRQ8DjPzDZOvR9OJgZxvLSuYJykI4srqlmsF5fd29gLCB2SNnWVS8EMe1quHSY6Z&#10;tjf+oqEItYgQ9hkqaELoMyl91ZBBn9ieOHpn6wyGKF0ttcNbhJtOLtL0WRpsOS402NOmoepSXI2C&#10;Yl+fX+elq4rDZXdE3Z72w8dSqenj+P4GItAY7uH/9qdW8LSEvy/x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AOLjEAAAA2wAAAA8AAAAAAAAAAAAAAAAAmAIAAGRycy9k&#10;b3ducmV2LnhtbFBLBQYAAAAABAAEAPUAAACJAwAAAAA=&#10;" strokecolor="#4a7ebb"/>
                      <v:shapetype id="_x0000_t202" coordsize="21600,21600" o:spt="202" path="m,l,21600r21600,l21600,xe">
                        <v:stroke joinstyle="miter"/>
                        <v:path gradientshapeok="t" o:connecttype="rect"/>
                      </v:shapetype>
                      <v:shape id="_x0000_s1034" type="#_x0000_t202" style="position:absolute;left:3354;top:11365;width:219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A3494E" w:rsidRPr="00015E28" w:rsidRDefault="00A3494E" w:rsidP="009E09D9">
                              <w:pPr>
                                <w:jc w:val="center"/>
                                <w:rPr>
                                  <w:rFonts w:ascii="Calibri" w:hAnsi="Calibri"/>
                                  <w:b/>
                                </w:rPr>
                              </w:pPr>
                              <w:r w:rsidRPr="00015E28">
                                <w:rPr>
                                  <w:rFonts w:ascii="Calibri" w:hAnsi="Calibri"/>
                                  <w:b/>
                                </w:rPr>
                                <w:t>МСПД</w:t>
                              </w:r>
                            </w:p>
                          </w:txbxContent>
                        </v:textbox>
                      </v:shape>
                      <v:shape id="_x0000_s1035" type="#_x0000_t202" style="position:absolute;left:6423;top:11347;width:1947;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A3494E" w:rsidRPr="00015E28" w:rsidRDefault="00A3494E" w:rsidP="009E09D9">
                              <w:pPr>
                                <w:jc w:val="center"/>
                                <w:rPr>
                                  <w:rFonts w:ascii="Calibri" w:hAnsi="Calibri"/>
                                  <w:b/>
                                </w:rPr>
                              </w:pPr>
                              <w:r w:rsidRPr="00015E28">
                                <w:rPr>
                                  <w:rFonts w:ascii="Calibri" w:hAnsi="Calibri"/>
                                  <w:b/>
                                </w:rPr>
                                <w:t>СМК</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13" o:spid="_x0000_s1036" type="#_x0000_t62" style="position:absolute;left:7323;top:10248;width:2053;height:6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wsb8AA&#10;AADbAAAADwAAAGRycy9kb3ducmV2LnhtbERPz2vCMBS+D/wfwhN2GTbdDmXURhHBYY+6sl0fzbMp&#10;Ni+1idr615vDYMeP73exHm0nbjT41rGC9yQFQVw73XKjoPreLT5B+ICssXNMCibysF7NXgrMtbvz&#10;gW7H0IgYwj5HBSaEPpfS14Ys+sT1xJE7ucFiiHBopB7wHsNtJz/SNJMWW44NBnvaGqrPx6tVUE/0&#10;1n0Ze3B9k16q37L8mR6lUq/zcbMEEWgM/+I/914ryOL6+CX+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wsb8AAAADbAAAADwAAAAAAAAAAAAAAAACYAgAAZHJzL2Rvd25y&#10;ZXYueG1sUEsFBgAAAAAEAAQA9QAAAIUDAAAAAA==&#10;" adj="1042,26303" fillcolor="#bcbcbc">
                        <v:fill color2="#ededed" rotate="t" angle="180" colors="0 #bcbcbc;22938f #d0d0d0;1 #ededed" focus="100%" type="gradient"/>
                        <v:shadow on="t" color="black" opacity="24903f" origin=",.5" offset="0,.55556mm"/>
                        <v:textbox>
                          <w:txbxContent>
                            <w:p w:rsidR="00A3494E" w:rsidRPr="00015E28" w:rsidRDefault="00A3494E" w:rsidP="009E09D9">
                              <w:pPr>
                                <w:jc w:val="center"/>
                                <w:rPr>
                                  <w:rFonts w:ascii="Calibri" w:hAnsi="Calibri"/>
                                  <w:sz w:val="20"/>
                                  <w:szCs w:val="20"/>
                                </w:rPr>
                              </w:pPr>
                              <w:r w:rsidRPr="00015E28">
                                <w:rPr>
                                  <w:rFonts w:ascii="Calibri" w:hAnsi="Calibri"/>
                                  <w:sz w:val="20"/>
                                  <w:szCs w:val="20"/>
                                </w:rPr>
                                <w:t>282,4 тыс. тенге</w:t>
                              </w:r>
                            </w:p>
                          </w:txbxContent>
                        </v:textbox>
                      </v:shape>
                      <w10:wrap type="square"/>
                    </v:group>
                  </w:pict>
                </mc:Fallback>
              </mc:AlternateContent>
            </w:r>
          </w:p>
        </w:tc>
      </w:tr>
    </w:tbl>
    <w:p w:rsidR="0082483E" w:rsidRDefault="0082483E" w:rsidP="009E09D9">
      <w:pPr>
        <w:pStyle w:val="1"/>
        <w:pBdr>
          <w:bottom w:val="single" w:sz="12" w:space="1" w:color="auto"/>
        </w:pBdr>
        <w:tabs>
          <w:tab w:val="left" w:pos="561"/>
        </w:tabs>
        <w:spacing w:before="0" w:after="0" w:line="233" w:lineRule="auto"/>
        <w:rPr>
          <w:rFonts w:ascii="Calibri" w:hAnsi="Calibri"/>
          <w:bCs w:val="0"/>
          <w:snapToGrid w:val="0"/>
          <w:color w:val="0E4C28"/>
          <w:spacing w:val="-2"/>
          <w:kern w:val="0"/>
          <w:sz w:val="14"/>
        </w:rPr>
        <w:sectPr w:rsidR="0082483E" w:rsidSect="002C64D4">
          <w:headerReference w:type="default" r:id="rId16"/>
          <w:pgSz w:w="11906" w:h="16838"/>
          <w:pgMar w:top="1134" w:right="851" w:bottom="1134" w:left="1701" w:header="709" w:footer="709" w:gutter="0"/>
          <w:pgNumType w:start="0"/>
          <w:cols w:space="708"/>
          <w:titlePg/>
          <w:docGrid w:linePitch="360"/>
        </w:sectPr>
      </w:pPr>
      <w:bookmarkStart w:id="112" w:name="_Toc470534235"/>
    </w:p>
    <w:p w:rsidR="009E09D9" w:rsidRPr="00015E28" w:rsidRDefault="00A30B7D" w:rsidP="009E09D9">
      <w:pPr>
        <w:pStyle w:val="1"/>
        <w:pBdr>
          <w:bottom w:val="single" w:sz="12" w:space="1" w:color="auto"/>
        </w:pBdr>
        <w:tabs>
          <w:tab w:val="left" w:pos="561"/>
        </w:tabs>
        <w:spacing w:before="0" w:after="0" w:line="233" w:lineRule="auto"/>
        <w:rPr>
          <w:rFonts w:ascii="Calibri" w:hAnsi="Calibri"/>
          <w:bCs w:val="0"/>
          <w:snapToGrid w:val="0"/>
          <w:color w:val="0E4C28"/>
          <w:spacing w:val="-2"/>
          <w:kern w:val="0"/>
        </w:rPr>
      </w:pPr>
      <w:bookmarkStart w:id="113" w:name="_Toc481418197"/>
      <w:r>
        <w:rPr>
          <w:rFonts w:ascii="Calibri" w:hAnsi="Calibri"/>
          <w:bCs w:val="0"/>
          <w:snapToGrid w:val="0"/>
          <w:color w:val="0E4C28"/>
          <w:spacing w:val="-2"/>
          <w:kern w:val="0"/>
        </w:rPr>
        <w:lastRenderedPageBreak/>
        <w:t>1</w:t>
      </w:r>
      <w:r w:rsidR="009E09D9" w:rsidRPr="00015E28">
        <w:rPr>
          <w:rFonts w:ascii="Calibri" w:hAnsi="Calibri"/>
          <w:bCs w:val="0"/>
          <w:snapToGrid w:val="0"/>
          <w:color w:val="0E4C28"/>
          <w:spacing w:val="-2"/>
          <w:kern w:val="0"/>
        </w:rPr>
        <w:t>.</w:t>
      </w:r>
      <w:r w:rsidR="00215A65">
        <w:rPr>
          <w:rFonts w:ascii="Calibri" w:hAnsi="Calibri"/>
          <w:bCs w:val="0"/>
          <w:snapToGrid w:val="0"/>
          <w:color w:val="0E4C28"/>
          <w:spacing w:val="-2"/>
          <w:kern w:val="0"/>
        </w:rPr>
        <w:t>4</w:t>
      </w:r>
      <w:r w:rsidR="009E09D9" w:rsidRPr="00015E28">
        <w:rPr>
          <w:rFonts w:ascii="Calibri" w:hAnsi="Calibri"/>
          <w:bCs w:val="0"/>
          <w:snapToGrid w:val="0"/>
          <w:color w:val="0E4C28"/>
          <w:spacing w:val="-2"/>
          <w:kern w:val="0"/>
        </w:rPr>
        <w:t>. Показатели МСПД</w:t>
      </w:r>
      <w:bookmarkEnd w:id="112"/>
      <w:bookmarkEnd w:id="113"/>
    </w:p>
    <w:tbl>
      <w:tblPr>
        <w:tblW w:w="9332" w:type="dxa"/>
        <w:tblLayout w:type="fixed"/>
        <w:tblLook w:val="04A0" w:firstRow="1" w:lastRow="0" w:firstColumn="1" w:lastColumn="0" w:noHBand="0" w:noVBand="1"/>
      </w:tblPr>
      <w:tblGrid>
        <w:gridCol w:w="3888"/>
        <w:gridCol w:w="5444"/>
      </w:tblGrid>
      <w:tr w:rsidR="009E09D9" w:rsidRPr="0030775A" w:rsidTr="00215A65">
        <w:tc>
          <w:tcPr>
            <w:tcW w:w="3888" w:type="dxa"/>
            <w:shd w:val="clear" w:color="auto" w:fill="auto"/>
          </w:tcPr>
          <w:p w:rsidR="009E09D9" w:rsidRPr="00015E28" w:rsidRDefault="009E09D9" w:rsidP="00015E28">
            <w:pPr>
              <w:spacing w:line="230" w:lineRule="auto"/>
              <w:ind w:firstLine="720"/>
              <w:jc w:val="both"/>
              <w:rPr>
                <w:rFonts w:ascii="Calibri" w:hAnsi="Calibri" w:cs="Arial"/>
                <w:spacing w:val="-4"/>
                <w:sz w:val="30"/>
                <w:szCs w:val="30"/>
              </w:rPr>
            </w:pPr>
            <w:r w:rsidRPr="00E909F9">
              <w:rPr>
                <w:rFonts w:ascii="Calibri" w:hAnsi="Calibri" w:cs="Arial"/>
                <w:b/>
                <w:spacing w:val="-4"/>
                <w:sz w:val="30"/>
                <w:szCs w:val="30"/>
              </w:rPr>
              <w:t xml:space="preserve">Через МСПД за 2016 год было проведено 14,0 млн. транзакций на сумму 584,7 трлн. тенге. </w:t>
            </w:r>
            <w:r w:rsidRPr="00015E28">
              <w:rPr>
                <w:rFonts w:ascii="Calibri" w:hAnsi="Calibri" w:cs="Arial"/>
                <w:spacing w:val="-4"/>
                <w:sz w:val="30"/>
                <w:szCs w:val="30"/>
              </w:rPr>
              <w:t xml:space="preserve">По сравнению с 2015 годом количество </w:t>
            </w:r>
            <w:r w:rsidR="004C066E">
              <w:rPr>
                <w:rFonts w:ascii="Calibri" w:hAnsi="Calibri" w:cs="Arial"/>
                <w:spacing w:val="-4"/>
                <w:sz w:val="30"/>
                <w:szCs w:val="30"/>
              </w:rPr>
              <w:t>платежных сообщений</w:t>
            </w:r>
            <w:r w:rsidRPr="00015E28">
              <w:rPr>
                <w:rFonts w:ascii="Calibri" w:hAnsi="Calibri" w:cs="Arial"/>
                <w:spacing w:val="-4"/>
                <w:sz w:val="30"/>
                <w:szCs w:val="30"/>
              </w:rPr>
              <w:t xml:space="preserve"> увеличилось на 3,8%, а сумма платежей выросла </w:t>
            </w:r>
            <w:r w:rsidR="00605549">
              <w:rPr>
                <w:rFonts w:ascii="Calibri" w:hAnsi="Calibri" w:cs="Arial"/>
                <w:spacing w:val="-4"/>
                <w:sz w:val="30"/>
                <w:szCs w:val="30"/>
              </w:rPr>
              <w:t>в</w:t>
            </w:r>
            <w:r w:rsidRPr="00015E28">
              <w:rPr>
                <w:rFonts w:ascii="Calibri" w:hAnsi="Calibri" w:cs="Arial"/>
                <w:spacing w:val="-4"/>
                <w:sz w:val="30"/>
                <w:szCs w:val="30"/>
              </w:rPr>
              <w:t xml:space="preserve"> 2,6 раза.</w:t>
            </w:r>
          </w:p>
          <w:p w:rsidR="009E09D9" w:rsidRPr="00015E28" w:rsidRDefault="009E09D9" w:rsidP="00215A65">
            <w:pPr>
              <w:spacing w:line="230" w:lineRule="auto"/>
              <w:ind w:firstLine="720"/>
              <w:jc w:val="both"/>
              <w:rPr>
                <w:rFonts w:ascii="Calibri" w:hAnsi="Calibri"/>
                <w:sz w:val="28"/>
                <w:szCs w:val="28"/>
              </w:rPr>
            </w:pPr>
            <w:r w:rsidRPr="00215A65">
              <w:rPr>
                <w:rFonts w:ascii="Calibri" w:hAnsi="Calibri" w:cs="Arial"/>
                <w:spacing w:val="-4"/>
                <w:sz w:val="30"/>
                <w:szCs w:val="30"/>
              </w:rPr>
              <w:t>При этом через МСПД в среднем за день за 2016 год проходило 57,2 тыс. транзакций на сумму 2 386,4 млрд. тенге.</w:t>
            </w:r>
          </w:p>
        </w:tc>
        <w:tc>
          <w:tcPr>
            <w:tcW w:w="5444" w:type="dxa"/>
            <w:shd w:val="clear" w:color="auto" w:fill="auto"/>
          </w:tcPr>
          <w:p w:rsidR="009E09D9" w:rsidRPr="00015E28" w:rsidRDefault="009E09D9" w:rsidP="00015E28">
            <w:pPr>
              <w:jc w:val="center"/>
              <w:rPr>
                <w:rFonts w:ascii="Calibri" w:hAnsi="Calibri" w:cs="Arial"/>
                <w:b/>
                <w:color w:val="0E4C28"/>
                <w:sz w:val="28"/>
                <w:szCs w:val="28"/>
              </w:rPr>
            </w:pPr>
            <w:r w:rsidRPr="00015E28">
              <w:rPr>
                <w:rFonts w:ascii="Calibri" w:hAnsi="Calibri" w:cs="Arial"/>
                <w:b/>
                <w:color w:val="0E4C28"/>
                <w:sz w:val="28"/>
                <w:szCs w:val="28"/>
              </w:rPr>
              <w:t>Динамика потоков платежей в МСПД</w:t>
            </w:r>
          </w:p>
          <w:p w:rsidR="009E09D9" w:rsidRPr="00015E28" w:rsidRDefault="00B41594" w:rsidP="00015E28">
            <w:pPr>
              <w:spacing w:line="230" w:lineRule="auto"/>
              <w:jc w:val="both"/>
              <w:rPr>
                <w:rFonts w:ascii="Calibri" w:hAnsi="Calibri"/>
                <w:sz w:val="28"/>
                <w:szCs w:val="28"/>
              </w:rPr>
            </w:pPr>
            <w:r>
              <w:rPr>
                <w:rFonts w:ascii="Calibri" w:hAnsi="Calibri"/>
                <w:noProof/>
                <w:sz w:val="28"/>
                <w:szCs w:val="28"/>
              </w:rPr>
              <w:drawing>
                <wp:inline distT="0" distB="0" distL="0" distR="0" wp14:anchorId="1163AFEA" wp14:editId="38605131">
                  <wp:extent cx="3358515" cy="1554480"/>
                  <wp:effectExtent l="0" t="0" r="0" b="762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Calibri" w:hAnsi="Calibri"/>
                <w:noProof/>
                <w:sz w:val="28"/>
                <w:szCs w:val="28"/>
              </w:rPr>
              <w:drawing>
                <wp:inline distT="0" distB="0" distL="0" distR="0" wp14:anchorId="62178C95" wp14:editId="3C790A6B">
                  <wp:extent cx="3467100" cy="1668780"/>
                  <wp:effectExtent l="0" t="0" r="0" b="762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rsidR="009E09D9" w:rsidRDefault="009E09D9" w:rsidP="00687214">
      <w:pPr>
        <w:spacing w:line="230" w:lineRule="auto"/>
        <w:ind w:firstLine="720"/>
        <w:jc w:val="both"/>
        <w:rPr>
          <w:rFonts w:ascii="Calibri" w:hAnsi="Calibri" w:cs="Arial"/>
          <w:spacing w:val="-4"/>
          <w:sz w:val="30"/>
          <w:szCs w:val="30"/>
        </w:rPr>
      </w:pPr>
      <w:r w:rsidRPr="00687214">
        <w:rPr>
          <w:rFonts w:ascii="Calibri" w:hAnsi="Calibri" w:cs="Arial"/>
          <w:spacing w:val="-4"/>
          <w:sz w:val="30"/>
          <w:szCs w:val="30"/>
        </w:rPr>
        <w:t xml:space="preserve">Рост объемов платежей в </w:t>
      </w:r>
      <w:r w:rsidR="00687214">
        <w:rPr>
          <w:rFonts w:ascii="Calibri" w:hAnsi="Calibri" w:cs="Arial"/>
          <w:spacing w:val="-4"/>
          <w:sz w:val="30"/>
          <w:szCs w:val="30"/>
        </w:rPr>
        <w:t>МСПД</w:t>
      </w:r>
      <w:r w:rsidRPr="00687214">
        <w:rPr>
          <w:rFonts w:ascii="Calibri" w:hAnsi="Calibri" w:cs="Arial"/>
          <w:spacing w:val="-4"/>
          <w:sz w:val="30"/>
          <w:szCs w:val="30"/>
        </w:rPr>
        <w:t xml:space="preserve"> вызван увеличением объемов операций с ценными бумагами, депозитами.</w:t>
      </w:r>
    </w:p>
    <w:p w:rsidR="00A3494E" w:rsidRDefault="00A3494E" w:rsidP="009E09D9">
      <w:pPr>
        <w:widowControl w:val="0"/>
        <w:jc w:val="center"/>
        <w:rPr>
          <w:rFonts w:ascii="Calibri" w:hAnsi="Calibri" w:cs="Arial"/>
          <w:b/>
          <w:color w:val="0E4C28"/>
          <w:sz w:val="28"/>
          <w:szCs w:val="28"/>
        </w:rPr>
      </w:pPr>
    </w:p>
    <w:p w:rsidR="009E09D9" w:rsidRDefault="009E09D9" w:rsidP="009E09D9">
      <w:pPr>
        <w:widowControl w:val="0"/>
        <w:jc w:val="center"/>
        <w:rPr>
          <w:rFonts w:ascii="Calibri" w:hAnsi="Calibri" w:cs="Arial"/>
          <w:b/>
          <w:color w:val="0E4C28"/>
          <w:sz w:val="28"/>
          <w:szCs w:val="28"/>
        </w:rPr>
      </w:pPr>
      <w:r w:rsidRPr="00015E28">
        <w:rPr>
          <w:rFonts w:ascii="Calibri" w:hAnsi="Calibri" w:cs="Arial"/>
          <w:b/>
          <w:color w:val="0E4C28"/>
          <w:sz w:val="28"/>
          <w:szCs w:val="28"/>
        </w:rPr>
        <w:t xml:space="preserve">Объемы платежей в разрезе видов назначения платежей в МСПД </w:t>
      </w:r>
    </w:p>
    <w:p w:rsidR="005975A6" w:rsidRPr="00015E28" w:rsidRDefault="005975A6" w:rsidP="009E09D9">
      <w:pPr>
        <w:widowControl w:val="0"/>
        <w:jc w:val="center"/>
        <w:rPr>
          <w:rFonts w:ascii="Calibri" w:hAnsi="Calibri" w:cs="Arial"/>
          <w:b/>
          <w:color w:val="0E4C28"/>
          <w:sz w:val="28"/>
          <w:szCs w:val="28"/>
        </w:rPr>
      </w:pPr>
      <w:r w:rsidRPr="005975A6">
        <w:rPr>
          <w:rFonts w:ascii="Calibri" w:hAnsi="Calibri" w:cs="Arial"/>
          <w:b/>
          <w:noProof/>
          <w:color w:val="0E4C28"/>
          <w:sz w:val="28"/>
          <w:szCs w:val="28"/>
        </w:rPr>
        <w:drawing>
          <wp:inline distT="0" distB="0" distL="0" distR="0" wp14:anchorId="0A917FFE" wp14:editId="0AE7F3F1">
            <wp:extent cx="5777345" cy="2195599"/>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E09D9" w:rsidRPr="00015E28" w:rsidRDefault="009E09D9" w:rsidP="009E09D9">
      <w:pPr>
        <w:widowControl w:val="0"/>
        <w:jc w:val="both"/>
        <w:rPr>
          <w:rFonts w:ascii="Calibri" w:hAnsi="Calibri" w:cs="Arial"/>
          <w:i/>
          <w:sz w:val="20"/>
          <w:szCs w:val="20"/>
        </w:rPr>
      </w:pPr>
      <w:r w:rsidRPr="00015E28">
        <w:rPr>
          <w:rFonts w:ascii="Calibri" w:hAnsi="Calibri" w:cs="Arial"/>
          <w:i/>
          <w:sz w:val="20"/>
          <w:szCs w:val="20"/>
        </w:rPr>
        <w:t>* включают пенсионные платежи и пособия, специфические переводы, платежи в бюджет и выплаты из бюджета.</w:t>
      </w:r>
    </w:p>
    <w:p w:rsidR="006E2AC8" w:rsidRDefault="006E2AC8" w:rsidP="005975A6">
      <w:pPr>
        <w:autoSpaceDE w:val="0"/>
        <w:autoSpaceDN w:val="0"/>
        <w:adjustRightInd w:val="0"/>
        <w:spacing w:line="230" w:lineRule="auto"/>
        <w:ind w:firstLine="720"/>
        <w:jc w:val="both"/>
        <w:rPr>
          <w:rFonts w:ascii="Calibri" w:hAnsi="Calibri" w:cs="Arial"/>
          <w:b/>
          <w:sz w:val="30"/>
          <w:szCs w:val="30"/>
        </w:rPr>
      </w:pPr>
    </w:p>
    <w:p w:rsidR="005975A6" w:rsidRPr="00EB0CE3" w:rsidRDefault="00EB0CE3" w:rsidP="005975A6">
      <w:pPr>
        <w:autoSpaceDE w:val="0"/>
        <w:autoSpaceDN w:val="0"/>
        <w:adjustRightInd w:val="0"/>
        <w:spacing w:line="230" w:lineRule="auto"/>
        <w:ind w:firstLine="720"/>
        <w:jc w:val="both"/>
        <w:rPr>
          <w:rFonts w:ascii="Calibri" w:hAnsi="Calibri" w:cs="Arial"/>
          <w:b/>
          <w:sz w:val="30"/>
          <w:szCs w:val="30"/>
        </w:rPr>
      </w:pPr>
      <w:r w:rsidRPr="00EB0CE3">
        <w:rPr>
          <w:rFonts w:ascii="Calibri" w:hAnsi="Calibri" w:cs="Arial"/>
          <w:b/>
          <w:sz w:val="30"/>
          <w:szCs w:val="30"/>
        </w:rPr>
        <w:t>Платежи и переводы денег физических лиц</w:t>
      </w:r>
      <w:r w:rsidRPr="00EB0CE3">
        <w:rPr>
          <w:rStyle w:val="a6"/>
          <w:rFonts w:ascii="Calibri" w:hAnsi="Calibri" w:cs="Arial"/>
          <w:sz w:val="30"/>
          <w:szCs w:val="30"/>
        </w:rPr>
        <w:footnoteReference w:id="3"/>
      </w:r>
      <w:r w:rsidRPr="00EB0CE3">
        <w:rPr>
          <w:rFonts w:ascii="Calibri" w:hAnsi="Calibri" w:cs="Arial"/>
          <w:b/>
          <w:sz w:val="30"/>
          <w:szCs w:val="30"/>
        </w:rPr>
        <w:t xml:space="preserve"> в МСПД занимают незначительную долю (1 280,9 млрд. тенге - 0,2%) от общего объема </w:t>
      </w:r>
      <w:r w:rsidRPr="00860331">
        <w:rPr>
          <w:rFonts w:ascii="Calibri" w:hAnsi="Calibri" w:cs="Arial"/>
          <w:b/>
          <w:sz w:val="30"/>
          <w:szCs w:val="30"/>
        </w:rPr>
        <w:t xml:space="preserve">платежей и переводов денег, проведенных через систему, 99,8% платежей и переводов денег приходится на юридических лиц. </w:t>
      </w:r>
      <w:r w:rsidR="005975A6" w:rsidRPr="00860331">
        <w:rPr>
          <w:rFonts w:ascii="Calibri" w:hAnsi="Calibri" w:cs="Arial"/>
          <w:sz w:val="30"/>
          <w:szCs w:val="30"/>
        </w:rPr>
        <w:t xml:space="preserve">Средняя сумма одного платежного </w:t>
      </w:r>
      <w:r w:rsidR="004C066E" w:rsidRPr="00860331">
        <w:rPr>
          <w:rFonts w:ascii="Calibri" w:hAnsi="Calibri" w:cs="Arial"/>
          <w:sz w:val="30"/>
          <w:szCs w:val="30"/>
        </w:rPr>
        <w:t>сообщения, сформированного и направленного участником системы на основании указания</w:t>
      </w:r>
      <w:r w:rsidR="005975A6" w:rsidRPr="00860331">
        <w:rPr>
          <w:rFonts w:ascii="Calibri" w:hAnsi="Calibri" w:cs="Arial"/>
          <w:sz w:val="30"/>
          <w:szCs w:val="30"/>
        </w:rPr>
        <w:t xml:space="preserve"> </w:t>
      </w:r>
      <w:r w:rsidR="005975A6" w:rsidRPr="00860331">
        <w:rPr>
          <w:rFonts w:ascii="Calibri" w:hAnsi="Calibri" w:cs="Arial"/>
          <w:sz w:val="30"/>
          <w:szCs w:val="30"/>
        </w:rPr>
        <w:lastRenderedPageBreak/>
        <w:t>юридическ</w:t>
      </w:r>
      <w:r w:rsidR="0009490C" w:rsidRPr="00860331">
        <w:rPr>
          <w:rFonts w:ascii="Calibri" w:hAnsi="Calibri" w:cs="Arial"/>
          <w:sz w:val="30"/>
          <w:szCs w:val="30"/>
        </w:rPr>
        <w:t>ого</w:t>
      </w:r>
      <w:r w:rsidR="005975A6" w:rsidRPr="00860331">
        <w:rPr>
          <w:rFonts w:ascii="Calibri" w:hAnsi="Calibri" w:cs="Arial"/>
          <w:sz w:val="30"/>
          <w:szCs w:val="30"/>
        </w:rPr>
        <w:t xml:space="preserve"> лиц</w:t>
      </w:r>
      <w:r w:rsidR="0009490C" w:rsidRPr="00860331">
        <w:rPr>
          <w:rFonts w:ascii="Calibri" w:hAnsi="Calibri" w:cs="Arial"/>
          <w:sz w:val="30"/>
          <w:szCs w:val="30"/>
        </w:rPr>
        <w:t>а</w:t>
      </w:r>
      <w:r w:rsidR="005975A6" w:rsidRPr="00860331">
        <w:rPr>
          <w:rFonts w:ascii="Calibri" w:hAnsi="Calibri" w:cs="Arial"/>
          <w:sz w:val="30"/>
          <w:szCs w:val="30"/>
        </w:rPr>
        <w:t>, составила 2</w:t>
      </w:r>
      <w:r w:rsidR="00605549" w:rsidRPr="00860331">
        <w:rPr>
          <w:rFonts w:ascii="Calibri" w:hAnsi="Calibri" w:cs="Arial"/>
          <w:sz w:val="30"/>
          <w:szCs w:val="30"/>
        </w:rPr>
        <w:t>,9</w:t>
      </w:r>
      <w:r w:rsidR="005975A6" w:rsidRPr="00860331">
        <w:rPr>
          <w:rFonts w:ascii="Calibri" w:hAnsi="Calibri" w:cs="Arial"/>
          <w:sz w:val="30"/>
          <w:szCs w:val="30"/>
        </w:rPr>
        <w:t xml:space="preserve"> </w:t>
      </w:r>
      <w:r w:rsidR="00605549" w:rsidRPr="00860331">
        <w:rPr>
          <w:rFonts w:ascii="Calibri" w:hAnsi="Calibri" w:cs="Arial"/>
          <w:sz w:val="30"/>
          <w:szCs w:val="30"/>
        </w:rPr>
        <w:t>млн</w:t>
      </w:r>
      <w:r w:rsidR="005975A6" w:rsidRPr="00860331">
        <w:rPr>
          <w:rFonts w:ascii="Calibri" w:hAnsi="Calibri" w:cs="Arial"/>
          <w:sz w:val="30"/>
          <w:szCs w:val="30"/>
        </w:rPr>
        <w:t xml:space="preserve">. тенге. Средняя сумма одного платежного </w:t>
      </w:r>
      <w:r w:rsidR="004C066E" w:rsidRPr="00860331">
        <w:rPr>
          <w:rFonts w:ascii="Calibri" w:hAnsi="Calibri" w:cs="Arial"/>
          <w:sz w:val="30"/>
          <w:szCs w:val="30"/>
        </w:rPr>
        <w:t xml:space="preserve">сообщения в МСПД по указанию </w:t>
      </w:r>
      <w:r w:rsidR="005975A6" w:rsidRPr="00860331">
        <w:rPr>
          <w:rFonts w:ascii="Calibri" w:hAnsi="Calibri" w:cs="Arial"/>
          <w:sz w:val="30"/>
          <w:szCs w:val="30"/>
        </w:rPr>
        <w:t>физического лица</w:t>
      </w:r>
      <w:r w:rsidR="005975A6" w:rsidRPr="00EB0CE3">
        <w:rPr>
          <w:rFonts w:ascii="Calibri" w:hAnsi="Calibri" w:cs="Arial"/>
          <w:sz w:val="30"/>
          <w:szCs w:val="30"/>
        </w:rPr>
        <w:t xml:space="preserve"> составляет порядка 479,0 тыс. тенге</w:t>
      </w:r>
      <w:r w:rsidRPr="00EB0CE3">
        <w:rPr>
          <w:rFonts w:ascii="Calibri" w:hAnsi="Calibri" w:cs="Arial"/>
          <w:sz w:val="30"/>
          <w:szCs w:val="30"/>
        </w:rPr>
        <w:t xml:space="preserve">. При этом средняя сумма </w:t>
      </w:r>
      <w:r w:rsidR="005975A6" w:rsidRPr="00EB0CE3">
        <w:rPr>
          <w:rFonts w:ascii="Calibri" w:hAnsi="Calibri" w:cs="Arial"/>
          <w:sz w:val="30"/>
          <w:szCs w:val="30"/>
        </w:rPr>
        <w:t xml:space="preserve">одного платежа </w:t>
      </w:r>
      <w:r w:rsidRPr="00EB0CE3">
        <w:rPr>
          <w:rFonts w:ascii="Calibri" w:hAnsi="Calibri" w:cs="Arial"/>
          <w:sz w:val="30"/>
          <w:szCs w:val="30"/>
        </w:rPr>
        <w:t xml:space="preserve">физического лица </w:t>
      </w:r>
      <w:r w:rsidR="005975A6" w:rsidRPr="00EB0CE3">
        <w:rPr>
          <w:rFonts w:ascii="Calibri" w:hAnsi="Calibri" w:cs="Arial"/>
          <w:sz w:val="30"/>
          <w:szCs w:val="30"/>
        </w:rPr>
        <w:t>по разделу «</w:t>
      </w:r>
      <w:r w:rsidRPr="00EB0CE3">
        <w:rPr>
          <w:rFonts w:ascii="Calibri" w:hAnsi="Calibri" w:cs="Arial"/>
          <w:sz w:val="30"/>
          <w:szCs w:val="30"/>
        </w:rPr>
        <w:t>П</w:t>
      </w:r>
      <w:r w:rsidR="005975A6" w:rsidRPr="00EB0CE3">
        <w:rPr>
          <w:rFonts w:ascii="Calibri" w:hAnsi="Calibri" w:cs="Arial"/>
          <w:sz w:val="30"/>
          <w:szCs w:val="30"/>
        </w:rPr>
        <w:t xml:space="preserve">енсионные платежи» составляет около 5,9 тыс. тенге, </w:t>
      </w:r>
      <w:r w:rsidRPr="00EB0CE3">
        <w:rPr>
          <w:rFonts w:ascii="Calibri" w:hAnsi="Calibri" w:cs="Arial"/>
          <w:sz w:val="30"/>
          <w:szCs w:val="30"/>
        </w:rPr>
        <w:t xml:space="preserve">по платежам в бюджет - </w:t>
      </w:r>
      <w:r w:rsidR="005975A6" w:rsidRPr="00EB0CE3">
        <w:rPr>
          <w:rFonts w:ascii="Calibri" w:hAnsi="Calibri" w:cs="Arial"/>
          <w:sz w:val="30"/>
          <w:szCs w:val="30"/>
        </w:rPr>
        <w:t xml:space="preserve"> 181,8 тыс. тенге. </w:t>
      </w:r>
    </w:p>
    <w:p w:rsidR="00E74F09" w:rsidRPr="00E74F09" w:rsidRDefault="009E09D9" w:rsidP="009E09D9">
      <w:pPr>
        <w:widowControl w:val="0"/>
        <w:spacing w:line="230" w:lineRule="auto"/>
        <w:ind w:firstLine="720"/>
        <w:jc w:val="both"/>
        <w:rPr>
          <w:rFonts w:ascii="Calibri" w:hAnsi="Calibri" w:cs="Arial"/>
          <w:spacing w:val="-4"/>
          <w:sz w:val="12"/>
          <w:szCs w:val="30"/>
        </w:rPr>
      </w:pPr>
      <w:r w:rsidRPr="00015E28">
        <w:rPr>
          <w:rFonts w:ascii="Calibri" w:hAnsi="Calibri" w:cs="Arial"/>
          <w:spacing w:val="-4"/>
          <w:sz w:val="30"/>
          <w:szCs w:val="30"/>
        </w:rPr>
        <w:t xml:space="preserve">Основная доля по количеству </w:t>
      </w:r>
      <w:r w:rsidR="004C066E">
        <w:rPr>
          <w:rFonts w:ascii="Calibri" w:hAnsi="Calibri" w:cs="Arial"/>
          <w:spacing w:val="-4"/>
          <w:sz w:val="30"/>
          <w:szCs w:val="30"/>
        </w:rPr>
        <w:t>платежных сообщений</w:t>
      </w:r>
      <w:r w:rsidRPr="00015E28">
        <w:rPr>
          <w:rFonts w:ascii="Calibri" w:hAnsi="Calibri" w:cs="Arial"/>
          <w:spacing w:val="-4"/>
          <w:sz w:val="30"/>
          <w:szCs w:val="30"/>
        </w:rPr>
        <w:t xml:space="preserve"> в МСПД приходится на платежи на сумму до 3 млн. тенге (87,4%), наименьшую долю составляют платежи на сумму от 500 млн. тенге до 1 млрд. тенге (0,3%). При этом основная сумма платежей приходится на платежи в интервале свыше 1 млрд. тенге (доля 85,9%).</w:t>
      </w:r>
    </w:p>
    <w:p w:rsidR="006E2AC8" w:rsidRDefault="006E2AC8" w:rsidP="009E09D9">
      <w:pPr>
        <w:widowControl w:val="0"/>
        <w:jc w:val="center"/>
        <w:rPr>
          <w:rFonts w:ascii="Calibri" w:hAnsi="Calibri" w:cs="Arial"/>
          <w:b/>
          <w:color w:val="0E4C28"/>
          <w:sz w:val="28"/>
          <w:szCs w:val="28"/>
        </w:rPr>
      </w:pPr>
      <w:bookmarkStart w:id="114" w:name="_Toc289769421"/>
    </w:p>
    <w:p w:rsidR="009E09D9" w:rsidRPr="00015E28" w:rsidRDefault="00B41594" w:rsidP="009E09D9">
      <w:pPr>
        <w:widowControl w:val="0"/>
        <w:jc w:val="center"/>
        <w:rPr>
          <w:rFonts w:ascii="Calibri" w:hAnsi="Calibri" w:cs="Arial"/>
          <w:b/>
          <w:color w:val="0E4C28"/>
          <w:sz w:val="28"/>
          <w:szCs w:val="28"/>
        </w:rPr>
      </w:pPr>
      <w:r>
        <w:rPr>
          <w:noProof/>
        </w:rPr>
        <w:drawing>
          <wp:anchor distT="5493" distB="2747" distL="120396" distR="123190" simplePos="0" relativeHeight="251645952" behindDoc="0" locked="0" layoutInCell="1" allowOverlap="1" wp14:anchorId="7F860EA8" wp14:editId="54ED4661">
            <wp:simplePos x="0" y="0"/>
            <wp:positionH relativeFrom="column">
              <wp:posOffset>-105410</wp:posOffset>
            </wp:positionH>
            <wp:positionV relativeFrom="paragraph">
              <wp:posOffset>226695</wp:posOffset>
            </wp:positionV>
            <wp:extent cx="6048375" cy="2118360"/>
            <wp:effectExtent l="0" t="0" r="0" b="0"/>
            <wp:wrapSquare wrapText="bothSides"/>
            <wp:docPr id="4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9E09D9" w:rsidRPr="00015E28">
        <w:rPr>
          <w:rFonts w:ascii="Calibri" w:hAnsi="Calibri" w:cs="Arial"/>
          <w:b/>
          <w:color w:val="0E4C28"/>
          <w:sz w:val="28"/>
          <w:szCs w:val="28"/>
        </w:rPr>
        <w:t>Количество платежей в МСПД в разрезе интервалов сумм</w:t>
      </w:r>
      <w:bookmarkEnd w:id="114"/>
    </w:p>
    <w:p w:rsidR="006E2AC8" w:rsidRDefault="006E2AC8" w:rsidP="009E09D9">
      <w:pPr>
        <w:widowControl w:val="0"/>
        <w:jc w:val="center"/>
        <w:rPr>
          <w:rFonts w:ascii="Calibri" w:hAnsi="Calibri" w:cs="Arial"/>
          <w:b/>
          <w:color w:val="0E4C28"/>
          <w:sz w:val="28"/>
          <w:szCs w:val="28"/>
        </w:rPr>
      </w:pPr>
    </w:p>
    <w:p w:rsidR="00610467" w:rsidRDefault="00610467" w:rsidP="009E09D9">
      <w:pPr>
        <w:widowControl w:val="0"/>
        <w:jc w:val="center"/>
        <w:rPr>
          <w:rFonts w:ascii="Calibri" w:hAnsi="Calibri" w:cs="Arial"/>
          <w:b/>
          <w:color w:val="0E4C28"/>
          <w:sz w:val="28"/>
          <w:szCs w:val="28"/>
        </w:rPr>
      </w:pPr>
      <w:r w:rsidRPr="00015E28">
        <w:rPr>
          <w:rFonts w:ascii="Calibri" w:hAnsi="Calibri" w:cs="Arial"/>
          <w:b/>
          <w:color w:val="0E4C28"/>
          <w:sz w:val="28"/>
          <w:szCs w:val="28"/>
        </w:rPr>
        <w:t>Сумма платежей в МСПД в разрезе интервалов сумм</w:t>
      </w:r>
    </w:p>
    <w:p w:rsidR="00610467" w:rsidRDefault="00B41594" w:rsidP="00610467">
      <w:pPr>
        <w:widowControl w:val="0"/>
        <w:jc w:val="center"/>
        <w:rPr>
          <w:rFonts w:ascii="Calibri" w:hAnsi="Calibri" w:cs="Arial"/>
          <w:spacing w:val="-4"/>
          <w:sz w:val="30"/>
          <w:szCs w:val="30"/>
        </w:rPr>
      </w:pPr>
      <w:r>
        <w:rPr>
          <w:noProof/>
        </w:rPr>
        <w:drawing>
          <wp:inline distT="0" distB="0" distL="0" distR="0" wp14:anchorId="2DB1E11D" wp14:editId="1C15E244">
            <wp:extent cx="6088380" cy="2179320"/>
            <wp:effectExtent l="0" t="0" r="0" b="0"/>
            <wp:docPr id="34" name="Диаграмма 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Style w:val="a3"/>
        <w:tblW w:w="9468" w:type="dxa"/>
        <w:shd w:val="clear" w:color="auto" w:fill="E6E6E6"/>
        <w:tblLook w:val="01E0" w:firstRow="1" w:lastRow="1" w:firstColumn="1" w:lastColumn="1" w:noHBand="0" w:noVBand="0"/>
      </w:tblPr>
      <w:tblGrid>
        <w:gridCol w:w="6388"/>
        <w:gridCol w:w="3080"/>
      </w:tblGrid>
      <w:tr w:rsidR="00610467" w:rsidTr="0082483E">
        <w:trPr>
          <w:trHeight w:val="3547"/>
        </w:trPr>
        <w:tc>
          <w:tcPr>
            <w:tcW w:w="9468" w:type="dxa"/>
            <w:gridSpan w:val="2"/>
            <w:tcBorders>
              <w:bottom w:val="single" w:sz="4" w:space="0" w:color="auto"/>
            </w:tcBorders>
            <w:shd w:val="clear" w:color="auto" w:fill="E6E6E6"/>
          </w:tcPr>
          <w:p w:rsidR="007D0CC8" w:rsidRDefault="007D0CC8" w:rsidP="007D0CC8">
            <w:pPr>
              <w:widowControl w:val="0"/>
              <w:autoSpaceDE w:val="0"/>
              <w:autoSpaceDN w:val="0"/>
              <w:adjustRightInd w:val="0"/>
              <w:jc w:val="center"/>
              <w:rPr>
                <w:rFonts w:ascii="Calibri" w:hAnsi="Calibri" w:cs="Arial"/>
                <w:b/>
                <w:spacing w:val="-4"/>
              </w:rPr>
            </w:pPr>
            <w:r w:rsidRPr="00687214">
              <w:rPr>
                <w:rFonts w:ascii="Calibri" w:hAnsi="Calibri" w:cs="Arial"/>
                <w:b/>
                <w:spacing w:val="-4"/>
              </w:rPr>
              <w:lastRenderedPageBreak/>
              <w:t xml:space="preserve">Справка </w:t>
            </w:r>
            <w:r>
              <w:rPr>
                <w:rFonts w:ascii="Calibri" w:hAnsi="Calibri" w:cs="Arial"/>
                <w:b/>
                <w:spacing w:val="-4"/>
              </w:rPr>
              <w:t>3</w:t>
            </w:r>
            <w:r w:rsidRPr="00687214">
              <w:rPr>
                <w:rFonts w:ascii="Calibri" w:hAnsi="Calibri" w:cs="Arial"/>
                <w:b/>
                <w:spacing w:val="-4"/>
              </w:rPr>
              <w:t xml:space="preserve"> – Сравнение показателей</w:t>
            </w:r>
          </w:p>
          <w:p w:rsidR="007D0CC8" w:rsidRDefault="007D0CC8" w:rsidP="007D0CC8">
            <w:pPr>
              <w:widowControl w:val="0"/>
              <w:autoSpaceDE w:val="0"/>
              <w:autoSpaceDN w:val="0"/>
              <w:adjustRightInd w:val="0"/>
              <w:ind w:firstLine="720"/>
              <w:jc w:val="both"/>
              <w:rPr>
                <w:rFonts w:ascii="Calibri" w:hAnsi="Calibri" w:cs="Arial"/>
                <w:i/>
                <w:spacing w:val="-4"/>
              </w:rPr>
            </w:pPr>
            <w:r w:rsidRPr="00075ABC">
              <w:rPr>
                <w:rFonts w:ascii="Calibri" w:hAnsi="Calibri" w:cs="Arial"/>
                <w:i/>
                <w:spacing w:val="-4"/>
              </w:rPr>
              <w:t xml:space="preserve">Для сравнения показателей развития платежных систем и рынка платежных услуг далее по тексту использованы </w:t>
            </w:r>
            <w:r>
              <w:rPr>
                <w:rFonts w:ascii="Calibri" w:hAnsi="Calibri" w:cs="Arial"/>
                <w:i/>
                <w:spacing w:val="-4"/>
              </w:rPr>
              <w:t>данные по</w:t>
            </w:r>
            <w:r w:rsidRPr="00075ABC">
              <w:rPr>
                <w:rFonts w:ascii="Calibri" w:hAnsi="Calibri" w:cs="Arial"/>
                <w:i/>
                <w:spacing w:val="-4"/>
              </w:rPr>
              <w:t xml:space="preserve"> стран</w:t>
            </w:r>
            <w:r>
              <w:rPr>
                <w:rFonts w:ascii="Calibri" w:hAnsi="Calibri" w:cs="Arial"/>
                <w:i/>
                <w:spacing w:val="-4"/>
              </w:rPr>
              <w:t>ам</w:t>
            </w:r>
            <w:r w:rsidRPr="00075ABC">
              <w:rPr>
                <w:rFonts w:ascii="Calibri" w:hAnsi="Calibri" w:cs="Arial"/>
                <w:i/>
                <w:spacing w:val="-4"/>
              </w:rPr>
              <w:t xml:space="preserve"> ЕАЭС.</w:t>
            </w:r>
          </w:p>
          <w:p w:rsidR="007D0CC8" w:rsidRPr="00075ABC" w:rsidRDefault="007D0CC8" w:rsidP="007D0CC8">
            <w:pPr>
              <w:widowControl w:val="0"/>
              <w:autoSpaceDE w:val="0"/>
              <w:autoSpaceDN w:val="0"/>
              <w:adjustRightInd w:val="0"/>
              <w:ind w:firstLine="720"/>
              <w:jc w:val="both"/>
              <w:rPr>
                <w:rFonts w:ascii="Calibri" w:hAnsi="Calibri" w:cs="Arial"/>
                <w:i/>
                <w:spacing w:val="-4"/>
              </w:rPr>
            </w:pPr>
          </w:p>
          <w:p w:rsidR="007D0CC8" w:rsidRPr="00605549" w:rsidRDefault="007D0CC8" w:rsidP="007D0CC8">
            <w:pPr>
              <w:widowControl w:val="0"/>
              <w:autoSpaceDE w:val="0"/>
              <w:autoSpaceDN w:val="0"/>
              <w:adjustRightInd w:val="0"/>
              <w:ind w:firstLine="720"/>
              <w:jc w:val="both"/>
              <w:rPr>
                <w:rFonts w:ascii="Calibri" w:hAnsi="Calibri" w:cs="Arial"/>
                <w:spacing w:val="-4"/>
              </w:rPr>
            </w:pPr>
            <w:r>
              <w:rPr>
                <w:rFonts w:ascii="Calibri" w:hAnsi="Calibri" w:cs="Arial"/>
                <w:spacing w:val="-4"/>
              </w:rPr>
              <w:t>В 2016 г</w:t>
            </w:r>
            <w:r w:rsidRPr="00605549">
              <w:rPr>
                <w:rFonts w:ascii="Calibri" w:hAnsi="Calibri" w:cs="Arial"/>
                <w:spacing w:val="-4"/>
              </w:rPr>
              <w:t xml:space="preserve">оду  через платежную систему </w:t>
            </w:r>
            <w:r w:rsidR="00605549" w:rsidRPr="00605549">
              <w:rPr>
                <w:rFonts w:ascii="Calibri" w:hAnsi="Calibri" w:cs="Arial"/>
                <w:spacing w:val="-4"/>
              </w:rPr>
              <w:t>Республики Беларусь BISS (</w:t>
            </w:r>
            <w:proofErr w:type="spellStart"/>
            <w:r w:rsidR="00605549" w:rsidRPr="00605549">
              <w:rPr>
                <w:rFonts w:ascii="Calibri" w:hAnsi="Calibri" w:cs="Arial"/>
                <w:spacing w:val="-4"/>
              </w:rPr>
              <w:t>Belarus</w:t>
            </w:r>
            <w:proofErr w:type="spellEnd"/>
            <w:r w:rsidR="00605549" w:rsidRPr="00605549">
              <w:rPr>
                <w:rFonts w:ascii="Calibri" w:hAnsi="Calibri" w:cs="Arial"/>
                <w:spacing w:val="-4"/>
              </w:rPr>
              <w:t xml:space="preserve"> </w:t>
            </w:r>
            <w:proofErr w:type="spellStart"/>
            <w:r w:rsidR="00605549" w:rsidRPr="00605549">
              <w:rPr>
                <w:rFonts w:ascii="Calibri" w:hAnsi="Calibri" w:cs="Arial"/>
                <w:spacing w:val="-4"/>
              </w:rPr>
              <w:t>Interbank</w:t>
            </w:r>
            <w:proofErr w:type="spellEnd"/>
            <w:r w:rsidR="00605549" w:rsidRPr="00605549">
              <w:rPr>
                <w:rFonts w:ascii="Calibri" w:hAnsi="Calibri" w:cs="Arial"/>
                <w:spacing w:val="-4"/>
              </w:rPr>
              <w:t xml:space="preserve"> </w:t>
            </w:r>
            <w:proofErr w:type="spellStart"/>
            <w:r w:rsidR="00605549" w:rsidRPr="00605549">
              <w:rPr>
                <w:rFonts w:ascii="Calibri" w:hAnsi="Calibri" w:cs="Arial"/>
                <w:spacing w:val="-4"/>
              </w:rPr>
              <w:t>Settlement</w:t>
            </w:r>
            <w:proofErr w:type="spellEnd"/>
            <w:r w:rsidR="00605549" w:rsidRPr="00605549">
              <w:rPr>
                <w:rFonts w:ascii="Calibri" w:hAnsi="Calibri" w:cs="Arial"/>
                <w:spacing w:val="-4"/>
              </w:rPr>
              <w:t xml:space="preserve"> </w:t>
            </w:r>
            <w:proofErr w:type="spellStart"/>
            <w:r w:rsidR="00605549" w:rsidRPr="00605549">
              <w:rPr>
                <w:rFonts w:ascii="Calibri" w:hAnsi="Calibri" w:cs="Arial"/>
                <w:spacing w:val="-4"/>
              </w:rPr>
              <w:t>System</w:t>
            </w:r>
            <w:proofErr w:type="spellEnd"/>
            <w:r w:rsidR="00605549" w:rsidRPr="00605549">
              <w:rPr>
                <w:rFonts w:ascii="Calibri" w:hAnsi="Calibri" w:cs="Arial"/>
                <w:spacing w:val="-4"/>
              </w:rPr>
              <w:t>)</w:t>
            </w:r>
            <w:r w:rsidRPr="00605549">
              <w:rPr>
                <w:rFonts w:ascii="Calibri" w:hAnsi="Calibri" w:cs="Arial"/>
                <w:spacing w:val="-4"/>
              </w:rPr>
              <w:t xml:space="preserve"> проведено 70,1 млн. платежей на сумму 517,4 млрд. белорусских рублей (эквивалентно 89,0 трлн. тенге). </w:t>
            </w:r>
          </w:p>
          <w:p w:rsidR="0082483E" w:rsidRDefault="007D0CC8" w:rsidP="0082483E">
            <w:pPr>
              <w:widowControl w:val="0"/>
              <w:autoSpaceDE w:val="0"/>
              <w:autoSpaceDN w:val="0"/>
              <w:adjustRightInd w:val="0"/>
              <w:ind w:firstLine="720"/>
              <w:jc w:val="both"/>
              <w:rPr>
                <w:rFonts w:ascii="Calibri" w:hAnsi="Calibri" w:cs="Arial"/>
                <w:spacing w:val="-4"/>
              </w:rPr>
            </w:pPr>
            <w:r w:rsidRPr="00687214">
              <w:rPr>
                <w:rFonts w:ascii="Calibri" w:hAnsi="Calibri" w:cs="Arial"/>
                <w:spacing w:val="-4"/>
              </w:rPr>
              <w:t>Через систему БЭСП Российской Федерации (</w:t>
            </w:r>
            <w:r w:rsidR="00605549">
              <w:rPr>
                <w:rFonts w:ascii="Calibri" w:hAnsi="Calibri" w:cs="Arial"/>
                <w:spacing w:val="-4"/>
              </w:rPr>
              <w:t>С</w:t>
            </w:r>
            <w:r w:rsidRPr="00687214">
              <w:rPr>
                <w:rFonts w:ascii="Calibri" w:hAnsi="Calibri" w:cs="Arial"/>
                <w:spacing w:val="-4"/>
              </w:rPr>
              <w:t xml:space="preserve">истему </w:t>
            </w:r>
            <w:r w:rsidR="00605549">
              <w:rPr>
                <w:rFonts w:ascii="Calibri" w:hAnsi="Calibri" w:cs="Arial"/>
                <w:spacing w:val="-4"/>
              </w:rPr>
              <w:t>б</w:t>
            </w:r>
            <w:r w:rsidRPr="00687214">
              <w:rPr>
                <w:rFonts w:ascii="Calibri" w:hAnsi="Calibri" w:cs="Arial"/>
                <w:spacing w:val="-4"/>
              </w:rPr>
              <w:t xml:space="preserve">анковских </w:t>
            </w:r>
            <w:r w:rsidR="00605549">
              <w:rPr>
                <w:rFonts w:ascii="Calibri" w:hAnsi="Calibri" w:cs="Arial"/>
                <w:spacing w:val="-4"/>
              </w:rPr>
              <w:t xml:space="preserve">электронных срочных  платежей) </w:t>
            </w:r>
            <w:r w:rsidRPr="00687214">
              <w:rPr>
                <w:rFonts w:ascii="Calibri" w:hAnsi="Calibri" w:cs="Arial"/>
                <w:spacing w:val="-4"/>
              </w:rPr>
              <w:t xml:space="preserve">в 2016 году проведено 3,4 млн. платежей на сумму 560,1 трлн. </w:t>
            </w:r>
            <w:r>
              <w:rPr>
                <w:rFonts w:ascii="Calibri" w:hAnsi="Calibri" w:cs="Arial"/>
                <w:spacing w:val="-4"/>
              </w:rPr>
              <w:t>р</w:t>
            </w:r>
            <w:r w:rsidRPr="00687214">
              <w:rPr>
                <w:rFonts w:ascii="Calibri" w:hAnsi="Calibri" w:cs="Arial"/>
                <w:spacing w:val="-4"/>
              </w:rPr>
              <w:t xml:space="preserve">ублей (эквивалентно </w:t>
            </w:r>
            <w:r>
              <w:rPr>
                <w:rFonts w:ascii="Calibri" w:hAnsi="Calibri" w:cs="Arial"/>
                <w:spacing w:val="-4"/>
              </w:rPr>
              <w:t>2 826,2</w:t>
            </w:r>
            <w:r w:rsidRPr="00687214">
              <w:rPr>
                <w:rFonts w:ascii="Calibri" w:hAnsi="Calibri" w:cs="Arial"/>
                <w:spacing w:val="-4"/>
              </w:rPr>
              <w:t xml:space="preserve"> трлн. тенге)</w:t>
            </w:r>
            <w:r>
              <w:rPr>
                <w:rFonts w:ascii="Calibri" w:hAnsi="Calibri" w:cs="Arial"/>
                <w:spacing w:val="-4"/>
              </w:rPr>
              <w:t>.</w:t>
            </w:r>
            <w:r w:rsidR="0082483E">
              <w:rPr>
                <w:rFonts w:ascii="Calibri" w:hAnsi="Calibri" w:cs="Arial"/>
                <w:spacing w:val="-4"/>
              </w:rPr>
              <w:t xml:space="preserve"> </w:t>
            </w:r>
          </w:p>
          <w:p w:rsidR="00610467" w:rsidRPr="00687214" w:rsidRDefault="0082483E" w:rsidP="00605549">
            <w:pPr>
              <w:widowControl w:val="0"/>
              <w:autoSpaceDE w:val="0"/>
              <w:autoSpaceDN w:val="0"/>
              <w:adjustRightInd w:val="0"/>
              <w:ind w:firstLine="720"/>
              <w:jc w:val="both"/>
              <w:rPr>
                <w:rFonts w:ascii="Calibri" w:hAnsi="Calibri" w:cs="Arial"/>
                <w:spacing w:val="-4"/>
                <w:sz w:val="16"/>
                <w:szCs w:val="16"/>
              </w:rPr>
            </w:pPr>
            <w:r>
              <w:rPr>
                <w:rFonts w:ascii="Calibri" w:hAnsi="Calibri" w:cs="Arial"/>
                <w:spacing w:val="-4"/>
              </w:rPr>
              <w:t xml:space="preserve">Посредством </w:t>
            </w:r>
            <w:r w:rsidR="00605549">
              <w:rPr>
                <w:rFonts w:ascii="Calibri" w:hAnsi="Calibri" w:cs="Arial"/>
                <w:spacing w:val="-4"/>
              </w:rPr>
              <w:t xml:space="preserve">платежной </w:t>
            </w:r>
            <w:r>
              <w:rPr>
                <w:rFonts w:ascii="Calibri" w:hAnsi="Calibri" w:cs="Arial"/>
                <w:spacing w:val="-4"/>
              </w:rPr>
              <w:t xml:space="preserve">системы </w:t>
            </w:r>
            <w:r w:rsidR="00605549" w:rsidRPr="00687214">
              <w:rPr>
                <w:rFonts w:ascii="Calibri" w:hAnsi="Calibri" w:cs="Arial"/>
                <w:spacing w:val="-4"/>
              </w:rPr>
              <w:t xml:space="preserve">Кыргызской Республики </w:t>
            </w:r>
            <w:r w:rsidRPr="00687214">
              <w:rPr>
                <w:rFonts w:ascii="Calibri" w:hAnsi="Calibri" w:cs="Arial"/>
                <w:spacing w:val="-4"/>
              </w:rPr>
              <w:t>ГСРРВ (</w:t>
            </w:r>
            <w:proofErr w:type="spellStart"/>
            <w:r w:rsidRPr="00687214">
              <w:rPr>
                <w:rFonts w:ascii="Calibri" w:hAnsi="Calibri" w:cs="Arial"/>
                <w:spacing w:val="-4"/>
              </w:rPr>
              <w:t>Гроссовая</w:t>
            </w:r>
            <w:proofErr w:type="spellEnd"/>
            <w:r w:rsidRPr="00687214">
              <w:rPr>
                <w:rFonts w:ascii="Calibri" w:hAnsi="Calibri" w:cs="Arial"/>
                <w:spacing w:val="-4"/>
              </w:rPr>
              <w:t xml:space="preserve"> система расчет</w:t>
            </w:r>
            <w:r w:rsidR="00605549">
              <w:rPr>
                <w:rFonts w:ascii="Calibri" w:hAnsi="Calibri" w:cs="Arial"/>
                <w:spacing w:val="-4"/>
              </w:rPr>
              <w:t xml:space="preserve">ов в режиме реального времени) </w:t>
            </w:r>
            <w:r w:rsidR="00605549" w:rsidRPr="00687214">
              <w:rPr>
                <w:rFonts w:ascii="Calibri" w:hAnsi="Calibri" w:cs="Arial"/>
                <w:spacing w:val="-4"/>
              </w:rPr>
              <w:t>в 2016 году проведено 70,1 млн. платежей на сумму</w:t>
            </w:r>
          </w:p>
        </w:tc>
      </w:tr>
      <w:tr w:rsidR="0082483E" w:rsidTr="0082483E">
        <w:trPr>
          <w:trHeight w:val="3754"/>
        </w:trPr>
        <w:tc>
          <w:tcPr>
            <w:tcW w:w="9468" w:type="dxa"/>
            <w:gridSpan w:val="2"/>
            <w:tcBorders>
              <w:bottom w:val="single" w:sz="4" w:space="0" w:color="auto"/>
            </w:tcBorders>
            <w:shd w:val="clear" w:color="auto" w:fill="E6E6E6"/>
          </w:tcPr>
          <w:p w:rsidR="0082483E" w:rsidRDefault="0082483E" w:rsidP="0082483E">
            <w:pPr>
              <w:widowControl w:val="0"/>
              <w:autoSpaceDE w:val="0"/>
              <w:autoSpaceDN w:val="0"/>
              <w:adjustRightInd w:val="0"/>
              <w:jc w:val="both"/>
              <w:rPr>
                <w:rFonts w:ascii="Calibri" w:hAnsi="Calibri" w:cs="Arial"/>
                <w:spacing w:val="-4"/>
              </w:rPr>
            </w:pPr>
            <w:r w:rsidRPr="00687214">
              <w:rPr>
                <w:rFonts w:ascii="Calibri" w:hAnsi="Calibri" w:cs="Arial"/>
                <w:spacing w:val="-4"/>
              </w:rPr>
              <w:t>4 980,2 млрд. сомов</w:t>
            </w:r>
            <w:r>
              <w:rPr>
                <w:rFonts w:ascii="Calibri" w:hAnsi="Calibri" w:cs="Arial"/>
                <w:spacing w:val="-4"/>
              </w:rPr>
              <w:t xml:space="preserve"> (эквивалентно 24,4 трлн. тенге).</w:t>
            </w:r>
          </w:p>
          <w:p w:rsidR="0082483E" w:rsidRDefault="0082483E" w:rsidP="002E5C2F">
            <w:pPr>
              <w:widowControl w:val="0"/>
              <w:jc w:val="center"/>
              <w:rPr>
                <w:rFonts w:ascii="Calibri" w:hAnsi="Calibri" w:cs="Arial"/>
                <w:b/>
                <w:color w:val="0E4C28"/>
                <w:sz w:val="28"/>
                <w:szCs w:val="28"/>
              </w:rPr>
            </w:pPr>
            <w:r w:rsidRPr="00015E28">
              <w:rPr>
                <w:rFonts w:ascii="Calibri" w:hAnsi="Calibri" w:cs="Arial"/>
                <w:b/>
                <w:color w:val="0E4C28"/>
                <w:sz w:val="28"/>
                <w:szCs w:val="28"/>
              </w:rPr>
              <w:t>Платежи и переводы денег через платежные системы</w:t>
            </w:r>
          </w:p>
          <w:p w:rsidR="0082483E" w:rsidRPr="00015E28" w:rsidRDefault="0082483E" w:rsidP="002E5C2F">
            <w:pPr>
              <w:widowControl w:val="0"/>
              <w:jc w:val="center"/>
              <w:rPr>
                <w:rFonts w:ascii="Calibri" w:hAnsi="Calibri" w:cs="Arial"/>
                <w:b/>
                <w:color w:val="0E4C28"/>
                <w:sz w:val="28"/>
                <w:szCs w:val="28"/>
              </w:rPr>
            </w:pPr>
            <w:r w:rsidRPr="00015E28">
              <w:rPr>
                <w:rFonts w:ascii="Calibri" w:hAnsi="Calibri" w:cs="Arial"/>
                <w:b/>
                <w:color w:val="0E4C28"/>
                <w:sz w:val="28"/>
                <w:szCs w:val="28"/>
              </w:rPr>
              <w:t xml:space="preserve"> стран ЕАЭС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582"/>
              <w:gridCol w:w="2266"/>
              <w:gridCol w:w="2268"/>
            </w:tblGrid>
            <w:tr w:rsidR="0082483E" w:rsidTr="002E5C2F">
              <w:tc>
                <w:tcPr>
                  <w:tcW w:w="2093" w:type="dxa"/>
                  <w:tcBorders>
                    <w:bottom w:val="single" w:sz="4" w:space="0" w:color="auto"/>
                  </w:tcBorders>
                  <w:shd w:val="clear" w:color="auto" w:fill="C2D69B"/>
                  <w:vAlign w:val="center"/>
                </w:tcPr>
                <w:p w:rsidR="0082483E" w:rsidRPr="00322F31" w:rsidRDefault="0082483E" w:rsidP="002E5C2F">
                  <w:pPr>
                    <w:widowControl w:val="0"/>
                    <w:jc w:val="center"/>
                    <w:rPr>
                      <w:rFonts w:ascii="Calibri" w:hAnsi="Calibri" w:cs="Arial"/>
                      <w:b/>
                      <w:bCs/>
                    </w:rPr>
                  </w:pPr>
                  <w:r w:rsidRPr="00322F31">
                    <w:rPr>
                      <w:rFonts w:ascii="Calibri" w:hAnsi="Calibri" w:cs="Arial"/>
                      <w:b/>
                      <w:bCs/>
                    </w:rPr>
                    <w:t>Наименование платежной системы</w:t>
                  </w:r>
                </w:p>
              </w:tc>
              <w:tc>
                <w:tcPr>
                  <w:tcW w:w="2582" w:type="dxa"/>
                  <w:shd w:val="clear" w:color="auto" w:fill="C2D69B"/>
                  <w:vAlign w:val="center"/>
                </w:tcPr>
                <w:p w:rsidR="0082483E" w:rsidRPr="00322F31" w:rsidRDefault="0082483E" w:rsidP="002E5C2F">
                  <w:pPr>
                    <w:widowControl w:val="0"/>
                    <w:jc w:val="center"/>
                    <w:rPr>
                      <w:rFonts w:ascii="Calibri" w:hAnsi="Calibri" w:cs="Arial"/>
                      <w:b/>
                      <w:bCs/>
                    </w:rPr>
                  </w:pPr>
                  <w:r w:rsidRPr="00322F31">
                    <w:rPr>
                      <w:rFonts w:ascii="Calibri" w:hAnsi="Calibri" w:cs="Arial"/>
                      <w:b/>
                      <w:bCs/>
                    </w:rPr>
                    <w:t>Обороты в национальной валюте</w:t>
                  </w:r>
                </w:p>
              </w:tc>
              <w:tc>
                <w:tcPr>
                  <w:tcW w:w="2266" w:type="dxa"/>
                  <w:shd w:val="clear" w:color="auto" w:fill="C2D69B"/>
                  <w:vAlign w:val="center"/>
                </w:tcPr>
                <w:p w:rsidR="0082483E" w:rsidRPr="00322F31" w:rsidRDefault="0082483E" w:rsidP="002E5C2F">
                  <w:pPr>
                    <w:widowControl w:val="0"/>
                    <w:jc w:val="center"/>
                    <w:rPr>
                      <w:rFonts w:ascii="Calibri" w:hAnsi="Calibri" w:cs="Arial"/>
                      <w:b/>
                      <w:bCs/>
                    </w:rPr>
                  </w:pPr>
                  <w:r w:rsidRPr="00322F31">
                    <w:rPr>
                      <w:rFonts w:ascii="Calibri" w:hAnsi="Calibri" w:cs="Arial"/>
                      <w:b/>
                      <w:bCs/>
                    </w:rPr>
                    <w:t>Эквивалент в тенге (трлн. тенге)</w:t>
                  </w:r>
                </w:p>
              </w:tc>
              <w:tc>
                <w:tcPr>
                  <w:tcW w:w="2268" w:type="dxa"/>
                  <w:shd w:val="clear" w:color="auto" w:fill="C2D69B"/>
                  <w:vAlign w:val="center"/>
                </w:tcPr>
                <w:p w:rsidR="0082483E" w:rsidRPr="00322F31" w:rsidRDefault="0082483E" w:rsidP="002E5C2F">
                  <w:pPr>
                    <w:widowControl w:val="0"/>
                    <w:jc w:val="center"/>
                    <w:rPr>
                      <w:rFonts w:ascii="Calibri" w:hAnsi="Calibri" w:cs="Arial"/>
                      <w:b/>
                      <w:bCs/>
                    </w:rPr>
                  </w:pPr>
                  <w:r w:rsidRPr="00322F31">
                    <w:rPr>
                      <w:rFonts w:ascii="Calibri" w:hAnsi="Calibri" w:cs="Arial"/>
                      <w:b/>
                      <w:bCs/>
                    </w:rPr>
                    <w:t>Рост по сравнению с предыдущим периодом</w:t>
                  </w:r>
                </w:p>
              </w:tc>
            </w:tr>
            <w:tr w:rsidR="0082483E" w:rsidTr="002E5C2F">
              <w:tc>
                <w:tcPr>
                  <w:tcW w:w="2093" w:type="dxa"/>
                  <w:shd w:val="clear" w:color="auto" w:fill="EAF1DD"/>
                </w:tcPr>
                <w:p w:rsidR="0082483E" w:rsidRPr="00322F31" w:rsidRDefault="0082483E" w:rsidP="002E5C2F">
                  <w:pPr>
                    <w:widowControl w:val="0"/>
                    <w:autoSpaceDE w:val="0"/>
                    <w:autoSpaceDN w:val="0"/>
                    <w:adjustRightInd w:val="0"/>
                    <w:jc w:val="both"/>
                    <w:rPr>
                      <w:rFonts w:ascii="Calibri" w:hAnsi="Calibri" w:cs="Arial"/>
                      <w:spacing w:val="-4"/>
                    </w:rPr>
                  </w:pPr>
                  <w:r w:rsidRPr="00322F31">
                    <w:rPr>
                      <w:rFonts w:ascii="Calibri" w:hAnsi="Calibri" w:cs="Arial"/>
                      <w:spacing w:val="-4"/>
                    </w:rPr>
                    <w:t>МСПД</w:t>
                  </w:r>
                </w:p>
              </w:tc>
              <w:tc>
                <w:tcPr>
                  <w:tcW w:w="2582"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584 671,7 млрд. тенге</w:t>
                  </w:r>
                </w:p>
              </w:tc>
              <w:tc>
                <w:tcPr>
                  <w:tcW w:w="2266"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584,7</w:t>
                  </w:r>
                </w:p>
              </w:tc>
              <w:tc>
                <w:tcPr>
                  <w:tcW w:w="2268"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в 2,6 раза</w:t>
                  </w:r>
                </w:p>
              </w:tc>
            </w:tr>
            <w:tr w:rsidR="0082483E" w:rsidTr="002E5C2F">
              <w:tc>
                <w:tcPr>
                  <w:tcW w:w="2093" w:type="dxa"/>
                  <w:shd w:val="clear" w:color="auto" w:fill="EAF1DD"/>
                </w:tcPr>
                <w:p w:rsidR="0082483E" w:rsidRPr="00322F31" w:rsidRDefault="0082483E" w:rsidP="002E5C2F">
                  <w:pPr>
                    <w:widowControl w:val="0"/>
                    <w:autoSpaceDE w:val="0"/>
                    <w:autoSpaceDN w:val="0"/>
                    <w:adjustRightInd w:val="0"/>
                    <w:jc w:val="both"/>
                    <w:rPr>
                      <w:rFonts w:ascii="Calibri" w:hAnsi="Calibri" w:cs="Arial"/>
                      <w:spacing w:val="-4"/>
                    </w:rPr>
                  </w:pPr>
                  <w:r w:rsidRPr="00322F31">
                    <w:rPr>
                      <w:rFonts w:ascii="Calibri" w:hAnsi="Calibri" w:cs="Arial"/>
                      <w:spacing w:val="-4"/>
                    </w:rPr>
                    <w:t>BISS</w:t>
                  </w:r>
                </w:p>
              </w:tc>
              <w:tc>
                <w:tcPr>
                  <w:tcW w:w="2582"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517,4 млрд. белорусских рублей</w:t>
                  </w:r>
                </w:p>
              </w:tc>
              <w:tc>
                <w:tcPr>
                  <w:tcW w:w="2266"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89,0</w:t>
                  </w:r>
                </w:p>
              </w:tc>
              <w:tc>
                <w:tcPr>
                  <w:tcW w:w="2268"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18,5%</w:t>
                  </w:r>
                </w:p>
              </w:tc>
            </w:tr>
            <w:tr w:rsidR="0082483E" w:rsidTr="002E5C2F">
              <w:tc>
                <w:tcPr>
                  <w:tcW w:w="2093" w:type="dxa"/>
                  <w:shd w:val="clear" w:color="auto" w:fill="EAF1DD"/>
                </w:tcPr>
                <w:p w:rsidR="0082483E" w:rsidRPr="00322F31" w:rsidRDefault="0082483E" w:rsidP="002E5C2F">
                  <w:pPr>
                    <w:widowControl w:val="0"/>
                    <w:autoSpaceDE w:val="0"/>
                    <w:autoSpaceDN w:val="0"/>
                    <w:adjustRightInd w:val="0"/>
                    <w:jc w:val="both"/>
                    <w:rPr>
                      <w:rFonts w:ascii="Calibri" w:hAnsi="Calibri" w:cs="Arial"/>
                      <w:spacing w:val="-4"/>
                    </w:rPr>
                  </w:pPr>
                  <w:r w:rsidRPr="00322F31">
                    <w:rPr>
                      <w:rFonts w:ascii="Calibri" w:hAnsi="Calibri" w:cs="Arial"/>
                      <w:spacing w:val="-4"/>
                    </w:rPr>
                    <w:t>БЭСП</w:t>
                  </w:r>
                </w:p>
              </w:tc>
              <w:tc>
                <w:tcPr>
                  <w:tcW w:w="2582"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560 123,2 млрд. рублей</w:t>
                  </w:r>
                </w:p>
              </w:tc>
              <w:tc>
                <w:tcPr>
                  <w:tcW w:w="2266"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2 826,2</w:t>
                  </w:r>
                </w:p>
              </w:tc>
              <w:tc>
                <w:tcPr>
                  <w:tcW w:w="2268"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4,6%</w:t>
                  </w:r>
                </w:p>
              </w:tc>
            </w:tr>
            <w:tr w:rsidR="0082483E" w:rsidTr="002E5C2F">
              <w:tc>
                <w:tcPr>
                  <w:tcW w:w="2093" w:type="dxa"/>
                  <w:shd w:val="clear" w:color="auto" w:fill="EAF1DD"/>
                </w:tcPr>
                <w:p w:rsidR="0082483E" w:rsidRPr="00322F31" w:rsidRDefault="0082483E" w:rsidP="002E5C2F">
                  <w:pPr>
                    <w:widowControl w:val="0"/>
                    <w:autoSpaceDE w:val="0"/>
                    <w:autoSpaceDN w:val="0"/>
                    <w:adjustRightInd w:val="0"/>
                    <w:jc w:val="both"/>
                    <w:rPr>
                      <w:rFonts w:ascii="Calibri" w:hAnsi="Calibri" w:cs="Arial"/>
                      <w:spacing w:val="-4"/>
                    </w:rPr>
                  </w:pPr>
                  <w:r w:rsidRPr="00322F31">
                    <w:rPr>
                      <w:rFonts w:ascii="Calibri" w:hAnsi="Calibri" w:cs="Arial"/>
                      <w:spacing w:val="-4"/>
                    </w:rPr>
                    <w:t>ГСРРВ</w:t>
                  </w:r>
                </w:p>
              </w:tc>
              <w:tc>
                <w:tcPr>
                  <w:tcW w:w="2582"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4 980,2 млрд. сомов</w:t>
                  </w:r>
                </w:p>
              </w:tc>
              <w:tc>
                <w:tcPr>
                  <w:tcW w:w="2266"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24,4</w:t>
                  </w:r>
                </w:p>
              </w:tc>
              <w:tc>
                <w:tcPr>
                  <w:tcW w:w="2268" w:type="dxa"/>
                  <w:shd w:val="clear" w:color="auto" w:fill="auto"/>
                </w:tcPr>
                <w:p w:rsidR="0082483E" w:rsidRPr="00322F31" w:rsidRDefault="0082483E" w:rsidP="002E5C2F">
                  <w:pPr>
                    <w:widowControl w:val="0"/>
                    <w:autoSpaceDE w:val="0"/>
                    <w:autoSpaceDN w:val="0"/>
                    <w:adjustRightInd w:val="0"/>
                    <w:jc w:val="right"/>
                    <w:rPr>
                      <w:rFonts w:ascii="Calibri" w:hAnsi="Calibri" w:cs="Arial"/>
                      <w:spacing w:val="-4"/>
                    </w:rPr>
                  </w:pPr>
                  <w:r w:rsidRPr="00322F31">
                    <w:rPr>
                      <w:rFonts w:ascii="Calibri" w:hAnsi="Calibri" w:cs="Arial"/>
                      <w:spacing w:val="-4"/>
                    </w:rPr>
                    <w:t>в 2,9 раза</w:t>
                  </w:r>
                </w:p>
              </w:tc>
            </w:tr>
          </w:tbl>
          <w:p w:rsidR="0082483E" w:rsidRPr="00687214" w:rsidRDefault="0082483E" w:rsidP="002E5C2F">
            <w:pPr>
              <w:widowControl w:val="0"/>
              <w:autoSpaceDE w:val="0"/>
              <w:autoSpaceDN w:val="0"/>
              <w:adjustRightInd w:val="0"/>
              <w:jc w:val="both"/>
              <w:rPr>
                <w:rFonts w:ascii="Calibri" w:hAnsi="Calibri" w:cs="Arial"/>
                <w:spacing w:val="-4"/>
                <w:sz w:val="16"/>
                <w:szCs w:val="16"/>
              </w:rPr>
            </w:pPr>
          </w:p>
        </w:tc>
      </w:tr>
      <w:tr w:rsidR="00351477" w:rsidRPr="00860331" w:rsidTr="003514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c>
          <w:tcPr>
            <w:tcW w:w="6388" w:type="dxa"/>
          </w:tcPr>
          <w:p w:rsidR="00351477" w:rsidRPr="00860331" w:rsidRDefault="00351477" w:rsidP="00351477">
            <w:pPr>
              <w:widowControl w:val="0"/>
              <w:jc w:val="both"/>
              <w:rPr>
                <w:rFonts w:ascii="Calibri" w:hAnsi="Calibri" w:cs="Arial"/>
                <w:spacing w:val="-4"/>
                <w:sz w:val="30"/>
                <w:szCs w:val="30"/>
              </w:rPr>
            </w:pPr>
            <w:r w:rsidRPr="00860331">
              <w:rPr>
                <w:rFonts w:ascii="Calibri" w:hAnsi="Calibri" w:cs="Arial"/>
                <w:spacing w:val="-4"/>
                <w:sz w:val="30"/>
                <w:szCs w:val="30"/>
              </w:rPr>
              <w:t xml:space="preserve">Тарифы в платежных системах Национального Банка Казахстана дифференцированы по времени проведения платежа и в МСПД составляют от 57 до 114 тенге. </w:t>
            </w:r>
          </w:p>
        </w:tc>
        <w:tc>
          <w:tcPr>
            <w:tcW w:w="3080" w:type="dxa"/>
          </w:tcPr>
          <w:tbl>
            <w:tblPr>
              <w:tblpPr w:leftFromText="180" w:rightFromText="180" w:vertAnchor="text" w:horzAnchor="page" w:tblpX="696" w:tblpY="410"/>
              <w:tblOverlap w:val="never"/>
              <w:tblW w:w="2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20"/>
              <w:gridCol w:w="934"/>
            </w:tblGrid>
            <w:tr w:rsidR="00351477" w:rsidRPr="00860331" w:rsidTr="00351477">
              <w:trPr>
                <w:cantSplit/>
                <w:trHeight w:val="20"/>
              </w:trPr>
              <w:tc>
                <w:tcPr>
                  <w:tcW w:w="1920" w:type="dxa"/>
                  <w:shd w:val="clear" w:color="auto" w:fill="C2D69B"/>
                  <w:noWrap/>
                </w:tcPr>
                <w:p w:rsidR="00351477" w:rsidRPr="00860331" w:rsidRDefault="00351477" w:rsidP="00351477">
                  <w:pPr>
                    <w:widowControl w:val="0"/>
                    <w:jc w:val="center"/>
                    <w:rPr>
                      <w:rFonts w:ascii="Calibri" w:hAnsi="Calibri" w:cs="Arial"/>
                      <w:b/>
                      <w:bCs/>
                      <w:sz w:val="22"/>
                      <w:szCs w:val="22"/>
                    </w:rPr>
                  </w:pPr>
                  <w:r w:rsidRPr="00860331">
                    <w:rPr>
                      <w:rFonts w:ascii="Calibri" w:hAnsi="Calibri" w:cs="Arial"/>
                      <w:b/>
                      <w:bCs/>
                      <w:sz w:val="22"/>
                      <w:szCs w:val="22"/>
                    </w:rPr>
                    <w:t>Время расчета</w:t>
                  </w:r>
                </w:p>
              </w:tc>
              <w:tc>
                <w:tcPr>
                  <w:tcW w:w="934" w:type="dxa"/>
                  <w:shd w:val="clear" w:color="auto" w:fill="C2D69B"/>
                  <w:noWrap/>
                </w:tcPr>
                <w:p w:rsidR="00351477" w:rsidRPr="00860331" w:rsidRDefault="00351477" w:rsidP="00351477">
                  <w:pPr>
                    <w:widowControl w:val="0"/>
                    <w:jc w:val="center"/>
                    <w:rPr>
                      <w:rFonts w:ascii="Calibri" w:hAnsi="Calibri" w:cs="Arial"/>
                      <w:b/>
                      <w:bCs/>
                      <w:sz w:val="22"/>
                      <w:szCs w:val="22"/>
                    </w:rPr>
                  </w:pPr>
                  <w:r w:rsidRPr="00860331">
                    <w:rPr>
                      <w:rFonts w:ascii="Calibri" w:hAnsi="Calibri" w:cs="Arial"/>
                      <w:b/>
                      <w:bCs/>
                      <w:sz w:val="22"/>
                      <w:szCs w:val="22"/>
                    </w:rPr>
                    <w:t>тариф</w:t>
                  </w:r>
                </w:p>
              </w:tc>
            </w:tr>
            <w:tr w:rsidR="00351477" w:rsidRPr="00860331" w:rsidTr="00351477">
              <w:trPr>
                <w:cantSplit/>
                <w:trHeight w:val="20"/>
              </w:trPr>
              <w:tc>
                <w:tcPr>
                  <w:tcW w:w="1920" w:type="dxa"/>
                  <w:shd w:val="clear" w:color="auto" w:fill="EAF1DD"/>
                  <w:noWrap/>
                </w:tcPr>
                <w:p w:rsidR="00351477" w:rsidRPr="00860331" w:rsidRDefault="00351477" w:rsidP="00351477">
                  <w:pPr>
                    <w:widowControl w:val="0"/>
                    <w:jc w:val="center"/>
                    <w:rPr>
                      <w:rFonts w:ascii="Calibri" w:hAnsi="Calibri" w:cs="Arial"/>
                      <w:i/>
                      <w:sz w:val="22"/>
                      <w:szCs w:val="22"/>
                    </w:rPr>
                  </w:pPr>
                  <w:r w:rsidRPr="00860331">
                    <w:rPr>
                      <w:rFonts w:ascii="Calibri" w:hAnsi="Calibri" w:cs="Arial"/>
                      <w:i/>
                      <w:sz w:val="22"/>
                      <w:szCs w:val="22"/>
                    </w:rPr>
                    <w:t>с 08-00 до 13-00</w:t>
                  </w:r>
                </w:p>
              </w:tc>
              <w:tc>
                <w:tcPr>
                  <w:tcW w:w="934" w:type="dxa"/>
                  <w:shd w:val="clear" w:color="auto" w:fill="auto"/>
                  <w:noWrap/>
                </w:tcPr>
                <w:p w:rsidR="00351477" w:rsidRPr="00860331" w:rsidRDefault="00351477" w:rsidP="00351477">
                  <w:pPr>
                    <w:widowControl w:val="0"/>
                    <w:jc w:val="center"/>
                    <w:rPr>
                      <w:rFonts w:ascii="Calibri" w:hAnsi="Calibri" w:cs="Arial"/>
                      <w:i/>
                      <w:sz w:val="22"/>
                      <w:szCs w:val="22"/>
                    </w:rPr>
                  </w:pPr>
                  <w:r w:rsidRPr="00860331">
                    <w:rPr>
                      <w:rFonts w:ascii="Calibri" w:hAnsi="Calibri" w:cs="Arial"/>
                      <w:i/>
                      <w:sz w:val="22"/>
                      <w:szCs w:val="22"/>
                    </w:rPr>
                    <w:t>57,0</w:t>
                  </w:r>
                </w:p>
              </w:tc>
            </w:tr>
            <w:tr w:rsidR="00351477" w:rsidRPr="00860331" w:rsidTr="00351477">
              <w:trPr>
                <w:cantSplit/>
                <w:trHeight w:val="20"/>
              </w:trPr>
              <w:tc>
                <w:tcPr>
                  <w:tcW w:w="1920" w:type="dxa"/>
                  <w:shd w:val="clear" w:color="auto" w:fill="EAF1DD"/>
                  <w:noWrap/>
                </w:tcPr>
                <w:p w:rsidR="00351477" w:rsidRPr="00860331" w:rsidRDefault="00351477" w:rsidP="00351477">
                  <w:pPr>
                    <w:widowControl w:val="0"/>
                    <w:jc w:val="center"/>
                    <w:rPr>
                      <w:rFonts w:ascii="Calibri" w:hAnsi="Calibri" w:cs="Arial"/>
                      <w:sz w:val="22"/>
                      <w:szCs w:val="22"/>
                    </w:rPr>
                  </w:pPr>
                  <w:r w:rsidRPr="00860331">
                    <w:rPr>
                      <w:rFonts w:ascii="Calibri" w:hAnsi="Calibri" w:cs="Arial"/>
                      <w:sz w:val="22"/>
                      <w:szCs w:val="22"/>
                    </w:rPr>
                    <w:t>с 13-00 до 19-00</w:t>
                  </w:r>
                </w:p>
              </w:tc>
              <w:tc>
                <w:tcPr>
                  <w:tcW w:w="934" w:type="dxa"/>
                  <w:shd w:val="clear" w:color="auto" w:fill="auto"/>
                  <w:noWrap/>
                </w:tcPr>
                <w:p w:rsidR="00351477" w:rsidRPr="00860331" w:rsidRDefault="00351477" w:rsidP="00351477">
                  <w:pPr>
                    <w:widowControl w:val="0"/>
                    <w:jc w:val="center"/>
                    <w:rPr>
                      <w:rFonts w:ascii="Calibri" w:hAnsi="Calibri" w:cs="Arial"/>
                      <w:sz w:val="22"/>
                      <w:szCs w:val="22"/>
                    </w:rPr>
                  </w:pPr>
                  <w:r w:rsidRPr="00860331">
                    <w:rPr>
                      <w:rFonts w:ascii="Calibri" w:hAnsi="Calibri" w:cs="Arial"/>
                      <w:sz w:val="22"/>
                      <w:szCs w:val="22"/>
                    </w:rPr>
                    <w:t>114,0</w:t>
                  </w:r>
                </w:p>
              </w:tc>
            </w:tr>
            <w:tr w:rsidR="00351477" w:rsidRPr="00860331" w:rsidTr="00351477">
              <w:trPr>
                <w:cantSplit/>
                <w:trHeight w:val="20"/>
              </w:trPr>
              <w:tc>
                <w:tcPr>
                  <w:tcW w:w="1920" w:type="dxa"/>
                  <w:shd w:val="clear" w:color="auto" w:fill="C2D69B"/>
                  <w:noWrap/>
                </w:tcPr>
                <w:p w:rsidR="00351477" w:rsidRPr="00860331" w:rsidRDefault="00351477" w:rsidP="00351477">
                  <w:pPr>
                    <w:widowControl w:val="0"/>
                    <w:jc w:val="center"/>
                    <w:rPr>
                      <w:rFonts w:ascii="Calibri" w:hAnsi="Calibri" w:cs="Arial"/>
                      <w:b/>
                      <w:szCs w:val="20"/>
                    </w:rPr>
                  </w:pPr>
                  <w:r w:rsidRPr="00860331">
                    <w:rPr>
                      <w:rFonts w:ascii="Calibri" w:hAnsi="Calibri" w:cs="Arial"/>
                      <w:b/>
                      <w:szCs w:val="20"/>
                    </w:rPr>
                    <w:t>Итого</w:t>
                  </w:r>
                </w:p>
              </w:tc>
              <w:tc>
                <w:tcPr>
                  <w:tcW w:w="934" w:type="dxa"/>
                  <w:shd w:val="clear" w:color="auto" w:fill="C2D69B"/>
                  <w:noWrap/>
                </w:tcPr>
                <w:p w:rsidR="00351477" w:rsidRPr="00860331" w:rsidRDefault="00351477" w:rsidP="00351477">
                  <w:pPr>
                    <w:widowControl w:val="0"/>
                    <w:jc w:val="center"/>
                    <w:rPr>
                      <w:rFonts w:ascii="Calibri" w:hAnsi="Calibri" w:cs="Arial"/>
                      <w:szCs w:val="20"/>
                    </w:rPr>
                  </w:pPr>
                </w:p>
              </w:tc>
            </w:tr>
          </w:tbl>
          <w:p w:rsidR="00351477" w:rsidRPr="00860331" w:rsidRDefault="00351477" w:rsidP="002E5C2F">
            <w:pPr>
              <w:widowControl w:val="0"/>
              <w:jc w:val="center"/>
              <w:rPr>
                <w:rFonts w:ascii="Calibri" w:hAnsi="Calibri" w:cs="Arial"/>
                <w:b/>
                <w:spacing w:val="-4"/>
                <w:sz w:val="30"/>
                <w:szCs w:val="30"/>
              </w:rPr>
            </w:pPr>
            <w:r w:rsidRPr="00860331">
              <w:rPr>
                <w:rFonts w:ascii="Calibri" w:hAnsi="Calibri" w:cs="Arial"/>
                <w:b/>
              </w:rPr>
              <w:t>Тарифы в МСПД</w:t>
            </w:r>
          </w:p>
        </w:tc>
      </w:tr>
    </w:tbl>
    <w:p w:rsidR="009E09D9" w:rsidRPr="00015E28" w:rsidRDefault="00605549" w:rsidP="00DE28E2">
      <w:pPr>
        <w:widowControl w:val="0"/>
        <w:autoSpaceDE w:val="0"/>
        <w:autoSpaceDN w:val="0"/>
        <w:adjustRightInd w:val="0"/>
        <w:jc w:val="both"/>
        <w:rPr>
          <w:rFonts w:ascii="Calibri" w:hAnsi="Calibri" w:cs="Arial"/>
          <w:spacing w:val="-4"/>
          <w:sz w:val="30"/>
          <w:szCs w:val="30"/>
        </w:rPr>
      </w:pPr>
      <w:r w:rsidRPr="00860331">
        <w:rPr>
          <w:rFonts w:ascii="Calibri" w:hAnsi="Calibri" w:cs="Arial"/>
          <w:spacing w:val="-4"/>
          <w:sz w:val="30"/>
          <w:szCs w:val="30"/>
        </w:rPr>
        <w:t>При этом в секунду через МСПД (производительность системы) может быть обработано 23 платежных сообщений</w:t>
      </w:r>
      <w:r w:rsidR="009E09D9" w:rsidRPr="00860331">
        <w:rPr>
          <w:rFonts w:ascii="Calibri" w:hAnsi="Calibri" w:cs="Arial"/>
          <w:spacing w:val="-4"/>
          <w:sz w:val="30"/>
          <w:szCs w:val="30"/>
        </w:rPr>
        <w:t>.</w:t>
      </w:r>
      <w:r w:rsidR="009E09D9" w:rsidRPr="00015E28">
        <w:rPr>
          <w:rFonts w:ascii="Calibri" w:hAnsi="Calibri" w:cs="Arial"/>
          <w:spacing w:val="-4"/>
          <w:sz w:val="30"/>
          <w:szCs w:val="30"/>
        </w:rPr>
        <w:t xml:space="preserve"> </w:t>
      </w:r>
    </w:p>
    <w:p w:rsidR="00687214" w:rsidRPr="004F51FE" w:rsidRDefault="00687214" w:rsidP="009E09D9">
      <w:pPr>
        <w:widowControl w:val="0"/>
        <w:rPr>
          <w:sz w:val="30"/>
          <w:szCs w:val="30"/>
        </w:rPr>
      </w:pPr>
      <w:bookmarkStart w:id="115" w:name="_Toc470534236"/>
    </w:p>
    <w:p w:rsidR="009E09D9" w:rsidRPr="00015E28" w:rsidRDefault="00A30B7D" w:rsidP="009E09D9">
      <w:pPr>
        <w:pStyle w:val="1"/>
        <w:widowControl w:val="0"/>
        <w:pBdr>
          <w:bottom w:val="single" w:sz="12" w:space="1" w:color="auto"/>
        </w:pBdr>
        <w:tabs>
          <w:tab w:val="left" w:pos="561"/>
        </w:tabs>
        <w:spacing w:before="0" w:after="0" w:line="233" w:lineRule="auto"/>
        <w:rPr>
          <w:rFonts w:ascii="Calibri" w:hAnsi="Calibri"/>
          <w:bCs w:val="0"/>
          <w:snapToGrid w:val="0"/>
          <w:color w:val="0E4C28"/>
          <w:spacing w:val="-2"/>
          <w:kern w:val="0"/>
        </w:rPr>
      </w:pPr>
      <w:bookmarkStart w:id="116" w:name="_Toc481418198"/>
      <w:r>
        <w:rPr>
          <w:rFonts w:ascii="Calibri" w:hAnsi="Calibri"/>
          <w:bCs w:val="0"/>
          <w:snapToGrid w:val="0"/>
          <w:color w:val="0E4C28"/>
          <w:spacing w:val="-2"/>
          <w:kern w:val="0"/>
        </w:rPr>
        <w:t>1</w:t>
      </w:r>
      <w:r w:rsidR="009E09D9" w:rsidRPr="00015E28">
        <w:rPr>
          <w:rFonts w:ascii="Calibri" w:hAnsi="Calibri"/>
          <w:bCs w:val="0"/>
          <w:snapToGrid w:val="0"/>
          <w:color w:val="0E4C28"/>
          <w:spacing w:val="-2"/>
          <w:kern w:val="0"/>
        </w:rPr>
        <w:t>.</w:t>
      </w:r>
      <w:r w:rsidR="00DE28E2">
        <w:rPr>
          <w:rFonts w:ascii="Calibri" w:hAnsi="Calibri"/>
          <w:bCs w:val="0"/>
          <w:snapToGrid w:val="0"/>
          <w:color w:val="0E4C28"/>
          <w:spacing w:val="-2"/>
          <w:kern w:val="0"/>
        </w:rPr>
        <w:t>5</w:t>
      </w:r>
      <w:r w:rsidR="009E09D9" w:rsidRPr="00015E28">
        <w:rPr>
          <w:rFonts w:ascii="Calibri" w:hAnsi="Calibri"/>
          <w:bCs w:val="0"/>
          <w:snapToGrid w:val="0"/>
          <w:color w:val="0E4C28"/>
          <w:spacing w:val="-2"/>
          <w:kern w:val="0"/>
        </w:rPr>
        <w:t>. Показатели СМК</w:t>
      </w:r>
      <w:bookmarkEnd w:id="115"/>
      <w:bookmarkEnd w:id="116"/>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580"/>
      </w:tblGrid>
      <w:tr w:rsidR="009E09D9" w:rsidRPr="0030775A" w:rsidTr="00015E28">
        <w:tc>
          <w:tcPr>
            <w:tcW w:w="4428" w:type="dxa"/>
            <w:tcBorders>
              <w:top w:val="nil"/>
              <w:left w:val="nil"/>
              <w:bottom w:val="nil"/>
              <w:right w:val="nil"/>
            </w:tcBorders>
            <w:shd w:val="clear" w:color="auto" w:fill="auto"/>
          </w:tcPr>
          <w:p w:rsidR="009E09D9" w:rsidRPr="00015E28" w:rsidRDefault="00AE15B3" w:rsidP="00F03F68">
            <w:pPr>
              <w:widowControl w:val="0"/>
              <w:spacing w:line="235" w:lineRule="auto"/>
              <w:ind w:firstLine="720"/>
              <w:jc w:val="both"/>
              <w:rPr>
                <w:rFonts w:ascii="Calibri" w:hAnsi="Calibri" w:cs="Arial"/>
                <w:sz w:val="30"/>
                <w:szCs w:val="30"/>
              </w:rPr>
            </w:pPr>
            <w:r w:rsidRPr="00DE28E2">
              <w:rPr>
                <w:rFonts w:ascii="Calibri" w:hAnsi="Calibri" w:cs="Arial"/>
                <w:b/>
                <w:sz w:val="30"/>
                <w:szCs w:val="30"/>
              </w:rPr>
              <w:t>З</w:t>
            </w:r>
            <w:r w:rsidR="009E09D9" w:rsidRPr="00DE28E2">
              <w:rPr>
                <w:rFonts w:ascii="Calibri" w:hAnsi="Calibri" w:cs="Arial"/>
                <w:b/>
                <w:sz w:val="30"/>
                <w:szCs w:val="30"/>
              </w:rPr>
              <w:t>а 2016 год через СМК было обработано 21,3 млн. электронных платежных сообщений на сумму 6</w:t>
            </w:r>
            <w:r w:rsidR="00F03F68">
              <w:rPr>
                <w:rFonts w:ascii="Calibri" w:hAnsi="Calibri" w:cs="Arial"/>
                <w:b/>
                <w:sz w:val="30"/>
                <w:szCs w:val="30"/>
              </w:rPr>
              <w:t>,</w:t>
            </w:r>
            <w:r w:rsidR="009E09D9" w:rsidRPr="00DE28E2">
              <w:rPr>
                <w:rFonts w:ascii="Calibri" w:hAnsi="Calibri" w:cs="Arial"/>
                <w:b/>
                <w:sz w:val="30"/>
                <w:szCs w:val="30"/>
              </w:rPr>
              <w:t xml:space="preserve">0 </w:t>
            </w:r>
            <w:r w:rsidR="00F03F68">
              <w:rPr>
                <w:rFonts w:ascii="Calibri" w:hAnsi="Calibri" w:cs="Arial"/>
                <w:b/>
                <w:sz w:val="30"/>
                <w:szCs w:val="30"/>
              </w:rPr>
              <w:t>трлн</w:t>
            </w:r>
            <w:r w:rsidR="009E09D9" w:rsidRPr="00DE28E2">
              <w:rPr>
                <w:rFonts w:ascii="Calibri" w:hAnsi="Calibri" w:cs="Arial"/>
                <w:b/>
                <w:sz w:val="30"/>
                <w:szCs w:val="30"/>
              </w:rPr>
              <w:t>. тенге.</w:t>
            </w:r>
            <w:r w:rsidR="009E09D9" w:rsidRPr="00DE28E2">
              <w:rPr>
                <w:rFonts w:ascii="Calibri" w:hAnsi="Calibri" w:cs="Arial"/>
                <w:sz w:val="30"/>
                <w:szCs w:val="30"/>
              </w:rPr>
              <w:t xml:space="preserve"> По</w:t>
            </w:r>
            <w:r w:rsidR="009E09D9" w:rsidRPr="00015E28">
              <w:rPr>
                <w:rFonts w:ascii="Calibri" w:hAnsi="Calibri" w:cs="Arial"/>
                <w:sz w:val="30"/>
                <w:szCs w:val="30"/>
              </w:rPr>
              <w:t xml:space="preserve"> сравнению с 2015 годом количество платежных сообщений в клиринговой системе уменьшилось на 1,8%, сумма платежей выросла на 8,9%. Через СМК в среднем за день за 2016 год проходило 86,9 </w:t>
            </w:r>
            <w:r w:rsidR="009E09D9" w:rsidRPr="00015E28">
              <w:rPr>
                <w:rFonts w:ascii="Calibri" w:hAnsi="Calibri" w:cs="Arial"/>
                <w:sz w:val="30"/>
                <w:szCs w:val="30"/>
              </w:rPr>
              <w:lastRenderedPageBreak/>
              <w:t>тыс. платежных сообщений на сумму 24,6 млрд. тенге</w:t>
            </w:r>
            <w:r w:rsidR="00DE28E2">
              <w:rPr>
                <w:rFonts w:ascii="Calibri" w:hAnsi="Calibri" w:cs="Arial"/>
                <w:sz w:val="30"/>
                <w:szCs w:val="30"/>
              </w:rPr>
              <w:t>.</w:t>
            </w:r>
          </w:p>
        </w:tc>
        <w:tc>
          <w:tcPr>
            <w:tcW w:w="5580" w:type="dxa"/>
            <w:tcBorders>
              <w:top w:val="nil"/>
              <w:left w:val="nil"/>
              <w:bottom w:val="nil"/>
              <w:right w:val="nil"/>
            </w:tcBorders>
            <w:shd w:val="clear" w:color="auto" w:fill="auto"/>
          </w:tcPr>
          <w:p w:rsidR="009E09D9" w:rsidRPr="00015E28" w:rsidRDefault="009E09D9" w:rsidP="00015E28">
            <w:pPr>
              <w:widowControl w:val="0"/>
              <w:spacing w:line="235" w:lineRule="auto"/>
              <w:jc w:val="center"/>
              <w:rPr>
                <w:rFonts w:ascii="Calibri" w:hAnsi="Calibri" w:cs="Arial"/>
                <w:b/>
              </w:rPr>
            </w:pPr>
            <w:r w:rsidRPr="00015E28">
              <w:rPr>
                <w:rFonts w:ascii="Calibri" w:hAnsi="Calibri" w:cs="Arial"/>
                <w:b/>
              </w:rPr>
              <w:lastRenderedPageBreak/>
              <w:t>Динамика потоков платежей в СМК</w:t>
            </w:r>
          </w:p>
          <w:p w:rsidR="009E09D9" w:rsidRPr="00015E28" w:rsidRDefault="00B41594" w:rsidP="00015E28">
            <w:pPr>
              <w:widowControl w:val="0"/>
              <w:spacing w:line="235" w:lineRule="auto"/>
              <w:jc w:val="both"/>
              <w:rPr>
                <w:rFonts w:ascii="Calibri" w:hAnsi="Calibri" w:cs="Arial"/>
                <w:sz w:val="30"/>
                <w:szCs w:val="30"/>
              </w:rPr>
            </w:pPr>
            <w:r>
              <w:rPr>
                <w:rFonts w:ascii="Calibri" w:hAnsi="Calibri" w:cs="Arial"/>
                <w:noProof/>
                <w:sz w:val="30"/>
                <w:szCs w:val="30"/>
              </w:rPr>
              <w:drawing>
                <wp:inline distT="0" distB="0" distL="0" distR="0" wp14:anchorId="0E95FE2F" wp14:editId="2B44FC62">
                  <wp:extent cx="3304540" cy="1496695"/>
                  <wp:effectExtent l="0" t="0" r="0" b="8255"/>
                  <wp:docPr id="10" name="Диаграмма 6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E09D9" w:rsidRPr="00015E28" w:rsidRDefault="00B41594" w:rsidP="00015E28">
            <w:pPr>
              <w:widowControl w:val="0"/>
              <w:spacing w:line="235" w:lineRule="auto"/>
              <w:jc w:val="both"/>
              <w:rPr>
                <w:rFonts w:ascii="Calibri" w:hAnsi="Calibri" w:cs="Arial"/>
                <w:sz w:val="30"/>
                <w:szCs w:val="30"/>
              </w:rPr>
            </w:pPr>
            <w:r>
              <w:rPr>
                <w:rFonts w:ascii="Calibri" w:hAnsi="Calibri" w:cs="Arial"/>
                <w:noProof/>
                <w:sz w:val="30"/>
                <w:szCs w:val="30"/>
              </w:rPr>
              <w:lastRenderedPageBreak/>
              <w:drawing>
                <wp:inline distT="0" distB="0" distL="0" distR="0" wp14:anchorId="109314FF" wp14:editId="7599227F">
                  <wp:extent cx="3112135" cy="1627505"/>
                  <wp:effectExtent l="0" t="0" r="0" b="0"/>
                  <wp:docPr id="11" name="Диаграмма 6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rsidR="009E09D9" w:rsidRPr="00015E28" w:rsidRDefault="00F03F68" w:rsidP="009E09D9">
      <w:pPr>
        <w:widowControl w:val="0"/>
        <w:spacing w:line="228" w:lineRule="auto"/>
        <w:ind w:firstLine="709"/>
        <w:jc w:val="both"/>
        <w:rPr>
          <w:rFonts w:ascii="Calibri" w:hAnsi="Calibri" w:cs="Arial"/>
          <w:sz w:val="30"/>
          <w:szCs w:val="30"/>
        </w:rPr>
      </w:pPr>
      <w:r>
        <w:rPr>
          <w:rFonts w:ascii="Calibri" w:hAnsi="Calibri" w:cs="Arial"/>
          <w:sz w:val="30"/>
          <w:szCs w:val="30"/>
        </w:rPr>
        <w:lastRenderedPageBreak/>
        <w:t>В</w:t>
      </w:r>
      <w:r w:rsidR="009E09D9" w:rsidRPr="00DE28E2">
        <w:rPr>
          <w:rFonts w:ascii="Calibri" w:hAnsi="Calibri" w:cs="Arial"/>
          <w:sz w:val="30"/>
          <w:szCs w:val="30"/>
        </w:rPr>
        <w:t xml:space="preserve"> </w:t>
      </w:r>
      <w:r w:rsidR="00EA53E0" w:rsidRPr="00DE28E2">
        <w:rPr>
          <w:rFonts w:ascii="Calibri" w:hAnsi="Calibri" w:cs="Arial"/>
          <w:sz w:val="30"/>
          <w:szCs w:val="30"/>
        </w:rPr>
        <w:t>СМК</w:t>
      </w:r>
      <w:r w:rsidR="009E09D9" w:rsidRPr="00DE28E2">
        <w:rPr>
          <w:rFonts w:ascii="Calibri" w:hAnsi="Calibri" w:cs="Arial"/>
          <w:sz w:val="30"/>
          <w:szCs w:val="30"/>
        </w:rPr>
        <w:t xml:space="preserve"> в основном проводятся платежи </w:t>
      </w:r>
      <w:r w:rsidR="00AE15B3" w:rsidRPr="00DE28E2">
        <w:rPr>
          <w:rFonts w:ascii="Calibri" w:hAnsi="Calibri" w:cs="Arial"/>
          <w:sz w:val="30"/>
          <w:szCs w:val="30"/>
        </w:rPr>
        <w:t xml:space="preserve">населения и </w:t>
      </w:r>
      <w:r w:rsidR="009E09D9" w:rsidRPr="00DE28E2">
        <w:rPr>
          <w:rFonts w:ascii="Calibri" w:hAnsi="Calibri" w:cs="Arial"/>
          <w:sz w:val="30"/>
          <w:szCs w:val="30"/>
        </w:rPr>
        <w:t>хозяйствующих субъектов по расчетам за товары и нематериальные активы, оказанные услуги, а также платежи в бюджет (оплата налогов и других обязательных платежей в бюджет) и выплаты из бюджета.</w:t>
      </w:r>
    </w:p>
    <w:p w:rsidR="009E09D9" w:rsidRDefault="009E09D9" w:rsidP="00EA53E0">
      <w:pPr>
        <w:widowControl w:val="0"/>
        <w:spacing w:line="228" w:lineRule="auto"/>
        <w:ind w:firstLine="709"/>
        <w:jc w:val="both"/>
        <w:rPr>
          <w:rFonts w:ascii="Calibri" w:hAnsi="Calibri" w:cs="Arial"/>
          <w:sz w:val="30"/>
          <w:szCs w:val="30"/>
        </w:rPr>
      </w:pPr>
      <w:r w:rsidRPr="00EA53E0">
        <w:rPr>
          <w:rFonts w:ascii="Calibri" w:hAnsi="Calibri" w:cs="Arial"/>
          <w:sz w:val="30"/>
          <w:szCs w:val="30"/>
        </w:rPr>
        <w:t>Основное влияние на рост платежей в СМК оказал прирост объемов платежей по операциям за товары на 8,6%, услуги - на 6,0%, а также операци</w:t>
      </w:r>
      <w:r w:rsidR="00F03F68">
        <w:rPr>
          <w:rFonts w:ascii="Calibri" w:hAnsi="Calibri" w:cs="Arial"/>
          <w:sz w:val="30"/>
          <w:szCs w:val="30"/>
        </w:rPr>
        <w:t>й</w:t>
      </w:r>
      <w:r w:rsidRPr="00EA53E0">
        <w:rPr>
          <w:rFonts w:ascii="Calibri" w:hAnsi="Calibri" w:cs="Arial"/>
          <w:sz w:val="30"/>
          <w:szCs w:val="30"/>
        </w:rPr>
        <w:t xml:space="preserve"> по вкладам - на 21,0%.</w:t>
      </w:r>
    </w:p>
    <w:p w:rsidR="00503833" w:rsidRDefault="00503833" w:rsidP="009E09D9">
      <w:pPr>
        <w:jc w:val="center"/>
        <w:rPr>
          <w:rFonts w:ascii="Calibri" w:hAnsi="Calibri" w:cs="Arial"/>
          <w:b/>
          <w:color w:val="0E4C28"/>
          <w:sz w:val="28"/>
          <w:szCs w:val="28"/>
        </w:rPr>
      </w:pPr>
    </w:p>
    <w:p w:rsidR="009E09D9" w:rsidRPr="00015E28" w:rsidRDefault="009E09D9" w:rsidP="009E09D9">
      <w:pPr>
        <w:jc w:val="center"/>
        <w:rPr>
          <w:rFonts w:ascii="Calibri" w:hAnsi="Calibri"/>
          <w:sz w:val="30"/>
          <w:szCs w:val="30"/>
        </w:rPr>
      </w:pPr>
      <w:r w:rsidRPr="00015E28">
        <w:rPr>
          <w:rFonts w:ascii="Calibri" w:hAnsi="Calibri" w:cs="Arial"/>
          <w:b/>
          <w:color w:val="0E4C28"/>
          <w:sz w:val="28"/>
          <w:szCs w:val="28"/>
        </w:rPr>
        <w:t>Динамика платежей в разрезе видов назначения платежей в СМК</w:t>
      </w:r>
      <w:r w:rsidRPr="00015E28">
        <w:rPr>
          <w:rFonts w:ascii="Calibri" w:hAnsi="Calibri" w:cs="Arial"/>
          <w:noProof/>
          <w:sz w:val="30"/>
          <w:szCs w:val="30"/>
        </w:rPr>
        <w:t xml:space="preserve"> </w:t>
      </w:r>
      <w:r w:rsidR="00B41594">
        <w:rPr>
          <w:noProof/>
        </w:rPr>
        <mc:AlternateContent>
          <mc:Choice Requires="wps">
            <w:drawing>
              <wp:anchor distT="0" distB="0" distL="114300" distR="114300" simplePos="0" relativeHeight="251654144" behindDoc="0" locked="0" layoutInCell="1" allowOverlap="1" wp14:anchorId="0ECD5441" wp14:editId="76260DAA">
                <wp:simplePos x="0" y="0"/>
                <wp:positionH relativeFrom="column">
                  <wp:posOffset>5161915</wp:posOffset>
                </wp:positionH>
                <wp:positionV relativeFrom="paragraph">
                  <wp:posOffset>186055</wp:posOffset>
                </wp:positionV>
                <wp:extent cx="723900" cy="215265"/>
                <wp:effectExtent l="0" t="0" r="0" b="4445"/>
                <wp:wrapNone/>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15265"/>
                        </a:xfrm>
                        <a:prstGeom prst="rect">
                          <a:avLst/>
                        </a:prstGeom>
                        <a:noFill/>
                        <a:ln w="9525">
                          <a:noFill/>
                          <a:miter lim="800000"/>
                          <a:headEnd/>
                          <a:tailEnd/>
                        </a:ln>
                      </wps:spPr>
                      <wps:txbx>
                        <w:txbxContent>
                          <w:p w:rsidR="00A3494E" w:rsidRPr="00015E28" w:rsidRDefault="00A3494E" w:rsidP="009E09D9">
                            <w:pPr>
                              <w:rPr>
                                <w:rFonts w:ascii="Calibri" w:hAnsi="Calibri"/>
                                <w:sz w:val="16"/>
                              </w:rPr>
                            </w:pPr>
                            <w:r w:rsidRPr="00015E28">
                              <w:rPr>
                                <w:rFonts w:ascii="Calibri" w:hAnsi="Calibri"/>
                                <w:sz w:val="16"/>
                              </w:rPr>
                              <w:t>млрд. тенге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Надпись 2" o:spid="_x0000_s1037" type="#_x0000_t202" style="position:absolute;left:0;text-align:left;margin-left:406.45pt;margin-top:14.65pt;width:57pt;height:16.9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" filled="f" stroked="f">
                <v:textbox style="mso-fit-shape-to-text:t">
                  <w:txbxContent>
                    <w:p w:rsidR="00A3494E" w:rsidRPr="00015E28" w:rsidRDefault="00A3494E" w:rsidP="009E09D9">
                      <w:pPr>
                        <w:rPr>
                          <w:rFonts w:ascii="Calibri" w:hAnsi="Calibri"/>
                          <w:sz w:val="16"/>
                        </w:rPr>
                      </w:pPr>
                      <w:r w:rsidRPr="00015E28">
                        <w:rPr>
                          <w:rFonts w:ascii="Calibri" w:hAnsi="Calibri"/>
                          <w:sz w:val="16"/>
                        </w:rPr>
                        <w:t>млрд. тенге</w:t>
                      </w:r>
                    </w:p>
                  </w:txbxContent>
                </v:textbox>
              </v:shape>
            </w:pict>
          </mc:Fallback>
        </mc:AlternateContent>
      </w:r>
    </w:p>
    <w:p w:rsidR="009E09D9" w:rsidRPr="00015E28" w:rsidRDefault="00071E84" w:rsidP="009E09D9">
      <w:pPr>
        <w:jc w:val="center"/>
        <w:rPr>
          <w:rFonts w:ascii="Calibri" w:hAnsi="Calibri" w:cs="Arial"/>
          <w:b/>
          <w:sz w:val="20"/>
          <w:szCs w:val="20"/>
        </w:rPr>
      </w:pPr>
      <w:r>
        <w:rPr>
          <w:noProof/>
        </w:rPr>
        <mc:AlternateContent>
          <mc:Choice Requires="wps">
            <w:drawing>
              <wp:anchor distT="0" distB="0" distL="114300" distR="114300" simplePos="0" relativeHeight="251653120" behindDoc="0" locked="0" layoutInCell="1" allowOverlap="1" wp14:anchorId="0841EF1B" wp14:editId="647EA131">
                <wp:simplePos x="0" y="0"/>
                <wp:positionH relativeFrom="column">
                  <wp:posOffset>5561330</wp:posOffset>
                </wp:positionH>
                <wp:positionV relativeFrom="paragraph">
                  <wp:posOffset>2294255</wp:posOffset>
                </wp:positionV>
                <wp:extent cx="666750" cy="246380"/>
                <wp:effectExtent l="0" t="0" r="0" b="0"/>
                <wp:wrapNone/>
                <wp:docPr id="47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8,6%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437.9pt;margin-top:180.65pt;width:52.5pt;height:19.4pt;z-index:251653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" filled="f" stroked="f">
                <v:textbox style="mso-fit-shape-to-text:t">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8,6%</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0FD4A29C" wp14:editId="6B6EE634">
                <wp:simplePos x="0" y="0"/>
                <wp:positionH relativeFrom="column">
                  <wp:posOffset>5323840</wp:posOffset>
                </wp:positionH>
                <wp:positionV relativeFrom="paragraph">
                  <wp:posOffset>1903730</wp:posOffset>
                </wp:positionV>
                <wp:extent cx="666750" cy="246380"/>
                <wp:effectExtent l="0" t="0" r="0" b="0"/>
                <wp:wrapNone/>
                <wp:docPr id="4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6,0%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419.2pt;margin-top:149.9pt;width:52.5pt;height:19.4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" filled="f" stroked="f">
                <v:textbox style="mso-fit-shape-to-text:t">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6,0%</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18824730" wp14:editId="58F1BE4C">
                <wp:simplePos x="0" y="0"/>
                <wp:positionH relativeFrom="column">
                  <wp:posOffset>4900930</wp:posOffset>
                </wp:positionH>
                <wp:positionV relativeFrom="paragraph">
                  <wp:posOffset>1589405</wp:posOffset>
                </wp:positionV>
                <wp:extent cx="666750" cy="246380"/>
                <wp:effectExtent l="0" t="0" r="0" b="0"/>
                <wp:wrapNone/>
                <wp:docPr id="4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6,1%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385.9pt;margin-top:125.15pt;width:52.5pt;height:19.4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" filled="f" stroked="f">
                <v:textbox style="mso-fit-shape-to-text:t">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6,1%</w:t>
                      </w:r>
                    </w:p>
                  </w:txbxContent>
                </v:textbox>
              </v:shape>
            </w:pict>
          </mc:Fallback>
        </mc:AlternateContent>
      </w:r>
      <w:r w:rsidR="00F03F68">
        <w:rPr>
          <w:noProof/>
        </w:rPr>
        <mc:AlternateContent>
          <mc:Choice Requires="wps">
            <w:drawing>
              <wp:anchor distT="0" distB="0" distL="114300" distR="114300" simplePos="0" relativeHeight="251650048" behindDoc="0" locked="0" layoutInCell="1" allowOverlap="1" wp14:anchorId="4D1E5CD9" wp14:editId="20DCD89C">
                <wp:simplePos x="0" y="0"/>
                <wp:positionH relativeFrom="column">
                  <wp:posOffset>3543935</wp:posOffset>
                </wp:positionH>
                <wp:positionV relativeFrom="paragraph">
                  <wp:posOffset>1180465</wp:posOffset>
                </wp:positionV>
                <wp:extent cx="666750" cy="246380"/>
                <wp:effectExtent l="0" t="0" r="0" b="0"/>
                <wp:wrapNone/>
                <wp:docPr id="4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21,0%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279.05pt;margin-top:92.95pt;width:52.5pt;height:19.4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" filled="f" stroked="f">
                <v:textbox style="mso-fit-shape-to-text:t">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21,0%</w:t>
                      </w:r>
                    </w:p>
                  </w:txbxContent>
                </v:textbox>
              </v:shape>
            </w:pict>
          </mc:Fallback>
        </mc:AlternateContent>
      </w:r>
      <w:r w:rsidR="00DE28E2">
        <w:rPr>
          <w:noProof/>
        </w:rPr>
        <mc:AlternateContent>
          <mc:Choice Requires="wps">
            <w:drawing>
              <wp:anchor distT="0" distB="0" distL="114300" distR="114300" simplePos="0" relativeHeight="251649024" behindDoc="0" locked="0" layoutInCell="1" allowOverlap="1" wp14:anchorId="536EA21A" wp14:editId="564D9995">
                <wp:simplePos x="0" y="0"/>
                <wp:positionH relativeFrom="column">
                  <wp:posOffset>3548380</wp:posOffset>
                </wp:positionH>
                <wp:positionV relativeFrom="paragraph">
                  <wp:posOffset>846455</wp:posOffset>
                </wp:positionV>
                <wp:extent cx="736600" cy="246380"/>
                <wp:effectExtent l="0" t="0" r="0" b="0"/>
                <wp:wrapNone/>
                <wp:docPr id="4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46380"/>
                        </a:xfrm>
                        <a:prstGeom prst="rect">
                          <a:avLst/>
                        </a:prstGeom>
                        <a:noFill/>
                        <a:ln w="9525">
                          <a:noFill/>
                          <a:miter lim="800000"/>
                          <a:headEnd/>
                          <a:tailEnd/>
                        </a:ln>
                      </wps:spPr>
                      <wps:txbx>
                        <w:txbxContent>
                          <w:p w:rsidR="00A3494E" w:rsidRPr="00DE28E2" w:rsidRDefault="00A3494E" w:rsidP="009E09D9">
                            <w:pPr>
                              <w:rPr>
                                <w:rFonts w:ascii="Calibri" w:hAnsi="Calibri"/>
                                <w:color w:val="00B050"/>
                                <w:sz w:val="20"/>
                              </w:rPr>
                            </w:pPr>
                            <w:r w:rsidRPr="00DE28E2">
                              <w:rPr>
                                <w:rFonts w:ascii="Calibri" w:hAnsi="Calibri"/>
                                <w:color w:val="00B050"/>
                                <w:sz w:val="20"/>
                              </w:rPr>
                              <w:t>↓ 7,1%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279.4pt;margin-top:66.65pt;width:58pt;height:19.4pt;z-index:251649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" filled="f" stroked="f">
                <v:textbox style="mso-fit-shape-to-text:t">
                  <w:txbxContent>
                    <w:p w:rsidR="00A3494E" w:rsidRPr="00DE28E2" w:rsidRDefault="00A3494E" w:rsidP="009E09D9">
                      <w:pPr>
                        <w:rPr>
                          <w:rFonts w:ascii="Calibri" w:hAnsi="Calibri"/>
                          <w:color w:val="00B050"/>
                          <w:sz w:val="20"/>
                        </w:rPr>
                      </w:pPr>
                      <w:r w:rsidRPr="00DE28E2">
                        <w:rPr>
                          <w:rFonts w:ascii="Calibri" w:hAnsi="Calibri"/>
                          <w:color w:val="00B050"/>
                          <w:sz w:val="20"/>
                        </w:rPr>
                        <w:t>↓ 7,1%</w:t>
                      </w:r>
                    </w:p>
                  </w:txbxContent>
                </v:textbox>
              </v:shape>
            </w:pict>
          </mc:Fallback>
        </mc:AlternateContent>
      </w:r>
      <w:r w:rsidR="00DE28E2">
        <w:rPr>
          <w:noProof/>
        </w:rPr>
        <mc:AlternateContent>
          <mc:Choice Requires="wps">
            <w:drawing>
              <wp:anchor distT="0" distB="0" distL="114300" distR="114300" simplePos="0" relativeHeight="251648000" behindDoc="0" locked="0" layoutInCell="1" allowOverlap="1" wp14:anchorId="7A09D6AC" wp14:editId="667D73C0">
                <wp:simplePos x="0" y="0"/>
                <wp:positionH relativeFrom="column">
                  <wp:posOffset>3545840</wp:posOffset>
                </wp:positionH>
                <wp:positionV relativeFrom="paragraph">
                  <wp:posOffset>527685</wp:posOffset>
                </wp:positionV>
                <wp:extent cx="666750" cy="246380"/>
                <wp:effectExtent l="0" t="0" r="0" b="0"/>
                <wp:wrapNone/>
                <wp:docPr id="4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31,7%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279.2pt;margin-top:41.55pt;width:52.5pt;height:19.4pt;z-index:251648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" filled="f" stroked="f">
                <v:textbox style="mso-fit-shape-to-text:t">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31,7%</w:t>
                      </w:r>
                    </w:p>
                  </w:txbxContent>
                </v:textbox>
              </v:shape>
            </w:pict>
          </mc:Fallback>
        </mc:AlternateContent>
      </w:r>
      <w:r w:rsidR="00DE28E2">
        <w:rPr>
          <w:noProof/>
        </w:rPr>
        <mc:AlternateContent>
          <mc:Choice Requires="wps">
            <w:drawing>
              <wp:anchor distT="0" distB="0" distL="114300" distR="114300" simplePos="0" relativeHeight="251646976" behindDoc="0" locked="0" layoutInCell="1" allowOverlap="1" wp14:anchorId="75CE82E9" wp14:editId="0E810FA5">
                <wp:simplePos x="0" y="0"/>
                <wp:positionH relativeFrom="column">
                  <wp:posOffset>3545205</wp:posOffset>
                </wp:positionH>
                <wp:positionV relativeFrom="paragraph">
                  <wp:posOffset>205105</wp:posOffset>
                </wp:positionV>
                <wp:extent cx="666750" cy="246380"/>
                <wp:effectExtent l="0" t="0" r="0" b="0"/>
                <wp:wrapNone/>
                <wp:docPr id="4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33,5%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279.15pt;margin-top:16.15pt;width:52.5pt;height:19.4pt;z-index:251646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" filled="f" stroked="f">
                <v:textbox style="mso-fit-shape-to-text:t">
                  <w:txbxContent>
                    <w:p w:rsidR="00A3494E" w:rsidRPr="00015E28" w:rsidRDefault="00A3494E"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33,5%</w:t>
                      </w:r>
                    </w:p>
                  </w:txbxContent>
                </v:textbox>
              </v:shape>
            </w:pict>
          </mc:Fallback>
        </mc:AlternateContent>
      </w:r>
      <w:r w:rsidR="00B41594">
        <w:rPr>
          <w:rFonts w:ascii="Calibri" w:hAnsi="Calibri"/>
          <w:noProof/>
        </w:rPr>
        <w:drawing>
          <wp:inline distT="0" distB="0" distL="0" distR="0" wp14:anchorId="36DE5F22" wp14:editId="0BF47232">
            <wp:extent cx="5820410" cy="2600325"/>
            <wp:effectExtent l="0" t="0" r="8890" b="0"/>
            <wp:docPr id="12"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E15B3" w:rsidRPr="00141516" w:rsidRDefault="00DE28E2" w:rsidP="00AE15B3">
      <w:pPr>
        <w:autoSpaceDE w:val="0"/>
        <w:autoSpaceDN w:val="0"/>
        <w:adjustRightInd w:val="0"/>
        <w:spacing w:line="230" w:lineRule="auto"/>
        <w:ind w:firstLine="720"/>
        <w:jc w:val="both"/>
        <w:rPr>
          <w:rFonts w:ascii="Calibri" w:hAnsi="Calibri" w:cs="Arial"/>
          <w:sz w:val="30"/>
          <w:szCs w:val="30"/>
        </w:rPr>
      </w:pPr>
      <w:r w:rsidRPr="00860331">
        <w:rPr>
          <w:rFonts w:ascii="Calibri" w:hAnsi="Calibri" w:cs="Arial"/>
          <w:sz w:val="30"/>
          <w:szCs w:val="30"/>
        </w:rPr>
        <w:t xml:space="preserve">Доля платежей физических лиц в СМК составила </w:t>
      </w:r>
      <w:r w:rsidR="00141516" w:rsidRPr="00860331">
        <w:rPr>
          <w:rFonts w:ascii="Calibri" w:hAnsi="Calibri" w:cs="Arial"/>
          <w:sz w:val="30"/>
          <w:szCs w:val="30"/>
        </w:rPr>
        <w:t xml:space="preserve">8,1% от общей суммы платежей, юридических лиц – 91,9% соответственно. </w:t>
      </w:r>
      <w:r w:rsidR="00AE15B3" w:rsidRPr="00860331">
        <w:rPr>
          <w:rFonts w:ascii="Calibri" w:hAnsi="Calibri" w:cs="Arial"/>
          <w:sz w:val="30"/>
          <w:szCs w:val="30"/>
        </w:rPr>
        <w:t xml:space="preserve">Средняя сумма одного платежного </w:t>
      </w:r>
      <w:r w:rsidR="002A4D9F" w:rsidRPr="00860331">
        <w:rPr>
          <w:rFonts w:ascii="Calibri" w:hAnsi="Calibri" w:cs="Arial"/>
          <w:sz w:val="30"/>
          <w:szCs w:val="30"/>
        </w:rPr>
        <w:t>сообщения, сформированного на основании указани</w:t>
      </w:r>
      <w:r w:rsidR="004C066E" w:rsidRPr="00860331">
        <w:rPr>
          <w:rFonts w:ascii="Calibri" w:hAnsi="Calibri" w:cs="Arial"/>
          <w:sz w:val="30"/>
          <w:szCs w:val="30"/>
        </w:rPr>
        <w:t>я</w:t>
      </w:r>
      <w:r w:rsidR="002A4D9F" w:rsidRPr="00860331">
        <w:rPr>
          <w:rFonts w:ascii="Calibri" w:hAnsi="Calibri" w:cs="Arial"/>
          <w:sz w:val="30"/>
          <w:szCs w:val="30"/>
        </w:rPr>
        <w:t xml:space="preserve"> </w:t>
      </w:r>
      <w:r w:rsidR="00AE15B3" w:rsidRPr="00860331">
        <w:rPr>
          <w:rFonts w:ascii="Calibri" w:hAnsi="Calibri" w:cs="Arial"/>
          <w:sz w:val="30"/>
          <w:szCs w:val="30"/>
        </w:rPr>
        <w:t>юридическ</w:t>
      </w:r>
      <w:r w:rsidR="004C066E" w:rsidRPr="00860331">
        <w:rPr>
          <w:rFonts w:ascii="Calibri" w:hAnsi="Calibri" w:cs="Arial"/>
          <w:sz w:val="30"/>
          <w:szCs w:val="30"/>
        </w:rPr>
        <w:t xml:space="preserve">ого </w:t>
      </w:r>
      <w:r w:rsidR="00AE15B3" w:rsidRPr="00860331">
        <w:rPr>
          <w:rFonts w:ascii="Calibri" w:hAnsi="Calibri" w:cs="Arial"/>
          <w:sz w:val="30"/>
          <w:szCs w:val="30"/>
        </w:rPr>
        <w:t>лиц</w:t>
      </w:r>
      <w:r w:rsidR="004C066E" w:rsidRPr="00860331">
        <w:rPr>
          <w:rFonts w:ascii="Calibri" w:hAnsi="Calibri" w:cs="Arial"/>
          <w:sz w:val="30"/>
          <w:szCs w:val="30"/>
        </w:rPr>
        <w:t>а,</w:t>
      </w:r>
      <w:r w:rsidR="00AE15B3" w:rsidRPr="00860331">
        <w:rPr>
          <w:rFonts w:ascii="Calibri" w:hAnsi="Calibri" w:cs="Arial"/>
          <w:sz w:val="30"/>
          <w:szCs w:val="30"/>
        </w:rPr>
        <w:t xml:space="preserve"> составила 38,8 тыс. тенге. Средняя сумма одного </w:t>
      </w:r>
      <w:r w:rsidR="002A4D9F" w:rsidRPr="00860331">
        <w:rPr>
          <w:rFonts w:ascii="Calibri" w:hAnsi="Calibri" w:cs="Arial"/>
          <w:sz w:val="30"/>
          <w:szCs w:val="30"/>
        </w:rPr>
        <w:t>платежного сообщения</w:t>
      </w:r>
      <w:r w:rsidR="004C066E" w:rsidRPr="00860331">
        <w:rPr>
          <w:rFonts w:ascii="Calibri" w:hAnsi="Calibri" w:cs="Arial"/>
          <w:sz w:val="30"/>
          <w:szCs w:val="30"/>
        </w:rPr>
        <w:t xml:space="preserve"> в СМК по указанию физического лица</w:t>
      </w:r>
      <w:r w:rsidR="00AE15B3" w:rsidRPr="00860331">
        <w:rPr>
          <w:rFonts w:ascii="Calibri" w:hAnsi="Calibri" w:cs="Arial"/>
          <w:sz w:val="30"/>
          <w:szCs w:val="30"/>
        </w:rPr>
        <w:t xml:space="preserve"> состав</w:t>
      </w:r>
      <w:r w:rsidR="004C066E" w:rsidRPr="00860331">
        <w:rPr>
          <w:rFonts w:ascii="Calibri" w:hAnsi="Calibri" w:cs="Arial"/>
          <w:sz w:val="30"/>
          <w:szCs w:val="30"/>
        </w:rPr>
        <w:t>ила</w:t>
      </w:r>
      <w:r w:rsidR="00AE15B3" w:rsidRPr="00860331">
        <w:rPr>
          <w:rFonts w:ascii="Calibri" w:hAnsi="Calibri" w:cs="Arial"/>
          <w:sz w:val="30"/>
          <w:szCs w:val="30"/>
        </w:rPr>
        <w:t xml:space="preserve"> 26,</w:t>
      </w:r>
      <w:r w:rsidR="00141516" w:rsidRPr="00860331">
        <w:rPr>
          <w:rFonts w:ascii="Calibri" w:hAnsi="Calibri" w:cs="Arial"/>
          <w:sz w:val="30"/>
          <w:szCs w:val="30"/>
        </w:rPr>
        <w:t>4</w:t>
      </w:r>
      <w:r w:rsidR="00AE15B3" w:rsidRPr="00860331">
        <w:rPr>
          <w:rFonts w:ascii="Calibri" w:hAnsi="Calibri" w:cs="Arial"/>
          <w:sz w:val="30"/>
          <w:szCs w:val="30"/>
        </w:rPr>
        <w:t xml:space="preserve"> тыс. тенге.</w:t>
      </w:r>
      <w:r w:rsidR="00610467" w:rsidRPr="00860331">
        <w:rPr>
          <w:rFonts w:ascii="Calibri" w:hAnsi="Calibri" w:cs="Arial"/>
          <w:sz w:val="30"/>
          <w:szCs w:val="30"/>
        </w:rPr>
        <w:t xml:space="preserve"> </w:t>
      </w:r>
      <w:r w:rsidR="002A4D9F" w:rsidRPr="00860331">
        <w:rPr>
          <w:rFonts w:ascii="Calibri" w:hAnsi="Calibri" w:cs="Arial"/>
          <w:sz w:val="30"/>
          <w:szCs w:val="30"/>
        </w:rPr>
        <w:t xml:space="preserve">По платежным сообщениям, направленным в систему участниками по платежам физических лиц, основную долю занимаются платежи </w:t>
      </w:r>
      <w:r w:rsidR="00AE15B3" w:rsidRPr="00860331">
        <w:rPr>
          <w:rFonts w:ascii="Calibri" w:hAnsi="Calibri" w:cs="Arial"/>
          <w:sz w:val="30"/>
          <w:szCs w:val="30"/>
        </w:rPr>
        <w:t>за товары и нематериальные активы (28,7%), платежи в бюджет (21,4%) и за услуги (21%). В 2016 году общий рост платежей физических лиц</w:t>
      </w:r>
      <w:r w:rsidR="00141516" w:rsidRPr="00860331">
        <w:rPr>
          <w:rFonts w:ascii="Calibri" w:hAnsi="Calibri" w:cs="Arial"/>
          <w:sz w:val="30"/>
          <w:szCs w:val="30"/>
        </w:rPr>
        <w:t>,</w:t>
      </w:r>
      <w:r w:rsidR="00AE15B3" w:rsidRPr="00860331">
        <w:rPr>
          <w:rFonts w:ascii="Calibri" w:hAnsi="Calibri" w:cs="Arial"/>
          <w:sz w:val="30"/>
          <w:szCs w:val="30"/>
        </w:rPr>
        <w:t xml:space="preserve"> проведенных</w:t>
      </w:r>
      <w:r w:rsidR="00AE15B3" w:rsidRPr="00141516">
        <w:rPr>
          <w:rFonts w:ascii="Calibri" w:hAnsi="Calibri" w:cs="Arial"/>
          <w:sz w:val="30"/>
          <w:szCs w:val="30"/>
        </w:rPr>
        <w:t xml:space="preserve"> через СМК</w:t>
      </w:r>
      <w:r w:rsidR="00141516">
        <w:rPr>
          <w:rFonts w:ascii="Calibri" w:hAnsi="Calibri" w:cs="Arial"/>
          <w:sz w:val="30"/>
          <w:szCs w:val="30"/>
        </w:rPr>
        <w:t>,</w:t>
      </w:r>
      <w:r w:rsidR="00AE15B3" w:rsidRPr="00141516">
        <w:rPr>
          <w:rFonts w:ascii="Calibri" w:hAnsi="Calibri" w:cs="Arial"/>
          <w:sz w:val="30"/>
          <w:szCs w:val="30"/>
        </w:rPr>
        <w:t xml:space="preserve"> по сравнению с 2015 годом составил 9,8%. </w:t>
      </w:r>
    </w:p>
    <w:p w:rsidR="009E09D9" w:rsidRPr="00015E28" w:rsidRDefault="009E09D9" w:rsidP="009E09D9">
      <w:pPr>
        <w:spacing w:line="233" w:lineRule="auto"/>
        <w:ind w:firstLine="720"/>
        <w:jc w:val="both"/>
        <w:rPr>
          <w:rFonts w:ascii="Calibri" w:hAnsi="Calibri" w:cs="Arial"/>
          <w:sz w:val="30"/>
          <w:szCs w:val="30"/>
        </w:rPr>
      </w:pPr>
      <w:r w:rsidRPr="00015E28">
        <w:rPr>
          <w:rFonts w:ascii="Calibri" w:hAnsi="Calibri" w:cs="Arial"/>
          <w:sz w:val="30"/>
          <w:szCs w:val="30"/>
        </w:rPr>
        <w:t xml:space="preserve">В </w:t>
      </w:r>
      <w:proofErr w:type="gramStart"/>
      <w:r w:rsidRPr="00015E28">
        <w:rPr>
          <w:rFonts w:ascii="Calibri" w:hAnsi="Calibri" w:cs="Arial"/>
          <w:sz w:val="30"/>
          <w:szCs w:val="30"/>
        </w:rPr>
        <w:t>разрезе</w:t>
      </w:r>
      <w:proofErr w:type="gramEnd"/>
      <w:r w:rsidRPr="00015E28">
        <w:rPr>
          <w:rFonts w:ascii="Calibri" w:hAnsi="Calibri" w:cs="Arial"/>
          <w:sz w:val="30"/>
          <w:szCs w:val="30"/>
        </w:rPr>
        <w:t xml:space="preserve"> сумм платежей наибольшая доля по количеству транзакций в СМК приходится на интервал до 500 тыс. тенге (90%), </w:t>
      </w:r>
      <w:r w:rsidRPr="00015E28">
        <w:rPr>
          <w:rFonts w:ascii="Calibri" w:hAnsi="Calibri" w:cs="Arial"/>
          <w:sz w:val="30"/>
          <w:szCs w:val="30"/>
        </w:rPr>
        <w:lastRenderedPageBreak/>
        <w:t>наименьшую долю составляют платежи от 500 тыс. тенге до 1 млн. тенге (3%).</w:t>
      </w:r>
      <w:r w:rsidR="00446474">
        <w:rPr>
          <w:rFonts w:ascii="Calibri" w:hAnsi="Calibri" w:cs="Arial"/>
          <w:sz w:val="30"/>
          <w:szCs w:val="30"/>
        </w:rPr>
        <w:t xml:space="preserve"> </w:t>
      </w:r>
      <w:r w:rsidRPr="00015E28">
        <w:rPr>
          <w:rFonts w:ascii="Calibri" w:hAnsi="Calibri" w:cs="Arial"/>
          <w:sz w:val="30"/>
          <w:szCs w:val="30"/>
        </w:rPr>
        <w:t>Основную долю по сумме платежей в интервале свыше 1 млн. тенге (доля 77,6%).</w:t>
      </w:r>
    </w:p>
    <w:p w:rsidR="006E2AC8" w:rsidRDefault="006E2AC8" w:rsidP="009E09D9">
      <w:pPr>
        <w:jc w:val="center"/>
        <w:rPr>
          <w:rFonts w:ascii="Calibri" w:hAnsi="Calibri" w:cs="Arial"/>
          <w:b/>
          <w:color w:val="0E4C28"/>
          <w:sz w:val="28"/>
          <w:szCs w:val="28"/>
        </w:rPr>
      </w:pPr>
    </w:p>
    <w:p w:rsidR="009E09D9" w:rsidRPr="00015E28" w:rsidRDefault="009E09D9" w:rsidP="009E09D9">
      <w:pPr>
        <w:jc w:val="center"/>
        <w:rPr>
          <w:rFonts w:ascii="Calibri" w:hAnsi="Calibri" w:cs="Arial"/>
          <w:b/>
          <w:sz w:val="30"/>
          <w:szCs w:val="30"/>
        </w:rPr>
      </w:pPr>
      <w:r w:rsidRPr="00015E28">
        <w:rPr>
          <w:rFonts w:ascii="Calibri" w:hAnsi="Calibri" w:cs="Arial"/>
          <w:b/>
          <w:color w:val="0E4C28"/>
          <w:sz w:val="28"/>
          <w:szCs w:val="28"/>
        </w:rPr>
        <w:t>Платежи в СМК в разрезе интервалов сумм</w:t>
      </w:r>
    </w:p>
    <w:p w:rsidR="009E09D9" w:rsidRPr="00F03F68" w:rsidRDefault="009E09D9" w:rsidP="009E09D9">
      <w:pPr>
        <w:widowControl w:val="0"/>
        <w:jc w:val="center"/>
        <w:rPr>
          <w:rFonts w:ascii="Calibri" w:hAnsi="Calibri" w:cs="Arial"/>
          <w:b/>
          <w:color w:val="0E4C28"/>
        </w:rPr>
      </w:pPr>
      <w:r w:rsidRPr="00F03F68">
        <w:rPr>
          <w:rFonts w:ascii="Calibri" w:hAnsi="Calibri" w:cs="Arial"/>
          <w:b/>
          <w:color w:val="0E4C28"/>
        </w:rPr>
        <w:t xml:space="preserve">Количество   </w:t>
      </w:r>
      <w:r w:rsidRPr="00015E28">
        <w:rPr>
          <w:rFonts w:ascii="Calibri" w:hAnsi="Calibri" w:cs="Arial"/>
          <w:b/>
          <w:szCs w:val="28"/>
        </w:rPr>
        <w:t xml:space="preserve">                                                          </w:t>
      </w:r>
      <w:r w:rsidRPr="00F03F68">
        <w:rPr>
          <w:rFonts w:ascii="Calibri" w:hAnsi="Calibri" w:cs="Arial"/>
          <w:b/>
          <w:color w:val="0E4C28"/>
        </w:rPr>
        <w:t>Сумма</w:t>
      </w:r>
    </w:p>
    <w:p w:rsidR="009E09D9" w:rsidRPr="00015E28" w:rsidRDefault="00B41594" w:rsidP="009E09D9">
      <w:pPr>
        <w:widowControl w:val="0"/>
        <w:ind w:left="-142"/>
        <w:rPr>
          <w:rFonts w:ascii="Calibri" w:hAnsi="Calibri"/>
          <w:noProof/>
        </w:rPr>
      </w:pPr>
      <w:r>
        <w:rPr>
          <w:rFonts w:ascii="Calibri" w:hAnsi="Calibri"/>
          <w:noProof/>
        </w:rPr>
        <w:drawing>
          <wp:inline distT="0" distB="0" distL="0" distR="0" wp14:anchorId="3BCDAFA5" wp14:editId="5CD831B8">
            <wp:extent cx="2901461" cy="2223575"/>
            <wp:effectExtent l="0" t="0" r="0" b="5715"/>
            <wp:docPr id="13" name="Диаграмма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9E09D9" w:rsidRPr="00015E28">
        <w:rPr>
          <w:rFonts w:ascii="Calibri" w:hAnsi="Calibri"/>
          <w:noProof/>
        </w:rPr>
        <w:t xml:space="preserve"> </w:t>
      </w:r>
      <w:r>
        <w:rPr>
          <w:rFonts w:ascii="Calibri" w:hAnsi="Calibri"/>
          <w:noProof/>
        </w:rPr>
        <w:drawing>
          <wp:inline distT="0" distB="0" distL="0" distR="0" wp14:anchorId="6CF84572" wp14:editId="0B8D0BF2">
            <wp:extent cx="3015762" cy="2233246"/>
            <wp:effectExtent l="0" t="0" r="0" b="0"/>
            <wp:docPr id="14" name="Диаграмма 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pPr w:leftFromText="180" w:rightFromText="180" w:vertAnchor="text" w:horzAnchor="margin" w:tblpY="27"/>
        <w:tblW w:w="0" w:type="auto"/>
        <w:tblLook w:val="04A0" w:firstRow="1" w:lastRow="0" w:firstColumn="1" w:lastColumn="0" w:noHBand="0" w:noVBand="1"/>
      </w:tblPr>
      <w:tblGrid>
        <w:gridCol w:w="3888"/>
        <w:gridCol w:w="5326"/>
      </w:tblGrid>
      <w:tr w:rsidR="009E09D9" w:rsidRPr="0030775A" w:rsidTr="007551E0">
        <w:trPr>
          <w:trHeight w:val="360"/>
        </w:trPr>
        <w:tc>
          <w:tcPr>
            <w:tcW w:w="3888" w:type="dxa"/>
            <w:shd w:val="clear" w:color="auto" w:fill="auto"/>
          </w:tcPr>
          <w:p w:rsidR="007551E0" w:rsidRDefault="009E09D9" w:rsidP="007551E0">
            <w:pPr>
              <w:widowControl w:val="0"/>
              <w:autoSpaceDE w:val="0"/>
              <w:autoSpaceDN w:val="0"/>
              <w:adjustRightInd w:val="0"/>
              <w:jc w:val="both"/>
              <w:rPr>
                <w:rFonts w:ascii="Calibri" w:hAnsi="Calibri" w:cs="Arial"/>
                <w:spacing w:val="-4"/>
                <w:sz w:val="30"/>
                <w:szCs w:val="30"/>
              </w:rPr>
            </w:pPr>
            <w:r w:rsidRPr="00015E28">
              <w:rPr>
                <w:rFonts w:ascii="Calibri" w:hAnsi="Calibri" w:cs="Arial"/>
                <w:spacing w:val="-4"/>
                <w:sz w:val="30"/>
                <w:szCs w:val="30"/>
              </w:rPr>
              <w:t xml:space="preserve">       </w:t>
            </w:r>
          </w:p>
          <w:p w:rsidR="00503833" w:rsidRDefault="00503833" w:rsidP="007551E0">
            <w:pPr>
              <w:widowControl w:val="0"/>
              <w:autoSpaceDE w:val="0"/>
              <w:autoSpaceDN w:val="0"/>
              <w:adjustRightInd w:val="0"/>
              <w:jc w:val="both"/>
              <w:rPr>
                <w:rFonts w:ascii="Calibri" w:hAnsi="Calibri" w:cs="Arial"/>
                <w:spacing w:val="-4"/>
                <w:sz w:val="30"/>
                <w:szCs w:val="30"/>
              </w:rPr>
            </w:pPr>
          </w:p>
          <w:p w:rsidR="009E09D9" w:rsidRPr="00015E28" w:rsidRDefault="009E09D9" w:rsidP="007551E0">
            <w:pPr>
              <w:widowControl w:val="0"/>
              <w:autoSpaceDE w:val="0"/>
              <w:autoSpaceDN w:val="0"/>
              <w:adjustRightInd w:val="0"/>
              <w:ind w:firstLine="720"/>
              <w:jc w:val="both"/>
              <w:rPr>
                <w:rFonts w:ascii="Calibri" w:hAnsi="Calibri" w:cs="Arial"/>
                <w:sz w:val="30"/>
                <w:szCs w:val="30"/>
              </w:rPr>
            </w:pPr>
            <w:r w:rsidRPr="00860331">
              <w:rPr>
                <w:rFonts w:ascii="Calibri" w:hAnsi="Calibri" w:cs="Arial"/>
                <w:spacing w:val="-4"/>
                <w:sz w:val="30"/>
                <w:szCs w:val="30"/>
              </w:rPr>
              <w:t>При этом тарифы в СМК</w:t>
            </w:r>
            <w:r w:rsidR="00F50CF9" w:rsidRPr="00860331">
              <w:rPr>
                <w:rFonts w:ascii="Calibri" w:hAnsi="Calibri" w:cs="Arial"/>
                <w:spacing w:val="-4"/>
                <w:sz w:val="30"/>
                <w:szCs w:val="30"/>
              </w:rPr>
              <w:t xml:space="preserve"> дифференцированы по времени и </w:t>
            </w:r>
            <w:r w:rsidRPr="00860331">
              <w:rPr>
                <w:rFonts w:ascii="Calibri" w:hAnsi="Calibri" w:cs="Arial"/>
                <w:spacing w:val="-4"/>
                <w:sz w:val="30"/>
                <w:szCs w:val="30"/>
              </w:rPr>
              <w:t xml:space="preserve"> составляют от 9 до 22 тенге за платеж.</w:t>
            </w:r>
            <w:r w:rsidRPr="00015E28">
              <w:rPr>
                <w:rFonts w:ascii="Calibri" w:hAnsi="Calibri" w:cs="Arial"/>
                <w:spacing w:val="-4"/>
                <w:sz w:val="30"/>
                <w:szCs w:val="30"/>
              </w:rPr>
              <w:t xml:space="preserve"> </w:t>
            </w:r>
          </w:p>
        </w:tc>
        <w:tc>
          <w:tcPr>
            <w:tcW w:w="5326" w:type="dxa"/>
            <w:shd w:val="clear" w:color="auto" w:fill="auto"/>
          </w:tcPr>
          <w:p w:rsidR="00503833" w:rsidRDefault="00503833" w:rsidP="00015E28">
            <w:pPr>
              <w:widowControl w:val="0"/>
              <w:jc w:val="center"/>
              <w:rPr>
                <w:rFonts w:ascii="Calibri" w:hAnsi="Calibri" w:cs="Arial"/>
                <w:b/>
                <w:color w:val="0E4C28"/>
                <w:sz w:val="28"/>
                <w:szCs w:val="28"/>
              </w:rPr>
            </w:pPr>
          </w:p>
          <w:p w:rsidR="009E09D9" w:rsidRPr="00015E28" w:rsidRDefault="00AE15B3" w:rsidP="00015E28">
            <w:pPr>
              <w:widowControl w:val="0"/>
              <w:jc w:val="center"/>
              <w:rPr>
                <w:rFonts w:ascii="Calibri" w:hAnsi="Calibri" w:cs="Arial"/>
                <w:b/>
                <w:color w:val="0E4C28"/>
                <w:sz w:val="28"/>
                <w:szCs w:val="28"/>
              </w:rPr>
            </w:pPr>
            <w:r>
              <w:rPr>
                <w:rFonts w:ascii="Calibri" w:hAnsi="Calibri" w:cs="Arial"/>
                <w:b/>
                <w:color w:val="0E4C28"/>
                <w:sz w:val="28"/>
                <w:szCs w:val="28"/>
              </w:rPr>
              <w:t xml:space="preserve">Тарифы </w:t>
            </w:r>
            <w:r w:rsidR="009E09D9" w:rsidRPr="00015E28">
              <w:rPr>
                <w:rFonts w:ascii="Calibri" w:hAnsi="Calibri" w:cs="Arial"/>
                <w:b/>
                <w:color w:val="0E4C28"/>
                <w:sz w:val="28"/>
                <w:szCs w:val="28"/>
              </w:rPr>
              <w:t>в СМК</w:t>
            </w:r>
          </w:p>
          <w:tbl>
            <w:tblPr>
              <w:tblpPr w:leftFromText="180" w:rightFromText="180" w:vertAnchor="text" w:horzAnchor="margin" w:tblpY="155"/>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24"/>
              <w:gridCol w:w="1276"/>
            </w:tblGrid>
            <w:tr w:rsidR="00AE15B3" w:rsidRPr="0030775A" w:rsidTr="007D0CC8">
              <w:trPr>
                <w:trHeight w:val="255"/>
              </w:trPr>
              <w:tc>
                <w:tcPr>
                  <w:tcW w:w="3824" w:type="dxa"/>
                  <w:shd w:val="clear" w:color="auto" w:fill="C2D69B"/>
                  <w:vAlign w:val="center"/>
                </w:tcPr>
                <w:p w:rsidR="00AE15B3" w:rsidRPr="00322F31" w:rsidRDefault="00AE15B3" w:rsidP="009E09D9">
                  <w:pPr>
                    <w:widowControl w:val="0"/>
                    <w:jc w:val="center"/>
                    <w:rPr>
                      <w:rFonts w:ascii="Calibri" w:hAnsi="Calibri" w:cs="Arial"/>
                      <w:b/>
                      <w:sz w:val="22"/>
                      <w:szCs w:val="22"/>
                    </w:rPr>
                  </w:pPr>
                  <w:r w:rsidRPr="00322F31">
                    <w:rPr>
                      <w:rFonts w:ascii="Calibri" w:hAnsi="Calibri" w:cs="Arial"/>
                      <w:b/>
                      <w:bCs/>
                      <w:sz w:val="22"/>
                      <w:szCs w:val="22"/>
                    </w:rPr>
                    <w:t>Время расчета</w:t>
                  </w:r>
                </w:p>
              </w:tc>
              <w:tc>
                <w:tcPr>
                  <w:tcW w:w="1276" w:type="dxa"/>
                  <w:shd w:val="clear" w:color="auto" w:fill="C2D69B"/>
                  <w:vAlign w:val="center"/>
                </w:tcPr>
                <w:p w:rsidR="00AE15B3" w:rsidRPr="00322F31" w:rsidRDefault="00AE15B3" w:rsidP="009E09D9">
                  <w:pPr>
                    <w:widowControl w:val="0"/>
                    <w:jc w:val="center"/>
                    <w:rPr>
                      <w:rFonts w:ascii="Calibri" w:hAnsi="Calibri" w:cs="Arial"/>
                      <w:b/>
                      <w:sz w:val="22"/>
                      <w:szCs w:val="22"/>
                    </w:rPr>
                  </w:pPr>
                  <w:r w:rsidRPr="00322F31">
                    <w:rPr>
                      <w:rFonts w:ascii="Calibri" w:hAnsi="Calibri" w:cs="Arial"/>
                      <w:b/>
                      <w:sz w:val="22"/>
                      <w:szCs w:val="22"/>
                    </w:rPr>
                    <w:t>тариф</w:t>
                  </w:r>
                </w:p>
              </w:tc>
            </w:tr>
            <w:tr w:rsidR="00AE15B3" w:rsidRPr="0030775A" w:rsidTr="007D0CC8">
              <w:trPr>
                <w:trHeight w:val="255"/>
              </w:trPr>
              <w:tc>
                <w:tcPr>
                  <w:tcW w:w="3824" w:type="dxa"/>
                  <w:shd w:val="clear" w:color="auto" w:fill="EAF1DD"/>
                  <w:vAlign w:val="bottom"/>
                </w:tcPr>
                <w:p w:rsidR="00AE15B3" w:rsidRPr="00322F31" w:rsidRDefault="00AE15B3" w:rsidP="009E09D9">
                  <w:pPr>
                    <w:widowControl w:val="0"/>
                    <w:rPr>
                      <w:rFonts w:ascii="Calibri" w:hAnsi="Calibri" w:cs="Arial"/>
                      <w:sz w:val="22"/>
                      <w:szCs w:val="22"/>
                    </w:rPr>
                  </w:pPr>
                  <w:r w:rsidRPr="00322F31">
                    <w:rPr>
                      <w:rFonts w:ascii="Calibri" w:hAnsi="Calibri" w:cs="Arial"/>
                      <w:sz w:val="22"/>
                      <w:szCs w:val="22"/>
                    </w:rPr>
                    <w:t>с 16-00 до 09-00</w:t>
                  </w:r>
                </w:p>
              </w:tc>
              <w:tc>
                <w:tcPr>
                  <w:tcW w:w="1276" w:type="dxa"/>
                  <w:vAlign w:val="bottom"/>
                </w:tcPr>
                <w:p w:rsidR="00AE15B3" w:rsidRPr="00322F31" w:rsidRDefault="00AE15B3" w:rsidP="009E09D9">
                  <w:pPr>
                    <w:widowControl w:val="0"/>
                    <w:jc w:val="right"/>
                    <w:rPr>
                      <w:rFonts w:ascii="Calibri" w:hAnsi="Calibri" w:cs="Arial"/>
                      <w:sz w:val="22"/>
                      <w:szCs w:val="22"/>
                    </w:rPr>
                  </w:pPr>
                  <w:r w:rsidRPr="00322F31">
                    <w:rPr>
                      <w:rFonts w:ascii="Calibri" w:hAnsi="Calibri" w:cs="Arial"/>
                      <w:sz w:val="22"/>
                      <w:szCs w:val="22"/>
                    </w:rPr>
                    <w:t>9 тенге</w:t>
                  </w:r>
                </w:p>
              </w:tc>
            </w:tr>
            <w:tr w:rsidR="00AE15B3" w:rsidRPr="0030775A" w:rsidTr="007D0CC8">
              <w:trPr>
                <w:trHeight w:val="255"/>
              </w:trPr>
              <w:tc>
                <w:tcPr>
                  <w:tcW w:w="3824" w:type="dxa"/>
                  <w:shd w:val="clear" w:color="auto" w:fill="EAF1DD"/>
                  <w:vAlign w:val="bottom"/>
                </w:tcPr>
                <w:p w:rsidR="00AE15B3" w:rsidRPr="00322F31" w:rsidRDefault="00AE15B3" w:rsidP="009E09D9">
                  <w:pPr>
                    <w:widowControl w:val="0"/>
                    <w:rPr>
                      <w:rFonts w:ascii="Calibri" w:hAnsi="Calibri" w:cs="Arial"/>
                      <w:sz w:val="22"/>
                      <w:szCs w:val="22"/>
                    </w:rPr>
                  </w:pPr>
                  <w:r w:rsidRPr="00322F31">
                    <w:rPr>
                      <w:rFonts w:ascii="Calibri" w:hAnsi="Calibri" w:cs="Arial"/>
                      <w:sz w:val="22"/>
                      <w:szCs w:val="22"/>
                    </w:rPr>
                    <w:t>с 09-00 до 13-00</w:t>
                  </w:r>
                </w:p>
              </w:tc>
              <w:tc>
                <w:tcPr>
                  <w:tcW w:w="1276" w:type="dxa"/>
                  <w:vAlign w:val="bottom"/>
                </w:tcPr>
                <w:p w:rsidR="00AE15B3" w:rsidRPr="00322F31" w:rsidRDefault="00AE15B3" w:rsidP="009E09D9">
                  <w:pPr>
                    <w:widowControl w:val="0"/>
                    <w:jc w:val="right"/>
                    <w:rPr>
                      <w:rFonts w:ascii="Calibri" w:hAnsi="Calibri" w:cs="Arial"/>
                      <w:sz w:val="22"/>
                      <w:szCs w:val="22"/>
                    </w:rPr>
                  </w:pPr>
                  <w:r w:rsidRPr="00322F31">
                    <w:rPr>
                      <w:rFonts w:ascii="Calibri" w:hAnsi="Calibri" w:cs="Arial"/>
                      <w:sz w:val="22"/>
                      <w:szCs w:val="22"/>
                    </w:rPr>
                    <w:t>11 тенге</w:t>
                  </w:r>
                </w:p>
              </w:tc>
            </w:tr>
            <w:tr w:rsidR="00AE15B3" w:rsidRPr="0030775A" w:rsidTr="007D0CC8">
              <w:trPr>
                <w:trHeight w:val="255"/>
              </w:trPr>
              <w:tc>
                <w:tcPr>
                  <w:tcW w:w="3824" w:type="dxa"/>
                  <w:shd w:val="clear" w:color="auto" w:fill="EAF1DD"/>
                  <w:vAlign w:val="bottom"/>
                </w:tcPr>
                <w:p w:rsidR="00AE15B3" w:rsidRPr="00322F31" w:rsidRDefault="00AE15B3" w:rsidP="009E09D9">
                  <w:pPr>
                    <w:widowControl w:val="0"/>
                    <w:rPr>
                      <w:rFonts w:ascii="Calibri" w:hAnsi="Calibri" w:cs="Arial"/>
                      <w:sz w:val="22"/>
                      <w:szCs w:val="22"/>
                    </w:rPr>
                  </w:pPr>
                  <w:r w:rsidRPr="00322F31">
                    <w:rPr>
                      <w:rFonts w:ascii="Calibri" w:hAnsi="Calibri" w:cs="Arial"/>
                      <w:sz w:val="22"/>
                      <w:szCs w:val="22"/>
                    </w:rPr>
                    <w:t>с 13-00 до 16-00</w:t>
                  </w:r>
                </w:p>
              </w:tc>
              <w:tc>
                <w:tcPr>
                  <w:tcW w:w="1276" w:type="dxa"/>
                  <w:vAlign w:val="bottom"/>
                </w:tcPr>
                <w:p w:rsidR="00AE15B3" w:rsidRPr="00322F31" w:rsidRDefault="00AE15B3" w:rsidP="009E09D9">
                  <w:pPr>
                    <w:widowControl w:val="0"/>
                    <w:jc w:val="right"/>
                    <w:rPr>
                      <w:rFonts w:ascii="Calibri" w:hAnsi="Calibri" w:cs="Arial"/>
                      <w:sz w:val="22"/>
                      <w:szCs w:val="22"/>
                    </w:rPr>
                  </w:pPr>
                  <w:r w:rsidRPr="00322F31">
                    <w:rPr>
                      <w:rFonts w:ascii="Calibri" w:hAnsi="Calibri" w:cs="Arial"/>
                      <w:sz w:val="22"/>
                      <w:szCs w:val="22"/>
                    </w:rPr>
                    <w:t>22 тенге</w:t>
                  </w:r>
                </w:p>
              </w:tc>
            </w:tr>
            <w:tr w:rsidR="00AE15B3" w:rsidRPr="0030775A" w:rsidTr="007D0CC8">
              <w:trPr>
                <w:trHeight w:val="255"/>
              </w:trPr>
              <w:tc>
                <w:tcPr>
                  <w:tcW w:w="3824" w:type="dxa"/>
                  <w:shd w:val="clear" w:color="auto" w:fill="C2D69B"/>
                  <w:vAlign w:val="bottom"/>
                </w:tcPr>
                <w:p w:rsidR="00AE15B3" w:rsidRPr="00015E28" w:rsidRDefault="00AE15B3" w:rsidP="009E09D9">
                  <w:pPr>
                    <w:widowControl w:val="0"/>
                    <w:rPr>
                      <w:rFonts w:ascii="Calibri" w:hAnsi="Calibri" w:cs="Arial"/>
                      <w:b/>
                      <w:sz w:val="20"/>
                      <w:szCs w:val="20"/>
                    </w:rPr>
                  </w:pPr>
                  <w:r w:rsidRPr="00015E28">
                    <w:rPr>
                      <w:rFonts w:ascii="Calibri" w:hAnsi="Calibri" w:cs="Arial"/>
                      <w:b/>
                      <w:sz w:val="20"/>
                      <w:szCs w:val="20"/>
                    </w:rPr>
                    <w:t>Итого</w:t>
                  </w:r>
                </w:p>
              </w:tc>
              <w:tc>
                <w:tcPr>
                  <w:tcW w:w="1276" w:type="dxa"/>
                  <w:shd w:val="clear" w:color="auto" w:fill="C2D69B"/>
                  <w:vAlign w:val="bottom"/>
                </w:tcPr>
                <w:p w:rsidR="00AE15B3" w:rsidRPr="00015E28" w:rsidRDefault="00AE15B3" w:rsidP="009E09D9">
                  <w:pPr>
                    <w:widowControl w:val="0"/>
                    <w:jc w:val="right"/>
                    <w:rPr>
                      <w:rFonts w:ascii="Calibri" w:hAnsi="Calibri" w:cs="Arial"/>
                      <w:sz w:val="20"/>
                      <w:szCs w:val="20"/>
                    </w:rPr>
                  </w:pPr>
                </w:p>
              </w:tc>
            </w:tr>
          </w:tbl>
          <w:p w:rsidR="009E09D9" w:rsidRPr="00015E28" w:rsidRDefault="009E09D9" w:rsidP="00015E28">
            <w:pPr>
              <w:widowControl w:val="0"/>
              <w:jc w:val="both"/>
              <w:rPr>
                <w:rFonts w:ascii="Calibri" w:hAnsi="Calibri"/>
                <w:sz w:val="28"/>
                <w:szCs w:val="28"/>
              </w:rPr>
            </w:pPr>
          </w:p>
        </w:tc>
      </w:tr>
    </w:tbl>
    <w:p w:rsidR="0082483E" w:rsidRPr="0082483E" w:rsidRDefault="0082483E" w:rsidP="009E09D9">
      <w:pPr>
        <w:widowControl w:val="0"/>
        <w:autoSpaceDE w:val="0"/>
        <w:autoSpaceDN w:val="0"/>
        <w:adjustRightInd w:val="0"/>
        <w:ind w:firstLine="720"/>
        <w:jc w:val="both"/>
        <w:rPr>
          <w:rFonts w:ascii="Calibri" w:hAnsi="Calibri" w:cs="Arial"/>
          <w:spacing w:val="-4"/>
          <w:sz w:val="28"/>
          <w:szCs w:val="28"/>
        </w:rPr>
      </w:pPr>
    </w:p>
    <w:p w:rsidR="00E909F9" w:rsidRPr="00446474" w:rsidRDefault="00A30B7D" w:rsidP="00E909F9">
      <w:pPr>
        <w:pStyle w:val="1"/>
        <w:widowControl w:val="0"/>
        <w:pBdr>
          <w:bottom w:val="single" w:sz="12" w:space="1" w:color="auto"/>
        </w:pBdr>
        <w:tabs>
          <w:tab w:val="left" w:pos="561"/>
        </w:tabs>
        <w:spacing w:before="0" w:after="0" w:line="233" w:lineRule="auto"/>
        <w:rPr>
          <w:rFonts w:ascii="Calibri" w:hAnsi="Calibri"/>
          <w:bCs w:val="0"/>
          <w:snapToGrid w:val="0"/>
          <w:color w:val="0E4C28"/>
          <w:spacing w:val="-2"/>
          <w:kern w:val="0"/>
        </w:rPr>
      </w:pPr>
      <w:bookmarkStart w:id="117" w:name="_Toc481418199"/>
      <w:r>
        <w:rPr>
          <w:rFonts w:ascii="Calibri" w:hAnsi="Calibri"/>
          <w:bCs w:val="0"/>
          <w:snapToGrid w:val="0"/>
          <w:color w:val="0E4C28"/>
          <w:spacing w:val="-2"/>
          <w:kern w:val="0"/>
        </w:rPr>
        <w:t>1</w:t>
      </w:r>
      <w:r w:rsidR="00E909F9" w:rsidRPr="00015E28">
        <w:rPr>
          <w:rFonts w:ascii="Calibri" w:hAnsi="Calibri"/>
          <w:bCs w:val="0"/>
          <w:snapToGrid w:val="0"/>
          <w:color w:val="0E4C28"/>
          <w:spacing w:val="-2"/>
          <w:kern w:val="0"/>
        </w:rPr>
        <w:t>.</w:t>
      </w:r>
      <w:r w:rsidR="00141516">
        <w:rPr>
          <w:rFonts w:ascii="Calibri" w:hAnsi="Calibri"/>
          <w:bCs w:val="0"/>
          <w:snapToGrid w:val="0"/>
          <w:color w:val="0E4C28"/>
          <w:spacing w:val="-2"/>
          <w:kern w:val="0"/>
        </w:rPr>
        <w:t>6</w:t>
      </w:r>
      <w:r w:rsidR="00E909F9" w:rsidRPr="00015E28">
        <w:rPr>
          <w:rFonts w:ascii="Calibri" w:hAnsi="Calibri"/>
          <w:bCs w:val="0"/>
          <w:snapToGrid w:val="0"/>
          <w:color w:val="0E4C28"/>
          <w:spacing w:val="-2"/>
          <w:kern w:val="0"/>
        </w:rPr>
        <w:t xml:space="preserve">. </w:t>
      </w:r>
      <w:r w:rsidR="00E909F9" w:rsidRPr="00446474">
        <w:rPr>
          <w:rFonts w:ascii="Calibri" w:hAnsi="Calibri"/>
          <w:bCs w:val="0"/>
          <w:snapToGrid w:val="0"/>
          <w:color w:val="0E4C28"/>
          <w:spacing w:val="-2"/>
          <w:kern w:val="0"/>
        </w:rPr>
        <w:t xml:space="preserve">Ликвидность </w:t>
      </w:r>
      <w:r w:rsidR="00075ABC">
        <w:rPr>
          <w:rFonts w:ascii="Calibri" w:hAnsi="Calibri"/>
          <w:bCs w:val="0"/>
          <w:snapToGrid w:val="0"/>
          <w:color w:val="0E4C28"/>
          <w:spacing w:val="-2"/>
          <w:kern w:val="0"/>
        </w:rPr>
        <w:t xml:space="preserve"> и оборачиваемость денег </w:t>
      </w:r>
      <w:r w:rsidR="00E909F9" w:rsidRPr="00446474">
        <w:rPr>
          <w:rFonts w:ascii="Calibri" w:hAnsi="Calibri"/>
          <w:bCs w:val="0"/>
          <w:snapToGrid w:val="0"/>
          <w:color w:val="0E4C28"/>
          <w:spacing w:val="-2"/>
          <w:kern w:val="0"/>
        </w:rPr>
        <w:t xml:space="preserve">в </w:t>
      </w:r>
      <w:r w:rsidR="00FB4CF4">
        <w:rPr>
          <w:rFonts w:ascii="Calibri" w:hAnsi="Calibri"/>
          <w:bCs w:val="0"/>
          <w:snapToGrid w:val="0"/>
          <w:color w:val="0E4C28"/>
          <w:spacing w:val="-2"/>
          <w:kern w:val="0"/>
        </w:rPr>
        <w:t>платежных системах</w:t>
      </w:r>
      <w:bookmarkEnd w:id="117"/>
    </w:p>
    <w:p w:rsidR="00E909F9" w:rsidRPr="00015E28" w:rsidRDefault="00E909F9" w:rsidP="00E909F9">
      <w:pPr>
        <w:ind w:firstLine="709"/>
        <w:jc w:val="both"/>
        <w:rPr>
          <w:rFonts w:ascii="Calibri" w:hAnsi="Calibri"/>
          <w:sz w:val="30"/>
          <w:szCs w:val="30"/>
        </w:rPr>
      </w:pPr>
      <w:r w:rsidRPr="00446474">
        <w:rPr>
          <w:rFonts w:ascii="Calibri" w:hAnsi="Calibri"/>
          <w:sz w:val="30"/>
          <w:szCs w:val="30"/>
        </w:rPr>
        <w:t xml:space="preserve">В </w:t>
      </w:r>
      <w:proofErr w:type="gramStart"/>
      <w:r w:rsidRPr="00446474">
        <w:rPr>
          <w:rFonts w:ascii="Calibri" w:hAnsi="Calibri"/>
          <w:sz w:val="30"/>
          <w:szCs w:val="30"/>
        </w:rPr>
        <w:t>целях</w:t>
      </w:r>
      <w:proofErr w:type="gramEnd"/>
      <w:r w:rsidRPr="00446474">
        <w:rPr>
          <w:rFonts w:ascii="Calibri" w:hAnsi="Calibri"/>
          <w:sz w:val="30"/>
          <w:szCs w:val="30"/>
        </w:rPr>
        <w:t xml:space="preserve"> управления риском ликвидности и системным риском в платежных систем, при реализации которых возможно значительное влияние на финансовую стабильность страны, Национальным Банком</w:t>
      </w:r>
      <w:r w:rsidR="00446474">
        <w:rPr>
          <w:rFonts w:ascii="Calibri" w:hAnsi="Calibri"/>
          <w:sz w:val="30"/>
          <w:szCs w:val="30"/>
        </w:rPr>
        <w:t xml:space="preserve"> Казахстан</w:t>
      </w:r>
      <w:r w:rsidR="00842C3A">
        <w:rPr>
          <w:rFonts w:ascii="Calibri" w:hAnsi="Calibri"/>
          <w:sz w:val="30"/>
          <w:szCs w:val="30"/>
        </w:rPr>
        <w:t>а</w:t>
      </w:r>
      <w:r w:rsidRPr="00446474">
        <w:rPr>
          <w:rFonts w:ascii="Calibri" w:hAnsi="Calibri"/>
          <w:sz w:val="30"/>
          <w:szCs w:val="30"/>
        </w:rPr>
        <w:t xml:space="preserve"> и участниками платежных сист</w:t>
      </w:r>
      <w:r w:rsidRPr="00015E28">
        <w:rPr>
          <w:rFonts w:ascii="Calibri" w:hAnsi="Calibri"/>
          <w:sz w:val="30"/>
          <w:szCs w:val="30"/>
        </w:rPr>
        <w:t xml:space="preserve">ем на постоянной основе проводится мониторинг и контроль позиций </w:t>
      </w:r>
      <w:r w:rsidR="00446474">
        <w:rPr>
          <w:rFonts w:ascii="Calibri" w:hAnsi="Calibri"/>
          <w:sz w:val="30"/>
          <w:szCs w:val="30"/>
        </w:rPr>
        <w:t>участников</w:t>
      </w:r>
      <w:r w:rsidRPr="00015E28">
        <w:rPr>
          <w:rFonts w:ascii="Calibri" w:hAnsi="Calibri"/>
          <w:sz w:val="30"/>
          <w:szCs w:val="30"/>
        </w:rPr>
        <w:t xml:space="preserve"> в системах. </w:t>
      </w:r>
    </w:p>
    <w:p w:rsidR="00E909F9" w:rsidRPr="00860331" w:rsidRDefault="00E909F9" w:rsidP="00071E84">
      <w:pPr>
        <w:ind w:firstLine="709"/>
        <w:jc w:val="both"/>
        <w:rPr>
          <w:rFonts w:ascii="Calibri" w:hAnsi="Calibri"/>
          <w:spacing w:val="-4"/>
          <w:sz w:val="30"/>
          <w:szCs w:val="30"/>
        </w:rPr>
      </w:pPr>
      <w:r w:rsidRPr="007551E0">
        <w:rPr>
          <w:rFonts w:ascii="Calibri" w:hAnsi="Calibri"/>
          <w:spacing w:val="-4"/>
          <w:sz w:val="30"/>
          <w:szCs w:val="30"/>
        </w:rPr>
        <w:t xml:space="preserve">Среднедневной объем ликвидности в МСПД (сумма денег, переводимая пользователями в систему для осуществления платежей и переводов денег) составил за 2016 год </w:t>
      </w:r>
      <w:r w:rsidRPr="007551E0">
        <w:rPr>
          <w:rFonts w:ascii="Calibri" w:hAnsi="Calibri"/>
          <w:b/>
          <w:spacing w:val="-4"/>
          <w:sz w:val="30"/>
          <w:szCs w:val="30"/>
        </w:rPr>
        <w:t xml:space="preserve">1 072,8 млрд. тенге, увеличившись </w:t>
      </w:r>
      <w:r w:rsidRPr="00860331">
        <w:rPr>
          <w:rFonts w:ascii="Calibri" w:hAnsi="Calibri"/>
          <w:b/>
          <w:spacing w:val="-4"/>
          <w:sz w:val="30"/>
          <w:szCs w:val="30"/>
        </w:rPr>
        <w:t>по сравнению с 2015 годом на 24,7% (</w:t>
      </w:r>
      <w:r w:rsidRPr="00860331">
        <w:rPr>
          <w:rFonts w:ascii="Calibri" w:hAnsi="Calibri"/>
          <w:b/>
          <w:spacing w:val="-4"/>
          <w:sz w:val="30"/>
          <w:szCs w:val="30"/>
        </w:rPr>
        <w:tab/>
        <w:t>212,5</w:t>
      </w:r>
      <w:r w:rsidR="007551E0" w:rsidRPr="00860331">
        <w:rPr>
          <w:rFonts w:ascii="Calibri" w:hAnsi="Calibri"/>
          <w:b/>
          <w:spacing w:val="-4"/>
          <w:sz w:val="30"/>
          <w:szCs w:val="30"/>
        </w:rPr>
        <w:t xml:space="preserve"> </w:t>
      </w:r>
      <w:r w:rsidRPr="00860331">
        <w:rPr>
          <w:rFonts w:ascii="Calibri" w:hAnsi="Calibri"/>
          <w:b/>
          <w:spacing w:val="-4"/>
          <w:sz w:val="30"/>
          <w:szCs w:val="30"/>
        </w:rPr>
        <w:t>млрд.</w:t>
      </w:r>
      <w:r w:rsidR="007551E0" w:rsidRPr="00860331">
        <w:rPr>
          <w:rFonts w:ascii="Calibri" w:hAnsi="Calibri"/>
          <w:b/>
          <w:spacing w:val="-4"/>
          <w:sz w:val="30"/>
          <w:szCs w:val="30"/>
        </w:rPr>
        <w:t xml:space="preserve"> т</w:t>
      </w:r>
      <w:r w:rsidRPr="00860331">
        <w:rPr>
          <w:rFonts w:ascii="Calibri" w:hAnsi="Calibri"/>
          <w:b/>
          <w:spacing w:val="-4"/>
          <w:sz w:val="30"/>
          <w:szCs w:val="30"/>
        </w:rPr>
        <w:t>енге).</w:t>
      </w:r>
      <w:r w:rsidR="00071E84">
        <w:rPr>
          <w:rFonts w:ascii="Calibri" w:hAnsi="Calibri"/>
          <w:b/>
          <w:spacing w:val="-4"/>
          <w:sz w:val="30"/>
          <w:szCs w:val="30"/>
        </w:rPr>
        <w:t xml:space="preserve"> </w:t>
      </w:r>
      <w:r w:rsidRPr="00860331">
        <w:rPr>
          <w:rFonts w:ascii="Calibri" w:hAnsi="Calibri"/>
          <w:spacing w:val="-4"/>
          <w:sz w:val="30"/>
          <w:szCs w:val="30"/>
        </w:rPr>
        <w:t xml:space="preserve">По сравнению с 2007 годом ликвидность в МСПД выросла на 84,9%, что способствовало значительному снижению кредитных и ликвидных рисков. </w:t>
      </w:r>
    </w:p>
    <w:p w:rsidR="006E2AC8" w:rsidRDefault="006E2AC8" w:rsidP="00E909F9">
      <w:pPr>
        <w:jc w:val="center"/>
        <w:rPr>
          <w:rFonts w:ascii="Calibri" w:hAnsi="Calibri" w:cs="Arial"/>
          <w:b/>
          <w:color w:val="0E4C28"/>
          <w:sz w:val="28"/>
          <w:szCs w:val="28"/>
        </w:rPr>
      </w:pPr>
    </w:p>
    <w:p w:rsidR="006E2AC8" w:rsidRDefault="006E2AC8" w:rsidP="00E909F9">
      <w:pPr>
        <w:jc w:val="center"/>
        <w:rPr>
          <w:rFonts w:ascii="Calibri" w:hAnsi="Calibri" w:cs="Arial"/>
          <w:b/>
          <w:color w:val="0E4C28"/>
          <w:sz w:val="28"/>
          <w:szCs w:val="28"/>
        </w:rPr>
      </w:pPr>
    </w:p>
    <w:p w:rsidR="006E2AC8" w:rsidRDefault="006E2AC8" w:rsidP="00E909F9">
      <w:pPr>
        <w:jc w:val="center"/>
        <w:rPr>
          <w:rFonts w:ascii="Calibri" w:hAnsi="Calibri" w:cs="Arial"/>
          <w:b/>
          <w:color w:val="0E4C28"/>
          <w:sz w:val="28"/>
          <w:szCs w:val="28"/>
        </w:rPr>
      </w:pPr>
    </w:p>
    <w:p w:rsidR="006E2AC8" w:rsidRDefault="006E2AC8" w:rsidP="00E909F9">
      <w:pPr>
        <w:jc w:val="center"/>
        <w:rPr>
          <w:rFonts w:ascii="Calibri" w:hAnsi="Calibri" w:cs="Arial"/>
          <w:b/>
          <w:color w:val="0E4C28"/>
          <w:sz w:val="28"/>
          <w:szCs w:val="28"/>
        </w:rPr>
      </w:pPr>
    </w:p>
    <w:p w:rsidR="006E2AC8" w:rsidRDefault="006E2AC8" w:rsidP="00E909F9">
      <w:pPr>
        <w:jc w:val="center"/>
        <w:rPr>
          <w:rFonts w:ascii="Calibri" w:hAnsi="Calibri" w:cs="Arial"/>
          <w:b/>
          <w:color w:val="0E4C28"/>
          <w:sz w:val="28"/>
          <w:szCs w:val="28"/>
        </w:rPr>
      </w:pPr>
    </w:p>
    <w:p w:rsidR="00E909F9" w:rsidRPr="00E909F9" w:rsidRDefault="00E909F9" w:rsidP="00E909F9">
      <w:pPr>
        <w:jc w:val="center"/>
        <w:rPr>
          <w:rFonts w:ascii="Calibri" w:hAnsi="Calibri" w:cs="Arial"/>
          <w:b/>
          <w:color w:val="0E4C28"/>
          <w:sz w:val="28"/>
          <w:szCs w:val="28"/>
        </w:rPr>
      </w:pPr>
      <w:r w:rsidRPr="00860331">
        <w:rPr>
          <w:rFonts w:ascii="Calibri" w:hAnsi="Calibri" w:cs="Arial"/>
          <w:b/>
          <w:color w:val="0E4C28"/>
          <w:sz w:val="28"/>
          <w:szCs w:val="28"/>
        </w:rPr>
        <w:lastRenderedPageBreak/>
        <w:t xml:space="preserve">Показатели ликвидности </w:t>
      </w:r>
      <w:r w:rsidR="00446474" w:rsidRPr="00860331">
        <w:rPr>
          <w:rFonts w:ascii="Calibri" w:hAnsi="Calibri" w:cs="Arial"/>
          <w:b/>
          <w:color w:val="0E4C28"/>
          <w:sz w:val="28"/>
          <w:szCs w:val="28"/>
        </w:rPr>
        <w:t>в</w:t>
      </w:r>
      <w:r w:rsidRPr="00860331">
        <w:rPr>
          <w:rFonts w:ascii="Calibri" w:hAnsi="Calibri" w:cs="Arial"/>
          <w:b/>
          <w:color w:val="0E4C28"/>
          <w:sz w:val="28"/>
          <w:szCs w:val="28"/>
        </w:rPr>
        <w:t xml:space="preserve"> МСПД</w:t>
      </w:r>
    </w:p>
    <w:p w:rsidR="00E909F9" w:rsidRPr="00015E28" w:rsidRDefault="00B41594" w:rsidP="00E909F9">
      <w:pPr>
        <w:tabs>
          <w:tab w:val="left" w:pos="993"/>
        </w:tabs>
        <w:jc w:val="both"/>
        <w:rPr>
          <w:rFonts w:ascii="Calibri" w:hAnsi="Calibri"/>
          <w:spacing w:val="-4"/>
          <w:sz w:val="30"/>
          <w:szCs w:val="30"/>
        </w:rPr>
      </w:pPr>
      <w:r>
        <w:rPr>
          <w:rFonts w:ascii="Calibri" w:hAnsi="Calibri"/>
          <w:noProof/>
          <w:sz w:val="30"/>
          <w:szCs w:val="30"/>
        </w:rPr>
        <w:drawing>
          <wp:inline distT="0" distB="0" distL="0" distR="0" wp14:anchorId="3D0FFB30" wp14:editId="292423BA">
            <wp:extent cx="5943600" cy="1904654"/>
            <wp:effectExtent l="0" t="0" r="0" b="635"/>
            <wp:docPr id="1" name="Объе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E909F9" w:rsidRPr="00015E28">
        <w:rPr>
          <w:rFonts w:ascii="Calibri" w:hAnsi="Calibri"/>
          <w:sz w:val="30"/>
          <w:szCs w:val="30"/>
        </w:rPr>
        <w:t xml:space="preserve"> </w:t>
      </w:r>
      <w:r w:rsidR="00E909F9" w:rsidRPr="00015E28">
        <w:rPr>
          <w:rFonts w:ascii="Calibri" w:hAnsi="Calibri"/>
          <w:sz w:val="30"/>
          <w:szCs w:val="30"/>
        </w:rPr>
        <w:tab/>
      </w:r>
      <w:r w:rsidR="00AE15B3">
        <w:rPr>
          <w:rFonts w:ascii="Calibri" w:hAnsi="Calibri"/>
          <w:spacing w:val="-4"/>
          <w:sz w:val="30"/>
          <w:szCs w:val="30"/>
        </w:rPr>
        <w:t>В</w:t>
      </w:r>
      <w:r w:rsidR="00E909F9" w:rsidRPr="00015E28">
        <w:rPr>
          <w:rFonts w:ascii="Calibri" w:hAnsi="Calibri"/>
          <w:spacing w:val="-4"/>
          <w:sz w:val="30"/>
          <w:szCs w:val="30"/>
        </w:rPr>
        <w:t xml:space="preserve"> 2016 году среднедневной объем ликвидности пользователей в МСПД составил 45,0% от среднедневной суммы платежей.</w:t>
      </w:r>
    </w:p>
    <w:p w:rsidR="006E2AC8" w:rsidRDefault="006E2AC8" w:rsidP="00E909F9">
      <w:pPr>
        <w:jc w:val="center"/>
        <w:rPr>
          <w:rFonts w:ascii="Calibri" w:hAnsi="Calibri" w:cs="Arial"/>
          <w:b/>
          <w:color w:val="0E4C28"/>
          <w:sz w:val="28"/>
          <w:szCs w:val="28"/>
        </w:rPr>
      </w:pPr>
    </w:p>
    <w:p w:rsidR="00E909F9" w:rsidRPr="00E909F9" w:rsidRDefault="00E909F9" w:rsidP="00E909F9">
      <w:pPr>
        <w:jc w:val="center"/>
        <w:rPr>
          <w:rFonts w:ascii="Calibri" w:hAnsi="Calibri" w:cs="Arial"/>
          <w:b/>
          <w:color w:val="0E4C28"/>
          <w:sz w:val="28"/>
          <w:szCs w:val="28"/>
        </w:rPr>
      </w:pPr>
      <w:r w:rsidRPr="00E909F9">
        <w:rPr>
          <w:rFonts w:ascii="Calibri" w:hAnsi="Calibri" w:cs="Arial"/>
          <w:b/>
          <w:color w:val="0E4C28"/>
          <w:sz w:val="28"/>
          <w:szCs w:val="28"/>
        </w:rPr>
        <w:t xml:space="preserve">Динамика изменения ликвидности </w:t>
      </w:r>
      <w:r w:rsidR="00446474">
        <w:rPr>
          <w:rFonts w:ascii="Calibri" w:hAnsi="Calibri" w:cs="Arial"/>
          <w:b/>
          <w:color w:val="0E4C28"/>
          <w:sz w:val="28"/>
          <w:szCs w:val="28"/>
        </w:rPr>
        <w:t xml:space="preserve">участников </w:t>
      </w:r>
      <w:r w:rsidRPr="00E909F9">
        <w:rPr>
          <w:rFonts w:ascii="Calibri" w:hAnsi="Calibri" w:cs="Arial"/>
          <w:b/>
          <w:color w:val="0E4C28"/>
          <w:sz w:val="28"/>
          <w:szCs w:val="28"/>
        </w:rPr>
        <w:t>МСПД в 2016 году</w:t>
      </w:r>
    </w:p>
    <w:p w:rsidR="00E909F9" w:rsidRDefault="00B41594" w:rsidP="00141516">
      <w:pPr>
        <w:jc w:val="both"/>
        <w:rPr>
          <w:rFonts w:ascii="Calibri" w:hAnsi="Calibri"/>
          <w:sz w:val="30"/>
          <w:szCs w:val="30"/>
        </w:rPr>
      </w:pPr>
      <w:r>
        <w:rPr>
          <w:rFonts w:ascii="Calibri" w:hAnsi="Calibri"/>
          <w:noProof/>
          <w:sz w:val="30"/>
          <w:szCs w:val="30"/>
        </w:rPr>
        <w:drawing>
          <wp:inline distT="0" distB="0" distL="0" distR="0" wp14:anchorId="6A7B4E64" wp14:editId="177B3888">
            <wp:extent cx="6057900" cy="1946217"/>
            <wp:effectExtent l="0" t="0" r="0" b="0"/>
            <wp:docPr id="16"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E2AC8" w:rsidRDefault="006E2AC8" w:rsidP="0035454E">
      <w:pPr>
        <w:ind w:firstLine="708"/>
        <w:jc w:val="both"/>
        <w:rPr>
          <w:rFonts w:ascii="Calibri" w:hAnsi="Calibri"/>
          <w:sz w:val="30"/>
          <w:szCs w:val="30"/>
        </w:rPr>
      </w:pPr>
    </w:p>
    <w:p w:rsidR="00E909F9" w:rsidRPr="00141516" w:rsidRDefault="00E909F9" w:rsidP="0035454E">
      <w:pPr>
        <w:ind w:firstLine="708"/>
        <w:jc w:val="both"/>
        <w:rPr>
          <w:rFonts w:ascii="Calibri" w:hAnsi="Calibri"/>
          <w:sz w:val="30"/>
          <w:szCs w:val="30"/>
        </w:rPr>
      </w:pPr>
      <w:r w:rsidRPr="00015E28">
        <w:rPr>
          <w:rFonts w:ascii="Calibri" w:hAnsi="Calibri"/>
          <w:sz w:val="30"/>
          <w:szCs w:val="30"/>
        </w:rPr>
        <w:t xml:space="preserve">В </w:t>
      </w:r>
      <w:r w:rsidR="00446474">
        <w:rPr>
          <w:rFonts w:ascii="Calibri" w:hAnsi="Calibri"/>
          <w:sz w:val="30"/>
          <w:szCs w:val="30"/>
        </w:rPr>
        <w:t>СМК</w:t>
      </w:r>
      <w:r w:rsidRPr="00015E28">
        <w:rPr>
          <w:rFonts w:ascii="Calibri" w:hAnsi="Calibri"/>
          <w:sz w:val="30"/>
          <w:szCs w:val="30"/>
        </w:rPr>
        <w:t xml:space="preserve"> для анализа эффективности  используется расчет коэффициента оборачиваемости денег, который </w:t>
      </w:r>
      <w:proofErr w:type="gramStart"/>
      <w:r w:rsidRPr="00015E28">
        <w:rPr>
          <w:rFonts w:ascii="Calibri" w:hAnsi="Calibri"/>
          <w:sz w:val="30"/>
          <w:szCs w:val="30"/>
        </w:rPr>
        <w:t>показывает сколько раз использовался</w:t>
      </w:r>
      <w:proofErr w:type="gramEnd"/>
      <w:r w:rsidRPr="00015E28">
        <w:rPr>
          <w:rFonts w:ascii="Calibri" w:hAnsi="Calibri"/>
          <w:sz w:val="30"/>
          <w:szCs w:val="30"/>
        </w:rPr>
        <w:t xml:space="preserve"> встречный поток денег</w:t>
      </w:r>
      <w:r w:rsidR="00446474">
        <w:rPr>
          <w:rFonts w:ascii="Calibri" w:hAnsi="Calibri"/>
          <w:sz w:val="30"/>
          <w:szCs w:val="30"/>
        </w:rPr>
        <w:t xml:space="preserve"> для проведения платежей</w:t>
      </w:r>
      <w:r w:rsidRPr="00015E28">
        <w:rPr>
          <w:rFonts w:ascii="Calibri" w:hAnsi="Calibri"/>
          <w:sz w:val="30"/>
          <w:szCs w:val="30"/>
        </w:rPr>
        <w:t xml:space="preserve">, а также анализ суммы чистой позиции </w:t>
      </w:r>
      <w:r w:rsidR="00446474">
        <w:rPr>
          <w:rFonts w:ascii="Calibri" w:hAnsi="Calibri"/>
          <w:sz w:val="30"/>
          <w:szCs w:val="30"/>
        </w:rPr>
        <w:t>участников системы</w:t>
      </w:r>
      <w:r w:rsidRPr="00015E28">
        <w:rPr>
          <w:rFonts w:ascii="Calibri" w:hAnsi="Calibri"/>
          <w:sz w:val="30"/>
          <w:szCs w:val="30"/>
        </w:rPr>
        <w:t>. Так, в 2016 году среднеднев</w:t>
      </w:r>
      <w:r w:rsidRPr="00141516">
        <w:rPr>
          <w:rFonts w:ascii="Calibri" w:hAnsi="Calibri"/>
          <w:sz w:val="30"/>
          <w:szCs w:val="30"/>
        </w:rPr>
        <w:t xml:space="preserve">ной </w:t>
      </w:r>
      <w:r w:rsidRPr="00141516">
        <w:rPr>
          <w:rFonts w:ascii="Calibri" w:hAnsi="Calibri"/>
          <w:b/>
          <w:sz w:val="30"/>
          <w:szCs w:val="30"/>
        </w:rPr>
        <w:t>КОД составил 5,0</w:t>
      </w:r>
      <w:r w:rsidR="00141516">
        <w:rPr>
          <w:rFonts w:ascii="Calibri" w:hAnsi="Calibri"/>
          <w:b/>
          <w:sz w:val="30"/>
          <w:szCs w:val="30"/>
        </w:rPr>
        <w:t xml:space="preserve"> </w:t>
      </w:r>
      <w:r w:rsidR="00141516" w:rsidRPr="00141516">
        <w:rPr>
          <w:rFonts w:ascii="Calibri" w:hAnsi="Calibri"/>
          <w:sz w:val="30"/>
          <w:szCs w:val="30"/>
        </w:rPr>
        <w:t xml:space="preserve">(к примеру, </w:t>
      </w:r>
      <w:r w:rsidR="00C91738">
        <w:rPr>
          <w:rFonts w:ascii="Calibri" w:hAnsi="Calibri"/>
          <w:sz w:val="30"/>
          <w:szCs w:val="30"/>
        </w:rPr>
        <w:t xml:space="preserve">при наличии </w:t>
      </w:r>
      <w:r w:rsidR="00141516" w:rsidRPr="00141516">
        <w:rPr>
          <w:rFonts w:ascii="Calibri" w:hAnsi="Calibri"/>
          <w:sz w:val="30"/>
          <w:szCs w:val="30"/>
        </w:rPr>
        <w:t>ликвидност</w:t>
      </w:r>
      <w:r w:rsidR="00C91738">
        <w:rPr>
          <w:rFonts w:ascii="Calibri" w:hAnsi="Calibri"/>
          <w:sz w:val="30"/>
          <w:szCs w:val="30"/>
        </w:rPr>
        <w:t>и</w:t>
      </w:r>
      <w:r w:rsidR="00141516" w:rsidRPr="00141516">
        <w:rPr>
          <w:rFonts w:ascii="Calibri" w:hAnsi="Calibri"/>
          <w:sz w:val="30"/>
          <w:szCs w:val="30"/>
        </w:rPr>
        <w:t xml:space="preserve"> в платежных системах на </w:t>
      </w:r>
      <w:r w:rsidR="00C91738">
        <w:rPr>
          <w:rFonts w:ascii="Calibri" w:hAnsi="Calibri"/>
          <w:sz w:val="30"/>
          <w:szCs w:val="30"/>
        </w:rPr>
        <w:t>1 единицу</w:t>
      </w:r>
      <w:r w:rsidR="00141516" w:rsidRPr="00141516">
        <w:rPr>
          <w:rFonts w:ascii="Calibri" w:hAnsi="Calibri"/>
          <w:sz w:val="30"/>
          <w:szCs w:val="30"/>
        </w:rPr>
        <w:t xml:space="preserve">, </w:t>
      </w:r>
      <w:r w:rsidR="00C91738">
        <w:rPr>
          <w:rFonts w:ascii="Calibri" w:hAnsi="Calibri"/>
          <w:sz w:val="30"/>
          <w:szCs w:val="30"/>
        </w:rPr>
        <w:t>в системе проводится за счет оборота встречных платежей 5 единиц</w:t>
      </w:r>
      <w:r w:rsidR="00141516" w:rsidRPr="00141516">
        <w:rPr>
          <w:rFonts w:ascii="Calibri" w:hAnsi="Calibri"/>
          <w:sz w:val="30"/>
          <w:szCs w:val="30"/>
        </w:rPr>
        <w:t>)</w:t>
      </w:r>
      <w:r w:rsidRPr="00141516">
        <w:rPr>
          <w:rFonts w:ascii="Calibri" w:hAnsi="Calibri"/>
          <w:sz w:val="30"/>
          <w:szCs w:val="30"/>
        </w:rPr>
        <w:t xml:space="preserve">. </w:t>
      </w:r>
    </w:p>
    <w:p w:rsidR="00E909F9" w:rsidRDefault="00E909F9" w:rsidP="0035454E">
      <w:pPr>
        <w:ind w:firstLine="708"/>
        <w:jc w:val="both"/>
        <w:rPr>
          <w:rFonts w:ascii="Calibri" w:hAnsi="Calibri"/>
          <w:sz w:val="30"/>
          <w:szCs w:val="30"/>
        </w:rPr>
      </w:pPr>
      <w:proofErr w:type="gramStart"/>
      <w:r w:rsidRPr="00860331">
        <w:rPr>
          <w:rFonts w:ascii="Calibri" w:hAnsi="Calibri"/>
          <w:sz w:val="30"/>
          <w:szCs w:val="30"/>
        </w:rPr>
        <w:t xml:space="preserve">При этом среднедневная сумма чистых позиций пользователей по результатам клиринга составила 5,1 млрд. тенге, что </w:t>
      </w:r>
      <w:r w:rsidR="00F50CF9" w:rsidRPr="00860331">
        <w:rPr>
          <w:rFonts w:ascii="Calibri" w:hAnsi="Calibri"/>
          <w:sz w:val="30"/>
          <w:szCs w:val="30"/>
        </w:rPr>
        <w:t>превышает показатель</w:t>
      </w:r>
      <w:r w:rsidRPr="00860331">
        <w:rPr>
          <w:rFonts w:ascii="Calibri" w:hAnsi="Calibri"/>
          <w:sz w:val="30"/>
          <w:szCs w:val="30"/>
        </w:rPr>
        <w:t xml:space="preserve"> 2015 год</w:t>
      </w:r>
      <w:r w:rsidR="00F50CF9" w:rsidRPr="00860331">
        <w:rPr>
          <w:rFonts w:ascii="Calibri" w:hAnsi="Calibri"/>
          <w:sz w:val="30"/>
          <w:szCs w:val="30"/>
        </w:rPr>
        <w:t>а</w:t>
      </w:r>
      <w:r w:rsidRPr="00860331">
        <w:rPr>
          <w:rFonts w:ascii="Calibri" w:hAnsi="Calibri"/>
          <w:sz w:val="30"/>
          <w:szCs w:val="30"/>
        </w:rPr>
        <w:t xml:space="preserve"> на 8,6%. </w:t>
      </w:r>
      <w:r w:rsidR="00446474" w:rsidRPr="00860331">
        <w:rPr>
          <w:rFonts w:ascii="Calibri" w:hAnsi="Calibri"/>
          <w:sz w:val="30"/>
          <w:szCs w:val="30"/>
        </w:rPr>
        <w:t xml:space="preserve"> </w:t>
      </w:r>
      <w:r w:rsidRPr="00860331">
        <w:rPr>
          <w:rFonts w:ascii="Calibri" w:hAnsi="Calibri"/>
          <w:sz w:val="30"/>
          <w:szCs w:val="30"/>
        </w:rPr>
        <w:t xml:space="preserve">Доля суммы чистых позиций </w:t>
      </w:r>
      <w:r w:rsidR="00C91738" w:rsidRPr="00860331">
        <w:rPr>
          <w:rFonts w:ascii="Calibri" w:hAnsi="Calibri"/>
          <w:sz w:val="30"/>
          <w:szCs w:val="30"/>
        </w:rPr>
        <w:t>участников в СМК</w:t>
      </w:r>
      <w:r w:rsidRPr="00860331">
        <w:rPr>
          <w:rFonts w:ascii="Calibri" w:hAnsi="Calibri"/>
          <w:sz w:val="30"/>
          <w:szCs w:val="30"/>
        </w:rPr>
        <w:t xml:space="preserve"> по отношению к сумме среднедневных оборотов </w:t>
      </w:r>
      <w:r w:rsidR="00C91738" w:rsidRPr="00860331">
        <w:rPr>
          <w:rFonts w:ascii="Calibri" w:hAnsi="Calibri"/>
          <w:sz w:val="30"/>
          <w:szCs w:val="30"/>
        </w:rPr>
        <w:t>участников</w:t>
      </w:r>
      <w:r w:rsidRPr="00860331">
        <w:rPr>
          <w:rFonts w:ascii="Calibri" w:hAnsi="Calibri"/>
          <w:sz w:val="30"/>
          <w:szCs w:val="30"/>
        </w:rPr>
        <w:t xml:space="preserve"> в МСПД</w:t>
      </w:r>
      <w:r w:rsidRPr="00860331">
        <w:rPr>
          <w:rFonts w:ascii="Calibri" w:hAnsi="Calibri"/>
          <w:sz w:val="30"/>
          <w:szCs w:val="30"/>
          <w:vertAlign w:val="superscript"/>
        </w:rPr>
        <w:footnoteReference w:id="4"/>
      </w:r>
      <w:r w:rsidR="007551E0" w:rsidRPr="00860331">
        <w:rPr>
          <w:rFonts w:ascii="Calibri" w:hAnsi="Calibri"/>
          <w:sz w:val="30"/>
          <w:szCs w:val="30"/>
        </w:rPr>
        <w:t xml:space="preserve"> составляет </w:t>
      </w:r>
      <w:r w:rsidRPr="00860331">
        <w:rPr>
          <w:rFonts w:ascii="Calibri" w:hAnsi="Calibri"/>
          <w:sz w:val="30"/>
          <w:szCs w:val="30"/>
        </w:rPr>
        <w:t>0,2%, что говорит о незначительном риске не</w:t>
      </w:r>
      <w:r w:rsidR="00446474" w:rsidRPr="00860331">
        <w:rPr>
          <w:rFonts w:ascii="Calibri" w:hAnsi="Calibri"/>
          <w:sz w:val="30"/>
          <w:szCs w:val="30"/>
        </w:rPr>
        <w:t xml:space="preserve"> </w:t>
      </w:r>
      <w:r w:rsidRPr="00860331">
        <w:rPr>
          <w:rFonts w:ascii="Calibri" w:hAnsi="Calibri"/>
          <w:sz w:val="30"/>
          <w:szCs w:val="30"/>
        </w:rPr>
        <w:t xml:space="preserve">расчета чистых позиций участников </w:t>
      </w:r>
      <w:r w:rsidR="00446474" w:rsidRPr="00860331">
        <w:rPr>
          <w:rFonts w:ascii="Calibri" w:hAnsi="Calibri"/>
          <w:sz w:val="30"/>
          <w:szCs w:val="30"/>
        </w:rPr>
        <w:t>СМК</w:t>
      </w:r>
      <w:r w:rsidRPr="00860331">
        <w:rPr>
          <w:rFonts w:ascii="Calibri" w:hAnsi="Calibri"/>
          <w:sz w:val="30"/>
          <w:szCs w:val="30"/>
        </w:rPr>
        <w:t xml:space="preserve"> в МСПД.</w:t>
      </w:r>
      <w:proofErr w:type="gramEnd"/>
    </w:p>
    <w:p w:rsidR="006E2AC8" w:rsidRDefault="006E2AC8" w:rsidP="0035454E">
      <w:pPr>
        <w:jc w:val="center"/>
        <w:rPr>
          <w:rFonts w:ascii="Calibri" w:hAnsi="Calibri" w:cs="Arial"/>
          <w:b/>
          <w:color w:val="0E4C28"/>
          <w:sz w:val="28"/>
          <w:szCs w:val="28"/>
        </w:rPr>
      </w:pPr>
    </w:p>
    <w:p w:rsidR="006E2AC8" w:rsidRDefault="006E2AC8" w:rsidP="0035454E">
      <w:pPr>
        <w:jc w:val="center"/>
        <w:rPr>
          <w:rFonts w:ascii="Calibri" w:hAnsi="Calibri" w:cs="Arial"/>
          <w:b/>
          <w:color w:val="0E4C28"/>
          <w:sz w:val="28"/>
          <w:szCs w:val="28"/>
        </w:rPr>
      </w:pPr>
    </w:p>
    <w:p w:rsidR="00E909F9" w:rsidRPr="00E909F9" w:rsidRDefault="00E909F9" w:rsidP="0035454E">
      <w:pPr>
        <w:jc w:val="center"/>
        <w:rPr>
          <w:rFonts w:ascii="Calibri" w:hAnsi="Calibri" w:cs="Arial"/>
          <w:b/>
          <w:color w:val="0E4C28"/>
          <w:sz w:val="28"/>
          <w:szCs w:val="28"/>
        </w:rPr>
      </w:pPr>
      <w:r w:rsidRPr="00E909F9">
        <w:rPr>
          <w:rFonts w:ascii="Calibri" w:hAnsi="Calibri" w:cs="Arial"/>
          <w:b/>
          <w:color w:val="0E4C28"/>
          <w:sz w:val="28"/>
          <w:szCs w:val="28"/>
        </w:rPr>
        <w:lastRenderedPageBreak/>
        <w:t xml:space="preserve">Показатели  ликвидности и оборачиваемости в </w:t>
      </w:r>
      <w:r w:rsidR="00446474">
        <w:rPr>
          <w:rFonts w:ascii="Calibri" w:hAnsi="Calibri" w:cs="Arial"/>
          <w:b/>
          <w:color w:val="0E4C28"/>
          <w:sz w:val="28"/>
          <w:szCs w:val="28"/>
        </w:rPr>
        <w:t>СМК</w:t>
      </w:r>
      <w:r w:rsidRPr="00E909F9">
        <w:rPr>
          <w:rFonts w:ascii="Calibri" w:hAnsi="Calibri" w:cs="Arial"/>
          <w:b/>
          <w:color w:val="0E4C28"/>
          <w:sz w:val="28"/>
          <w:szCs w:val="28"/>
        </w:rPr>
        <w:t xml:space="preserve"> за 2016 год</w:t>
      </w:r>
    </w:p>
    <w:p w:rsidR="009E09D9" w:rsidRDefault="00B41594" w:rsidP="0035454E">
      <w:pPr>
        <w:widowControl w:val="0"/>
      </w:pPr>
      <w:r>
        <w:rPr>
          <w:rFonts w:ascii="Calibri" w:hAnsi="Calibri"/>
          <w:noProof/>
          <w:sz w:val="30"/>
          <w:szCs w:val="30"/>
        </w:rPr>
        <w:drawing>
          <wp:inline distT="0" distB="0" distL="0" distR="0" wp14:anchorId="6D3489F4" wp14:editId="139D3999">
            <wp:extent cx="6122020" cy="2819307"/>
            <wp:effectExtent l="0" t="0" r="0" b="635"/>
            <wp:docPr id="17"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C507E" w:rsidRPr="00EC507E" w:rsidRDefault="00EC507E" w:rsidP="00EC507E">
      <w:pPr>
        <w:rPr>
          <w:lang w:val="kk-KZ"/>
        </w:rPr>
      </w:pPr>
      <w:bookmarkStart w:id="118" w:name="OLE_LINK9"/>
      <w:bookmarkStart w:id="119" w:name="OLE_LINK10"/>
    </w:p>
    <w:p w:rsidR="009E09D9" w:rsidRPr="00015E28" w:rsidRDefault="00A30B7D" w:rsidP="0035454E">
      <w:pPr>
        <w:pStyle w:val="1"/>
        <w:widowControl w:val="0"/>
        <w:pBdr>
          <w:bottom w:val="single" w:sz="12" w:space="1" w:color="auto"/>
        </w:pBdr>
        <w:tabs>
          <w:tab w:val="left" w:pos="561"/>
        </w:tabs>
        <w:spacing w:before="0" w:after="0"/>
        <w:rPr>
          <w:rFonts w:ascii="Calibri" w:hAnsi="Calibri"/>
          <w:bCs w:val="0"/>
          <w:snapToGrid w:val="0"/>
          <w:color w:val="0E4C28"/>
          <w:spacing w:val="-2"/>
          <w:kern w:val="0"/>
        </w:rPr>
      </w:pPr>
      <w:bookmarkStart w:id="120" w:name="_Toc481418200"/>
      <w:r>
        <w:rPr>
          <w:rFonts w:ascii="Calibri" w:hAnsi="Calibri"/>
          <w:bCs w:val="0"/>
          <w:snapToGrid w:val="0"/>
          <w:color w:val="0E4C28"/>
          <w:spacing w:val="-2"/>
          <w:kern w:val="0"/>
        </w:rPr>
        <w:t>1</w:t>
      </w:r>
      <w:r w:rsidR="009E09D9" w:rsidRPr="00015E28">
        <w:rPr>
          <w:rFonts w:ascii="Calibri" w:hAnsi="Calibri"/>
          <w:bCs w:val="0"/>
          <w:snapToGrid w:val="0"/>
          <w:color w:val="0E4C28"/>
          <w:spacing w:val="-2"/>
          <w:kern w:val="0"/>
        </w:rPr>
        <w:t>.</w:t>
      </w:r>
      <w:r w:rsidR="00C91738">
        <w:rPr>
          <w:rFonts w:ascii="Calibri" w:hAnsi="Calibri"/>
          <w:bCs w:val="0"/>
          <w:snapToGrid w:val="0"/>
          <w:color w:val="0E4C28"/>
          <w:spacing w:val="-2"/>
          <w:kern w:val="0"/>
        </w:rPr>
        <w:t>7</w:t>
      </w:r>
      <w:r w:rsidR="009E09D9" w:rsidRPr="00015E28">
        <w:rPr>
          <w:rFonts w:ascii="Calibri" w:hAnsi="Calibri"/>
          <w:bCs w:val="0"/>
          <w:snapToGrid w:val="0"/>
          <w:color w:val="0E4C28"/>
          <w:spacing w:val="-2"/>
          <w:kern w:val="0"/>
        </w:rPr>
        <w:t xml:space="preserve">. Показатели работоспособности </w:t>
      </w:r>
      <w:r w:rsidR="00FB4CF4">
        <w:rPr>
          <w:rFonts w:ascii="Calibri" w:hAnsi="Calibri"/>
          <w:bCs w:val="0"/>
          <w:snapToGrid w:val="0"/>
          <w:color w:val="0E4C28"/>
          <w:spacing w:val="-2"/>
          <w:kern w:val="0"/>
        </w:rPr>
        <w:t>платежных систем</w:t>
      </w:r>
      <w:bookmarkEnd w:id="120"/>
    </w:p>
    <w:bookmarkEnd w:id="118"/>
    <w:bookmarkEnd w:id="119"/>
    <w:p w:rsidR="00EC507E" w:rsidRDefault="009E09D9" w:rsidP="0035454E">
      <w:pPr>
        <w:widowControl w:val="0"/>
        <w:autoSpaceDE w:val="0"/>
        <w:autoSpaceDN w:val="0"/>
        <w:adjustRightInd w:val="0"/>
        <w:ind w:firstLine="720"/>
        <w:jc w:val="both"/>
        <w:rPr>
          <w:rFonts w:ascii="Calibri" w:hAnsi="Calibri" w:cs="Arial"/>
          <w:spacing w:val="-4"/>
          <w:sz w:val="30"/>
          <w:szCs w:val="30"/>
          <w:lang w:val="kk-KZ"/>
        </w:rPr>
      </w:pPr>
      <w:proofErr w:type="gramStart"/>
      <w:r w:rsidRPr="00015E28">
        <w:rPr>
          <w:rFonts w:ascii="Calibri" w:hAnsi="Calibri" w:cs="Arial"/>
          <w:spacing w:val="-4"/>
          <w:sz w:val="30"/>
          <w:szCs w:val="30"/>
        </w:rPr>
        <w:t xml:space="preserve">Современные МСПД и СМК, через которые проходит основной поток платежей в стране, имеют масштабное значение в содействии </w:t>
      </w:r>
      <w:r w:rsidRPr="00860331">
        <w:rPr>
          <w:rFonts w:ascii="Calibri" w:hAnsi="Calibri" w:cs="Arial"/>
          <w:spacing w:val="-4"/>
          <w:sz w:val="30"/>
          <w:szCs w:val="30"/>
        </w:rPr>
        <w:t>развитию экономики Казахстана.</w:t>
      </w:r>
      <w:proofErr w:type="gramEnd"/>
      <w:r w:rsidRPr="00860331">
        <w:rPr>
          <w:rFonts w:ascii="Calibri" w:hAnsi="Calibri" w:cs="Arial"/>
          <w:spacing w:val="-4"/>
          <w:sz w:val="30"/>
          <w:szCs w:val="30"/>
        </w:rPr>
        <w:t xml:space="preserve"> Одной из важных функций Национального Банка </w:t>
      </w:r>
      <w:r w:rsidR="00AB2BFD" w:rsidRPr="00860331">
        <w:rPr>
          <w:rFonts w:ascii="Calibri" w:hAnsi="Calibri" w:cs="Arial"/>
          <w:spacing w:val="-4"/>
          <w:sz w:val="30"/>
          <w:szCs w:val="30"/>
        </w:rPr>
        <w:t xml:space="preserve">Казахстана </w:t>
      </w:r>
      <w:r w:rsidRPr="00860331">
        <w:rPr>
          <w:rFonts w:ascii="Calibri" w:hAnsi="Calibri" w:cs="Arial"/>
          <w:spacing w:val="-4"/>
          <w:sz w:val="30"/>
          <w:szCs w:val="30"/>
        </w:rPr>
        <w:t>в этой связи является надзор (оверсайт) за платежными системами, включающий в себя целый комплекс</w:t>
      </w:r>
      <w:r w:rsidRPr="00015E28">
        <w:rPr>
          <w:rFonts w:ascii="Calibri" w:hAnsi="Calibri" w:cs="Arial"/>
          <w:spacing w:val="-4"/>
          <w:sz w:val="30"/>
          <w:szCs w:val="30"/>
        </w:rPr>
        <w:t xml:space="preserve"> мероприятий, в том числе мониторинг функционирования указанных платежных систем и оценк</w:t>
      </w:r>
      <w:r w:rsidR="008E3F25">
        <w:rPr>
          <w:rFonts w:ascii="Calibri" w:hAnsi="Calibri" w:cs="Arial"/>
          <w:spacing w:val="-4"/>
          <w:sz w:val="30"/>
          <w:szCs w:val="30"/>
        </w:rPr>
        <w:t>у</w:t>
      </w:r>
      <w:r w:rsidRPr="00015E28">
        <w:rPr>
          <w:rFonts w:ascii="Calibri" w:hAnsi="Calibri" w:cs="Arial"/>
          <w:spacing w:val="-4"/>
          <w:sz w:val="30"/>
          <w:szCs w:val="30"/>
        </w:rPr>
        <w:t xml:space="preserve"> их производительности на предмет обеспечения надежности и эффективности.</w:t>
      </w:r>
    </w:p>
    <w:p w:rsidR="009E09D9" w:rsidRPr="00E909F9" w:rsidRDefault="009E09D9" w:rsidP="0035454E">
      <w:pPr>
        <w:widowControl w:val="0"/>
        <w:autoSpaceDE w:val="0"/>
        <w:autoSpaceDN w:val="0"/>
        <w:adjustRightInd w:val="0"/>
        <w:ind w:firstLine="720"/>
        <w:jc w:val="both"/>
        <w:rPr>
          <w:rFonts w:ascii="Calibri" w:hAnsi="Calibri" w:cs="Arial"/>
          <w:b/>
          <w:spacing w:val="-4"/>
          <w:sz w:val="30"/>
          <w:szCs w:val="30"/>
        </w:rPr>
      </w:pPr>
      <w:r w:rsidRPr="00015E28">
        <w:rPr>
          <w:rFonts w:ascii="Calibri" w:hAnsi="Calibri" w:cs="Arial"/>
          <w:spacing w:val="-4"/>
          <w:sz w:val="30"/>
          <w:szCs w:val="30"/>
        </w:rPr>
        <w:t xml:space="preserve"> </w:t>
      </w:r>
      <w:r w:rsidR="00EC507E" w:rsidRPr="001D3002">
        <w:rPr>
          <w:b/>
          <w:noProof/>
        </w:rPr>
        <w:drawing>
          <wp:anchor distT="0" distB="0" distL="114300" distR="114300" simplePos="0" relativeHeight="251656192" behindDoc="0" locked="0" layoutInCell="1" allowOverlap="1" wp14:anchorId="1EBD548C" wp14:editId="60612FB6">
            <wp:simplePos x="0" y="0"/>
            <wp:positionH relativeFrom="column">
              <wp:posOffset>2733040</wp:posOffset>
            </wp:positionH>
            <wp:positionV relativeFrom="paragraph">
              <wp:posOffset>50800</wp:posOffset>
            </wp:positionV>
            <wp:extent cx="3222625" cy="2002155"/>
            <wp:effectExtent l="0" t="0" r="0" b="0"/>
            <wp:wrapSquare wrapText="bothSides"/>
            <wp:docPr id="471" name="Диаграмма 47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001D3002" w:rsidRPr="001D3002">
        <w:rPr>
          <w:rFonts w:ascii="Calibri" w:hAnsi="Calibri" w:cs="Arial"/>
          <w:b/>
          <w:spacing w:val="-4"/>
          <w:sz w:val="30"/>
          <w:szCs w:val="30"/>
        </w:rPr>
        <w:t>З</w:t>
      </w:r>
      <w:r w:rsidRPr="00E909F9">
        <w:rPr>
          <w:rFonts w:ascii="Calibri" w:hAnsi="Calibri" w:cs="Arial"/>
          <w:b/>
          <w:spacing w:val="-4"/>
          <w:sz w:val="30"/>
          <w:szCs w:val="30"/>
        </w:rPr>
        <w:t>а 2016 год коэффициент беспрерывности работы (р</w:t>
      </w:r>
      <w:r w:rsidR="001D3002">
        <w:rPr>
          <w:rFonts w:ascii="Calibri" w:hAnsi="Calibri" w:cs="Arial"/>
          <w:b/>
          <w:spacing w:val="-4"/>
          <w:sz w:val="30"/>
          <w:szCs w:val="30"/>
        </w:rPr>
        <w:t>аботоспособности) МСПД составил</w:t>
      </w:r>
      <w:r w:rsidRPr="00E909F9">
        <w:rPr>
          <w:rFonts w:ascii="Calibri" w:hAnsi="Calibri" w:cs="Arial"/>
          <w:b/>
          <w:spacing w:val="-4"/>
          <w:sz w:val="30"/>
          <w:szCs w:val="30"/>
        </w:rPr>
        <w:t xml:space="preserve"> 99,803%, в СМК – 99,976%, что</w:t>
      </w:r>
      <w:r w:rsidR="00586B57">
        <w:rPr>
          <w:rFonts w:ascii="Calibri" w:hAnsi="Calibri" w:cs="Arial"/>
          <w:b/>
          <w:spacing w:val="-4"/>
          <w:sz w:val="30"/>
          <w:szCs w:val="30"/>
        </w:rPr>
        <w:t xml:space="preserve"> в целом превышает установленные целевые показатели</w:t>
      </w:r>
      <w:r w:rsidR="00586B57">
        <w:rPr>
          <w:rStyle w:val="a6"/>
          <w:rFonts w:ascii="Calibri" w:hAnsi="Calibri" w:cs="Arial"/>
          <w:b/>
          <w:spacing w:val="-4"/>
          <w:sz w:val="30"/>
          <w:szCs w:val="30"/>
        </w:rPr>
        <w:footnoteReference w:id="5"/>
      </w:r>
      <w:r w:rsidR="001D3002">
        <w:rPr>
          <w:rFonts w:ascii="Calibri" w:hAnsi="Calibri" w:cs="Arial"/>
          <w:b/>
          <w:spacing w:val="-4"/>
          <w:sz w:val="30"/>
          <w:szCs w:val="30"/>
        </w:rPr>
        <w:t xml:space="preserve"> и</w:t>
      </w:r>
      <w:r w:rsidRPr="00E909F9">
        <w:rPr>
          <w:rFonts w:ascii="Calibri" w:hAnsi="Calibri" w:cs="Arial"/>
          <w:b/>
          <w:spacing w:val="-4"/>
          <w:sz w:val="30"/>
          <w:szCs w:val="30"/>
        </w:rPr>
        <w:t xml:space="preserve"> характеризует высокую эффективность </w:t>
      </w:r>
      <w:proofErr w:type="gramStart"/>
      <w:r w:rsidRPr="00E909F9">
        <w:rPr>
          <w:rFonts w:ascii="Calibri" w:hAnsi="Calibri" w:cs="Arial"/>
          <w:b/>
          <w:spacing w:val="-4"/>
          <w:sz w:val="30"/>
          <w:szCs w:val="30"/>
        </w:rPr>
        <w:t>функционирующих</w:t>
      </w:r>
      <w:proofErr w:type="gramEnd"/>
      <w:r w:rsidRPr="00E909F9">
        <w:rPr>
          <w:rFonts w:ascii="Calibri" w:hAnsi="Calibri" w:cs="Arial"/>
          <w:b/>
          <w:spacing w:val="-4"/>
          <w:sz w:val="30"/>
          <w:szCs w:val="30"/>
        </w:rPr>
        <w:t xml:space="preserve"> в стране систем. </w:t>
      </w:r>
    </w:p>
    <w:p w:rsidR="00BF2D40" w:rsidRDefault="00BF2D40" w:rsidP="001D19E4">
      <w:pPr>
        <w:widowControl w:val="0"/>
        <w:autoSpaceDE w:val="0"/>
        <w:autoSpaceDN w:val="0"/>
        <w:adjustRightInd w:val="0"/>
        <w:spacing w:line="235" w:lineRule="auto"/>
        <w:ind w:firstLine="720"/>
        <w:jc w:val="both"/>
        <w:rPr>
          <w:rFonts w:ascii="Calibri" w:hAnsi="Calibri" w:cs="Arial"/>
          <w:spacing w:val="-4"/>
          <w:sz w:val="22"/>
          <w:szCs w:val="30"/>
        </w:rPr>
      </w:pPr>
    </w:p>
    <w:p w:rsidR="003874CE" w:rsidRPr="003874CE" w:rsidRDefault="003E1657" w:rsidP="003874CE">
      <w:pPr>
        <w:pStyle w:val="1"/>
        <w:widowControl w:val="0"/>
        <w:pBdr>
          <w:bottom w:val="single" w:sz="12" w:space="1" w:color="auto"/>
        </w:pBdr>
        <w:tabs>
          <w:tab w:val="left" w:pos="561"/>
        </w:tabs>
        <w:spacing w:before="0" w:after="0" w:line="233" w:lineRule="auto"/>
        <w:rPr>
          <w:rFonts w:ascii="Calibri" w:hAnsi="Calibri"/>
          <w:bCs w:val="0"/>
          <w:snapToGrid w:val="0"/>
          <w:color w:val="0E4C28"/>
          <w:spacing w:val="-2"/>
          <w:kern w:val="0"/>
        </w:rPr>
      </w:pPr>
      <w:bookmarkStart w:id="121" w:name="_Toc481418201"/>
      <w:r>
        <w:rPr>
          <w:rFonts w:ascii="Calibri" w:hAnsi="Calibri"/>
          <w:bCs w:val="0"/>
          <w:snapToGrid w:val="0"/>
          <w:color w:val="0E4C28"/>
          <w:spacing w:val="-2"/>
          <w:kern w:val="0"/>
        </w:rPr>
        <w:t>1.</w:t>
      </w:r>
      <w:r w:rsidR="001D3002">
        <w:rPr>
          <w:rFonts w:ascii="Calibri" w:hAnsi="Calibri"/>
          <w:bCs w:val="0"/>
          <w:snapToGrid w:val="0"/>
          <w:color w:val="0E4C28"/>
          <w:spacing w:val="-2"/>
          <w:kern w:val="0"/>
        </w:rPr>
        <w:t>8</w:t>
      </w:r>
      <w:r w:rsidR="003874CE" w:rsidRPr="003874CE">
        <w:rPr>
          <w:rFonts w:ascii="Calibri" w:hAnsi="Calibri"/>
          <w:bCs w:val="0"/>
          <w:snapToGrid w:val="0"/>
          <w:color w:val="0E4C28"/>
          <w:spacing w:val="-2"/>
          <w:kern w:val="0"/>
        </w:rPr>
        <w:t>. Система массовых электронных платежей</w:t>
      </w:r>
      <w:bookmarkEnd w:id="121"/>
    </w:p>
    <w:p w:rsidR="003874CE" w:rsidRPr="002F5468" w:rsidRDefault="003874CE" w:rsidP="003874CE">
      <w:pPr>
        <w:widowControl w:val="0"/>
        <w:ind w:firstLine="709"/>
        <w:jc w:val="both"/>
        <w:rPr>
          <w:rFonts w:ascii="Calibri" w:hAnsi="Calibri" w:cs="Arial"/>
          <w:sz w:val="8"/>
          <w:szCs w:val="30"/>
        </w:rPr>
      </w:pPr>
    </w:p>
    <w:p w:rsidR="0035454E" w:rsidRDefault="00AE15B3" w:rsidP="00BF2D40">
      <w:pPr>
        <w:widowControl w:val="0"/>
        <w:spacing w:line="233" w:lineRule="auto"/>
        <w:ind w:firstLine="709"/>
        <w:jc w:val="both"/>
        <w:rPr>
          <w:rFonts w:ascii="Calibri" w:hAnsi="Calibri" w:cs="Arial"/>
          <w:sz w:val="30"/>
          <w:szCs w:val="30"/>
        </w:rPr>
      </w:pPr>
      <w:r w:rsidRPr="001D3002">
        <w:rPr>
          <w:rFonts w:ascii="Calibri" w:hAnsi="Calibri" w:cs="Arial"/>
          <w:sz w:val="30"/>
          <w:szCs w:val="30"/>
        </w:rPr>
        <w:t>С</w:t>
      </w:r>
      <w:r w:rsidR="00B73D05" w:rsidRPr="001D3002">
        <w:rPr>
          <w:rFonts w:ascii="Calibri" w:hAnsi="Calibri" w:cs="Arial"/>
          <w:sz w:val="30"/>
          <w:szCs w:val="30"/>
        </w:rPr>
        <w:t xml:space="preserve"> развитием </w:t>
      </w:r>
      <w:r w:rsidR="001D3002" w:rsidRPr="001D3002">
        <w:rPr>
          <w:rFonts w:ascii="Calibri" w:hAnsi="Calibri" w:cs="Arial"/>
          <w:sz w:val="30"/>
          <w:szCs w:val="30"/>
        </w:rPr>
        <w:t>инновационных технический решений</w:t>
      </w:r>
      <w:r w:rsidR="00B73D05" w:rsidRPr="001D3002">
        <w:rPr>
          <w:rFonts w:ascii="Calibri" w:hAnsi="Calibri" w:cs="Arial"/>
          <w:sz w:val="30"/>
          <w:szCs w:val="30"/>
        </w:rPr>
        <w:t xml:space="preserve"> возникли потребности</w:t>
      </w:r>
      <w:r w:rsidR="0035454E" w:rsidRPr="001D3002">
        <w:rPr>
          <w:rFonts w:ascii="Calibri" w:hAnsi="Calibri" w:cs="Arial"/>
          <w:sz w:val="30"/>
          <w:szCs w:val="30"/>
        </w:rPr>
        <w:t xml:space="preserve"> в наличии розничных платежных систем, обеспечивающих моментальный расчет платежей либо </w:t>
      </w:r>
      <w:r w:rsidR="001D3002" w:rsidRPr="001D3002">
        <w:rPr>
          <w:rFonts w:ascii="Calibri" w:hAnsi="Calibri" w:cs="Arial"/>
          <w:sz w:val="30"/>
          <w:szCs w:val="30"/>
          <w:lang w:val="en-US"/>
        </w:rPr>
        <w:t>on</w:t>
      </w:r>
      <w:r w:rsidR="001D3002" w:rsidRPr="001D3002">
        <w:rPr>
          <w:rFonts w:ascii="Calibri" w:hAnsi="Calibri" w:cs="Arial"/>
          <w:sz w:val="30"/>
          <w:szCs w:val="30"/>
        </w:rPr>
        <w:t>-</w:t>
      </w:r>
      <w:r w:rsidR="001D3002" w:rsidRPr="001D3002">
        <w:rPr>
          <w:rFonts w:ascii="Calibri" w:hAnsi="Calibri" w:cs="Arial"/>
          <w:sz w:val="30"/>
          <w:szCs w:val="30"/>
          <w:lang w:val="en-US"/>
        </w:rPr>
        <w:t>line</w:t>
      </w:r>
      <w:r w:rsidR="0035454E" w:rsidRPr="001D3002">
        <w:rPr>
          <w:rFonts w:ascii="Calibri" w:hAnsi="Calibri" w:cs="Arial"/>
          <w:sz w:val="30"/>
          <w:szCs w:val="30"/>
        </w:rPr>
        <w:t xml:space="preserve"> передачу информации по </w:t>
      </w:r>
      <w:r w:rsidR="0035454E" w:rsidRPr="001D3002">
        <w:rPr>
          <w:rFonts w:ascii="Calibri" w:hAnsi="Calibri" w:cs="Arial"/>
          <w:sz w:val="30"/>
          <w:szCs w:val="30"/>
        </w:rPr>
        <w:lastRenderedPageBreak/>
        <w:t>проведенным платежам провайдеру услуг</w:t>
      </w:r>
      <w:r w:rsidR="00B73D05" w:rsidRPr="001D3002">
        <w:rPr>
          <w:rFonts w:ascii="Calibri" w:hAnsi="Calibri" w:cs="Arial"/>
          <w:sz w:val="30"/>
          <w:szCs w:val="30"/>
        </w:rPr>
        <w:t>.</w:t>
      </w:r>
      <w:r w:rsidR="00B73D05">
        <w:rPr>
          <w:rFonts w:ascii="Calibri" w:hAnsi="Calibri" w:cs="Arial"/>
          <w:sz w:val="30"/>
          <w:szCs w:val="30"/>
        </w:rPr>
        <w:t xml:space="preserve"> В связи</w:t>
      </w:r>
      <w:r w:rsidR="00B73D05" w:rsidRPr="00015E28">
        <w:rPr>
          <w:rFonts w:ascii="Calibri" w:hAnsi="Calibri" w:cs="Arial"/>
          <w:sz w:val="30"/>
          <w:szCs w:val="30"/>
        </w:rPr>
        <w:t xml:space="preserve"> с чем</w:t>
      </w:r>
      <w:r w:rsidR="00B73D05">
        <w:rPr>
          <w:rFonts w:ascii="Calibri" w:hAnsi="Calibri" w:cs="Arial"/>
          <w:sz w:val="30"/>
          <w:szCs w:val="30"/>
        </w:rPr>
        <w:t>,</w:t>
      </w:r>
      <w:r w:rsidR="00B73D05" w:rsidRPr="00015E28">
        <w:rPr>
          <w:rFonts w:ascii="Calibri" w:hAnsi="Calibri" w:cs="Arial"/>
          <w:sz w:val="30"/>
          <w:szCs w:val="30"/>
        </w:rPr>
        <w:t xml:space="preserve"> в августе 2016 года вве</w:t>
      </w:r>
      <w:r w:rsidR="00B73D05" w:rsidRPr="004C6CFA">
        <w:rPr>
          <w:rFonts w:ascii="Calibri" w:hAnsi="Calibri" w:cs="Arial"/>
          <w:sz w:val="30"/>
          <w:szCs w:val="30"/>
        </w:rPr>
        <w:t>дена в эксплуатацию Система массовых электронных платежей (СМЭП)</w:t>
      </w:r>
      <w:r w:rsidR="008E3F25" w:rsidRPr="004C6CFA">
        <w:rPr>
          <w:rFonts w:ascii="Calibri" w:hAnsi="Calibri" w:cs="Arial"/>
          <w:sz w:val="30"/>
          <w:szCs w:val="30"/>
        </w:rPr>
        <w:t xml:space="preserve">, оператором которой </w:t>
      </w:r>
      <w:r w:rsidR="0035454E" w:rsidRPr="004C6CFA">
        <w:rPr>
          <w:rFonts w:ascii="Calibri" w:hAnsi="Calibri" w:cs="Arial"/>
          <w:sz w:val="30"/>
          <w:szCs w:val="30"/>
        </w:rPr>
        <w:t>является КЦМР.</w:t>
      </w:r>
      <w:r w:rsidR="0035454E">
        <w:rPr>
          <w:rFonts w:ascii="Calibri" w:hAnsi="Calibri" w:cs="Arial"/>
          <w:sz w:val="30"/>
          <w:szCs w:val="30"/>
        </w:rPr>
        <w:t xml:space="preserve"> </w:t>
      </w:r>
    </w:p>
    <w:p w:rsidR="00B73D05" w:rsidRDefault="00F50CF9" w:rsidP="00BF2D40">
      <w:pPr>
        <w:widowControl w:val="0"/>
        <w:spacing w:line="233" w:lineRule="auto"/>
        <w:ind w:firstLine="709"/>
        <w:jc w:val="both"/>
        <w:rPr>
          <w:rFonts w:ascii="Calibri" w:hAnsi="Calibri" w:cs="Arial"/>
          <w:sz w:val="30"/>
          <w:szCs w:val="30"/>
        </w:rPr>
      </w:pPr>
      <w:r>
        <w:rPr>
          <w:rFonts w:ascii="Calibri" w:hAnsi="Calibri" w:cs="Arial"/>
          <w:sz w:val="30"/>
          <w:szCs w:val="30"/>
        </w:rPr>
        <w:t>Данная система</w:t>
      </w:r>
      <w:r w:rsidR="00B73D05" w:rsidRPr="00015E28">
        <w:rPr>
          <w:rFonts w:ascii="Calibri" w:hAnsi="Calibri" w:cs="Arial"/>
          <w:sz w:val="30"/>
          <w:szCs w:val="30"/>
        </w:rPr>
        <w:t xml:space="preserve"> </w:t>
      </w:r>
      <w:r w:rsidR="00B73D05">
        <w:rPr>
          <w:rFonts w:ascii="Calibri" w:hAnsi="Calibri" w:cs="Arial"/>
          <w:sz w:val="30"/>
          <w:szCs w:val="30"/>
        </w:rPr>
        <w:t>направлена на</w:t>
      </w:r>
      <w:r w:rsidR="00B73D05" w:rsidRPr="00015E28">
        <w:rPr>
          <w:rFonts w:ascii="Calibri" w:hAnsi="Calibri" w:cs="Arial"/>
          <w:sz w:val="30"/>
          <w:szCs w:val="30"/>
        </w:rPr>
        <w:t xml:space="preserve"> </w:t>
      </w:r>
      <w:bookmarkStart w:id="122" w:name="OLE_LINK20"/>
      <w:bookmarkStart w:id="123" w:name="OLE_LINK21"/>
      <w:r w:rsidR="00B73D05" w:rsidRPr="00015E28">
        <w:rPr>
          <w:rFonts w:ascii="Calibri" w:hAnsi="Calibri" w:cs="Arial"/>
          <w:sz w:val="30"/>
          <w:szCs w:val="30"/>
        </w:rPr>
        <w:t>проведени</w:t>
      </w:r>
      <w:r w:rsidR="00B73D05">
        <w:rPr>
          <w:rFonts w:ascii="Calibri" w:hAnsi="Calibri" w:cs="Arial"/>
          <w:sz w:val="30"/>
          <w:szCs w:val="30"/>
        </w:rPr>
        <w:t>е</w:t>
      </w:r>
      <w:r w:rsidR="00B73D05" w:rsidRPr="00015E28">
        <w:rPr>
          <w:rFonts w:ascii="Calibri" w:hAnsi="Calibri" w:cs="Arial"/>
          <w:sz w:val="30"/>
          <w:szCs w:val="30"/>
        </w:rPr>
        <w:t xml:space="preserve"> гарантированных срочных платежей на небольшие суммы </w:t>
      </w:r>
      <w:r w:rsidR="00B73D05">
        <w:rPr>
          <w:rFonts w:ascii="Calibri" w:hAnsi="Calibri" w:cs="Arial"/>
          <w:sz w:val="30"/>
          <w:szCs w:val="30"/>
        </w:rPr>
        <w:t xml:space="preserve">с передачей информации о проведенных платежах и </w:t>
      </w:r>
      <w:r w:rsidR="00B73D05" w:rsidRPr="00015E28">
        <w:rPr>
          <w:rFonts w:ascii="Calibri" w:hAnsi="Calibri" w:cs="Arial"/>
          <w:sz w:val="30"/>
          <w:szCs w:val="30"/>
        </w:rPr>
        <w:t xml:space="preserve">функцией расчета многосторонней клиринговой позиции </w:t>
      </w:r>
      <w:bookmarkEnd w:id="122"/>
      <w:bookmarkEnd w:id="123"/>
      <w:r w:rsidR="00B73D05" w:rsidRPr="00015E28">
        <w:rPr>
          <w:rFonts w:ascii="Calibri" w:hAnsi="Calibri" w:cs="Arial"/>
          <w:sz w:val="30"/>
          <w:szCs w:val="30"/>
        </w:rPr>
        <w:t>один раз в день.</w:t>
      </w:r>
      <w:r w:rsidR="00B73D05" w:rsidRPr="00B71097">
        <w:rPr>
          <w:rFonts w:ascii="Calibri" w:hAnsi="Calibri" w:cs="Arial"/>
          <w:sz w:val="30"/>
          <w:szCs w:val="30"/>
        </w:rPr>
        <w:t xml:space="preserve"> </w:t>
      </w:r>
      <w:r w:rsidR="00B73D05" w:rsidRPr="00D50910">
        <w:rPr>
          <w:rFonts w:ascii="Calibri" w:hAnsi="Calibri" w:cs="Arial"/>
          <w:sz w:val="30"/>
          <w:szCs w:val="30"/>
        </w:rPr>
        <w:t xml:space="preserve">Перевод денег в </w:t>
      </w:r>
      <w:r w:rsidR="00B73D05">
        <w:rPr>
          <w:rFonts w:ascii="Calibri" w:hAnsi="Calibri" w:cs="Arial"/>
          <w:sz w:val="30"/>
          <w:szCs w:val="30"/>
        </w:rPr>
        <w:t>СМЭП</w:t>
      </w:r>
      <w:r w:rsidR="00B73D05" w:rsidRPr="00D50910">
        <w:rPr>
          <w:rFonts w:ascii="Calibri" w:hAnsi="Calibri" w:cs="Arial"/>
          <w:sz w:val="30"/>
          <w:szCs w:val="30"/>
        </w:rPr>
        <w:t xml:space="preserve"> осуществляется с использованием денег ее участников в </w:t>
      </w:r>
      <w:r w:rsidR="00B73D05">
        <w:rPr>
          <w:rFonts w:ascii="Calibri" w:hAnsi="Calibri" w:cs="Arial"/>
          <w:sz w:val="30"/>
          <w:szCs w:val="30"/>
        </w:rPr>
        <w:t>МСПД и исключает необходимость дополнительного привлечения ликвидности для начала работы в СМЭП.</w:t>
      </w:r>
      <w:r w:rsidR="001D3002" w:rsidRPr="001D3002">
        <w:rPr>
          <w:rFonts w:ascii="Calibri" w:hAnsi="Calibri" w:cs="Arial"/>
          <w:sz w:val="30"/>
          <w:szCs w:val="30"/>
        </w:rPr>
        <w:t xml:space="preserve"> </w:t>
      </w:r>
      <w:r w:rsidR="00B73D05">
        <w:rPr>
          <w:rFonts w:ascii="Calibri" w:hAnsi="Calibri" w:cs="Arial"/>
          <w:sz w:val="30"/>
          <w:szCs w:val="30"/>
        </w:rPr>
        <w:t>Система</w:t>
      </w:r>
      <w:r w:rsidR="00B73D05" w:rsidRPr="00015E28">
        <w:rPr>
          <w:rFonts w:ascii="Calibri" w:hAnsi="Calibri" w:cs="Arial"/>
          <w:sz w:val="30"/>
          <w:szCs w:val="30"/>
        </w:rPr>
        <w:t xml:space="preserve"> работа</w:t>
      </w:r>
      <w:r w:rsidR="00B73D05">
        <w:rPr>
          <w:rFonts w:ascii="Calibri" w:hAnsi="Calibri" w:cs="Arial"/>
          <w:sz w:val="30"/>
          <w:szCs w:val="30"/>
        </w:rPr>
        <w:t>ет в</w:t>
      </w:r>
      <w:r w:rsidR="00B73D05" w:rsidRPr="00015E28">
        <w:rPr>
          <w:rFonts w:ascii="Calibri" w:hAnsi="Calibri" w:cs="Arial"/>
          <w:sz w:val="30"/>
          <w:szCs w:val="30"/>
        </w:rPr>
        <w:t xml:space="preserve"> круглосуточно</w:t>
      </w:r>
      <w:r w:rsidR="00B73D05">
        <w:rPr>
          <w:rFonts w:ascii="Calibri" w:hAnsi="Calibri" w:cs="Arial"/>
          <w:sz w:val="30"/>
          <w:szCs w:val="30"/>
        </w:rPr>
        <w:t>м режиме</w:t>
      </w:r>
      <w:r w:rsidR="00B73D05" w:rsidRPr="00015E28">
        <w:rPr>
          <w:rFonts w:ascii="Calibri" w:hAnsi="Calibri" w:cs="Arial"/>
          <w:sz w:val="30"/>
          <w:szCs w:val="30"/>
        </w:rPr>
        <w:t xml:space="preserve"> без выходных дней и тар</w:t>
      </w:r>
      <w:r w:rsidR="00B73D05">
        <w:rPr>
          <w:rFonts w:ascii="Calibri" w:hAnsi="Calibri" w:cs="Arial"/>
          <w:sz w:val="30"/>
          <w:szCs w:val="30"/>
        </w:rPr>
        <w:t>ифами более низкими, чем в СМК</w:t>
      </w:r>
      <w:r w:rsidR="00B73D05" w:rsidRPr="00015E28">
        <w:rPr>
          <w:rFonts w:ascii="Calibri" w:hAnsi="Calibri" w:cs="Arial"/>
          <w:sz w:val="30"/>
          <w:szCs w:val="30"/>
        </w:rPr>
        <w:t>.</w:t>
      </w:r>
      <w:r w:rsidR="00B73D05">
        <w:rPr>
          <w:rFonts w:ascii="Calibri" w:hAnsi="Calibri" w:cs="Arial"/>
          <w:sz w:val="30"/>
          <w:szCs w:val="30"/>
        </w:rPr>
        <w:t xml:space="preserve"> </w:t>
      </w:r>
    </w:p>
    <w:p w:rsidR="00B73D05" w:rsidRDefault="00B73D05" w:rsidP="00B73D05">
      <w:pPr>
        <w:widowControl w:val="0"/>
        <w:spacing w:line="235" w:lineRule="auto"/>
        <w:ind w:firstLine="709"/>
        <w:jc w:val="both"/>
        <w:rPr>
          <w:rFonts w:ascii="Calibri" w:hAnsi="Calibri" w:cs="Arial"/>
          <w:sz w:val="30"/>
          <w:szCs w:val="30"/>
        </w:rPr>
      </w:pPr>
      <w:r w:rsidRPr="00015E28">
        <w:rPr>
          <w:rFonts w:ascii="Calibri" w:hAnsi="Calibri" w:cs="Arial"/>
          <w:sz w:val="30"/>
          <w:szCs w:val="30"/>
        </w:rPr>
        <w:t xml:space="preserve">На </w:t>
      </w:r>
      <w:r>
        <w:rPr>
          <w:rFonts w:ascii="Calibri" w:hAnsi="Calibri" w:cs="Arial"/>
          <w:sz w:val="30"/>
          <w:szCs w:val="30"/>
        </w:rPr>
        <w:t>1 января 2017 года</w:t>
      </w:r>
      <w:r w:rsidRPr="00015E28">
        <w:rPr>
          <w:rFonts w:ascii="Calibri" w:hAnsi="Calibri" w:cs="Arial"/>
          <w:sz w:val="30"/>
          <w:szCs w:val="30"/>
        </w:rPr>
        <w:t xml:space="preserve"> пользователями СМЭП явля</w:t>
      </w:r>
      <w:r>
        <w:rPr>
          <w:rFonts w:ascii="Calibri" w:hAnsi="Calibri" w:cs="Arial"/>
          <w:sz w:val="30"/>
          <w:szCs w:val="30"/>
        </w:rPr>
        <w:t>лись</w:t>
      </w:r>
      <w:r w:rsidRPr="00015E28">
        <w:rPr>
          <w:rFonts w:ascii="Calibri" w:hAnsi="Calibri" w:cs="Arial"/>
          <w:sz w:val="30"/>
          <w:szCs w:val="30"/>
        </w:rPr>
        <w:t xml:space="preserve"> 4 участника – АО «Народный </w:t>
      </w:r>
      <w:r w:rsidR="008E3F25">
        <w:rPr>
          <w:rFonts w:ascii="Calibri" w:hAnsi="Calibri" w:cs="Arial"/>
          <w:sz w:val="30"/>
          <w:szCs w:val="30"/>
        </w:rPr>
        <w:t>Б</w:t>
      </w:r>
      <w:r w:rsidRPr="00015E28">
        <w:rPr>
          <w:rFonts w:ascii="Calibri" w:hAnsi="Calibri" w:cs="Arial"/>
          <w:sz w:val="30"/>
          <w:szCs w:val="30"/>
        </w:rPr>
        <w:t>анк Казахстана», АО «ВТБ Банк», АО «Дочерн</w:t>
      </w:r>
      <w:r w:rsidR="0035580C">
        <w:rPr>
          <w:rFonts w:ascii="Calibri" w:hAnsi="Calibri" w:cs="Arial"/>
          <w:sz w:val="30"/>
          <w:szCs w:val="30"/>
        </w:rPr>
        <w:t>ий Банк «Альфа-Банк» и Комитет к</w:t>
      </w:r>
      <w:r w:rsidRPr="00015E28">
        <w:rPr>
          <w:rFonts w:ascii="Calibri" w:hAnsi="Calibri" w:cs="Arial"/>
          <w:sz w:val="30"/>
          <w:szCs w:val="30"/>
        </w:rPr>
        <w:t>азначейства Министерства финансов</w:t>
      </w:r>
      <w:r w:rsidR="0035580C">
        <w:rPr>
          <w:rFonts w:ascii="Calibri" w:hAnsi="Calibri" w:cs="Arial"/>
          <w:sz w:val="30"/>
          <w:szCs w:val="30"/>
        </w:rPr>
        <w:t xml:space="preserve"> Р</w:t>
      </w:r>
      <w:r w:rsidR="008E3F25">
        <w:rPr>
          <w:rFonts w:ascii="Calibri" w:hAnsi="Calibri" w:cs="Arial"/>
          <w:sz w:val="30"/>
          <w:szCs w:val="30"/>
        </w:rPr>
        <w:t>еспублики Казахстан</w:t>
      </w:r>
      <w:r w:rsidRPr="00015E28">
        <w:rPr>
          <w:rFonts w:ascii="Calibri" w:hAnsi="Calibri" w:cs="Arial"/>
          <w:sz w:val="30"/>
          <w:szCs w:val="30"/>
        </w:rPr>
        <w:t xml:space="preserve">. </w:t>
      </w:r>
    </w:p>
    <w:tbl>
      <w:tblPr>
        <w:tblStyle w:val="a3"/>
        <w:tblW w:w="9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5862"/>
      </w:tblGrid>
      <w:tr w:rsidR="00B73D05" w:rsidTr="008E3F25">
        <w:tc>
          <w:tcPr>
            <w:tcW w:w="3888" w:type="dxa"/>
          </w:tcPr>
          <w:p w:rsidR="00B73D05" w:rsidRDefault="00B73D05" w:rsidP="00071E84">
            <w:pPr>
              <w:spacing w:line="235" w:lineRule="auto"/>
              <w:jc w:val="both"/>
              <w:rPr>
                <w:rFonts w:ascii="Calibri" w:hAnsi="Calibri" w:cs="Arial"/>
                <w:sz w:val="30"/>
                <w:szCs w:val="30"/>
              </w:rPr>
            </w:pPr>
            <w:r w:rsidRPr="00015E28">
              <w:rPr>
                <w:rFonts w:ascii="Calibri" w:hAnsi="Calibri" w:cs="Arial"/>
                <w:sz w:val="30"/>
                <w:szCs w:val="30"/>
              </w:rPr>
              <w:t>С сентября по декабрь 2016 года через указанную систему проведено 690,9 тыс. платежей на сумму 65,0 млрд. тенге, что составляет 3,2% от платежей, проведенных в СМК за 2016 год.</w:t>
            </w:r>
          </w:p>
        </w:tc>
        <w:tc>
          <w:tcPr>
            <w:tcW w:w="5862" w:type="dxa"/>
          </w:tcPr>
          <w:p w:rsidR="00B73D05" w:rsidRDefault="00B73D05" w:rsidP="008E3F25">
            <w:pPr>
              <w:spacing w:line="235" w:lineRule="auto"/>
              <w:jc w:val="center"/>
              <w:rPr>
                <w:rFonts w:ascii="Calibri" w:hAnsi="Calibri" w:cs="Arial"/>
                <w:sz w:val="30"/>
                <w:szCs w:val="30"/>
              </w:rPr>
            </w:pPr>
            <w:r>
              <w:rPr>
                <w:rFonts w:ascii="Calibri" w:hAnsi="Calibri" w:cs="Arial"/>
                <w:b/>
                <w:color w:val="0E4C28"/>
                <w:sz w:val="28"/>
                <w:szCs w:val="28"/>
              </w:rPr>
              <w:t>Объемы платежей через СМЭП</w:t>
            </w:r>
            <w:r w:rsidR="008E3F25">
              <w:rPr>
                <w:rFonts w:ascii="Calibri" w:hAnsi="Calibri" w:cs="Arial"/>
                <w:b/>
                <w:color w:val="0E4C28"/>
                <w:sz w:val="28"/>
                <w:szCs w:val="28"/>
              </w:rPr>
              <w:t xml:space="preserve"> </w:t>
            </w:r>
            <w:r>
              <w:rPr>
                <w:rFonts w:ascii="Calibri" w:hAnsi="Calibri" w:cs="Arial"/>
                <w:b/>
                <w:color w:val="0E4C28"/>
                <w:sz w:val="28"/>
                <w:szCs w:val="28"/>
              </w:rPr>
              <w:t>в 2016 году</w:t>
            </w:r>
            <w:r w:rsidRPr="008E3F25">
              <w:rPr>
                <w:rFonts w:ascii="Calibri" w:hAnsi="Calibri" w:cs="Arial"/>
                <w:b/>
                <w:color w:val="0E4C28"/>
                <w:sz w:val="28"/>
                <w:szCs w:val="28"/>
              </w:rPr>
              <w:t xml:space="preserve"> </w:t>
            </w:r>
            <w:r w:rsidRPr="001D3002">
              <w:rPr>
                <w:noProof/>
                <w:sz w:val="20"/>
                <w:szCs w:val="20"/>
              </w:rPr>
              <w:drawing>
                <wp:inline distT="0" distB="0" distL="0" distR="0" wp14:anchorId="74429DDF" wp14:editId="3AAF60E2">
                  <wp:extent cx="3534508" cy="1528982"/>
                  <wp:effectExtent l="0" t="0" r="0" b="0"/>
                  <wp:docPr id="78" name="Диаграмма 47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bl>
    <w:p w:rsidR="00EB5068" w:rsidRPr="00EA53E0" w:rsidRDefault="00B41594" w:rsidP="00EB5068">
      <w:pPr>
        <w:widowControl w:val="0"/>
        <w:autoSpaceDE w:val="0"/>
        <w:autoSpaceDN w:val="0"/>
        <w:adjustRightInd w:val="0"/>
        <w:jc w:val="both"/>
        <w:rPr>
          <w:rFonts w:ascii="Calibri" w:hAnsi="Calibri" w:cs="Arial"/>
          <w:spacing w:val="-4"/>
          <w:sz w:val="30"/>
          <w:szCs w:val="30"/>
        </w:rPr>
      </w:pPr>
      <w:r w:rsidRPr="004C6CFA">
        <w:rPr>
          <w:rFonts w:ascii="Calibri" w:hAnsi="Calibri" w:cs="Arial"/>
          <w:noProof/>
          <w:spacing w:val="-4"/>
          <w:sz w:val="30"/>
          <w:szCs w:val="30"/>
        </w:rPr>
        <w:lastRenderedPageBreak/>
        <mc:AlternateContent>
          <mc:Choice Requires="wps">
            <w:drawing>
              <wp:inline distT="0" distB="0" distL="0" distR="0" wp14:anchorId="2346863F" wp14:editId="6398F01B">
                <wp:extent cx="6052820" cy="4420925"/>
                <wp:effectExtent l="0" t="0" r="24130" b="17780"/>
                <wp:docPr id="470"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4420925"/>
                        </a:xfrm>
                        <a:prstGeom prst="roundRect">
                          <a:avLst>
                            <a:gd name="adj" fmla="val 3079"/>
                          </a:avLst>
                        </a:prstGeom>
                        <a:solidFill>
                          <a:srgbClr val="CCFFCC">
                            <a:alpha val="27000"/>
                          </a:srgbClr>
                        </a:solidFill>
                        <a:ln w="9525">
                          <a:solidFill>
                            <a:srgbClr val="000000"/>
                          </a:solidFill>
                          <a:round/>
                          <a:headEnd/>
                          <a:tailEnd/>
                        </a:ln>
                      </wps:spPr>
                      <wps:txbx>
                        <w:txbxContent>
                          <w:p w:rsidR="00A3494E" w:rsidRDefault="00A3494E" w:rsidP="00EB5068">
                            <w:pPr>
                              <w:widowControl w:val="0"/>
                              <w:autoSpaceDE w:val="0"/>
                              <w:autoSpaceDN w:val="0"/>
                              <w:adjustRightInd w:val="0"/>
                              <w:ind w:firstLine="720"/>
                              <w:jc w:val="both"/>
                              <w:rPr>
                                <w:rFonts w:ascii="Calibri" w:hAnsi="Calibri" w:cs="Arial"/>
                                <w:spacing w:val="-4"/>
                                <w:sz w:val="30"/>
                                <w:szCs w:val="30"/>
                              </w:rPr>
                            </w:pPr>
                            <w:r w:rsidRPr="004C6CFA">
                              <w:rPr>
                                <w:rFonts w:ascii="Calibri" w:hAnsi="Calibri" w:cs="Arial"/>
                                <w:spacing w:val="-4"/>
                                <w:sz w:val="30"/>
                                <w:szCs w:val="30"/>
                              </w:rPr>
                              <w:t>Платежные системы Национального Банка Казахстана (МСПД и СМК) соответствуют установленным международным стандартам (Принципам для ИФР), характеризуются высоким уровнем эффективности и беспрерывности работы, обеспечивая обработку основного объема платежей в национальной валюте в стране. Ежегодно растут объемы платежей в платежных системах.</w:t>
                            </w:r>
                            <w:r>
                              <w:rPr>
                                <w:rFonts w:ascii="Calibri" w:hAnsi="Calibri" w:cs="Arial"/>
                                <w:spacing w:val="-4"/>
                                <w:sz w:val="30"/>
                                <w:szCs w:val="30"/>
                              </w:rPr>
                              <w:t xml:space="preserve">  </w:t>
                            </w:r>
                          </w:p>
                          <w:p w:rsidR="00A3494E" w:rsidRDefault="00A3494E" w:rsidP="00EB5068">
                            <w:pPr>
                              <w:widowControl w:val="0"/>
                              <w:autoSpaceDE w:val="0"/>
                              <w:autoSpaceDN w:val="0"/>
                              <w:adjustRightInd w:val="0"/>
                              <w:ind w:firstLine="720"/>
                              <w:jc w:val="both"/>
                              <w:rPr>
                                <w:rFonts w:ascii="Calibri" w:hAnsi="Calibri" w:cs="Arial"/>
                                <w:spacing w:val="-4"/>
                                <w:sz w:val="30"/>
                                <w:szCs w:val="30"/>
                              </w:rPr>
                            </w:pPr>
                            <w:r>
                              <w:rPr>
                                <w:rFonts w:ascii="Calibri" w:hAnsi="Calibri" w:cs="Arial"/>
                                <w:spacing w:val="-4"/>
                                <w:sz w:val="30"/>
                                <w:szCs w:val="30"/>
                              </w:rPr>
                              <w:t xml:space="preserve">При этом у </w:t>
                            </w:r>
                            <w:r w:rsidRPr="003C393B">
                              <w:rPr>
                                <w:rFonts w:ascii="Calibri" w:hAnsi="Calibri" w:cs="Arial"/>
                                <w:spacing w:val="-4"/>
                                <w:sz w:val="30"/>
                                <w:szCs w:val="30"/>
                              </w:rPr>
                              <w:t xml:space="preserve">каждой системы есть своя целевая аудитория и свое функциональное предназначение. </w:t>
                            </w:r>
                            <w:r>
                              <w:rPr>
                                <w:rFonts w:ascii="Calibri" w:hAnsi="Calibri" w:cs="Arial"/>
                                <w:spacing w:val="-4"/>
                                <w:sz w:val="30"/>
                                <w:szCs w:val="30"/>
                              </w:rPr>
                              <w:t>МСПД</w:t>
                            </w:r>
                            <w:r w:rsidRPr="003C393B">
                              <w:rPr>
                                <w:rFonts w:ascii="Calibri" w:hAnsi="Calibri" w:cs="Arial"/>
                                <w:spacing w:val="-4"/>
                                <w:sz w:val="30"/>
                                <w:szCs w:val="30"/>
                              </w:rPr>
                              <w:t xml:space="preserve"> является системно значимой платежной системой страны и </w:t>
                            </w:r>
                            <w:r w:rsidRPr="004C6CFA">
                              <w:rPr>
                                <w:rFonts w:ascii="Calibri" w:hAnsi="Calibri" w:cs="Arial"/>
                                <w:spacing w:val="-4"/>
                                <w:sz w:val="30"/>
                                <w:szCs w:val="30"/>
                              </w:rPr>
                              <w:t>предназначена для высокоприоритетных и срочных платежей финансового сектора и хозяйствующих субъектов (средняя сумма одного платежа составляет 41,7 млн. тенге), что обуславливает проведение через данную систему основной доли суммы платежей). СМК ориентирована на проведение розничных платежей населения на небольшие суммы (ограничение по сумме до 5 млн. тенге, средняя сумма одного платежа - 282,4 тыс. тенге), в частности, платежи населения в секторе C2B, C2G (коммунальные, налоговые платежи, платежи за товары и услуги) и обеспечивает расчет основного количества платежей между финансовыми организациями.</w:t>
                            </w:r>
                            <w:r w:rsidRPr="003C393B">
                              <w:rPr>
                                <w:rFonts w:ascii="Calibri" w:hAnsi="Calibri" w:cs="Arial"/>
                                <w:spacing w:val="-4"/>
                                <w:sz w:val="30"/>
                                <w:szCs w:val="30"/>
                              </w:rPr>
                              <w:t xml:space="preserve"> </w:t>
                            </w:r>
                          </w:p>
                          <w:p w:rsidR="00A3494E" w:rsidRPr="001D3002" w:rsidRDefault="00A3494E" w:rsidP="001D3002">
                            <w:pPr>
                              <w:widowControl w:val="0"/>
                              <w:autoSpaceDE w:val="0"/>
                              <w:autoSpaceDN w:val="0"/>
                              <w:adjustRightInd w:val="0"/>
                              <w:ind w:firstLine="720"/>
                              <w:jc w:val="both"/>
                              <w:rPr>
                                <w:rFonts w:ascii="Calibri" w:hAnsi="Calibri" w:cs="Arial"/>
                                <w:spacing w:val="-4"/>
                                <w:sz w:val="30"/>
                                <w:szCs w:val="30"/>
                              </w:rPr>
                            </w:pPr>
                          </w:p>
                        </w:txbxContent>
                      </wps:txbx>
                      <wps:bodyPr rot="0" vert="horz" wrap="square" lIns="91440" tIns="45720" rIns="91440" bIns="45720" anchor="t" anchorCtr="0" upright="1">
                        <a:noAutofit/>
                      </wps:bodyPr>
                    </wps:wsp>
                  </a:graphicData>
                </a:graphic>
              </wp:inline>
            </w:drawing>
          </mc:Choice>
          <mc:Fallback>
            <w:pict>
              <v:roundrect id="AutoShape 71" o:spid="_x0000_s1045" style="width:476.6pt;height:348.1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" fillcolor="#cfc">
                <v:fill opacity="17733f"/>
                <v:textbox>
                  <w:txbxContent>
                    <w:p w:rsidR="00A3494E" w:rsidRDefault="00A3494E" w:rsidP="00EB5068">
                      <w:pPr>
                        <w:widowControl w:val="0"/>
                        <w:autoSpaceDE w:val="0"/>
                        <w:autoSpaceDN w:val="0"/>
                        <w:adjustRightInd w:val="0"/>
                        <w:ind w:firstLine="720"/>
                        <w:jc w:val="both"/>
                        <w:rPr>
                          <w:rFonts w:ascii="Calibri" w:hAnsi="Calibri" w:cs="Arial"/>
                          <w:spacing w:val="-4"/>
                          <w:sz w:val="30"/>
                          <w:szCs w:val="30"/>
                        </w:rPr>
                      </w:pPr>
                      <w:r w:rsidRPr="004C6CFA">
                        <w:rPr>
                          <w:rFonts w:ascii="Calibri" w:hAnsi="Calibri" w:cs="Arial"/>
                          <w:spacing w:val="-4"/>
                          <w:sz w:val="30"/>
                          <w:szCs w:val="30"/>
                        </w:rPr>
                        <w:t>Платежные системы Национального Банка Казахстана (МСПД и СМК) соответствуют установленным международным стандартам (Принципам для ИФР), характеризуются высоким уровнем эффективности и беспрерывности работы, обеспечивая обработку основного объема платежей в национальной валюте в стране. Ежегодно растут объемы платежей в платежных системах.</w:t>
                      </w:r>
                      <w:r>
                        <w:rPr>
                          <w:rFonts w:ascii="Calibri" w:hAnsi="Calibri" w:cs="Arial"/>
                          <w:spacing w:val="-4"/>
                          <w:sz w:val="30"/>
                          <w:szCs w:val="30"/>
                        </w:rPr>
                        <w:t xml:space="preserve">  </w:t>
                      </w:r>
                    </w:p>
                    <w:p w:rsidR="00A3494E" w:rsidRDefault="00A3494E" w:rsidP="00EB5068">
                      <w:pPr>
                        <w:widowControl w:val="0"/>
                        <w:autoSpaceDE w:val="0"/>
                        <w:autoSpaceDN w:val="0"/>
                        <w:adjustRightInd w:val="0"/>
                        <w:ind w:firstLine="720"/>
                        <w:jc w:val="both"/>
                        <w:rPr>
                          <w:rFonts w:ascii="Calibri" w:hAnsi="Calibri" w:cs="Arial"/>
                          <w:spacing w:val="-4"/>
                          <w:sz w:val="30"/>
                          <w:szCs w:val="30"/>
                        </w:rPr>
                      </w:pPr>
                      <w:r>
                        <w:rPr>
                          <w:rFonts w:ascii="Calibri" w:hAnsi="Calibri" w:cs="Arial"/>
                          <w:spacing w:val="-4"/>
                          <w:sz w:val="30"/>
                          <w:szCs w:val="30"/>
                        </w:rPr>
                        <w:t xml:space="preserve">При этом у </w:t>
                      </w:r>
                      <w:r w:rsidRPr="003C393B">
                        <w:rPr>
                          <w:rFonts w:ascii="Calibri" w:hAnsi="Calibri" w:cs="Arial"/>
                          <w:spacing w:val="-4"/>
                          <w:sz w:val="30"/>
                          <w:szCs w:val="30"/>
                        </w:rPr>
                        <w:t xml:space="preserve">каждой системы есть своя целевая аудитория и свое функциональное предназначение. </w:t>
                      </w:r>
                      <w:r>
                        <w:rPr>
                          <w:rFonts w:ascii="Calibri" w:hAnsi="Calibri" w:cs="Arial"/>
                          <w:spacing w:val="-4"/>
                          <w:sz w:val="30"/>
                          <w:szCs w:val="30"/>
                        </w:rPr>
                        <w:t>МСПД</w:t>
                      </w:r>
                      <w:r w:rsidRPr="003C393B">
                        <w:rPr>
                          <w:rFonts w:ascii="Calibri" w:hAnsi="Calibri" w:cs="Arial"/>
                          <w:spacing w:val="-4"/>
                          <w:sz w:val="30"/>
                          <w:szCs w:val="30"/>
                        </w:rPr>
                        <w:t xml:space="preserve"> является системно значимой платежной системой страны и </w:t>
                      </w:r>
                      <w:r w:rsidRPr="004C6CFA">
                        <w:rPr>
                          <w:rFonts w:ascii="Calibri" w:hAnsi="Calibri" w:cs="Arial"/>
                          <w:spacing w:val="-4"/>
                          <w:sz w:val="30"/>
                          <w:szCs w:val="30"/>
                        </w:rPr>
                        <w:t>предназначена для высокоприоритетных и срочных платежей финансового сектора и хозяйствующих субъектов (средняя сумма одного платежа составляет 41,7 млн. тенге), что обуславливает проведение через данную систему основной доли суммы платежей). СМК ориентирована на проведение розничных платежей населения на небольшие суммы (ограничение по сумме до 5 млн. тенге, средняя сумма одного платежа - 282,4 тыс. тенге), в частности, платежи населения в секторе C2B, C2G (коммунальные, налоговые платежи, платежи за товары и услуги) и обеспечивает расчет основного количества платежей между финансовыми организациями.</w:t>
                      </w:r>
                      <w:r w:rsidRPr="003C393B">
                        <w:rPr>
                          <w:rFonts w:ascii="Calibri" w:hAnsi="Calibri" w:cs="Arial"/>
                          <w:spacing w:val="-4"/>
                          <w:sz w:val="30"/>
                          <w:szCs w:val="30"/>
                        </w:rPr>
                        <w:t xml:space="preserve"> </w:t>
                      </w:r>
                    </w:p>
                    <w:p w:rsidR="00A3494E" w:rsidRPr="001D3002" w:rsidRDefault="00A3494E" w:rsidP="001D3002">
                      <w:pPr>
                        <w:widowControl w:val="0"/>
                        <w:autoSpaceDE w:val="0"/>
                        <w:autoSpaceDN w:val="0"/>
                        <w:adjustRightInd w:val="0"/>
                        <w:ind w:firstLine="720"/>
                        <w:jc w:val="both"/>
                        <w:rPr>
                          <w:rFonts w:ascii="Calibri" w:hAnsi="Calibri" w:cs="Arial"/>
                          <w:spacing w:val="-4"/>
                          <w:sz w:val="30"/>
                          <w:szCs w:val="30"/>
                        </w:rPr>
                      </w:pPr>
                    </w:p>
                  </w:txbxContent>
                </v:textbox>
                <w10:anchorlock/>
              </v:roundrect>
            </w:pict>
          </mc:Fallback>
        </mc:AlternateContent>
      </w:r>
    </w:p>
    <w:p w:rsidR="0035454E" w:rsidRDefault="0035454E" w:rsidP="003874CE">
      <w:pPr>
        <w:pStyle w:val="1"/>
        <w:spacing w:before="0" w:after="0"/>
        <w:ind w:firstLine="709"/>
        <w:jc w:val="center"/>
        <w:rPr>
          <w:rFonts w:ascii="Calibri" w:hAnsi="Calibri"/>
          <w:bCs w:val="0"/>
          <w:snapToGrid w:val="0"/>
          <w:color w:val="0E4C28"/>
          <w:spacing w:val="-2"/>
          <w:kern w:val="0"/>
          <w:sz w:val="36"/>
          <w:szCs w:val="36"/>
        </w:rPr>
        <w:sectPr w:rsidR="0035454E" w:rsidSect="0082483E">
          <w:pgSz w:w="11906" w:h="16838"/>
          <w:pgMar w:top="1134" w:right="851" w:bottom="1134" w:left="1701" w:header="709" w:footer="709" w:gutter="0"/>
          <w:cols w:space="708"/>
          <w:docGrid w:linePitch="360"/>
        </w:sectPr>
      </w:pPr>
    </w:p>
    <w:p w:rsidR="003874CE" w:rsidRPr="00015E28" w:rsidRDefault="005C7913" w:rsidP="003874CE">
      <w:pPr>
        <w:pStyle w:val="1"/>
        <w:spacing w:before="0" w:after="0"/>
        <w:ind w:firstLine="709"/>
        <w:jc w:val="center"/>
        <w:rPr>
          <w:rFonts w:ascii="Calibri" w:hAnsi="Calibri"/>
          <w:bCs w:val="0"/>
          <w:snapToGrid w:val="0"/>
          <w:color w:val="0E4C28"/>
          <w:spacing w:val="-2"/>
          <w:kern w:val="0"/>
          <w:sz w:val="36"/>
          <w:szCs w:val="36"/>
        </w:rPr>
      </w:pPr>
      <w:bookmarkStart w:id="124" w:name="_Toc481418202"/>
      <w:r w:rsidRPr="00015E28">
        <w:rPr>
          <w:rFonts w:ascii="Calibri" w:hAnsi="Calibri"/>
          <w:bCs w:val="0"/>
          <w:snapToGrid w:val="0"/>
          <w:color w:val="0E4C28"/>
          <w:spacing w:val="-2"/>
          <w:kern w:val="0"/>
          <w:sz w:val="36"/>
          <w:szCs w:val="36"/>
        </w:rPr>
        <w:lastRenderedPageBreak/>
        <w:t xml:space="preserve">РАЗДЕЛ </w:t>
      </w:r>
      <w:r>
        <w:rPr>
          <w:rFonts w:ascii="Calibri" w:hAnsi="Calibri"/>
          <w:bCs w:val="0"/>
          <w:snapToGrid w:val="0"/>
          <w:color w:val="0E4C28"/>
          <w:spacing w:val="-2"/>
          <w:kern w:val="0"/>
          <w:sz w:val="36"/>
          <w:szCs w:val="36"/>
        </w:rPr>
        <w:t>2</w:t>
      </w:r>
      <w:r w:rsidR="003874CE" w:rsidRPr="00015E28">
        <w:rPr>
          <w:rFonts w:ascii="Calibri" w:hAnsi="Calibri"/>
          <w:bCs w:val="0"/>
          <w:snapToGrid w:val="0"/>
          <w:color w:val="0E4C28"/>
          <w:spacing w:val="-2"/>
          <w:kern w:val="0"/>
          <w:sz w:val="36"/>
          <w:szCs w:val="36"/>
        </w:rPr>
        <w:t>. ПЛАТЕЖНЫЕ ИНСТРУМЕНТЫ</w:t>
      </w:r>
      <w:bookmarkEnd w:id="124"/>
    </w:p>
    <w:p w:rsidR="0090149B" w:rsidRPr="0082483E" w:rsidRDefault="0090149B" w:rsidP="0090149B">
      <w:pPr>
        <w:jc w:val="both"/>
        <w:rPr>
          <w:sz w:val="8"/>
        </w:rPr>
      </w:pPr>
    </w:p>
    <w:p w:rsidR="00FC6BCA" w:rsidRDefault="0090149B" w:rsidP="00FC6BCA">
      <w:pPr>
        <w:ind w:firstLine="708"/>
        <w:jc w:val="both"/>
        <w:rPr>
          <w:rFonts w:ascii="Calibri" w:hAnsi="Calibri" w:cs="Arial"/>
          <w:sz w:val="30"/>
          <w:szCs w:val="30"/>
        </w:rPr>
      </w:pPr>
      <w:r w:rsidRPr="0090149B">
        <w:rPr>
          <w:rFonts w:ascii="Calibri" w:hAnsi="Calibri" w:cs="Arial"/>
          <w:sz w:val="30"/>
          <w:szCs w:val="30"/>
        </w:rPr>
        <w:t>В данном</w:t>
      </w:r>
      <w:r>
        <w:rPr>
          <w:rFonts w:ascii="Calibri" w:hAnsi="Calibri" w:cs="Arial"/>
          <w:sz w:val="30"/>
          <w:szCs w:val="30"/>
        </w:rPr>
        <w:t xml:space="preserve"> разделе представлен анализ использования платежных инструментов </w:t>
      </w:r>
      <w:r w:rsidRPr="0090149B">
        <w:rPr>
          <w:rFonts w:ascii="Calibri" w:hAnsi="Calibri" w:cs="Arial"/>
          <w:sz w:val="30"/>
          <w:szCs w:val="30"/>
        </w:rPr>
        <w:t xml:space="preserve"> </w:t>
      </w:r>
      <w:r w:rsidR="00FC6BCA">
        <w:rPr>
          <w:rFonts w:ascii="Calibri" w:hAnsi="Calibri" w:cs="Arial"/>
          <w:sz w:val="30"/>
          <w:szCs w:val="30"/>
        </w:rPr>
        <w:t>на территории Казахстана</w:t>
      </w:r>
      <w:r w:rsidR="00B63ABB">
        <w:rPr>
          <w:rFonts w:ascii="Calibri" w:hAnsi="Calibri" w:cs="Arial"/>
          <w:sz w:val="30"/>
          <w:szCs w:val="30"/>
        </w:rPr>
        <w:t xml:space="preserve">, в том числе, проведение </w:t>
      </w:r>
      <w:r w:rsidR="00FC6BCA">
        <w:rPr>
          <w:rFonts w:ascii="Calibri" w:hAnsi="Calibri" w:cs="Arial"/>
          <w:sz w:val="30"/>
          <w:szCs w:val="30"/>
        </w:rPr>
        <w:t xml:space="preserve"> </w:t>
      </w:r>
      <w:r w:rsidR="00DC1000">
        <w:rPr>
          <w:rFonts w:ascii="Calibri" w:hAnsi="Calibri" w:cs="Arial"/>
          <w:sz w:val="30"/>
          <w:szCs w:val="30"/>
        </w:rPr>
        <w:t>операци</w:t>
      </w:r>
      <w:r w:rsidR="00B63ABB">
        <w:rPr>
          <w:rFonts w:ascii="Calibri" w:hAnsi="Calibri" w:cs="Arial"/>
          <w:sz w:val="30"/>
          <w:szCs w:val="30"/>
        </w:rPr>
        <w:t>й</w:t>
      </w:r>
      <w:r w:rsidR="00DC1000">
        <w:rPr>
          <w:rFonts w:ascii="Calibri" w:hAnsi="Calibri" w:cs="Arial"/>
          <w:sz w:val="30"/>
          <w:szCs w:val="30"/>
        </w:rPr>
        <w:t xml:space="preserve"> </w:t>
      </w:r>
      <w:r w:rsidR="00B63ABB">
        <w:rPr>
          <w:rFonts w:ascii="Calibri" w:hAnsi="Calibri" w:cs="Arial"/>
          <w:sz w:val="30"/>
          <w:szCs w:val="30"/>
        </w:rPr>
        <w:t xml:space="preserve">физическими и юридическими лицами </w:t>
      </w:r>
      <w:r w:rsidR="00DC1000">
        <w:rPr>
          <w:rFonts w:ascii="Calibri" w:hAnsi="Calibri" w:cs="Arial"/>
          <w:sz w:val="30"/>
          <w:szCs w:val="30"/>
        </w:rPr>
        <w:t>с использованием кредитовых инс</w:t>
      </w:r>
      <w:r w:rsidR="00DC1000" w:rsidRPr="004C6CFA">
        <w:rPr>
          <w:rFonts w:ascii="Calibri" w:hAnsi="Calibri" w:cs="Arial"/>
          <w:sz w:val="30"/>
          <w:szCs w:val="30"/>
        </w:rPr>
        <w:t>трументов</w:t>
      </w:r>
      <w:r w:rsidR="00DC1000" w:rsidRPr="004C6CFA">
        <w:rPr>
          <w:rStyle w:val="a6"/>
          <w:rFonts w:ascii="Calibri" w:hAnsi="Calibri" w:cs="Arial"/>
        </w:rPr>
        <w:footnoteReference w:id="6"/>
      </w:r>
      <w:r w:rsidR="00B63ABB" w:rsidRPr="004C6CFA">
        <w:rPr>
          <w:rFonts w:ascii="Calibri" w:hAnsi="Calibri" w:cs="Arial"/>
          <w:sz w:val="30"/>
          <w:szCs w:val="30"/>
        </w:rPr>
        <w:t>,</w:t>
      </w:r>
      <w:r w:rsidR="00701CCA" w:rsidRPr="004C6CFA">
        <w:rPr>
          <w:rFonts w:ascii="Calibri" w:hAnsi="Calibri" w:cs="Arial"/>
          <w:sz w:val="30"/>
          <w:szCs w:val="30"/>
        </w:rPr>
        <w:t xml:space="preserve"> д</w:t>
      </w:r>
      <w:r w:rsidR="00DC1000" w:rsidRPr="004C6CFA">
        <w:rPr>
          <w:rFonts w:ascii="Calibri" w:hAnsi="Calibri" w:cs="Arial"/>
          <w:sz w:val="30"/>
          <w:szCs w:val="30"/>
        </w:rPr>
        <w:t>ебетовых инструментов</w:t>
      </w:r>
      <w:r w:rsidR="00DC1000" w:rsidRPr="004C6CFA">
        <w:rPr>
          <w:rStyle w:val="a6"/>
          <w:rFonts w:ascii="Calibri" w:hAnsi="Calibri" w:cs="Arial"/>
        </w:rPr>
        <w:footnoteReference w:id="7"/>
      </w:r>
      <w:r w:rsidR="00DC1000" w:rsidRPr="004C6CFA">
        <w:rPr>
          <w:rFonts w:ascii="Calibri" w:hAnsi="Calibri" w:cs="Arial"/>
          <w:sz w:val="30"/>
          <w:szCs w:val="30"/>
        </w:rPr>
        <w:t xml:space="preserve"> </w:t>
      </w:r>
      <w:r w:rsidR="00B63ABB" w:rsidRPr="004C6CFA">
        <w:rPr>
          <w:rFonts w:ascii="Calibri" w:hAnsi="Calibri" w:cs="Arial"/>
          <w:sz w:val="30"/>
          <w:szCs w:val="30"/>
        </w:rPr>
        <w:t xml:space="preserve">и </w:t>
      </w:r>
      <w:r w:rsidR="00DC1000" w:rsidRPr="004C6CFA">
        <w:rPr>
          <w:rFonts w:ascii="Calibri" w:hAnsi="Calibri" w:cs="Arial"/>
          <w:sz w:val="30"/>
          <w:szCs w:val="30"/>
        </w:rPr>
        <w:t>иных способов осуществления платежей и переводов денег</w:t>
      </w:r>
      <w:r w:rsidR="00DC1000" w:rsidRPr="004C6CFA">
        <w:rPr>
          <w:rStyle w:val="a6"/>
          <w:rFonts w:ascii="Calibri" w:hAnsi="Calibri" w:cs="Arial"/>
        </w:rPr>
        <w:footnoteReference w:id="8"/>
      </w:r>
      <w:r w:rsidR="0082483E" w:rsidRPr="004C6CFA">
        <w:rPr>
          <w:rFonts w:ascii="Calibri" w:hAnsi="Calibri" w:cs="Arial"/>
          <w:sz w:val="30"/>
          <w:szCs w:val="30"/>
        </w:rPr>
        <w:t>.</w:t>
      </w:r>
    </w:p>
    <w:p w:rsidR="00803AB5" w:rsidRDefault="00803AB5" w:rsidP="00803AB5">
      <w:pPr>
        <w:ind w:firstLine="708"/>
        <w:jc w:val="both"/>
        <w:rPr>
          <w:rFonts w:ascii="Calibri" w:hAnsi="Calibri" w:cs="Arial"/>
          <w:b/>
          <w:sz w:val="30"/>
          <w:szCs w:val="30"/>
          <w:u w:val="single"/>
        </w:rPr>
      </w:pPr>
      <w:r w:rsidRPr="00250515">
        <w:rPr>
          <w:rFonts w:ascii="Calibri" w:hAnsi="Calibri" w:cs="Arial"/>
          <w:b/>
          <w:sz w:val="30"/>
          <w:szCs w:val="30"/>
          <w:u w:val="single"/>
        </w:rPr>
        <w:t xml:space="preserve">Платежи </w:t>
      </w:r>
      <w:r>
        <w:rPr>
          <w:rFonts w:ascii="Calibri" w:hAnsi="Calibri" w:cs="Arial"/>
          <w:b/>
          <w:sz w:val="30"/>
          <w:szCs w:val="30"/>
          <w:u w:val="single"/>
        </w:rPr>
        <w:t>юридических</w:t>
      </w:r>
      <w:r w:rsidRPr="00250515">
        <w:rPr>
          <w:rFonts w:ascii="Calibri" w:hAnsi="Calibri" w:cs="Arial"/>
          <w:b/>
          <w:sz w:val="30"/>
          <w:szCs w:val="30"/>
          <w:u w:val="single"/>
        </w:rPr>
        <w:t xml:space="preserve"> лиц</w:t>
      </w:r>
      <w:r w:rsidRPr="00250515">
        <w:rPr>
          <w:rStyle w:val="a6"/>
          <w:rFonts w:ascii="Calibri" w:hAnsi="Calibri" w:cs="Arial"/>
          <w:sz w:val="30"/>
          <w:szCs w:val="30"/>
          <w:u w:val="single"/>
        </w:rPr>
        <w:footnoteReference w:id="9"/>
      </w:r>
    </w:p>
    <w:tbl>
      <w:tblPr>
        <w:tblStyle w:val="a3"/>
        <w:tblW w:w="10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6160"/>
      </w:tblGrid>
      <w:tr w:rsidR="00803AB5" w:rsidTr="008429CA">
        <w:tc>
          <w:tcPr>
            <w:tcW w:w="4428" w:type="dxa"/>
          </w:tcPr>
          <w:p w:rsidR="00803AB5" w:rsidRDefault="00803AB5" w:rsidP="008429CA">
            <w:pPr>
              <w:ind w:firstLine="708"/>
              <w:jc w:val="both"/>
              <w:rPr>
                <w:rFonts w:ascii="Calibri" w:hAnsi="Calibri" w:cs="Arial"/>
                <w:sz w:val="30"/>
                <w:szCs w:val="30"/>
              </w:rPr>
            </w:pPr>
            <w:r>
              <w:rPr>
                <w:rFonts w:ascii="Calibri" w:hAnsi="Calibri" w:cs="Arial"/>
                <w:sz w:val="30"/>
                <w:szCs w:val="30"/>
              </w:rPr>
              <w:t>Операции юридических лиц</w:t>
            </w:r>
            <w:r w:rsidR="008429CA">
              <w:rPr>
                <w:rStyle w:val="a6"/>
                <w:rFonts w:ascii="Calibri" w:hAnsi="Calibri" w:cs="Arial"/>
                <w:sz w:val="30"/>
                <w:szCs w:val="30"/>
              </w:rPr>
              <w:footnoteReference w:id="10"/>
            </w:r>
            <w:r w:rsidR="008429CA">
              <w:rPr>
                <w:rFonts w:ascii="Calibri" w:hAnsi="Calibri" w:cs="Arial"/>
                <w:sz w:val="30"/>
                <w:szCs w:val="30"/>
              </w:rPr>
              <w:t xml:space="preserve"> </w:t>
            </w:r>
            <w:r>
              <w:rPr>
                <w:rFonts w:ascii="Calibri" w:hAnsi="Calibri" w:cs="Arial"/>
                <w:sz w:val="30"/>
                <w:szCs w:val="30"/>
              </w:rPr>
              <w:t>через банки и АО «</w:t>
            </w:r>
            <w:proofErr w:type="spellStart"/>
            <w:r>
              <w:rPr>
                <w:rFonts w:ascii="Calibri" w:hAnsi="Calibri" w:cs="Arial"/>
                <w:sz w:val="30"/>
                <w:szCs w:val="30"/>
              </w:rPr>
              <w:t>Казпочта</w:t>
            </w:r>
            <w:proofErr w:type="spellEnd"/>
            <w:r>
              <w:rPr>
                <w:rFonts w:ascii="Calibri" w:hAnsi="Calibri" w:cs="Arial"/>
                <w:sz w:val="30"/>
                <w:szCs w:val="30"/>
              </w:rPr>
              <w:t xml:space="preserve">» с использованием платежных инструментов составили </w:t>
            </w:r>
            <w:r w:rsidR="00E75289">
              <w:rPr>
                <w:rFonts w:ascii="Calibri" w:hAnsi="Calibri" w:cs="Arial"/>
                <w:sz w:val="30"/>
                <w:szCs w:val="30"/>
              </w:rPr>
              <w:t>582,0</w:t>
            </w:r>
            <w:r>
              <w:rPr>
                <w:rFonts w:ascii="Calibri" w:hAnsi="Calibri" w:cs="Arial"/>
                <w:sz w:val="30"/>
                <w:szCs w:val="30"/>
              </w:rPr>
              <w:t xml:space="preserve"> млн. транзакций на сумму </w:t>
            </w:r>
            <w:r w:rsidR="00E75289">
              <w:rPr>
                <w:rFonts w:ascii="Calibri" w:hAnsi="Calibri" w:cs="Arial"/>
                <w:sz w:val="30"/>
                <w:szCs w:val="30"/>
              </w:rPr>
              <w:t>561,0</w:t>
            </w:r>
            <w:r>
              <w:rPr>
                <w:rFonts w:ascii="Calibri" w:hAnsi="Calibri" w:cs="Arial"/>
                <w:sz w:val="30"/>
                <w:szCs w:val="30"/>
              </w:rPr>
              <w:t xml:space="preserve"> трлн. тенге.</w:t>
            </w:r>
          </w:p>
        </w:tc>
        <w:tc>
          <w:tcPr>
            <w:tcW w:w="6160" w:type="dxa"/>
          </w:tcPr>
          <w:tbl>
            <w:tblPr>
              <w:tblStyle w:val="a3"/>
              <w:tblW w:w="5107" w:type="dxa"/>
              <w:tblLook w:val="04A0" w:firstRow="1" w:lastRow="0" w:firstColumn="1" w:lastColumn="0" w:noHBand="0" w:noVBand="1"/>
            </w:tblPr>
            <w:tblGrid>
              <w:gridCol w:w="2407"/>
              <w:gridCol w:w="1080"/>
              <w:gridCol w:w="1620"/>
            </w:tblGrid>
            <w:tr w:rsidR="00803AB5" w:rsidRPr="00DC153A" w:rsidTr="008429CA">
              <w:tc>
                <w:tcPr>
                  <w:tcW w:w="2407" w:type="dxa"/>
                  <w:shd w:val="clear" w:color="auto" w:fill="C2D69B"/>
                  <w:vAlign w:val="center"/>
                </w:tcPr>
                <w:p w:rsidR="00803AB5" w:rsidRPr="0090149B" w:rsidRDefault="00803AB5" w:rsidP="008429CA">
                  <w:pPr>
                    <w:widowControl w:val="0"/>
                    <w:jc w:val="center"/>
                    <w:rPr>
                      <w:rFonts w:ascii="Calibri" w:hAnsi="Calibri" w:cs="Arial"/>
                      <w:b/>
                      <w:bCs/>
                      <w:sz w:val="22"/>
                      <w:szCs w:val="22"/>
                    </w:rPr>
                  </w:pPr>
                  <w:r w:rsidRPr="0090149B">
                    <w:rPr>
                      <w:rFonts w:ascii="Calibri" w:hAnsi="Calibri" w:cs="Arial"/>
                      <w:b/>
                      <w:bCs/>
                      <w:sz w:val="22"/>
                      <w:szCs w:val="22"/>
                    </w:rPr>
                    <w:t>Подвиды</w:t>
                  </w:r>
                </w:p>
              </w:tc>
              <w:tc>
                <w:tcPr>
                  <w:tcW w:w="1080" w:type="dxa"/>
                  <w:shd w:val="clear" w:color="auto" w:fill="C2D69B"/>
                  <w:vAlign w:val="center"/>
                </w:tcPr>
                <w:p w:rsidR="00803AB5" w:rsidRPr="0090149B" w:rsidRDefault="00803AB5" w:rsidP="008429CA">
                  <w:pPr>
                    <w:widowControl w:val="0"/>
                    <w:jc w:val="center"/>
                    <w:rPr>
                      <w:rFonts w:ascii="Calibri" w:hAnsi="Calibri" w:cs="Arial"/>
                      <w:b/>
                      <w:bCs/>
                      <w:sz w:val="22"/>
                      <w:szCs w:val="22"/>
                    </w:rPr>
                  </w:pPr>
                  <w:r w:rsidRPr="0090149B">
                    <w:rPr>
                      <w:rFonts w:ascii="Calibri" w:hAnsi="Calibri" w:cs="Arial"/>
                      <w:b/>
                      <w:bCs/>
                      <w:sz w:val="22"/>
                      <w:szCs w:val="22"/>
                    </w:rPr>
                    <w:t xml:space="preserve">Кол-во (тыс. </w:t>
                  </w:r>
                  <w:r w:rsidR="00E75289" w:rsidRPr="0090149B">
                    <w:rPr>
                      <w:rFonts w:ascii="Calibri" w:hAnsi="Calibri" w:cs="Arial"/>
                      <w:b/>
                      <w:bCs/>
                      <w:sz w:val="22"/>
                      <w:szCs w:val="22"/>
                    </w:rPr>
                    <w:t>тр.</w:t>
                  </w:r>
                  <w:r w:rsidRPr="0090149B">
                    <w:rPr>
                      <w:rFonts w:ascii="Calibri" w:hAnsi="Calibri" w:cs="Arial"/>
                      <w:b/>
                      <w:bCs/>
                      <w:sz w:val="22"/>
                      <w:szCs w:val="22"/>
                    </w:rPr>
                    <w:t>)</w:t>
                  </w:r>
                </w:p>
              </w:tc>
              <w:tc>
                <w:tcPr>
                  <w:tcW w:w="1620" w:type="dxa"/>
                  <w:shd w:val="clear" w:color="auto" w:fill="C2D69B"/>
                  <w:vAlign w:val="center"/>
                </w:tcPr>
                <w:p w:rsidR="00DD3239" w:rsidRDefault="00803AB5" w:rsidP="008429CA">
                  <w:pPr>
                    <w:widowControl w:val="0"/>
                    <w:jc w:val="center"/>
                    <w:rPr>
                      <w:rFonts w:ascii="Calibri" w:hAnsi="Calibri" w:cs="Arial"/>
                      <w:b/>
                      <w:bCs/>
                      <w:sz w:val="22"/>
                      <w:szCs w:val="22"/>
                    </w:rPr>
                  </w:pPr>
                  <w:r w:rsidRPr="0090149B">
                    <w:rPr>
                      <w:rFonts w:ascii="Calibri" w:hAnsi="Calibri" w:cs="Arial"/>
                      <w:b/>
                      <w:bCs/>
                      <w:sz w:val="22"/>
                      <w:szCs w:val="22"/>
                    </w:rPr>
                    <w:t>Сумма</w:t>
                  </w:r>
                </w:p>
                <w:p w:rsidR="00803AB5" w:rsidRPr="0090149B" w:rsidRDefault="00803AB5" w:rsidP="008429CA">
                  <w:pPr>
                    <w:widowControl w:val="0"/>
                    <w:jc w:val="center"/>
                    <w:rPr>
                      <w:rFonts w:ascii="Calibri" w:hAnsi="Calibri" w:cs="Arial"/>
                      <w:b/>
                      <w:bCs/>
                      <w:sz w:val="22"/>
                      <w:szCs w:val="22"/>
                    </w:rPr>
                  </w:pPr>
                  <w:r w:rsidRPr="0090149B">
                    <w:rPr>
                      <w:rFonts w:ascii="Calibri" w:hAnsi="Calibri" w:cs="Arial"/>
                      <w:b/>
                      <w:bCs/>
                      <w:sz w:val="22"/>
                      <w:szCs w:val="22"/>
                    </w:rPr>
                    <w:t>(млрд.</w:t>
                  </w:r>
                  <w:r w:rsidR="00DD3239">
                    <w:rPr>
                      <w:rFonts w:ascii="Calibri" w:hAnsi="Calibri" w:cs="Arial"/>
                      <w:b/>
                      <w:bCs/>
                      <w:sz w:val="22"/>
                      <w:szCs w:val="22"/>
                    </w:rPr>
                    <w:t xml:space="preserve"> </w:t>
                  </w:r>
                  <w:r w:rsidRPr="0090149B">
                    <w:rPr>
                      <w:rFonts w:ascii="Calibri" w:hAnsi="Calibri" w:cs="Arial"/>
                      <w:b/>
                      <w:bCs/>
                      <w:sz w:val="22"/>
                      <w:szCs w:val="22"/>
                    </w:rPr>
                    <w:t>тенге)</w:t>
                  </w:r>
                </w:p>
              </w:tc>
            </w:tr>
            <w:tr w:rsidR="00B63ABB" w:rsidRPr="00DC153A" w:rsidTr="008429CA">
              <w:tc>
                <w:tcPr>
                  <w:tcW w:w="2407" w:type="dxa"/>
                </w:tcPr>
                <w:p w:rsidR="00B63ABB" w:rsidRPr="004C6CFA" w:rsidRDefault="00B63ABB" w:rsidP="00264041">
                  <w:pPr>
                    <w:jc w:val="both"/>
                    <w:rPr>
                      <w:rFonts w:asciiTheme="minorHAnsi" w:hAnsiTheme="minorHAnsi" w:cstheme="minorHAnsi"/>
                      <w:sz w:val="22"/>
                      <w:szCs w:val="22"/>
                    </w:rPr>
                  </w:pPr>
                  <w:r w:rsidRPr="004C6CFA">
                    <w:rPr>
                      <w:rFonts w:asciiTheme="minorHAnsi" w:hAnsiTheme="minorHAnsi" w:cstheme="minorHAnsi"/>
                      <w:sz w:val="22"/>
                      <w:szCs w:val="22"/>
                    </w:rPr>
                    <w:t>кредитовые</w:t>
                  </w:r>
                </w:p>
              </w:tc>
              <w:tc>
                <w:tcPr>
                  <w:tcW w:w="1080" w:type="dxa"/>
                  <w:vAlign w:val="center"/>
                </w:tcPr>
                <w:p w:rsidR="00B63ABB" w:rsidRPr="004C6CFA" w:rsidRDefault="00B63ABB" w:rsidP="00B63ABB">
                  <w:pPr>
                    <w:jc w:val="center"/>
                    <w:rPr>
                      <w:rFonts w:asciiTheme="minorHAnsi" w:hAnsiTheme="minorHAnsi" w:cstheme="minorHAnsi"/>
                      <w:bCs/>
                      <w:i/>
                      <w:iCs/>
                      <w:sz w:val="22"/>
                      <w:szCs w:val="22"/>
                    </w:rPr>
                  </w:pPr>
                  <w:r w:rsidRPr="004C6CFA">
                    <w:rPr>
                      <w:rFonts w:asciiTheme="minorHAnsi" w:hAnsiTheme="minorHAnsi" w:cstheme="minorHAnsi"/>
                      <w:bCs/>
                      <w:i/>
                      <w:iCs/>
                      <w:sz w:val="22"/>
                      <w:szCs w:val="22"/>
                    </w:rPr>
                    <w:t>297,6</w:t>
                  </w:r>
                </w:p>
              </w:tc>
              <w:tc>
                <w:tcPr>
                  <w:tcW w:w="1620" w:type="dxa"/>
                  <w:vAlign w:val="center"/>
                </w:tcPr>
                <w:p w:rsidR="00B63ABB" w:rsidRPr="004C6CFA" w:rsidRDefault="00B63ABB" w:rsidP="00B63ABB">
                  <w:pPr>
                    <w:jc w:val="center"/>
                    <w:rPr>
                      <w:rFonts w:asciiTheme="minorHAnsi" w:hAnsiTheme="minorHAnsi" w:cstheme="minorHAnsi"/>
                      <w:bCs/>
                      <w:i/>
                      <w:iCs/>
                      <w:sz w:val="22"/>
                      <w:szCs w:val="22"/>
                    </w:rPr>
                  </w:pPr>
                  <w:r w:rsidRPr="004C6CFA">
                    <w:rPr>
                      <w:rFonts w:asciiTheme="minorHAnsi" w:hAnsiTheme="minorHAnsi" w:cstheme="minorHAnsi"/>
                      <w:bCs/>
                      <w:i/>
                      <w:iCs/>
                      <w:sz w:val="22"/>
                      <w:szCs w:val="22"/>
                    </w:rPr>
                    <w:t>512 000,5</w:t>
                  </w:r>
                </w:p>
              </w:tc>
            </w:tr>
            <w:tr w:rsidR="00B63ABB" w:rsidRPr="00DC153A" w:rsidTr="008429CA">
              <w:tc>
                <w:tcPr>
                  <w:tcW w:w="2407" w:type="dxa"/>
                </w:tcPr>
                <w:p w:rsidR="00B63ABB" w:rsidRPr="004C6CFA" w:rsidRDefault="004C6CFA" w:rsidP="00264041">
                  <w:pPr>
                    <w:jc w:val="both"/>
                    <w:rPr>
                      <w:rFonts w:asciiTheme="minorHAnsi" w:hAnsiTheme="minorHAnsi" w:cstheme="minorHAnsi"/>
                      <w:i/>
                      <w:sz w:val="22"/>
                      <w:szCs w:val="22"/>
                    </w:rPr>
                  </w:pPr>
                  <w:r w:rsidRPr="004C6CFA">
                    <w:rPr>
                      <w:rFonts w:asciiTheme="minorHAnsi" w:hAnsiTheme="minorHAnsi" w:cstheme="minorHAnsi"/>
                      <w:i/>
                      <w:sz w:val="22"/>
                      <w:szCs w:val="22"/>
                    </w:rPr>
                    <w:t>доля в структуре (</w:t>
                  </w:r>
                  <w:proofErr w:type="gramStart"/>
                  <w:r w:rsidRPr="004C6CFA">
                    <w:rPr>
                      <w:rFonts w:asciiTheme="minorHAnsi" w:hAnsiTheme="minorHAnsi" w:cstheme="minorHAnsi"/>
                      <w:i/>
                      <w:sz w:val="22"/>
                      <w:szCs w:val="22"/>
                    </w:rPr>
                    <w:t>в</w:t>
                  </w:r>
                  <w:proofErr w:type="gramEnd"/>
                  <w:r w:rsidRPr="004C6CFA">
                    <w:rPr>
                      <w:rFonts w:asciiTheme="minorHAnsi" w:hAnsiTheme="minorHAnsi" w:cstheme="minorHAnsi"/>
                      <w:i/>
                      <w:sz w:val="22"/>
                      <w:szCs w:val="22"/>
                    </w:rPr>
                    <w:t>%)</w:t>
                  </w:r>
                </w:p>
              </w:tc>
              <w:tc>
                <w:tcPr>
                  <w:tcW w:w="1080" w:type="dxa"/>
                  <w:vAlign w:val="center"/>
                </w:tcPr>
                <w:p w:rsidR="00B63ABB" w:rsidRPr="004C6CFA" w:rsidRDefault="00B63ABB" w:rsidP="00B63ABB">
                  <w:pPr>
                    <w:jc w:val="center"/>
                    <w:rPr>
                      <w:rFonts w:asciiTheme="minorHAnsi" w:hAnsiTheme="minorHAnsi" w:cstheme="minorHAnsi"/>
                      <w:i/>
                      <w:sz w:val="22"/>
                      <w:szCs w:val="22"/>
                    </w:rPr>
                  </w:pPr>
                  <w:r w:rsidRPr="004C6CFA">
                    <w:rPr>
                      <w:rFonts w:asciiTheme="minorHAnsi" w:hAnsiTheme="minorHAnsi" w:cstheme="minorHAnsi"/>
                      <w:i/>
                      <w:sz w:val="22"/>
                      <w:szCs w:val="22"/>
                    </w:rPr>
                    <w:t>51,1%</w:t>
                  </w:r>
                </w:p>
              </w:tc>
              <w:tc>
                <w:tcPr>
                  <w:tcW w:w="1620" w:type="dxa"/>
                  <w:vAlign w:val="center"/>
                </w:tcPr>
                <w:p w:rsidR="00B63ABB" w:rsidRPr="004C6CFA" w:rsidRDefault="00B63ABB" w:rsidP="00B63ABB">
                  <w:pPr>
                    <w:jc w:val="center"/>
                    <w:rPr>
                      <w:rFonts w:asciiTheme="minorHAnsi" w:hAnsiTheme="minorHAnsi" w:cstheme="minorHAnsi"/>
                      <w:i/>
                      <w:sz w:val="22"/>
                      <w:szCs w:val="22"/>
                    </w:rPr>
                  </w:pPr>
                  <w:r w:rsidRPr="004C6CFA">
                    <w:rPr>
                      <w:rFonts w:asciiTheme="minorHAnsi" w:hAnsiTheme="minorHAnsi" w:cstheme="minorHAnsi"/>
                      <w:i/>
                      <w:sz w:val="22"/>
                      <w:szCs w:val="22"/>
                    </w:rPr>
                    <w:t>91,3%</w:t>
                  </w:r>
                </w:p>
              </w:tc>
            </w:tr>
            <w:tr w:rsidR="00B63ABB" w:rsidRPr="00DC153A" w:rsidTr="008429CA">
              <w:tc>
                <w:tcPr>
                  <w:tcW w:w="2407" w:type="dxa"/>
                </w:tcPr>
                <w:p w:rsidR="00B63ABB" w:rsidRPr="004C6CFA" w:rsidRDefault="00B63ABB" w:rsidP="00264041">
                  <w:pPr>
                    <w:jc w:val="both"/>
                    <w:rPr>
                      <w:rFonts w:asciiTheme="minorHAnsi" w:hAnsiTheme="minorHAnsi" w:cstheme="minorHAnsi"/>
                      <w:sz w:val="22"/>
                      <w:szCs w:val="22"/>
                    </w:rPr>
                  </w:pPr>
                  <w:r w:rsidRPr="004C6CFA">
                    <w:rPr>
                      <w:rFonts w:asciiTheme="minorHAnsi" w:hAnsiTheme="minorHAnsi" w:cstheme="minorHAnsi"/>
                      <w:sz w:val="22"/>
                      <w:szCs w:val="22"/>
                    </w:rPr>
                    <w:t>дебетовые</w:t>
                  </w:r>
                </w:p>
              </w:tc>
              <w:tc>
                <w:tcPr>
                  <w:tcW w:w="1080" w:type="dxa"/>
                  <w:vAlign w:val="center"/>
                </w:tcPr>
                <w:p w:rsidR="00B63ABB" w:rsidRPr="004C6CFA" w:rsidRDefault="00B63ABB" w:rsidP="00B63ABB">
                  <w:pPr>
                    <w:jc w:val="center"/>
                    <w:rPr>
                      <w:rFonts w:asciiTheme="minorHAnsi" w:hAnsiTheme="minorHAnsi" w:cstheme="minorHAnsi"/>
                      <w:bCs/>
                      <w:i/>
                      <w:iCs/>
                      <w:sz w:val="22"/>
                      <w:szCs w:val="22"/>
                    </w:rPr>
                  </w:pPr>
                  <w:r w:rsidRPr="004C6CFA">
                    <w:rPr>
                      <w:rFonts w:asciiTheme="minorHAnsi" w:hAnsiTheme="minorHAnsi" w:cstheme="minorHAnsi"/>
                      <w:bCs/>
                      <w:i/>
                      <w:iCs/>
                      <w:sz w:val="22"/>
                      <w:szCs w:val="22"/>
                    </w:rPr>
                    <w:t>35,5</w:t>
                  </w:r>
                </w:p>
              </w:tc>
              <w:tc>
                <w:tcPr>
                  <w:tcW w:w="1620" w:type="dxa"/>
                  <w:vAlign w:val="center"/>
                </w:tcPr>
                <w:p w:rsidR="00B63ABB" w:rsidRPr="004C6CFA" w:rsidRDefault="00B63ABB" w:rsidP="00B63ABB">
                  <w:pPr>
                    <w:jc w:val="center"/>
                    <w:rPr>
                      <w:rFonts w:asciiTheme="minorHAnsi" w:hAnsiTheme="minorHAnsi" w:cstheme="minorHAnsi"/>
                      <w:bCs/>
                      <w:i/>
                      <w:iCs/>
                      <w:sz w:val="22"/>
                      <w:szCs w:val="22"/>
                    </w:rPr>
                  </w:pPr>
                  <w:r w:rsidRPr="004C6CFA">
                    <w:rPr>
                      <w:rFonts w:asciiTheme="minorHAnsi" w:hAnsiTheme="minorHAnsi" w:cstheme="minorHAnsi"/>
                      <w:bCs/>
                      <w:i/>
                      <w:iCs/>
                      <w:sz w:val="22"/>
                      <w:szCs w:val="22"/>
                    </w:rPr>
                    <w:t>13 586,4</w:t>
                  </w:r>
                </w:p>
              </w:tc>
            </w:tr>
            <w:tr w:rsidR="004C6CFA" w:rsidRPr="00DC153A" w:rsidTr="008429CA">
              <w:tc>
                <w:tcPr>
                  <w:tcW w:w="2407" w:type="dxa"/>
                </w:tcPr>
                <w:p w:rsidR="004C6CFA" w:rsidRPr="004C6CFA" w:rsidRDefault="004C6CFA" w:rsidP="005D2A5D">
                  <w:pPr>
                    <w:jc w:val="both"/>
                    <w:rPr>
                      <w:rFonts w:asciiTheme="minorHAnsi" w:hAnsiTheme="minorHAnsi" w:cstheme="minorHAnsi"/>
                      <w:i/>
                      <w:sz w:val="22"/>
                      <w:szCs w:val="22"/>
                    </w:rPr>
                  </w:pPr>
                  <w:r w:rsidRPr="004C6CFA">
                    <w:rPr>
                      <w:rFonts w:asciiTheme="minorHAnsi" w:hAnsiTheme="minorHAnsi" w:cstheme="minorHAnsi"/>
                      <w:i/>
                      <w:sz w:val="22"/>
                      <w:szCs w:val="22"/>
                    </w:rPr>
                    <w:t>доля в структуре (</w:t>
                  </w:r>
                  <w:proofErr w:type="gramStart"/>
                  <w:r w:rsidRPr="004C6CFA">
                    <w:rPr>
                      <w:rFonts w:asciiTheme="minorHAnsi" w:hAnsiTheme="minorHAnsi" w:cstheme="minorHAnsi"/>
                      <w:i/>
                      <w:sz w:val="22"/>
                      <w:szCs w:val="22"/>
                    </w:rPr>
                    <w:t>в</w:t>
                  </w:r>
                  <w:proofErr w:type="gramEnd"/>
                  <w:r w:rsidRPr="004C6CFA">
                    <w:rPr>
                      <w:rFonts w:asciiTheme="minorHAnsi" w:hAnsiTheme="minorHAnsi" w:cstheme="minorHAnsi"/>
                      <w:i/>
                      <w:sz w:val="22"/>
                      <w:szCs w:val="22"/>
                    </w:rPr>
                    <w:t>%)</w:t>
                  </w:r>
                </w:p>
              </w:tc>
              <w:tc>
                <w:tcPr>
                  <w:tcW w:w="1080" w:type="dxa"/>
                  <w:vAlign w:val="center"/>
                </w:tcPr>
                <w:p w:rsidR="004C6CFA" w:rsidRPr="004C6CFA" w:rsidRDefault="004C6CFA" w:rsidP="00B63ABB">
                  <w:pPr>
                    <w:jc w:val="center"/>
                    <w:rPr>
                      <w:rFonts w:asciiTheme="minorHAnsi" w:hAnsiTheme="minorHAnsi" w:cstheme="minorHAnsi"/>
                      <w:i/>
                      <w:sz w:val="22"/>
                      <w:szCs w:val="22"/>
                    </w:rPr>
                  </w:pPr>
                  <w:r w:rsidRPr="004C6CFA">
                    <w:rPr>
                      <w:rFonts w:asciiTheme="minorHAnsi" w:hAnsiTheme="minorHAnsi" w:cstheme="minorHAnsi"/>
                      <w:i/>
                      <w:sz w:val="22"/>
                      <w:szCs w:val="22"/>
                    </w:rPr>
                    <w:t>6,1%</w:t>
                  </w:r>
                </w:p>
              </w:tc>
              <w:tc>
                <w:tcPr>
                  <w:tcW w:w="1620" w:type="dxa"/>
                  <w:vAlign w:val="center"/>
                </w:tcPr>
                <w:p w:rsidR="004C6CFA" w:rsidRPr="004C6CFA" w:rsidRDefault="004C6CFA" w:rsidP="00B63ABB">
                  <w:pPr>
                    <w:jc w:val="center"/>
                    <w:rPr>
                      <w:rFonts w:asciiTheme="minorHAnsi" w:hAnsiTheme="minorHAnsi" w:cstheme="minorHAnsi"/>
                      <w:i/>
                      <w:sz w:val="22"/>
                      <w:szCs w:val="22"/>
                    </w:rPr>
                  </w:pPr>
                  <w:r w:rsidRPr="004C6CFA">
                    <w:rPr>
                      <w:rFonts w:asciiTheme="minorHAnsi" w:hAnsiTheme="minorHAnsi" w:cstheme="minorHAnsi"/>
                      <w:i/>
                      <w:sz w:val="22"/>
                      <w:szCs w:val="22"/>
                    </w:rPr>
                    <w:t>2,4%</w:t>
                  </w:r>
                </w:p>
              </w:tc>
            </w:tr>
            <w:tr w:rsidR="00B63ABB" w:rsidRPr="00DC153A" w:rsidTr="008429CA">
              <w:tc>
                <w:tcPr>
                  <w:tcW w:w="2407" w:type="dxa"/>
                </w:tcPr>
                <w:p w:rsidR="00B63ABB" w:rsidRPr="004C6CFA" w:rsidRDefault="00B63ABB" w:rsidP="00264041">
                  <w:pPr>
                    <w:jc w:val="both"/>
                    <w:rPr>
                      <w:rFonts w:asciiTheme="minorHAnsi" w:hAnsiTheme="minorHAnsi" w:cstheme="minorHAnsi"/>
                      <w:sz w:val="22"/>
                      <w:szCs w:val="22"/>
                    </w:rPr>
                  </w:pPr>
                  <w:r w:rsidRPr="004C6CFA">
                    <w:rPr>
                      <w:rFonts w:asciiTheme="minorHAnsi" w:hAnsiTheme="minorHAnsi" w:cstheme="minorHAnsi"/>
                      <w:sz w:val="22"/>
                      <w:szCs w:val="22"/>
                    </w:rPr>
                    <w:t>иные</w:t>
                  </w:r>
                </w:p>
              </w:tc>
              <w:tc>
                <w:tcPr>
                  <w:tcW w:w="1080" w:type="dxa"/>
                  <w:vAlign w:val="center"/>
                </w:tcPr>
                <w:p w:rsidR="00B63ABB" w:rsidRPr="004C6CFA" w:rsidRDefault="00B63ABB" w:rsidP="00B63ABB">
                  <w:pPr>
                    <w:jc w:val="center"/>
                    <w:rPr>
                      <w:rFonts w:asciiTheme="minorHAnsi" w:hAnsiTheme="minorHAnsi" w:cstheme="minorHAnsi"/>
                      <w:bCs/>
                      <w:i/>
                      <w:iCs/>
                      <w:sz w:val="22"/>
                      <w:szCs w:val="22"/>
                    </w:rPr>
                  </w:pPr>
                  <w:r w:rsidRPr="004C6CFA">
                    <w:rPr>
                      <w:rFonts w:asciiTheme="minorHAnsi" w:hAnsiTheme="minorHAnsi" w:cstheme="minorHAnsi"/>
                      <w:bCs/>
                      <w:i/>
                      <w:iCs/>
                      <w:sz w:val="22"/>
                      <w:szCs w:val="22"/>
                    </w:rPr>
                    <w:t>248,9</w:t>
                  </w:r>
                </w:p>
              </w:tc>
              <w:tc>
                <w:tcPr>
                  <w:tcW w:w="1620" w:type="dxa"/>
                  <w:vAlign w:val="center"/>
                </w:tcPr>
                <w:p w:rsidR="00B63ABB" w:rsidRPr="004C6CFA" w:rsidRDefault="00B63ABB" w:rsidP="00B63ABB">
                  <w:pPr>
                    <w:jc w:val="center"/>
                    <w:rPr>
                      <w:rFonts w:asciiTheme="minorHAnsi" w:hAnsiTheme="minorHAnsi" w:cstheme="minorHAnsi"/>
                      <w:bCs/>
                      <w:i/>
                      <w:iCs/>
                      <w:sz w:val="22"/>
                      <w:szCs w:val="22"/>
                    </w:rPr>
                  </w:pPr>
                  <w:r w:rsidRPr="004C6CFA">
                    <w:rPr>
                      <w:rFonts w:asciiTheme="minorHAnsi" w:hAnsiTheme="minorHAnsi" w:cstheme="minorHAnsi"/>
                      <w:bCs/>
                      <w:i/>
                      <w:iCs/>
                      <w:sz w:val="22"/>
                      <w:szCs w:val="22"/>
                    </w:rPr>
                    <w:t>35 456,3</w:t>
                  </w:r>
                </w:p>
              </w:tc>
            </w:tr>
            <w:tr w:rsidR="004C6CFA" w:rsidRPr="00DC153A" w:rsidTr="008429CA">
              <w:tc>
                <w:tcPr>
                  <w:tcW w:w="2407" w:type="dxa"/>
                </w:tcPr>
                <w:p w:rsidR="004C6CFA" w:rsidRPr="004C6CFA" w:rsidRDefault="004C6CFA" w:rsidP="005D2A5D">
                  <w:pPr>
                    <w:jc w:val="both"/>
                    <w:rPr>
                      <w:rFonts w:asciiTheme="minorHAnsi" w:hAnsiTheme="minorHAnsi" w:cstheme="minorHAnsi"/>
                      <w:i/>
                      <w:sz w:val="22"/>
                      <w:szCs w:val="22"/>
                    </w:rPr>
                  </w:pPr>
                  <w:r w:rsidRPr="004C6CFA">
                    <w:rPr>
                      <w:rFonts w:asciiTheme="minorHAnsi" w:hAnsiTheme="minorHAnsi" w:cstheme="minorHAnsi"/>
                      <w:i/>
                      <w:sz w:val="22"/>
                      <w:szCs w:val="22"/>
                    </w:rPr>
                    <w:t>доля в структуре (</w:t>
                  </w:r>
                  <w:proofErr w:type="gramStart"/>
                  <w:r w:rsidRPr="004C6CFA">
                    <w:rPr>
                      <w:rFonts w:asciiTheme="minorHAnsi" w:hAnsiTheme="minorHAnsi" w:cstheme="minorHAnsi"/>
                      <w:i/>
                      <w:sz w:val="22"/>
                      <w:szCs w:val="22"/>
                    </w:rPr>
                    <w:t>в</w:t>
                  </w:r>
                  <w:proofErr w:type="gramEnd"/>
                  <w:r w:rsidRPr="004C6CFA">
                    <w:rPr>
                      <w:rFonts w:asciiTheme="minorHAnsi" w:hAnsiTheme="minorHAnsi" w:cstheme="minorHAnsi"/>
                      <w:i/>
                      <w:sz w:val="22"/>
                      <w:szCs w:val="22"/>
                    </w:rPr>
                    <w:t>%)</w:t>
                  </w:r>
                </w:p>
              </w:tc>
              <w:tc>
                <w:tcPr>
                  <w:tcW w:w="1080" w:type="dxa"/>
                  <w:vAlign w:val="center"/>
                </w:tcPr>
                <w:p w:rsidR="004C6CFA" w:rsidRPr="004C6CFA" w:rsidRDefault="004C6CFA" w:rsidP="002E5C2F">
                  <w:pPr>
                    <w:jc w:val="center"/>
                    <w:rPr>
                      <w:rFonts w:asciiTheme="minorHAnsi" w:hAnsiTheme="minorHAnsi" w:cstheme="minorHAnsi"/>
                      <w:i/>
                      <w:sz w:val="22"/>
                      <w:szCs w:val="22"/>
                    </w:rPr>
                  </w:pPr>
                  <w:r w:rsidRPr="004C6CFA">
                    <w:rPr>
                      <w:rFonts w:asciiTheme="minorHAnsi" w:hAnsiTheme="minorHAnsi" w:cstheme="minorHAnsi"/>
                      <w:i/>
                      <w:sz w:val="22"/>
                      <w:szCs w:val="22"/>
                    </w:rPr>
                    <w:t>42,8%</w:t>
                  </w:r>
                </w:p>
              </w:tc>
              <w:tc>
                <w:tcPr>
                  <w:tcW w:w="1620" w:type="dxa"/>
                  <w:vAlign w:val="center"/>
                </w:tcPr>
                <w:p w:rsidR="004C6CFA" w:rsidRPr="004C6CFA" w:rsidRDefault="004C6CFA" w:rsidP="002E5C2F">
                  <w:pPr>
                    <w:jc w:val="center"/>
                    <w:rPr>
                      <w:rFonts w:asciiTheme="minorHAnsi" w:hAnsiTheme="minorHAnsi" w:cstheme="minorHAnsi"/>
                      <w:i/>
                      <w:sz w:val="22"/>
                      <w:szCs w:val="22"/>
                    </w:rPr>
                  </w:pPr>
                  <w:r w:rsidRPr="004C6CFA">
                    <w:rPr>
                      <w:rFonts w:asciiTheme="minorHAnsi" w:hAnsiTheme="minorHAnsi" w:cstheme="minorHAnsi"/>
                      <w:i/>
                      <w:sz w:val="22"/>
                      <w:szCs w:val="22"/>
                    </w:rPr>
                    <w:t>6,3%</w:t>
                  </w:r>
                </w:p>
              </w:tc>
            </w:tr>
            <w:tr w:rsidR="00B63ABB" w:rsidRPr="00DC153A" w:rsidTr="008429CA">
              <w:tc>
                <w:tcPr>
                  <w:tcW w:w="2407" w:type="dxa"/>
                </w:tcPr>
                <w:p w:rsidR="00B63ABB" w:rsidRPr="004C6CFA" w:rsidRDefault="00B63ABB" w:rsidP="00264041">
                  <w:pPr>
                    <w:jc w:val="both"/>
                    <w:rPr>
                      <w:rFonts w:asciiTheme="minorHAnsi" w:hAnsiTheme="minorHAnsi" w:cstheme="minorHAnsi"/>
                      <w:b/>
                      <w:sz w:val="22"/>
                      <w:szCs w:val="22"/>
                    </w:rPr>
                  </w:pPr>
                  <w:r w:rsidRPr="004C6CFA">
                    <w:rPr>
                      <w:rFonts w:asciiTheme="minorHAnsi" w:hAnsiTheme="minorHAnsi" w:cstheme="minorHAnsi"/>
                      <w:b/>
                      <w:sz w:val="22"/>
                      <w:szCs w:val="22"/>
                    </w:rPr>
                    <w:t>Итого</w:t>
                  </w:r>
                </w:p>
              </w:tc>
              <w:tc>
                <w:tcPr>
                  <w:tcW w:w="1080" w:type="dxa"/>
                  <w:vAlign w:val="center"/>
                </w:tcPr>
                <w:p w:rsidR="00B63ABB" w:rsidRPr="004C6CFA" w:rsidRDefault="00B63ABB" w:rsidP="00B63ABB">
                  <w:pPr>
                    <w:jc w:val="center"/>
                    <w:rPr>
                      <w:rFonts w:asciiTheme="minorHAnsi" w:hAnsiTheme="minorHAnsi" w:cstheme="minorHAnsi"/>
                      <w:b/>
                      <w:bCs/>
                      <w:sz w:val="22"/>
                      <w:szCs w:val="22"/>
                    </w:rPr>
                  </w:pPr>
                  <w:r w:rsidRPr="004C6CFA">
                    <w:rPr>
                      <w:rFonts w:asciiTheme="minorHAnsi" w:hAnsiTheme="minorHAnsi" w:cstheme="minorHAnsi"/>
                      <w:b/>
                      <w:bCs/>
                      <w:sz w:val="22"/>
                      <w:szCs w:val="22"/>
                    </w:rPr>
                    <w:t>582,0</w:t>
                  </w:r>
                </w:p>
              </w:tc>
              <w:tc>
                <w:tcPr>
                  <w:tcW w:w="1620" w:type="dxa"/>
                  <w:vAlign w:val="center"/>
                </w:tcPr>
                <w:p w:rsidR="00B63ABB" w:rsidRPr="004C6CFA" w:rsidRDefault="00B63ABB" w:rsidP="00B63ABB">
                  <w:pPr>
                    <w:jc w:val="center"/>
                    <w:rPr>
                      <w:rFonts w:asciiTheme="minorHAnsi" w:hAnsiTheme="minorHAnsi" w:cstheme="minorHAnsi"/>
                      <w:b/>
                      <w:bCs/>
                      <w:sz w:val="22"/>
                      <w:szCs w:val="22"/>
                    </w:rPr>
                  </w:pPr>
                  <w:r w:rsidRPr="004C6CFA">
                    <w:rPr>
                      <w:rFonts w:asciiTheme="minorHAnsi" w:hAnsiTheme="minorHAnsi" w:cstheme="minorHAnsi"/>
                      <w:b/>
                      <w:bCs/>
                      <w:sz w:val="22"/>
                      <w:szCs w:val="22"/>
                    </w:rPr>
                    <w:t>561 043,2</w:t>
                  </w:r>
                </w:p>
              </w:tc>
            </w:tr>
          </w:tbl>
          <w:p w:rsidR="00803AB5" w:rsidRDefault="00803AB5" w:rsidP="00264041">
            <w:pPr>
              <w:jc w:val="both"/>
              <w:rPr>
                <w:rFonts w:ascii="Calibri" w:hAnsi="Calibri" w:cs="Arial"/>
                <w:sz w:val="30"/>
                <w:szCs w:val="30"/>
              </w:rPr>
            </w:pPr>
          </w:p>
        </w:tc>
      </w:tr>
    </w:tbl>
    <w:tbl>
      <w:tblPr>
        <w:tblW w:w="10656" w:type="dxa"/>
        <w:tblInd w:w="-432" w:type="dxa"/>
        <w:tblLayout w:type="fixed"/>
        <w:tblLook w:val="00A0" w:firstRow="1" w:lastRow="0" w:firstColumn="1" w:lastColumn="0" w:noHBand="0" w:noVBand="0"/>
      </w:tblPr>
      <w:tblGrid>
        <w:gridCol w:w="5220"/>
        <w:gridCol w:w="5436"/>
      </w:tblGrid>
      <w:tr w:rsidR="00803AB5" w:rsidRPr="00A86AE4" w:rsidTr="00322F31">
        <w:trPr>
          <w:trHeight w:val="3229"/>
        </w:trPr>
        <w:tc>
          <w:tcPr>
            <w:tcW w:w="5220" w:type="dxa"/>
          </w:tcPr>
          <w:p w:rsidR="006E2AC8" w:rsidRDefault="006E2AC8" w:rsidP="00264041">
            <w:pPr>
              <w:jc w:val="center"/>
              <w:rPr>
                <w:rFonts w:ascii="Calibri" w:hAnsi="Calibri" w:cs="Arial"/>
                <w:b/>
                <w:color w:val="0E4C28"/>
                <w:sz w:val="28"/>
                <w:szCs w:val="28"/>
              </w:rPr>
            </w:pPr>
          </w:p>
          <w:p w:rsidR="00803AB5" w:rsidRPr="0073388E" w:rsidRDefault="00803AB5" w:rsidP="00264041">
            <w:pPr>
              <w:jc w:val="center"/>
              <w:rPr>
                <w:rFonts w:ascii="Calibri" w:hAnsi="Calibri" w:cs="Arial"/>
                <w:b/>
                <w:color w:val="0E4C28"/>
                <w:sz w:val="28"/>
                <w:szCs w:val="28"/>
              </w:rPr>
            </w:pPr>
            <w:r w:rsidRPr="0073388E">
              <w:rPr>
                <w:rFonts w:ascii="Calibri" w:hAnsi="Calibri" w:cs="Arial"/>
                <w:b/>
                <w:color w:val="0E4C28"/>
                <w:sz w:val="28"/>
                <w:szCs w:val="28"/>
              </w:rPr>
              <w:t xml:space="preserve">Доля </w:t>
            </w:r>
            <w:r>
              <w:rPr>
                <w:rFonts w:ascii="Calibri" w:hAnsi="Calibri" w:cs="Arial"/>
                <w:b/>
                <w:color w:val="0E4C28"/>
                <w:sz w:val="28"/>
                <w:szCs w:val="28"/>
              </w:rPr>
              <w:t xml:space="preserve">в общем количестве платежных инструментов </w:t>
            </w:r>
            <w:proofErr w:type="spellStart"/>
            <w:r w:rsidR="0090149B">
              <w:rPr>
                <w:rFonts w:ascii="Calibri" w:hAnsi="Calibri" w:cs="Arial"/>
                <w:b/>
                <w:color w:val="0E4C28"/>
                <w:sz w:val="28"/>
                <w:szCs w:val="28"/>
              </w:rPr>
              <w:t>юр</w:t>
            </w:r>
            <w:proofErr w:type="gramStart"/>
            <w:r w:rsidR="0090149B">
              <w:rPr>
                <w:rFonts w:ascii="Calibri" w:hAnsi="Calibri" w:cs="Arial"/>
                <w:b/>
                <w:color w:val="0E4C28"/>
                <w:sz w:val="28"/>
                <w:szCs w:val="28"/>
              </w:rPr>
              <w:t>.л</w:t>
            </w:r>
            <w:proofErr w:type="gramEnd"/>
            <w:r w:rsidR="0090149B">
              <w:rPr>
                <w:rFonts w:ascii="Calibri" w:hAnsi="Calibri" w:cs="Arial"/>
                <w:b/>
                <w:color w:val="0E4C28"/>
                <w:sz w:val="28"/>
                <w:szCs w:val="28"/>
              </w:rPr>
              <w:t>иц</w:t>
            </w:r>
            <w:proofErr w:type="spellEnd"/>
            <w:r w:rsidR="0090149B">
              <w:rPr>
                <w:rFonts w:ascii="Calibri" w:hAnsi="Calibri" w:cs="Arial"/>
                <w:b/>
                <w:color w:val="0E4C28"/>
                <w:sz w:val="28"/>
                <w:szCs w:val="28"/>
              </w:rPr>
              <w:t xml:space="preserve"> </w:t>
            </w:r>
            <w:r>
              <w:rPr>
                <w:rFonts w:ascii="Calibri" w:hAnsi="Calibri" w:cs="Arial"/>
                <w:b/>
                <w:color w:val="0E4C28"/>
                <w:sz w:val="28"/>
                <w:szCs w:val="28"/>
              </w:rPr>
              <w:t>в 2016 году</w:t>
            </w:r>
          </w:p>
          <w:p w:rsidR="00803AB5" w:rsidRPr="00322F31" w:rsidRDefault="003D5BDF" w:rsidP="00264041">
            <w:pPr>
              <w:tabs>
                <w:tab w:val="num" w:pos="993"/>
              </w:tabs>
              <w:jc w:val="both"/>
              <w:rPr>
                <w:sz w:val="20"/>
                <w:szCs w:val="20"/>
              </w:rPr>
            </w:pPr>
            <w:r>
              <w:rPr>
                <w:noProof/>
              </w:rPr>
              <w:drawing>
                <wp:inline distT="0" distB="0" distL="0" distR="0" wp14:anchorId="7D40381C" wp14:editId="23B5977D">
                  <wp:extent cx="3103684" cy="3165231"/>
                  <wp:effectExtent l="38100" t="0" r="40005" b="0"/>
                  <wp:docPr id="86" name="Диаграмма 4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5436" w:type="dxa"/>
          </w:tcPr>
          <w:p w:rsidR="006E2AC8" w:rsidRDefault="006E2AC8" w:rsidP="00264041">
            <w:pPr>
              <w:jc w:val="center"/>
              <w:rPr>
                <w:rFonts w:ascii="Calibri" w:hAnsi="Calibri" w:cs="Arial"/>
                <w:b/>
                <w:color w:val="0E4C28"/>
                <w:sz w:val="28"/>
                <w:szCs w:val="28"/>
              </w:rPr>
            </w:pPr>
          </w:p>
          <w:p w:rsidR="00803AB5" w:rsidRPr="0073388E" w:rsidRDefault="00803AB5" w:rsidP="00264041">
            <w:pPr>
              <w:jc w:val="center"/>
              <w:rPr>
                <w:rFonts w:ascii="Calibri" w:hAnsi="Calibri" w:cs="Arial"/>
                <w:b/>
                <w:color w:val="0E4C28"/>
                <w:sz w:val="28"/>
                <w:szCs w:val="28"/>
              </w:rPr>
            </w:pPr>
            <w:r w:rsidRPr="0073388E">
              <w:rPr>
                <w:rFonts w:ascii="Calibri" w:hAnsi="Calibri" w:cs="Arial"/>
                <w:b/>
                <w:color w:val="0E4C28"/>
                <w:sz w:val="28"/>
                <w:szCs w:val="28"/>
              </w:rPr>
              <w:t>Доля от общей суммы</w:t>
            </w:r>
            <w:r>
              <w:rPr>
                <w:rFonts w:ascii="Calibri" w:hAnsi="Calibri" w:cs="Arial"/>
                <w:b/>
                <w:color w:val="0E4C28"/>
                <w:sz w:val="28"/>
                <w:szCs w:val="28"/>
              </w:rPr>
              <w:t xml:space="preserve"> платежных инструментов </w:t>
            </w:r>
            <w:r w:rsidR="0090149B">
              <w:rPr>
                <w:rFonts w:ascii="Calibri" w:hAnsi="Calibri" w:cs="Arial"/>
                <w:b/>
                <w:color w:val="0E4C28"/>
                <w:sz w:val="28"/>
                <w:szCs w:val="28"/>
              </w:rPr>
              <w:t xml:space="preserve">юр. лиц </w:t>
            </w:r>
            <w:r>
              <w:rPr>
                <w:rFonts w:ascii="Calibri" w:hAnsi="Calibri" w:cs="Arial"/>
                <w:b/>
                <w:color w:val="0E4C28"/>
                <w:sz w:val="28"/>
                <w:szCs w:val="28"/>
              </w:rPr>
              <w:t>в 2016 году</w:t>
            </w:r>
          </w:p>
          <w:p w:rsidR="00803AB5" w:rsidRPr="00322F31" w:rsidRDefault="00803AB5" w:rsidP="00264041">
            <w:pPr>
              <w:tabs>
                <w:tab w:val="num" w:pos="993"/>
              </w:tabs>
              <w:jc w:val="both"/>
              <w:rPr>
                <w:sz w:val="20"/>
                <w:szCs w:val="20"/>
              </w:rPr>
            </w:pPr>
            <w:r w:rsidRPr="00322F31">
              <w:rPr>
                <w:noProof/>
                <w:sz w:val="20"/>
                <w:szCs w:val="20"/>
              </w:rPr>
              <w:drawing>
                <wp:inline distT="0" distB="0" distL="0" distR="0" wp14:anchorId="08815FEB" wp14:editId="6649751D">
                  <wp:extent cx="2992581" cy="3169228"/>
                  <wp:effectExtent l="19050" t="0" r="17780" b="0"/>
                  <wp:docPr id="87" name="Диаграмма 4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rsidR="00803AB5" w:rsidRPr="00250515" w:rsidRDefault="00803AB5" w:rsidP="00803AB5">
      <w:pPr>
        <w:ind w:firstLine="708"/>
        <w:jc w:val="both"/>
        <w:rPr>
          <w:rFonts w:ascii="Calibri" w:hAnsi="Calibri" w:cs="Arial"/>
          <w:sz w:val="30"/>
          <w:szCs w:val="30"/>
          <w:u w:val="single"/>
        </w:rPr>
      </w:pPr>
      <w:r>
        <w:rPr>
          <w:rFonts w:ascii="Calibri" w:hAnsi="Calibri" w:cs="Arial"/>
          <w:sz w:val="30"/>
          <w:szCs w:val="30"/>
        </w:rPr>
        <w:lastRenderedPageBreak/>
        <w:t xml:space="preserve">Наибольшую долю по количеству занимают </w:t>
      </w:r>
      <w:r w:rsidR="008258E6">
        <w:rPr>
          <w:rFonts w:ascii="Calibri" w:hAnsi="Calibri" w:cs="Arial"/>
          <w:sz w:val="30"/>
          <w:szCs w:val="30"/>
        </w:rPr>
        <w:t xml:space="preserve">платежи и переводы денег юридических лиц с использованием платежных поручений </w:t>
      </w:r>
      <w:r w:rsidR="008258E6" w:rsidRPr="003D5BDF">
        <w:rPr>
          <w:rFonts w:ascii="Calibri" w:hAnsi="Calibri" w:cs="Arial"/>
          <w:sz w:val="30"/>
          <w:szCs w:val="30"/>
        </w:rPr>
        <w:t>(47,1%)</w:t>
      </w:r>
      <w:r w:rsidRPr="003D5BDF">
        <w:rPr>
          <w:rFonts w:ascii="Calibri" w:hAnsi="Calibri" w:cs="Arial"/>
          <w:sz w:val="30"/>
          <w:szCs w:val="30"/>
        </w:rPr>
        <w:t xml:space="preserve"> и платежных ордеров (</w:t>
      </w:r>
      <w:r w:rsidR="008258E6" w:rsidRPr="003D5BDF">
        <w:rPr>
          <w:rFonts w:ascii="Calibri" w:hAnsi="Calibri" w:cs="Arial"/>
          <w:sz w:val="30"/>
          <w:szCs w:val="30"/>
        </w:rPr>
        <w:t>42,3</w:t>
      </w:r>
      <w:r w:rsidRPr="003D5BDF">
        <w:rPr>
          <w:rFonts w:ascii="Calibri" w:hAnsi="Calibri" w:cs="Arial"/>
          <w:sz w:val="30"/>
          <w:szCs w:val="30"/>
        </w:rPr>
        <w:t>%), по сумме основной объем приходится на платежные поручени</w:t>
      </w:r>
      <w:r w:rsidR="00E75289" w:rsidRPr="003D5BDF">
        <w:rPr>
          <w:rFonts w:ascii="Calibri" w:hAnsi="Calibri" w:cs="Arial"/>
          <w:sz w:val="30"/>
          <w:szCs w:val="30"/>
        </w:rPr>
        <w:t>я</w:t>
      </w:r>
      <w:r w:rsidRPr="003D5BDF">
        <w:rPr>
          <w:rFonts w:ascii="Calibri" w:hAnsi="Calibri" w:cs="Arial"/>
          <w:sz w:val="30"/>
          <w:szCs w:val="30"/>
        </w:rPr>
        <w:t xml:space="preserve"> (</w:t>
      </w:r>
      <w:r w:rsidR="00E75289" w:rsidRPr="003D5BDF">
        <w:rPr>
          <w:rFonts w:ascii="Calibri" w:hAnsi="Calibri" w:cs="Arial"/>
          <w:sz w:val="30"/>
          <w:szCs w:val="30"/>
        </w:rPr>
        <w:t>90,0</w:t>
      </w:r>
      <w:r w:rsidRPr="003D5BDF">
        <w:rPr>
          <w:rFonts w:ascii="Calibri" w:hAnsi="Calibri" w:cs="Arial"/>
          <w:sz w:val="30"/>
          <w:szCs w:val="30"/>
        </w:rPr>
        <w:t>%)</w:t>
      </w:r>
      <w:r w:rsidR="0082483E" w:rsidRPr="003D5BDF">
        <w:rPr>
          <w:rFonts w:ascii="Calibri" w:hAnsi="Calibri" w:cs="Arial"/>
          <w:sz w:val="30"/>
          <w:szCs w:val="30"/>
        </w:rPr>
        <w:t>, с использованием которых проводятся платежи и переводы денег по указаниям юридических лиц с их банковских счетов</w:t>
      </w:r>
      <w:r w:rsidRPr="003D5BDF">
        <w:rPr>
          <w:rFonts w:ascii="Calibri" w:hAnsi="Calibri" w:cs="Arial"/>
          <w:sz w:val="30"/>
          <w:szCs w:val="30"/>
        </w:rPr>
        <w:t>.</w:t>
      </w:r>
      <w:r>
        <w:rPr>
          <w:rFonts w:ascii="Calibri" w:hAnsi="Calibri" w:cs="Arial"/>
          <w:sz w:val="30"/>
          <w:szCs w:val="30"/>
        </w:rPr>
        <w:t xml:space="preserve"> </w:t>
      </w:r>
    </w:p>
    <w:p w:rsidR="00701CCA" w:rsidRPr="00250515" w:rsidRDefault="00701CCA" w:rsidP="00FC6BCA">
      <w:pPr>
        <w:ind w:firstLine="708"/>
        <w:jc w:val="both"/>
        <w:rPr>
          <w:rFonts w:ascii="Calibri" w:hAnsi="Calibri" w:cs="Arial"/>
          <w:sz w:val="30"/>
          <w:szCs w:val="30"/>
          <w:u w:val="single"/>
        </w:rPr>
      </w:pPr>
      <w:r w:rsidRPr="00250515">
        <w:rPr>
          <w:rFonts w:ascii="Calibri" w:hAnsi="Calibri" w:cs="Arial"/>
          <w:b/>
          <w:sz w:val="30"/>
          <w:szCs w:val="30"/>
          <w:u w:val="single"/>
        </w:rPr>
        <w:t>Платежи физических лиц</w:t>
      </w:r>
      <w:r w:rsidRPr="00250515">
        <w:rPr>
          <w:rStyle w:val="a6"/>
          <w:rFonts w:ascii="Calibri" w:hAnsi="Calibri" w:cs="Arial"/>
          <w:sz w:val="30"/>
          <w:szCs w:val="30"/>
          <w:u w:val="single"/>
        </w:rPr>
        <w:footnoteReference w:id="11"/>
      </w:r>
    </w:p>
    <w:tbl>
      <w:tblPr>
        <w:tblStyle w:val="a3"/>
        <w:tblW w:w="10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6160"/>
      </w:tblGrid>
      <w:tr w:rsidR="00DC153A" w:rsidTr="003D5BDF">
        <w:tc>
          <w:tcPr>
            <w:tcW w:w="4428" w:type="dxa"/>
            <w:shd w:val="clear" w:color="auto" w:fill="auto"/>
          </w:tcPr>
          <w:p w:rsidR="00DC153A" w:rsidRPr="003D5BDF" w:rsidRDefault="00DC153A" w:rsidP="008429CA">
            <w:pPr>
              <w:ind w:firstLine="708"/>
              <w:jc w:val="both"/>
              <w:rPr>
                <w:rFonts w:ascii="Calibri" w:hAnsi="Calibri" w:cs="Arial"/>
                <w:spacing w:val="-4"/>
                <w:sz w:val="30"/>
                <w:szCs w:val="30"/>
              </w:rPr>
            </w:pPr>
            <w:r w:rsidRPr="003D5BDF">
              <w:rPr>
                <w:rFonts w:ascii="Calibri" w:hAnsi="Calibri" w:cs="Arial"/>
                <w:spacing w:val="-4"/>
                <w:sz w:val="30"/>
                <w:szCs w:val="30"/>
              </w:rPr>
              <w:t>Операции физических лиц</w:t>
            </w:r>
            <w:r w:rsidR="008429CA" w:rsidRPr="003D5BDF">
              <w:rPr>
                <w:rStyle w:val="a6"/>
                <w:rFonts w:ascii="Calibri" w:hAnsi="Calibri" w:cs="Arial"/>
                <w:spacing w:val="-4"/>
                <w:sz w:val="30"/>
                <w:szCs w:val="30"/>
              </w:rPr>
              <w:footnoteReference w:id="12"/>
            </w:r>
            <w:r w:rsidR="00772C7C" w:rsidRPr="003D5BDF">
              <w:rPr>
                <w:rFonts w:ascii="Calibri" w:hAnsi="Calibri" w:cs="Arial"/>
                <w:spacing w:val="-4"/>
                <w:sz w:val="30"/>
                <w:szCs w:val="30"/>
              </w:rPr>
              <w:t xml:space="preserve"> </w:t>
            </w:r>
            <w:r w:rsidRPr="003D5BDF">
              <w:rPr>
                <w:rFonts w:ascii="Calibri" w:hAnsi="Calibri" w:cs="Arial"/>
                <w:spacing w:val="-4"/>
                <w:sz w:val="30"/>
                <w:szCs w:val="30"/>
              </w:rPr>
              <w:t xml:space="preserve"> через банки и АО «</w:t>
            </w:r>
            <w:proofErr w:type="spellStart"/>
            <w:r w:rsidRPr="003D5BDF">
              <w:rPr>
                <w:rFonts w:ascii="Calibri" w:hAnsi="Calibri" w:cs="Arial"/>
                <w:spacing w:val="-4"/>
                <w:sz w:val="30"/>
                <w:szCs w:val="30"/>
              </w:rPr>
              <w:t>Казпочта</w:t>
            </w:r>
            <w:proofErr w:type="spellEnd"/>
            <w:r w:rsidRPr="003D5BDF">
              <w:rPr>
                <w:rFonts w:ascii="Calibri" w:hAnsi="Calibri" w:cs="Arial"/>
                <w:spacing w:val="-4"/>
                <w:sz w:val="30"/>
                <w:szCs w:val="30"/>
              </w:rPr>
              <w:t>» с использованием платежных инструментов составили 6</w:t>
            </w:r>
            <w:r w:rsidR="009E41D7" w:rsidRPr="003D5BDF">
              <w:rPr>
                <w:rFonts w:ascii="Calibri" w:hAnsi="Calibri" w:cs="Arial"/>
                <w:spacing w:val="-4"/>
                <w:sz w:val="30"/>
                <w:szCs w:val="30"/>
              </w:rPr>
              <w:t>44,1</w:t>
            </w:r>
            <w:r w:rsidRPr="003D5BDF">
              <w:rPr>
                <w:rFonts w:ascii="Calibri" w:hAnsi="Calibri" w:cs="Arial"/>
                <w:spacing w:val="-4"/>
                <w:sz w:val="30"/>
                <w:szCs w:val="30"/>
              </w:rPr>
              <w:t xml:space="preserve"> млн. транзакций на сумму </w:t>
            </w:r>
            <w:r w:rsidR="009E41D7" w:rsidRPr="003D5BDF">
              <w:rPr>
                <w:rFonts w:ascii="Calibri" w:hAnsi="Calibri" w:cs="Arial"/>
                <w:spacing w:val="-4"/>
                <w:sz w:val="30"/>
                <w:szCs w:val="30"/>
              </w:rPr>
              <w:t>46,0</w:t>
            </w:r>
            <w:r w:rsidRPr="003D5BDF">
              <w:rPr>
                <w:rFonts w:ascii="Calibri" w:hAnsi="Calibri" w:cs="Arial"/>
                <w:spacing w:val="-4"/>
                <w:sz w:val="30"/>
                <w:szCs w:val="30"/>
              </w:rPr>
              <w:t xml:space="preserve"> трлн. тенге.</w:t>
            </w:r>
          </w:p>
        </w:tc>
        <w:tc>
          <w:tcPr>
            <w:tcW w:w="6160" w:type="dxa"/>
            <w:shd w:val="clear" w:color="auto" w:fill="auto"/>
          </w:tcPr>
          <w:tbl>
            <w:tblPr>
              <w:tblStyle w:val="a3"/>
              <w:tblW w:w="5040" w:type="dxa"/>
              <w:tblInd w:w="67" w:type="dxa"/>
              <w:tblLook w:val="04A0" w:firstRow="1" w:lastRow="0" w:firstColumn="1" w:lastColumn="0" w:noHBand="0" w:noVBand="1"/>
            </w:tblPr>
            <w:tblGrid>
              <w:gridCol w:w="2340"/>
              <w:gridCol w:w="1080"/>
              <w:gridCol w:w="1620"/>
            </w:tblGrid>
            <w:tr w:rsidR="00DC153A" w:rsidRPr="003D5BDF" w:rsidTr="008429CA">
              <w:tc>
                <w:tcPr>
                  <w:tcW w:w="2340" w:type="dxa"/>
                  <w:shd w:val="clear" w:color="auto" w:fill="C2D69B"/>
                  <w:vAlign w:val="center"/>
                </w:tcPr>
                <w:p w:rsidR="00DC153A" w:rsidRPr="003D5BDF" w:rsidRDefault="00DC153A" w:rsidP="008429CA">
                  <w:pPr>
                    <w:widowControl w:val="0"/>
                    <w:jc w:val="center"/>
                    <w:rPr>
                      <w:rFonts w:ascii="Calibri" w:hAnsi="Calibri" w:cs="Arial"/>
                      <w:b/>
                      <w:bCs/>
                      <w:sz w:val="22"/>
                      <w:szCs w:val="22"/>
                    </w:rPr>
                  </w:pPr>
                  <w:r w:rsidRPr="003D5BDF">
                    <w:rPr>
                      <w:rFonts w:ascii="Calibri" w:hAnsi="Calibri" w:cs="Arial"/>
                      <w:b/>
                      <w:bCs/>
                      <w:sz w:val="22"/>
                      <w:szCs w:val="22"/>
                    </w:rPr>
                    <w:t>Подвиды</w:t>
                  </w:r>
                </w:p>
              </w:tc>
              <w:tc>
                <w:tcPr>
                  <w:tcW w:w="1080" w:type="dxa"/>
                  <w:shd w:val="clear" w:color="auto" w:fill="C2D69B"/>
                  <w:vAlign w:val="center"/>
                </w:tcPr>
                <w:p w:rsidR="00322F31" w:rsidRPr="003D5BDF" w:rsidRDefault="00DC153A" w:rsidP="008429CA">
                  <w:pPr>
                    <w:widowControl w:val="0"/>
                    <w:jc w:val="center"/>
                    <w:rPr>
                      <w:rFonts w:ascii="Calibri" w:hAnsi="Calibri" w:cs="Arial"/>
                      <w:b/>
                      <w:bCs/>
                      <w:sz w:val="22"/>
                      <w:szCs w:val="22"/>
                    </w:rPr>
                  </w:pPr>
                  <w:r w:rsidRPr="003D5BDF">
                    <w:rPr>
                      <w:rFonts w:ascii="Calibri" w:hAnsi="Calibri" w:cs="Arial"/>
                      <w:b/>
                      <w:bCs/>
                      <w:sz w:val="22"/>
                      <w:szCs w:val="22"/>
                    </w:rPr>
                    <w:t>Кол-во</w:t>
                  </w:r>
                </w:p>
                <w:p w:rsidR="00DC153A" w:rsidRPr="003D5BDF" w:rsidRDefault="00DC153A" w:rsidP="008429CA">
                  <w:pPr>
                    <w:widowControl w:val="0"/>
                    <w:jc w:val="center"/>
                    <w:rPr>
                      <w:rFonts w:ascii="Calibri" w:hAnsi="Calibri" w:cs="Arial"/>
                      <w:b/>
                      <w:bCs/>
                      <w:sz w:val="22"/>
                      <w:szCs w:val="22"/>
                    </w:rPr>
                  </w:pPr>
                  <w:r w:rsidRPr="003D5BDF">
                    <w:rPr>
                      <w:rFonts w:ascii="Calibri" w:hAnsi="Calibri" w:cs="Arial"/>
                      <w:b/>
                      <w:bCs/>
                      <w:sz w:val="22"/>
                      <w:szCs w:val="22"/>
                    </w:rPr>
                    <w:t xml:space="preserve">(тыс. </w:t>
                  </w:r>
                  <w:r w:rsidR="00E75289" w:rsidRPr="003D5BDF">
                    <w:rPr>
                      <w:rFonts w:ascii="Calibri" w:hAnsi="Calibri" w:cs="Arial"/>
                      <w:b/>
                      <w:bCs/>
                      <w:sz w:val="22"/>
                      <w:szCs w:val="22"/>
                    </w:rPr>
                    <w:t>тр.</w:t>
                  </w:r>
                  <w:r w:rsidRPr="003D5BDF">
                    <w:rPr>
                      <w:rFonts w:ascii="Calibri" w:hAnsi="Calibri" w:cs="Arial"/>
                      <w:b/>
                      <w:bCs/>
                      <w:sz w:val="22"/>
                      <w:szCs w:val="22"/>
                    </w:rPr>
                    <w:t>)</w:t>
                  </w:r>
                </w:p>
              </w:tc>
              <w:tc>
                <w:tcPr>
                  <w:tcW w:w="1620" w:type="dxa"/>
                  <w:shd w:val="clear" w:color="auto" w:fill="C2D69B"/>
                  <w:vAlign w:val="center"/>
                </w:tcPr>
                <w:p w:rsidR="00DD3239" w:rsidRPr="003D5BDF" w:rsidRDefault="00DC153A" w:rsidP="008429CA">
                  <w:pPr>
                    <w:widowControl w:val="0"/>
                    <w:ind w:right="-171"/>
                    <w:jc w:val="center"/>
                    <w:rPr>
                      <w:rFonts w:ascii="Calibri" w:hAnsi="Calibri" w:cs="Arial"/>
                      <w:b/>
                      <w:bCs/>
                      <w:sz w:val="22"/>
                      <w:szCs w:val="22"/>
                    </w:rPr>
                  </w:pPr>
                  <w:r w:rsidRPr="003D5BDF">
                    <w:rPr>
                      <w:rFonts w:ascii="Calibri" w:hAnsi="Calibri" w:cs="Arial"/>
                      <w:b/>
                      <w:bCs/>
                      <w:sz w:val="22"/>
                      <w:szCs w:val="22"/>
                    </w:rPr>
                    <w:t>Сумма</w:t>
                  </w:r>
                </w:p>
                <w:p w:rsidR="00DC153A" w:rsidRPr="003D5BDF" w:rsidRDefault="00DC153A" w:rsidP="008429CA">
                  <w:pPr>
                    <w:widowControl w:val="0"/>
                    <w:ind w:left="-49" w:right="-171"/>
                    <w:jc w:val="center"/>
                    <w:rPr>
                      <w:rFonts w:ascii="Calibri" w:hAnsi="Calibri" w:cs="Arial"/>
                      <w:b/>
                      <w:bCs/>
                      <w:sz w:val="22"/>
                      <w:szCs w:val="22"/>
                    </w:rPr>
                  </w:pPr>
                  <w:r w:rsidRPr="003D5BDF">
                    <w:rPr>
                      <w:rFonts w:ascii="Calibri" w:hAnsi="Calibri" w:cs="Arial"/>
                      <w:b/>
                      <w:bCs/>
                      <w:sz w:val="22"/>
                      <w:szCs w:val="22"/>
                    </w:rPr>
                    <w:t>(млрд.</w:t>
                  </w:r>
                  <w:r w:rsidR="00DD3239" w:rsidRPr="003D5BDF">
                    <w:rPr>
                      <w:rFonts w:ascii="Calibri" w:hAnsi="Calibri" w:cs="Arial"/>
                      <w:b/>
                      <w:bCs/>
                      <w:sz w:val="22"/>
                      <w:szCs w:val="22"/>
                    </w:rPr>
                    <w:t xml:space="preserve"> </w:t>
                  </w:r>
                  <w:r w:rsidRPr="003D5BDF">
                    <w:rPr>
                      <w:rFonts w:ascii="Calibri" w:hAnsi="Calibri" w:cs="Arial"/>
                      <w:b/>
                      <w:bCs/>
                      <w:sz w:val="22"/>
                      <w:szCs w:val="22"/>
                    </w:rPr>
                    <w:t>тенге)</w:t>
                  </w:r>
                </w:p>
              </w:tc>
            </w:tr>
            <w:tr w:rsidR="009E41D7" w:rsidRPr="003D5BDF" w:rsidTr="008429CA">
              <w:tc>
                <w:tcPr>
                  <w:tcW w:w="2340" w:type="dxa"/>
                </w:tcPr>
                <w:p w:rsidR="009E41D7" w:rsidRPr="003D5BDF" w:rsidRDefault="009E41D7" w:rsidP="00DC1000">
                  <w:pPr>
                    <w:jc w:val="both"/>
                    <w:rPr>
                      <w:rFonts w:ascii="Calibri" w:hAnsi="Calibri" w:cs="Arial"/>
                      <w:sz w:val="22"/>
                      <w:szCs w:val="22"/>
                    </w:rPr>
                  </w:pPr>
                  <w:r w:rsidRPr="003D5BDF">
                    <w:rPr>
                      <w:rFonts w:ascii="Calibri" w:hAnsi="Calibri" w:cs="Arial"/>
                      <w:sz w:val="22"/>
                      <w:szCs w:val="22"/>
                    </w:rPr>
                    <w:t>кредитовые</w:t>
                  </w:r>
                </w:p>
              </w:tc>
              <w:tc>
                <w:tcPr>
                  <w:tcW w:w="1080" w:type="dxa"/>
                  <w:vAlign w:val="center"/>
                </w:tcPr>
                <w:p w:rsidR="009E41D7" w:rsidRPr="003D5BDF" w:rsidRDefault="0067762A" w:rsidP="009E41D7">
                  <w:pPr>
                    <w:jc w:val="center"/>
                    <w:rPr>
                      <w:rFonts w:ascii="Calibri" w:hAnsi="Calibri" w:cs="Arial"/>
                      <w:sz w:val="22"/>
                      <w:szCs w:val="22"/>
                    </w:rPr>
                  </w:pPr>
                  <w:r w:rsidRPr="003D5BDF">
                    <w:rPr>
                      <w:rFonts w:ascii="Calibri" w:hAnsi="Calibri" w:cs="Arial"/>
                      <w:sz w:val="22"/>
                      <w:szCs w:val="22"/>
                    </w:rPr>
                    <w:t>72,4</w:t>
                  </w:r>
                </w:p>
              </w:tc>
              <w:tc>
                <w:tcPr>
                  <w:tcW w:w="1620" w:type="dxa"/>
                  <w:vAlign w:val="center"/>
                </w:tcPr>
                <w:p w:rsidR="009E41D7" w:rsidRPr="003D5BDF" w:rsidRDefault="0067762A" w:rsidP="009E41D7">
                  <w:pPr>
                    <w:jc w:val="center"/>
                    <w:rPr>
                      <w:rFonts w:ascii="Calibri" w:hAnsi="Calibri" w:cs="Arial"/>
                      <w:sz w:val="22"/>
                      <w:szCs w:val="22"/>
                    </w:rPr>
                  </w:pPr>
                  <w:r w:rsidRPr="003D5BDF">
                    <w:rPr>
                      <w:rFonts w:ascii="Calibri" w:hAnsi="Calibri" w:cs="Arial"/>
                      <w:sz w:val="22"/>
                      <w:szCs w:val="22"/>
                    </w:rPr>
                    <w:t>25 648,0</w:t>
                  </w:r>
                </w:p>
              </w:tc>
            </w:tr>
            <w:tr w:rsidR="009E41D7" w:rsidRPr="003D5BDF" w:rsidTr="008429CA">
              <w:tc>
                <w:tcPr>
                  <w:tcW w:w="2340" w:type="dxa"/>
                </w:tcPr>
                <w:p w:rsidR="009E41D7" w:rsidRPr="003D5BDF" w:rsidRDefault="009E41D7" w:rsidP="00264041">
                  <w:pPr>
                    <w:jc w:val="both"/>
                    <w:rPr>
                      <w:rFonts w:ascii="Calibri" w:hAnsi="Calibri" w:cs="Arial"/>
                      <w:i/>
                      <w:sz w:val="22"/>
                      <w:szCs w:val="22"/>
                    </w:rPr>
                  </w:pPr>
                  <w:proofErr w:type="gramStart"/>
                  <w:r w:rsidRPr="003D5BDF">
                    <w:rPr>
                      <w:rFonts w:ascii="Calibri" w:hAnsi="Calibri" w:cs="Arial"/>
                      <w:i/>
                      <w:sz w:val="22"/>
                      <w:szCs w:val="22"/>
                    </w:rPr>
                    <w:t>в</w:t>
                  </w:r>
                  <w:proofErr w:type="gramEnd"/>
                  <w:r w:rsidRPr="003D5BDF">
                    <w:rPr>
                      <w:rFonts w:ascii="Calibri" w:hAnsi="Calibri" w:cs="Arial"/>
                      <w:i/>
                      <w:sz w:val="22"/>
                      <w:szCs w:val="22"/>
                    </w:rPr>
                    <w:t xml:space="preserve"> % к общему итогу</w:t>
                  </w:r>
                </w:p>
              </w:tc>
              <w:tc>
                <w:tcPr>
                  <w:tcW w:w="1080" w:type="dxa"/>
                  <w:vAlign w:val="center"/>
                </w:tcPr>
                <w:p w:rsidR="009E41D7" w:rsidRPr="003D5BDF" w:rsidRDefault="0067762A" w:rsidP="009E41D7">
                  <w:pPr>
                    <w:jc w:val="center"/>
                    <w:rPr>
                      <w:rFonts w:ascii="Calibri" w:hAnsi="Calibri" w:cs="Arial"/>
                      <w:i/>
                      <w:sz w:val="22"/>
                      <w:szCs w:val="22"/>
                    </w:rPr>
                  </w:pPr>
                  <w:r w:rsidRPr="003D5BDF">
                    <w:rPr>
                      <w:rFonts w:ascii="Calibri" w:hAnsi="Calibri" w:cs="Arial"/>
                      <w:i/>
                      <w:sz w:val="22"/>
                      <w:szCs w:val="22"/>
                    </w:rPr>
                    <w:t>11,2</w:t>
                  </w:r>
                  <w:r w:rsidR="009E41D7" w:rsidRPr="003D5BDF">
                    <w:rPr>
                      <w:rFonts w:ascii="Calibri" w:hAnsi="Calibri" w:cs="Arial"/>
                      <w:i/>
                      <w:sz w:val="22"/>
                      <w:szCs w:val="22"/>
                    </w:rPr>
                    <w:t>%</w:t>
                  </w:r>
                </w:p>
              </w:tc>
              <w:tc>
                <w:tcPr>
                  <w:tcW w:w="1620" w:type="dxa"/>
                  <w:vAlign w:val="center"/>
                </w:tcPr>
                <w:p w:rsidR="009E41D7" w:rsidRPr="003D5BDF" w:rsidRDefault="0067762A" w:rsidP="0067762A">
                  <w:pPr>
                    <w:jc w:val="center"/>
                    <w:rPr>
                      <w:rFonts w:ascii="Calibri" w:hAnsi="Calibri" w:cs="Arial"/>
                      <w:i/>
                      <w:sz w:val="22"/>
                      <w:szCs w:val="22"/>
                    </w:rPr>
                  </w:pPr>
                  <w:r w:rsidRPr="003D5BDF">
                    <w:rPr>
                      <w:rFonts w:ascii="Calibri" w:hAnsi="Calibri" w:cs="Arial"/>
                      <w:i/>
                      <w:sz w:val="22"/>
                      <w:szCs w:val="22"/>
                    </w:rPr>
                    <w:t>55,8</w:t>
                  </w:r>
                  <w:r w:rsidR="009E41D7" w:rsidRPr="003D5BDF">
                    <w:rPr>
                      <w:rFonts w:ascii="Calibri" w:hAnsi="Calibri" w:cs="Arial"/>
                      <w:i/>
                      <w:sz w:val="22"/>
                      <w:szCs w:val="22"/>
                    </w:rPr>
                    <w:t>%</w:t>
                  </w:r>
                </w:p>
              </w:tc>
            </w:tr>
            <w:tr w:rsidR="009E41D7" w:rsidRPr="003D5BDF" w:rsidTr="008429CA">
              <w:tc>
                <w:tcPr>
                  <w:tcW w:w="2340" w:type="dxa"/>
                </w:tcPr>
                <w:p w:rsidR="009E41D7" w:rsidRPr="003D5BDF" w:rsidRDefault="009E41D7" w:rsidP="00DC1000">
                  <w:pPr>
                    <w:jc w:val="both"/>
                    <w:rPr>
                      <w:rFonts w:ascii="Calibri" w:hAnsi="Calibri" w:cs="Arial"/>
                      <w:sz w:val="22"/>
                      <w:szCs w:val="22"/>
                    </w:rPr>
                  </w:pPr>
                  <w:r w:rsidRPr="003D5BDF">
                    <w:rPr>
                      <w:rFonts w:ascii="Calibri" w:hAnsi="Calibri" w:cs="Arial"/>
                      <w:sz w:val="22"/>
                      <w:szCs w:val="22"/>
                    </w:rPr>
                    <w:t>дебетовые</w:t>
                  </w:r>
                </w:p>
              </w:tc>
              <w:tc>
                <w:tcPr>
                  <w:tcW w:w="1080" w:type="dxa"/>
                  <w:vAlign w:val="center"/>
                </w:tcPr>
                <w:p w:rsidR="009E41D7" w:rsidRPr="003D5BDF" w:rsidRDefault="009E41D7" w:rsidP="009E41D7">
                  <w:pPr>
                    <w:jc w:val="center"/>
                    <w:rPr>
                      <w:rFonts w:ascii="Calibri" w:hAnsi="Calibri" w:cs="Arial"/>
                      <w:sz w:val="22"/>
                      <w:szCs w:val="22"/>
                    </w:rPr>
                  </w:pPr>
                  <w:r w:rsidRPr="003D5BDF">
                    <w:rPr>
                      <w:rFonts w:ascii="Calibri" w:hAnsi="Calibri" w:cs="Arial"/>
                      <w:sz w:val="22"/>
                      <w:szCs w:val="22"/>
                    </w:rPr>
                    <w:t>25,9</w:t>
                  </w:r>
                </w:p>
              </w:tc>
              <w:tc>
                <w:tcPr>
                  <w:tcW w:w="1620" w:type="dxa"/>
                  <w:vAlign w:val="center"/>
                </w:tcPr>
                <w:p w:rsidR="009E41D7" w:rsidRPr="003D5BDF" w:rsidRDefault="009E41D7" w:rsidP="009E41D7">
                  <w:pPr>
                    <w:jc w:val="center"/>
                    <w:rPr>
                      <w:rFonts w:ascii="Calibri" w:hAnsi="Calibri" w:cs="Arial"/>
                      <w:sz w:val="22"/>
                      <w:szCs w:val="22"/>
                    </w:rPr>
                  </w:pPr>
                  <w:r w:rsidRPr="003D5BDF">
                    <w:rPr>
                      <w:rFonts w:ascii="Calibri" w:hAnsi="Calibri" w:cs="Arial"/>
                      <w:sz w:val="22"/>
                      <w:szCs w:val="22"/>
                    </w:rPr>
                    <w:t>2 648,3</w:t>
                  </w:r>
                </w:p>
              </w:tc>
            </w:tr>
            <w:tr w:rsidR="009E41D7" w:rsidRPr="003D5BDF" w:rsidTr="008429CA">
              <w:tc>
                <w:tcPr>
                  <w:tcW w:w="2340" w:type="dxa"/>
                </w:tcPr>
                <w:p w:rsidR="009E41D7" w:rsidRPr="003D5BDF" w:rsidRDefault="009E41D7" w:rsidP="00264041">
                  <w:pPr>
                    <w:jc w:val="both"/>
                    <w:rPr>
                      <w:rFonts w:ascii="Calibri" w:hAnsi="Calibri" w:cs="Arial"/>
                      <w:i/>
                      <w:sz w:val="22"/>
                      <w:szCs w:val="22"/>
                    </w:rPr>
                  </w:pPr>
                  <w:proofErr w:type="gramStart"/>
                  <w:r w:rsidRPr="003D5BDF">
                    <w:rPr>
                      <w:rFonts w:ascii="Calibri" w:hAnsi="Calibri" w:cs="Arial"/>
                      <w:i/>
                      <w:sz w:val="22"/>
                      <w:szCs w:val="22"/>
                    </w:rPr>
                    <w:t>в</w:t>
                  </w:r>
                  <w:proofErr w:type="gramEnd"/>
                  <w:r w:rsidRPr="003D5BDF">
                    <w:rPr>
                      <w:rFonts w:ascii="Calibri" w:hAnsi="Calibri" w:cs="Arial"/>
                      <w:i/>
                      <w:sz w:val="22"/>
                      <w:szCs w:val="22"/>
                    </w:rPr>
                    <w:t xml:space="preserve"> % к общему итогу</w:t>
                  </w:r>
                </w:p>
              </w:tc>
              <w:tc>
                <w:tcPr>
                  <w:tcW w:w="1080" w:type="dxa"/>
                  <w:vAlign w:val="center"/>
                </w:tcPr>
                <w:p w:rsidR="009E41D7" w:rsidRPr="003D5BDF" w:rsidRDefault="009E41D7" w:rsidP="009E41D7">
                  <w:pPr>
                    <w:jc w:val="center"/>
                    <w:rPr>
                      <w:rFonts w:ascii="Calibri" w:hAnsi="Calibri" w:cs="Arial"/>
                      <w:i/>
                      <w:sz w:val="22"/>
                      <w:szCs w:val="22"/>
                    </w:rPr>
                  </w:pPr>
                  <w:r w:rsidRPr="003D5BDF">
                    <w:rPr>
                      <w:rFonts w:ascii="Calibri" w:hAnsi="Calibri" w:cs="Arial"/>
                      <w:i/>
                      <w:sz w:val="22"/>
                      <w:szCs w:val="22"/>
                    </w:rPr>
                    <w:t>4,0%</w:t>
                  </w:r>
                </w:p>
              </w:tc>
              <w:tc>
                <w:tcPr>
                  <w:tcW w:w="1620" w:type="dxa"/>
                  <w:vAlign w:val="center"/>
                </w:tcPr>
                <w:p w:rsidR="009E41D7" w:rsidRPr="003D5BDF" w:rsidRDefault="009E41D7" w:rsidP="009E41D7">
                  <w:pPr>
                    <w:jc w:val="center"/>
                    <w:rPr>
                      <w:rFonts w:ascii="Calibri" w:hAnsi="Calibri" w:cs="Arial"/>
                      <w:i/>
                      <w:sz w:val="22"/>
                      <w:szCs w:val="22"/>
                    </w:rPr>
                  </w:pPr>
                  <w:r w:rsidRPr="003D5BDF">
                    <w:rPr>
                      <w:rFonts w:ascii="Calibri" w:hAnsi="Calibri" w:cs="Arial"/>
                      <w:i/>
                      <w:sz w:val="22"/>
                      <w:szCs w:val="22"/>
                    </w:rPr>
                    <w:t>5,8%</w:t>
                  </w:r>
                </w:p>
              </w:tc>
            </w:tr>
            <w:tr w:rsidR="009E41D7" w:rsidRPr="003D5BDF" w:rsidTr="008429CA">
              <w:tc>
                <w:tcPr>
                  <w:tcW w:w="2340" w:type="dxa"/>
                </w:tcPr>
                <w:p w:rsidR="009E41D7" w:rsidRPr="003D5BDF" w:rsidRDefault="0067762A" w:rsidP="00DC1000">
                  <w:pPr>
                    <w:jc w:val="both"/>
                    <w:rPr>
                      <w:rFonts w:ascii="Calibri" w:hAnsi="Calibri" w:cs="Arial"/>
                      <w:sz w:val="22"/>
                      <w:szCs w:val="22"/>
                    </w:rPr>
                  </w:pPr>
                  <w:r w:rsidRPr="003D5BDF">
                    <w:rPr>
                      <w:rFonts w:ascii="Calibri" w:hAnsi="Calibri" w:cs="Arial"/>
                      <w:sz w:val="22"/>
                      <w:szCs w:val="22"/>
                    </w:rPr>
                    <w:t>и</w:t>
                  </w:r>
                  <w:r w:rsidR="009E41D7" w:rsidRPr="003D5BDF">
                    <w:rPr>
                      <w:rFonts w:ascii="Calibri" w:hAnsi="Calibri" w:cs="Arial"/>
                      <w:sz w:val="22"/>
                      <w:szCs w:val="22"/>
                    </w:rPr>
                    <w:t>ные</w:t>
                  </w:r>
                </w:p>
              </w:tc>
              <w:tc>
                <w:tcPr>
                  <w:tcW w:w="1080" w:type="dxa"/>
                  <w:vAlign w:val="center"/>
                </w:tcPr>
                <w:p w:rsidR="009E41D7" w:rsidRPr="003D5BDF" w:rsidRDefault="0067762A" w:rsidP="009E41D7">
                  <w:pPr>
                    <w:jc w:val="center"/>
                    <w:rPr>
                      <w:rFonts w:ascii="Calibri" w:hAnsi="Calibri" w:cs="Arial"/>
                      <w:sz w:val="22"/>
                      <w:szCs w:val="22"/>
                    </w:rPr>
                  </w:pPr>
                  <w:r w:rsidRPr="003D5BDF">
                    <w:rPr>
                      <w:rFonts w:ascii="Calibri" w:hAnsi="Calibri" w:cs="Arial"/>
                      <w:sz w:val="22"/>
                      <w:szCs w:val="22"/>
                    </w:rPr>
                    <w:t>545,8</w:t>
                  </w:r>
                </w:p>
              </w:tc>
              <w:tc>
                <w:tcPr>
                  <w:tcW w:w="1620" w:type="dxa"/>
                  <w:vAlign w:val="center"/>
                </w:tcPr>
                <w:p w:rsidR="009E41D7" w:rsidRPr="003D5BDF" w:rsidRDefault="0067762A" w:rsidP="009E41D7">
                  <w:pPr>
                    <w:jc w:val="center"/>
                    <w:rPr>
                      <w:rFonts w:ascii="Calibri" w:hAnsi="Calibri" w:cs="Arial"/>
                      <w:sz w:val="22"/>
                      <w:szCs w:val="22"/>
                    </w:rPr>
                  </w:pPr>
                  <w:r w:rsidRPr="003D5BDF">
                    <w:rPr>
                      <w:rFonts w:ascii="Calibri" w:hAnsi="Calibri" w:cs="Arial"/>
                      <w:sz w:val="22"/>
                      <w:szCs w:val="22"/>
                    </w:rPr>
                    <w:t>17 708,0</w:t>
                  </w:r>
                </w:p>
              </w:tc>
            </w:tr>
            <w:tr w:rsidR="0067762A" w:rsidRPr="003D5BDF" w:rsidTr="008429CA">
              <w:tc>
                <w:tcPr>
                  <w:tcW w:w="2340" w:type="dxa"/>
                </w:tcPr>
                <w:p w:rsidR="0067762A" w:rsidRPr="003D5BDF" w:rsidRDefault="0067762A" w:rsidP="00DC1000">
                  <w:pPr>
                    <w:jc w:val="both"/>
                    <w:rPr>
                      <w:rFonts w:ascii="Calibri" w:hAnsi="Calibri" w:cs="Arial"/>
                      <w:sz w:val="22"/>
                      <w:szCs w:val="22"/>
                    </w:rPr>
                  </w:pPr>
                  <w:proofErr w:type="gramStart"/>
                  <w:r w:rsidRPr="003D5BDF">
                    <w:rPr>
                      <w:rFonts w:ascii="Calibri" w:hAnsi="Calibri" w:cs="Arial"/>
                      <w:i/>
                      <w:sz w:val="22"/>
                      <w:szCs w:val="22"/>
                    </w:rPr>
                    <w:t>в</w:t>
                  </w:r>
                  <w:proofErr w:type="gramEnd"/>
                  <w:r w:rsidRPr="003D5BDF">
                    <w:rPr>
                      <w:rFonts w:ascii="Calibri" w:hAnsi="Calibri" w:cs="Arial"/>
                      <w:i/>
                      <w:sz w:val="22"/>
                      <w:szCs w:val="22"/>
                    </w:rPr>
                    <w:t xml:space="preserve"> % к общему итогу</w:t>
                  </w:r>
                </w:p>
              </w:tc>
              <w:tc>
                <w:tcPr>
                  <w:tcW w:w="1080" w:type="dxa"/>
                  <w:vAlign w:val="center"/>
                </w:tcPr>
                <w:p w:rsidR="0067762A" w:rsidRPr="003D5BDF" w:rsidRDefault="0067762A" w:rsidP="009E41D7">
                  <w:pPr>
                    <w:jc w:val="center"/>
                    <w:rPr>
                      <w:rFonts w:ascii="Calibri" w:hAnsi="Calibri" w:cs="Arial"/>
                      <w:i/>
                      <w:sz w:val="22"/>
                      <w:szCs w:val="22"/>
                    </w:rPr>
                  </w:pPr>
                  <w:r w:rsidRPr="003D5BDF">
                    <w:rPr>
                      <w:rFonts w:ascii="Calibri" w:hAnsi="Calibri" w:cs="Arial"/>
                      <w:i/>
                      <w:sz w:val="22"/>
                      <w:szCs w:val="22"/>
                    </w:rPr>
                    <w:t>84,7%</w:t>
                  </w:r>
                </w:p>
              </w:tc>
              <w:tc>
                <w:tcPr>
                  <w:tcW w:w="1620" w:type="dxa"/>
                  <w:vAlign w:val="center"/>
                </w:tcPr>
                <w:p w:rsidR="0067762A" w:rsidRPr="003D5BDF" w:rsidRDefault="0067762A" w:rsidP="009E41D7">
                  <w:pPr>
                    <w:jc w:val="center"/>
                    <w:rPr>
                      <w:rFonts w:ascii="Calibri" w:hAnsi="Calibri" w:cs="Arial"/>
                      <w:i/>
                      <w:sz w:val="22"/>
                      <w:szCs w:val="22"/>
                    </w:rPr>
                  </w:pPr>
                  <w:r w:rsidRPr="003D5BDF">
                    <w:rPr>
                      <w:rFonts w:ascii="Calibri" w:hAnsi="Calibri" w:cs="Arial"/>
                      <w:i/>
                      <w:sz w:val="22"/>
                      <w:szCs w:val="22"/>
                    </w:rPr>
                    <w:t>38,5%</w:t>
                  </w:r>
                </w:p>
              </w:tc>
            </w:tr>
            <w:tr w:rsidR="009E41D7" w:rsidRPr="003D5BDF" w:rsidTr="008429CA">
              <w:tc>
                <w:tcPr>
                  <w:tcW w:w="2340" w:type="dxa"/>
                </w:tcPr>
                <w:p w:rsidR="009E41D7" w:rsidRPr="003D5BDF" w:rsidRDefault="009E41D7" w:rsidP="00264041">
                  <w:pPr>
                    <w:jc w:val="both"/>
                    <w:rPr>
                      <w:rFonts w:ascii="Calibri" w:hAnsi="Calibri" w:cs="Arial"/>
                      <w:b/>
                      <w:sz w:val="22"/>
                      <w:szCs w:val="22"/>
                    </w:rPr>
                  </w:pPr>
                  <w:r w:rsidRPr="003D5BDF">
                    <w:rPr>
                      <w:rFonts w:ascii="Calibri" w:hAnsi="Calibri" w:cs="Arial"/>
                      <w:b/>
                      <w:sz w:val="22"/>
                      <w:szCs w:val="22"/>
                    </w:rPr>
                    <w:t>Итого</w:t>
                  </w:r>
                </w:p>
              </w:tc>
              <w:tc>
                <w:tcPr>
                  <w:tcW w:w="1080" w:type="dxa"/>
                  <w:vAlign w:val="center"/>
                </w:tcPr>
                <w:p w:rsidR="009E41D7" w:rsidRPr="003D5BDF" w:rsidRDefault="009E41D7" w:rsidP="009E41D7">
                  <w:pPr>
                    <w:jc w:val="center"/>
                    <w:rPr>
                      <w:rFonts w:ascii="Calibri" w:hAnsi="Calibri" w:cs="Arial"/>
                      <w:b/>
                      <w:sz w:val="22"/>
                      <w:szCs w:val="22"/>
                    </w:rPr>
                  </w:pPr>
                  <w:r w:rsidRPr="003D5BDF">
                    <w:rPr>
                      <w:rFonts w:ascii="Calibri" w:hAnsi="Calibri" w:cs="Arial"/>
                      <w:b/>
                      <w:sz w:val="22"/>
                      <w:szCs w:val="22"/>
                    </w:rPr>
                    <w:t>644,1</w:t>
                  </w:r>
                </w:p>
              </w:tc>
              <w:tc>
                <w:tcPr>
                  <w:tcW w:w="1620" w:type="dxa"/>
                  <w:vAlign w:val="center"/>
                </w:tcPr>
                <w:p w:rsidR="009E41D7" w:rsidRPr="003D5BDF" w:rsidRDefault="009E41D7" w:rsidP="009E41D7">
                  <w:pPr>
                    <w:jc w:val="center"/>
                    <w:rPr>
                      <w:rFonts w:ascii="Calibri" w:hAnsi="Calibri" w:cs="Arial"/>
                      <w:b/>
                      <w:sz w:val="22"/>
                      <w:szCs w:val="22"/>
                    </w:rPr>
                  </w:pPr>
                  <w:r w:rsidRPr="003D5BDF">
                    <w:rPr>
                      <w:rFonts w:ascii="Calibri" w:hAnsi="Calibri" w:cs="Arial"/>
                      <w:b/>
                      <w:sz w:val="22"/>
                      <w:szCs w:val="22"/>
                    </w:rPr>
                    <w:t>46 004,4</w:t>
                  </w:r>
                </w:p>
              </w:tc>
            </w:tr>
          </w:tbl>
          <w:p w:rsidR="00DC153A" w:rsidRPr="003D5BDF" w:rsidRDefault="00DC153A" w:rsidP="00FC6BCA">
            <w:pPr>
              <w:jc w:val="both"/>
              <w:rPr>
                <w:rFonts w:ascii="Calibri" w:hAnsi="Calibri" w:cs="Arial"/>
                <w:sz w:val="30"/>
                <w:szCs w:val="30"/>
              </w:rPr>
            </w:pPr>
          </w:p>
        </w:tc>
      </w:tr>
    </w:tbl>
    <w:tbl>
      <w:tblPr>
        <w:tblW w:w="10656" w:type="dxa"/>
        <w:tblInd w:w="-432" w:type="dxa"/>
        <w:tblLayout w:type="fixed"/>
        <w:tblLook w:val="00A0" w:firstRow="1" w:lastRow="0" w:firstColumn="1" w:lastColumn="0" w:noHBand="0" w:noVBand="0"/>
      </w:tblPr>
      <w:tblGrid>
        <w:gridCol w:w="5220"/>
        <w:gridCol w:w="5436"/>
      </w:tblGrid>
      <w:tr w:rsidR="00860DAB" w:rsidRPr="00A86AE4" w:rsidTr="00322F31">
        <w:trPr>
          <w:trHeight w:val="3229"/>
        </w:trPr>
        <w:tc>
          <w:tcPr>
            <w:tcW w:w="5220" w:type="dxa"/>
          </w:tcPr>
          <w:p w:rsidR="006E2AC8" w:rsidRDefault="006E2AC8" w:rsidP="00264041">
            <w:pPr>
              <w:jc w:val="center"/>
              <w:rPr>
                <w:rFonts w:ascii="Calibri" w:hAnsi="Calibri" w:cs="Arial"/>
                <w:b/>
                <w:color w:val="0E4C28"/>
                <w:sz w:val="28"/>
                <w:szCs w:val="28"/>
              </w:rPr>
            </w:pPr>
          </w:p>
          <w:p w:rsidR="00860DAB" w:rsidRPr="0073388E" w:rsidRDefault="00860DAB" w:rsidP="00264041">
            <w:pPr>
              <w:jc w:val="center"/>
              <w:rPr>
                <w:rFonts w:ascii="Calibri" w:hAnsi="Calibri" w:cs="Arial"/>
                <w:b/>
                <w:color w:val="0E4C28"/>
                <w:sz w:val="28"/>
                <w:szCs w:val="28"/>
              </w:rPr>
            </w:pPr>
            <w:r w:rsidRPr="0073388E">
              <w:rPr>
                <w:rFonts w:ascii="Calibri" w:hAnsi="Calibri" w:cs="Arial"/>
                <w:b/>
                <w:color w:val="0E4C28"/>
                <w:sz w:val="28"/>
                <w:szCs w:val="28"/>
              </w:rPr>
              <w:t xml:space="preserve">Доля </w:t>
            </w:r>
            <w:r>
              <w:rPr>
                <w:rFonts w:ascii="Calibri" w:hAnsi="Calibri" w:cs="Arial"/>
                <w:b/>
                <w:color w:val="0E4C28"/>
                <w:sz w:val="28"/>
                <w:szCs w:val="28"/>
              </w:rPr>
              <w:t>в общем количестве платежных инструментов в 2016 году</w:t>
            </w:r>
          </w:p>
          <w:p w:rsidR="00860DAB" w:rsidRPr="00322F31" w:rsidRDefault="00860DAB" w:rsidP="00264041">
            <w:pPr>
              <w:tabs>
                <w:tab w:val="num" w:pos="993"/>
              </w:tabs>
              <w:jc w:val="both"/>
              <w:rPr>
                <w:sz w:val="20"/>
                <w:szCs w:val="20"/>
              </w:rPr>
            </w:pPr>
            <w:r w:rsidRPr="00322F31">
              <w:rPr>
                <w:noProof/>
                <w:sz w:val="20"/>
                <w:szCs w:val="20"/>
              </w:rPr>
              <w:drawing>
                <wp:inline distT="0" distB="0" distL="0" distR="0" wp14:anchorId="2B1EC2F6" wp14:editId="562A20A5">
                  <wp:extent cx="3086100" cy="3317817"/>
                  <wp:effectExtent l="38100" t="0" r="0" b="0"/>
                  <wp:docPr id="455" name="Диаграмма 4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c>
          <w:tcPr>
            <w:tcW w:w="5436" w:type="dxa"/>
          </w:tcPr>
          <w:p w:rsidR="006E2AC8" w:rsidRDefault="006E2AC8" w:rsidP="00860DAB">
            <w:pPr>
              <w:jc w:val="center"/>
              <w:rPr>
                <w:rFonts w:ascii="Calibri" w:hAnsi="Calibri" w:cs="Arial"/>
                <w:b/>
                <w:color w:val="0E4C28"/>
                <w:sz w:val="28"/>
                <w:szCs w:val="28"/>
              </w:rPr>
            </w:pPr>
          </w:p>
          <w:p w:rsidR="00860DAB" w:rsidRPr="0073388E" w:rsidRDefault="00860DAB" w:rsidP="00860DAB">
            <w:pPr>
              <w:jc w:val="center"/>
              <w:rPr>
                <w:rFonts w:ascii="Calibri" w:hAnsi="Calibri" w:cs="Arial"/>
                <w:b/>
                <w:color w:val="0E4C28"/>
                <w:sz w:val="28"/>
                <w:szCs w:val="28"/>
              </w:rPr>
            </w:pPr>
            <w:r w:rsidRPr="0073388E">
              <w:rPr>
                <w:rFonts w:ascii="Calibri" w:hAnsi="Calibri" w:cs="Arial"/>
                <w:b/>
                <w:color w:val="0E4C28"/>
                <w:sz w:val="28"/>
                <w:szCs w:val="28"/>
              </w:rPr>
              <w:t>Доля от общей суммы</w:t>
            </w:r>
            <w:r>
              <w:rPr>
                <w:rFonts w:ascii="Calibri" w:hAnsi="Calibri" w:cs="Arial"/>
                <w:b/>
                <w:color w:val="0E4C28"/>
                <w:sz w:val="28"/>
                <w:szCs w:val="28"/>
              </w:rPr>
              <w:t xml:space="preserve"> платежных инструментов в 2016 году</w:t>
            </w:r>
          </w:p>
          <w:p w:rsidR="00860DAB" w:rsidRPr="00322F31" w:rsidRDefault="00DC1000" w:rsidP="00264041">
            <w:pPr>
              <w:tabs>
                <w:tab w:val="num" w:pos="993"/>
              </w:tabs>
              <w:jc w:val="both"/>
              <w:rPr>
                <w:sz w:val="20"/>
                <w:szCs w:val="20"/>
              </w:rPr>
            </w:pPr>
            <w:r w:rsidRPr="00322F31">
              <w:rPr>
                <w:noProof/>
                <w:sz w:val="20"/>
                <w:szCs w:val="20"/>
              </w:rPr>
              <w:drawing>
                <wp:inline distT="0" distB="0" distL="0" distR="0" wp14:anchorId="29334C82" wp14:editId="300AE6A7">
                  <wp:extent cx="2992581" cy="3314700"/>
                  <wp:effectExtent l="38100" t="0" r="0" b="0"/>
                  <wp:docPr id="53" name="Диаграмма 4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rsidR="005F0BFB" w:rsidRDefault="00803AB5" w:rsidP="00FC6BCA">
      <w:pPr>
        <w:ind w:firstLine="708"/>
        <w:jc w:val="both"/>
        <w:rPr>
          <w:rFonts w:ascii="Calibri" w:hAnsi="Calibri" w:cs="Arial"/>
          <w:sz w:val="30"/>
          <w:szCs w:val="30"/>
        </w:rPr>
      </w:pPr>
      <w:r>
        <w:rPr>
          <w:rFonts w:ascii="Calibri" w:hAnsi="Calibri" w:cs="Arial"/>
          <w:sz w:val="30"/>
          <w:szCs w:val="30"/>
        </w:rPr>
        <w:t>Наибольшую долю по количеству занимают операции физических лиц с использованием платежных карточек (51,4%) и платежных ордеров (32,7%),</w:t>
      </w:r>
      <w:r w:rsidR="00B571DA">
        <w:rPr>
          <w:rFonts w:ascii="Calibri" w:hAnsi="Calibri" w:cs="Arial"/>
          <w:sz w:val="30"/>
          <w:szCs w:val="30"/>
        </w:rPr>
        <w:t xml:space="preserve"> что характеризуется использованием </w:t>
      </w:r>
      <w:r w:rsidR="008E3F25">
        <w:rPr>
          <w:rFonts w:ascii="Calibri" w:hAnsi="Calibri" w:cs="Arial"/>
          <w:sz w:val="30"/>
          <w:szCs w:val="30"/>
        </w:rPr>
        <w:t>платежных ордеров</w:t>
      </w:r>
      <w:r w:rsidR="00B571DA">
        <w:rPr>
          <w:rFonts w:ascii="Calibri" w:hAnsi="Calibri" w:cs="Arial"/>
          <w:sz w:val="30"/>
          <w:szCs w:val="30"/>
        </w:rPr>
        <w:t xml:space="preserve"> для платежей на небольшие суммы между банками и их клиентами, в том числе, по оплате услуг банка, выплате </w:t>
      </w:r>
      <w:r w:rsidR="00B571DA">
        <w:rPr>
          <w:rFonts w:ascii="Calibri" w:hAnsi="Calibri" w:cs="Arial"/>
          <w:sz w:val="30"/>
          <w:szCs w:val="30"/>
        </w:rPr>
        <w:lastRenderedPageBreak/>
        <w:t>вознаграждения на</w:t>
      </w:r>
      <w:r w:rsidR="008E3F25">
        <w:rPr>
          <w:rFonts w:ascii="Calibri" w:hAnsi="Calibri" w:cs="Arial"/>
          <w:sz w:val="30"/>
          <w:szCs w:val="30"/>
        </w:rPr>
        <w:t xml:space="preserve"> текущие счета клиентов</w:t>
      </w:r>
      <w:r w:rsidR="00B571DA">
        <w:rPr>
          <w:rFonts w:ascii="Calibri" w:hAnsi="Calibri" w:cs="Arial"/>
          <w:sz w:val="30"/>
          <w:szCs w:val="30"/>
        </w:rPr>
        <w:t>. П</w:t>
      </w:r>
      <w:r>
        <w:rPr>
          <w:rFonts w:ascii="Calibri" w:hAnsi="Calibri" w:cs="Arial"/>
          <w:sz w:val="30"/>
          <w:szCs w:val="30"/>
        </w:rPr>
        <w:t>о сумме основной объем приходится на платежные поручени</w:t>
      </w:r>
      <w:r w:rsidR="00322F31">
        <w:rPr>
          <w:rFonts w:ascii="Calibri" w:hAnsi="Calibri" w:cs="Arial"/>
          <w:sz w:val="30"/>
          <w:szCs w:val="30"/>
        </w:rPr>
        <w:t>я</w:t>
      </w:r>
      <w:r w:rsidR="00B571DA">
        <w:rPr>
          <w:rFonts w:ascii="Calibri" w:hAnsi="Calibri" w:cs="Arial"/>
          <w:sz w:val="30"/>
          <w:szCs w:val="30"/>
        </w:rPr>
        <w:t xml:space="preserve"> (55,0%) и платежные карточки (22,6%).</w:t>
      </w:r>
    </w:p>
    <w:p w:rsidR="00551431" w:rsidRPr="00015E28" w:rsidRDefault="005C7913" w:rsidP="00176F0A">
      <w:pPr>
        <w:pStyle w:val="1"/>
        <w:ind w:firstLine="708"/>
        <w:jc w:val="center"/>
        <w:rPr>
          <w:rFonts w:ascii="Calibri" w:hAnsi="Calibri"/>
          <w:bCs w:val="0"/>
          <w:snapToGrid w:val="0"/>
          <w:color w:val="0E4C28"/>
          <w:spacing w:val="-2"/>
          <w:kern w:val="0"/>
          <w:sz w:val="36"/>
          <w:szCs w:val="36"/>
        </w:rPr>
      </w:pPr>
      <w:bookmarkStart w:id="125" w:name="_Toc481418203"/>
      <w:r w:rsidRPr="00015E28">
        <w:rPr>
          <w:rFonts w:ascii="Calibri" w:hAnsi="Calibri"/>
          <w:bCs w:val="0"/>
          <w:snapToGrid w:val="0"/>
          <w:color w:val="0E4C28"/>
          <w:spacing w:val="-2"/>
          <w:kern w:val="0"/>
          <w:sz w:val="36"/>
          <w:szCs w:val="36"/>
        </w:rPr>
        <w:t xml:space="preserve">РАЗДЕЛ </w:t>
      </w:r>
      <w:r>
        <w:rPr>
          <w:rFonts w:ascii="Calibri" w:hAnsi="Calibri"/>
          <w:bCs w:val="0"/>
          <w:snapToGrid w:val="0"/>
          <w:color w:val="0E4C28"/>
          <w:spacing w:val="-2"/>
          <w:kern w:val="0"/>
          <w:sz w:val="36"/>
          <w:szCs w:val="36"/>
        </w:rPr>
        <w:t>3</w:t>
      </w:r>
      <w:r w:rsidRPr="00015E28">
        <w:rPr>
          <w:rFonts w:ascii="Calibri" w:hAnsi="Calibri"/>
          <w:bCs w:val="0"/>
          <w:snapToGrid w:val="0"/>
          <w:color w:val="0E4C28"/>
          <w:spacing w:val="-2"/>
          <w:kern w:val="0"/>
          <w:sz w:val="36"/>
          <w:szCs w:val="36"/>
        </w:rPr>
        <w:t>.</w:t>
      </w:r>
      <w:r w:rsidR="00551431" w:rsidRPr="00015E28">
        <w:rPr>
          <w:rFonts w:ascii="Calibri" w:hAnsi="Calibri"/>
          <w:bCs w:val="0"/>
          <w:snapToGrid w:val="0"/>
          <w:color w:val="0E4C28"/>
          <w:spacing w:val="-2"/>
          <w:kern w:val="0"/>
          <w:sz w:val="36"/>
          <w:szCs w:val="36"/>
        </w:rPr>
        <w:t xml:space="preserve"> </w:t>
      </w:r>
      <w:r w:rsidR="00C00A5C" w:rsidRPr="00015E28">
        <w:rPr>
          <w:rFonts w:ascii="Calibri" w:hAnsi="Calibri"/>
          <w:bCs w:val="0"/>
          <w:snapToGrid w:val="0"/>
          <w:color w:val="0E4C28"/>
          <w:spacing w:val="-2"/>
          <w:kern w:val="0"/>
          <w:sz w:val="36"/>
          <w:szCs w:val="36"/>
        </w:rPr>
        <w:t>РЫНОК ПЛАТЕЖНЫХ УСЛУГ</w:t>
      </w:r>
      <w:bookmarkEnd w:id="125"/>
    </w:p>
    <w:p w:rsidR="008F6CDF" w:rsidRPr="00176F0A" w:rsidRDefault="008F6CDF" w:rsidP="00176F0A">
      <w:pPr>
        <w:rPr>
          <w:sz w:val="30"/>
          <w:szCs w:val="30"/>
        </w:rPr>
      </w:pPr>
    </w:p>
    <w:p w:rsidR="0061133E" w:rsidRPr="00015E28" w:rsidRDefault="00B41594" w:rsidP="00176F0A">
      <w:pPr>
        <w:ind w:firstLine="708"/>
        <w:jc w:val="both"/>
        <w:rPr>
          <w:rFonts w:ascii="Calibri" w:hAnsi="Calibri"/>
          <w:sz w:val="30"/>
          <w:szCs w:val="30"/>
        </w:rPr>
      </w:pPr>
      <w:r>
        <w:rPr>
          <w:rFonts w:ascii="Calibri" w:hAnsi="Calibri"/>
          <w:noProof/>
          <w:sz w:val="30"/>
          <w:szCs w:val="30"/>
        </w:rPr>
        <mc:AlternateContent>
          <mc:Choice Requires="wps">
            <w:drawing>
              <wp:anchor distT="0" distB="0" distL="114300" distR="114300" simplePos="0" relativeHeight="251664384" behindDoc="0" locked="0" layoutInCell="1" allowOverlap="1" wp14:anchorId="2D3F5CD3" wp14:editId="72D8E16B">
                <wp:simplePos x="0" y="0"/>
                <wp:positionH relativeFrom="column">
                  <wp:posOffset>2628900</wp:posOffset>
                </wp:positionH>
                <wp:positionV relativeFrom="paragraph">
                  <wp:posOffset>431800</wp:posOffset>
                </wp:positionV>
                <wp:extent cx="3334385" cy="2390140"/>
                <wp:effectExtent l="0" t="0" r="37465" b="48260"/>
                <wp:wrapSquare wrapText="bothSides"/>
                <wp:docPr id="469"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4385" cy="239014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A3494E" w:rsidRDefault="00A3494E" w:rsidP="00A4444F">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повсеместное внедрение инновационных финансовых решений</w:t>
                            </w:r>
                            <w:r w:rsidRPr="00F224A0">
                              <w:rPr>
                                <w:rFonts w:ascii="Calibri" w:hAnsi="Calibri" w:cs="Arial"/>
                                <w:sz w:val="30"/>
                                <w:szCs w:val="30"/>
                              </w:rPr>
                              <w:t>;</w:t>
                            </w:r>
                          </w:p>
                          <w:p w:rsidR="00A3494E" w:rsidRPr="00F224A0" w:rsidRDefault="00A3494E" w:rsidP="00A4444F">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развитие дистанционных каналов связи;</w:t>
                            </w:r>
                          </w:p>
                          <w:p w:rsidR="00A3494E" w:rsidRPr="00F224A0" w:rsidRDefault="00A3494E" w:rsidP="00A4444F">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активное развитие Интернет и мобильных приложений</w:t>
                            </w:r>
                            <w:r w:rsidRPr="00F224A0">
                              <w:rPr>
                                <w:rFonts w:ascii="Calibri" w:hAnsi="Calibri" w:cs="Arial"/>
                                <w:sz w:val="30"/>
                                <w:szCs w:val="30"/>
                              </w:rPr>
                              <w:t>;</w:t>
                            </w:r>
                          </w:p>
                          <w:p w:rsidR="00A3494E" w:rsidRPr="00DF43AB" w:rsidRDefault="00A3494E" w:rsidP="00A4444F">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появление новых игроков (частные платежные организации).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2" o:spid="_x0000_s1046" style="position:absolute;left:0;text-align:left;margin-left:207pt;margin-top:34pt;width:262.55pt;height:18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" fillcolor="#cf9" strokecolor="#cf9" strokeweight="1pt">
                <v:shadow on="t" color="#205867" opacity=".5" offset="1pt"/>
                <v:textbox>
                  <w:txbxContent>
                    <w:p w:rsidR="00A3494E" w:rsidRDefault="00A3494E" w:rsidP="00A4444F">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повсеместное внедрение инновационных финансовых решений</w:t>
                      </w:r>
                      <w:r w:rsidRPr="00F224A0">
                        <w:rPr>
                          <w:rFonts w:ascii="Calibri" w:hAnsi="Calibri" w:cs="Arial"/>
                          <w:sz w:val="30"/>
                          <w:szCs w:val="30"/>
                        </w:rPr>
                        <w:t>;</w:t>
                      </w:r>
                    </w:p>
                    <w:p w:rsidR="00A3494E" w:rsidRPr="00F224A0" w:rsidRDefault="00A3494E" w:rsidP="00A4444F">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развитие дистанционных каналов связи;</w:t>
                      </w:r>
                    </w:p>
                    <w:p w:rsidR="00A3494E" w:rsidRPr="00F224A0" w:rsidRDefault="00A3494E" w:rsidP="00A4444F">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активное развитие Интернет и мобильных приложений</w:t>
                      </w:r>
                      <w:r w:rsidRPr="00F224A0">
                        <w:rPr>
                          <w:rFonts w:ascii="Calibri" w:hAnsi="Calibri" w:cs="Arial"/>
                          <w:sz w:val="30"/>
                          <w:szCs w:val="30"/>
                        </w:rPr>
                        <w:t>;</w:t>
                      </w:r>
                    </w:p>
                    <w:p w:rsidR="00A3494E" w:rsidRPr="00DF43AB" w:rsidRDefault="00A3494E" w:rsidP="00A4444F">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появление новых игроков (частные платежные организации).</w:t>
                      </w:r>
                    </w:p>
                  </w:txbxContent>
                </v:textbox>
                <w10:wrap type="square"/>
              </v:roundrect>
            </w:pict>
          </mc:Fallback>
        </mc:AlternateContent>
      </w:r>
      <w:r w:rsidR="00F8274D" w:rsidRPr="00015E28">
        <w:rPr>
          <w:rFonts w:ascii="Calibri" w:hAnsi="Calibri"/>
          <w:sz w:val="30"/>
          <w:szCs w:val="30"/>
        </w:rPr>
        <w:t>Р</w:t>
      </w:r>
      <w:r w:rsidR="00551431" w:rsidRPr="00015E28">
        <w:rPr>
          <w:rFonts w:ascii="Calibri" w:hAnsi="Calibri"/>
          <w:sz w:val="30"/>
          <w:szCs w:val="30"/>
        </w:rPr>
        <w:t xml:space="preserve">ынок платежных услуг тесным образом связан с информационно-коммуникационными технологиями, по уровню развития и проникновения которых можно судить о доступности населению </w:t>
      </w:r>
      <w:r w:rsidR="00E4241C" w:rsidRPr="007D0CC8">
        <w:rPr>
          <w:rFonts w:ascii="Calibri" w:hAnsi="Calibri"/>
          <w:sz w:val="30"/>
          <w:szCs w:val="30"/>
        </w:rPr>
        <w:t xml:space="preserve">электронных </w:t>
      </w:r>
      <w:r w:rsidR="00551431" w:rsidRPr="007D0CC8">
        <w:rPr>
          <w:rFonts w:ascii="Calibri" w:hAnsi="Calibri"/>
          <w:sz w:val="30"/>
          <w:szCs w:val="30"/>
        </w:rPr>
        <w:t>плате</w:t>
      </w:r>
      <w:r w:rsidR="0061133E" w:rsidRPr="007D0CC8">
        <w:rPr>
          <w:rFonts w:ascii="Calibri" w:hAnsi="Calibri"/>
          <w:sz w:val="30"/>
          <w:szCs w:val="30"/>
        </w:rPr>
        <w:t xml:space="preserve">жных инструментов. В этой </w:t>
      </w:r>
      <w:r w:rsidR="0061133E" w:rsidRPr="003D5BDF">
        <w:rPr>
          <w:rFonts w:ascii="Calibri" w:hAnsi="Calibri"/>
          <w:sz w:val="30"/>
          <w:szCs w:val="30"/>
        </w:rPr>
        <w:t xml:space="preserve">связи, </w:t>
      </w:r>
      <w:r w:rsidR="00551431" w:rsidRPr="003D5BDF">
        <w:rPr>
          <w:rFonts w:ascii="Calibri" w:hAnsi="Calibri"/>
          <w:sz w:val="30"/>
          <w:szCs w:val="30"/>
        </w:rPr>
        <w:t xml:space="preserve">многие исследования </w:t>
      </w:r>
      <w:r w:rsidR="0066398E" w:rsidRPr="003D5BDF">
        <w:rPr>
          <w:rFonts w:ascii="Calibri" w:hAnsi="Calibri"/>
          <w:sz w:val="30"/>
          <w:szCs w:val="30"/>
        </w:rPr>
        <w:t xml:space="preserve">по анализу рынка платежных услуг </w:t>
      </w:r>
      <w:r w:rsidR="00551431" w:rsidRPr="003D5BDF">
        <w:rPr>
          <w:rFonts w:ascii="Calibri" w:hAnsi="Calibri"/>
          <w:sz w:val="30"/>
          <w:szCs w:val="30"/>
        </w:rPr>
        <w:t xml:space="preserve">в первую очередь обращают </w:t>
      </w:r>
      <w:r w:rsidR="0066398E" w:rsidRPr="003D5BDF">
        <w:rPr>
          <w:rFonts w:ascii="Calibri" w:hAnsi="Calibri"/>
          <w:sz w:val="30"/>
          <w:szCs w:val="30"/>
        </w:rPr>
        <w:t>внимание</w:t>
      </w:r>
      <w:r w:rsidR="00551431" w:rsidRPr="003D5BDF">
        <w:rPr>
          <w:rFonts w:ascii="Calibri" w:hAnsi="Calibri"/>
          <w:sz w:val="30"/>
          <w:szCs w:val="30"/>
        </w:rPr>
        <w:t xml:space="preserve"> на уровень проникновения интернет, использования смартфонов и иных электронных терминалов.</w:t>
      </w:r>
    </w:p>
    <w:p w:rsidR="00551431" w:rsidRPr="003D5BDF" w:rsidRDefault="00551431" w:rsidP="00176F0A">
      <w:pPr>
        <w:ind w:firstLine="709"/>
        <w:jc w:val="both"/>
        <w:rPr>
          <w:rFonts w:ascii="Calibri" w:hAnsi="Calibri"/>
          <w:sz w:val="30"/>
          <w:szCs w:val="30"/>
        </w:rPr>
      </w:pPr>
      <w:r w:rsidRPr="00015E28">
        <w:rPr>
          <w:rFonts w:ascii="Calibri" w:hAnsi="Calibri"/>
          <w:sz w:val="30"/>
          <w:szCs w:val="30"/>
        </w:rPr>
        <w:t>Происходящие процессы затронули и платежный рынок Казахстана, который претерпел значительные структурные изменения. Ввиду развития финансовых технологий наблюдается рост новых банковских платежных услуг, связанны</w:t>
      </w:r>
      <w:r w:rsidR="00C3321B" w:rsidRPr="00015E28">
        <w:rPr>
          <w:rFonts w:ascii="Calibri" w:hAnsi="Calibri"/>
          <w:sz w:val="30"/>
          <w:szCs w:val="30"/>
        </w:rPr>
        <w:t>х</w:t>
      </w:r>
      <w:r w:rsidRPr="00015E28">
        <w:rPr>
          <w:rFonts w:ascii="Calibri" w:hAnsi="Calibri"/>
          <w:sz w:val="30"/>
          <w:szCs w:val="30"/>
        </w:rPr>
        <w:t xml:space="preserve"> с применением дистанционных каналов связи, в частности Интернет. Также на рынке активное участие принимают новые платежные игроки (частные платежные организации), представляющие клиентам возможность проведения моментальных платежей с использованием инновационных платежных инструме</w:t>
      </w:r>
      <w:r w:rsidRPr="003D5BDF">
        <w:rPr>
          <w:rFonts w:ascii="Calibri" w:hAnsi="Calibri"/>
          <w:sz w:val="30"/>
          <w:szCs w:val="30"/>
        </w:rPr>
        <w:t>нтов.</w:t>
      </w:r>
    </w:p>
    <w:p w:rsidR="00551431" w:rsidRPr="005E44AE" w:rsidRDefault="00551431" w:rsidP="00176F0A">
      <w:pPr>
        <w:ind w:firstLine="708"/>
        <w:jc w:val="both"/>
        <w:rPr>
          <w:rFonts w:ascii="Calibri" w:hAnsi="Calibri"/>
          <w:sz w:val="30"/>
          <w:szCs w:val="30"/>
        </w:rPr>
      </w:pPr>
      <w:r w:rsidRPr="003D5BDF">
        <w:rPr>
          <w:rFonts w:ascii="Calibri" w:hAnsi="Calibri"/>
          <w:sz w:val="30"/>
          <w:szCs w:val="30"/>
        </w:rPr>
        <w:t>По данным Комитета по статистике Министерства национальной экономики Республики Казахстан в 2016 году доля пользователей интернет в возрасте от 16 до 74 лет составила 80,2%. При этом из общего количества клиентов банков</w:t>
      </w:r>
      <w:r w:rsidR="0066398E" w:rsidRPr="003D5BDF">
        <w:rPr>
          <w:rFonts w:ascii="Calibri" w:hAnsi="Calibri"/>
          <w:sz w:val="30"/>
          <w:szCs w:val="30"/>
        </w:rPr>
        <w:t xml:space="preserve"> -</w:t>
      </w:r>
      <w:r w:rsidRPr="003D5BDF">
        <w:rPr>
          <w:rFonts w:ascii="Calibri" w:hAnsi="Calibri"/>
          <w:sz w:val="30"/>
          <w:szCs w:val="30"/>
        </w:rPr>
        <w:t xml:space="preserve"> физических лиц услугами интернет – банкинга пользуются только около 20%. </w:t>
      </w:r>
      <w:r w:rsidR="00C3321B" w:rsidRPr="003D5BDF">
        <w:rPr>
          <w:rFonts w:ascii="Calibri" w:hAnsi="Calibri"/>
          <w:sz w:val="30"/>
          <w:szCs w:val="30"/>
        </w:rPr>
        <w:t>Таким образом,</w:t>
      </w:r>
      <w:r w:rsidRPr="003D5BDF">
        <w:rPr>
          <w:rFonts w:ascii="Calibri" w:hAnsi="Calibri"/>
          <w:sz w:val="30"/>
          <w:szCs w:val="30"/>
        </w:rPr>
        <w:t xml:space="preserve"> в Казахстане имеется значительный потенциал увеличения доли клиентов банков, использующих современные дистанционные способы доступа к банковским услугам.</w:t>
      </w:r>
    </w:p>
    <w:p w:rsidR="00DE66F7" w:rsidRPr="003D5BDF" w:rsidRDefault="00551431" w:rsidP="00176F0A">
      <w:pPr>
        <w:ind w:firstLine="708"/>
        <w:jc w:val="both"/>
        <w:rPr>
          <w:rFonts w:ascii="Calibri" w:hAnsi="Calibri"/>
          <w:sz w:val="30"/>
          <w:szCs w:val="30"/>
        </w:rPr>
      </w:pPr>
      <w:r w:rsidRPr="00CB2E51">
        <w:rPr>
          <w:rFonts w:ascii="Calibri" w:hAnsi="Calibri"/>
          <w:sz w:val="30"/>
          <w:szCs w:val="30"/>
        </w:rPr>
        <w:t xml:space="preserve">Вместе с тем, </w:t>
      </w:r>
      <w:r w:rsidR="005E44AE" w:rsidRPr="00CB2E51">
        <w:rPr>
          <w:rFonts w:ascii="Calibri" w:hAnsi="Calibri"/>
          <w:sz w:val="30"/>
          <w:szCs w:val="30"/>
        </w:rPr>
        <w:t>на развитие</w:t>
      </w:r>
      <w:r w:rsidRPr="00CB2E51">
        <w:rPr>
          <w:rFonts w:ascii="Calibri" w:hAnsi="Calibri"/>
          <w:sz w:val="30"/>
          <w:szCs w:val="30"/>
        </w:rPr>
        <w:t xml:space="preserve"> безналичного денежного обращения </w:t>
      </w:r>
      <w:r w:rsidR="005E44AE" w:rsidRPr="00CB2E51">
        <w:rPr>
          <w:rFonts w:ascii="Calibri" w:hAnsi="Calibri"/>
          <w:sz w:val="30"/>
          <w:szCs w:val="30"/>
        </w:rPr>
        <w:t xml:space="preserve">важное влияние оказывает </w:t>
      </w:r>
      <w:r w:rsidRPr="00CB2E51">
        <w:rPr>
          <w:rFonts w:ascii="Calibri" w:hAnsi="Calibri"/>
          <w:sz w:val="30"/>
          <w:szCs w:val="30"/>
        </w:rPr>
        <w:t xml:space="preserve">стабильность курса </w:t>
      </w:r>
      <w:r w:rsidR="00DE66F7" w:rsidRPr="00CB2E51">
        <w:rPr>
          <w:rFonts w:ascii="Calibri" w:hAnsi="Calibri"/>
          <w:sz w:val="30"/>
          <w:szCs w:val="30"/>
        </w:rPr>
        <w:t xml:space="preserve">национальной </w:t>
      </w:r>
      <w:r w:rsidRPr="00CB2E51">
        <w:rPr>
          <w:rFonts w:ascii="Calibri" w:hAnsi="Calibri"/>
          <w:sz w:val="30"/>
          <w:szCs w:val="30"/>
        </w:rPr>
        <w:t xml:space="preserve">валюты. </w:t>
      </w:r>
      <w:r w:rsidR="005E44AE" w:rsidRPr="00CB2E51">
        <w:rPr>
          <w:rFonts w:ascii="Calibri" w:hAnsi="Calibri"/>
          <w:sz w:val="30"/>
          <w:szCs w:val="30"/>
        </w:rPr>
        <w:t xml:space="preserve"> </w:t>
      </w:r>
      <w:r w:rsidR="00DE66F7" w:rsidRPr="00CB2E51">
        <w:rPr>
          <w:rFonts w:ascii="Calibri" w:hAnsi="Calibri"/>
          <w:sz w:val="30"/>
          <w:szCs w:val="30"/>
        </w:rPr>
        <w:lastRenderedPageBreak/>
        <w:t>В</w:t>
      </w:r>
      <w:r w:rsidRPr="00CB2E51">
        <w:rPr>
          <w:rFonts w:ascii="Calibri" w:hAnsi="Calibri"/>
          <w:sz w:val="30"/>
          <w:szCs w:val="30"/>
        </w:rPr>
        <w:t xml:space="preserve"> период рез</w:t>
      </w:r>
      <w:r w:rsidR="00517E84">
        <w:rPr>
          <w:rFonts w:ascii="Calibri" w:hAnsi="Calibri"/>
          <w:sz w:val="30"/>
          <w:szCs w:val="30"/>
        </w:rPr>
        <w:t>кого изменения курса тенге</w:t>
      </w:r>
      <w:r w:rsidRPr="005E44AE">
        <w:rPr>
          <w:rFonts w:ascii="Calibri" w:hAnsi="Calibri"/>
          <w:sz w:val="30"/>
          <w:szCs w:val="30"/>
        </w:rPr>
        <w:t xml:space="preserve"> наблюдалось заметное замедление темпов роста безналичных платежей с использованием платежных карточек (основного инструмента безналичных розничных платежей в Казахстане).</w:t>
      </w:r>
      <w:r w:rsidR="00DE66F7" w:rsidRPr="005E44AE">
        <w:rPr>
          <w:rFonts w:ascii="Calibri" w:hAnsi="Calibri"/>
          <w:sz w:val="30"/>
          <w:szCs w:val="30"/>
        </w:rPr>
        <w:t xml:space="preserve"> Так, в 2015 году (в период значительного изменения курса тенге) прирост объема безналичных платежей</w:t>
      </w:r>
      <w:r w:rsidR="00E579C5" w:rsidRPr="005E44AE">
        <w:rPr>
          <w:rFonts w:ascii="Calibri" w:hAnsi="Calibri"/>
          <w:sz w:val="30"/>
          <w:szCs w:val="30"/>
        </w:rPr>
        <w:t xml:space="preserve"> с </w:t>
      </w:r>
      <w:r w:rsidR="00E579C5" w:rsidRPr="003D5BDF">
        <w:rPr>
          <w:rFonts w:ascii="Calibri" w:hAnsi="Calibri"/>
          <w:sz w:val="30"/>
          <w:szCs w:val="30"/>
        </w:rPr>
        <w:t>использованием платежных карточек составил</w:t>
      </w:r>
      <w:r w:rsidR="00E4241C" w:rsidRPr="003D5BDF">
        <w:rPr>
          <w:rFonts w:ascii="Calibri" w:hAnsi="Calibri"/>
          <w:sz w:val="30"/>
          <w:szCs w:val="30"/>
        </w:rPr>
        <w:t xml:space="preserve"> по сравнению с 2014 годом</w:t>
      </w:r>
      <w:r w:rsidR="00DE66F7" w:rsidRPr="003D5BDF">
        <w:rPr>
          <w:rFonts w:ascii="Calibri" w:hAnsi="Calibri"/>
          <w:sz w:val="30"/>
          <w:szCs w:val="30"/>
        </w:rPr>
        <w:t xml:space="preserve"> </w:t>
      </w:r>
      <w:r w:rsidR="00E579C5" w:rsidRPr="003D5BDF">
        <w:rPr>
          <w:rFonts w:ascii="Calibri" w:hAnsi="Calibri"/>
          <w:sz w:val="30"/>
          <w:szCs w:val="30"/>
        </w:rPr>
        <w:t>4,2</w:t>
      </w:r>
      <w:r w:rsidR="005F0BFB" w:rsidRPr="003D5BDF">
        <w:rPr>
          <w:rFonts w:ascii="Calibri" w:hAnsi="Calibri"/>
          <w:sz w:val="30"/>
          <w:szCs w:val="30"/>
        </w:rPr>
        <w:t>%. В</w:t>
      </w:r>
      <w:r w:rsidR="00DE66F7" w:rsidRPr="003D5BDF">
        <w:rPr>
          <w:rFonts w:ascii="Calibri" w:hAnsi="Calibri"/>
          <w:sz w:val="30"/>
          <w:szCs w:val="30"/>
        </w:rPr>
        <w:t xml:space="preserve"> 2016 году </w:t>
      </w:r>
      <w:r w:rsidR="005F0BFB" w:rsidRPr="003D5BDF">
        <w:rPr>
          <w:rFonts w:ascii="Calibri" w:hAnsi="Calibri"/>
          <w:sz w:val="30"/>
          <w:szCs w:val="30"/>
        </w:rPr>
        <w:t>данный показатель составил 57,2%, что характеризуется</w:t>
      </w:r>
      <w:r w:rsidR="0066398E" w:rsidRPr="003D5BDF">
        <w:rPr>
          <w:rFonts w:ascii="Calibri" w:hAnsi="Calibri"/>
          <w:sz w:val="30"/>
          <w:szCs w:val="30"/>
        </w:rPr>
        <w:t>,</w:t>
      </w:r>
      <w:r w:rsidR="005F0BFB" w:rsidRPr="003D5BDF">
        <w:rPr>
          <w:rFonts w:ascii="Calibri" w:hAnsi="Calibri"/>
          <w:sz w:val="30"/>
          <w:szCs w:val="30"/>
        </w:rPr>
        <w:t xml:space="preserve"> в том числе, стабилизацией ситуации на внутреннем валютном рынке, повышением доверия к финансовой системе, активным развитием инновационных финансовых решений. </w:t>
      </w:r>
    </w:p>
    <w:p w:rsidR="000E4BCF" w:rsidRPr="00176F0A" w:rsidRDefault="000E4BCF" w:rsidP="00176F0A">
      <w:pPr>
        <w:ind w:firstLine="708"/>
        <w:jc w:val="both"/>
        <w:rPr>
          <w:rFonts w:ascii="Calibri" w:hAnsi="Calibri"/>
          <w:sz w:val="30"/>
          <w:szCs w:val="30"/>
        </w:rPr>
      </w:pPr>
    </w:p>
    <w:p w:rsidR="00551431" w:rsidRPr="003D5BDF" w:rsidRDefault="003E1657" w:rsidP="00176F0A">
      <w:pPr>
        <w:pStyle w:val="2"/>
        <w:pBdr>
          <w:bottom w:val="single" w:sz="12" w:space="1" w:color="auto"/>
        </w:pBdr>
        <w:spacing w:before="0"/>
        <w:rPr>
          <w:rFonts w:ascii="Calibri" w:hAnsi="Calibri"/>
          <w:bCs w:val="0"/>
          <w:snapToGrid w:val="0"/>
          <w:color w:val="0E4C28"/>
          <w:spacing w:val="-2"/>
          <w:sz w:val="32"/>
        </w:rPr>
      </w:pPr>
      <w:bookmarkStart w:id="126" w:name="_Toc481418204"/>
      <w:r w:rsidRPr="003D5BDF">
        <w:rPr>
          <w:rFonts w:ascii="Calibri" w:hAnsi="Calibri"/>
          <w:bCs w:val="0"/>
          <w:snapToGrid w:val="0"/>
          <w:color w:val="0E4C28"/>
          <w:spacing w:val="-2"/>
          <w:sz w:val="32"/>
        </w:rPr>
        <w:t>3</w:t>
      </w:r>
      <w:r w:rsidR="00551431" w:rsidRPr="003D5BDF">
        <w:rPr>
          <w:rFonts w:ascii="Calibri" w:hAnsi="Calibri"/>
          <w:bCs w:val="0"/>
          <w:snapToGrid w:val="0"/>
          <w:color w:val="0E4C28"/>
          <w:spacing w:val="-2"/>
          <w:sz w:val="32"/>
        </w:rPr>
        <w:t>.1. Инфраструктура рынка электронных платежных услуг</w:t>
      </w:r>
      <w:bookmarkEnd w:id="126"/>
    </w:p>
    <w:p w:rsidR="00DE66F7" w:rsidRPr="003D5BDF" w:rsidRDefault="00551431" w:rsidP="00176F0A">
      <w:pPr>
        <w:ind w:firstLine="709"/>
        <w:jc w:val="both"/>
        <w:rPr>
          <w:rFonts w:ascii="Calibri" w:hAnsi="Calibri"/>
          <w:sz w:val="30"/>
          <w:szCs w:val="30"/>
        </w:rPr>
      </w:pPr>
      <w:r w:rsidRPr="003D5BDF">
        <w:rPr>
          <w:rFonts w:ascii="Calibri" w:hAnsi="Calibri"/>
          <w:sz w:val="30"/>
          <w:szCs w:val="30"/>
        </w:rPr>
        <w:t>В настоящее время для осуществления дистанционных платежей казахстанскими банками представлены для клиентов</w:t>
      </w:r>
      <w:r w:rsidR="00DE66F7" w:rsidRPr="003D5BDF">
        <w:rPr>
          <w:rFonts w:ascii="Calibri" w:hAnsi="Calibri"/>
          <w:sz w:val="30"/>
          <w:szCs w:val="30"/>
        </w:rPr>
        <w:t xml:space="preserve"> системы интернет и мобильного банкинга, а также</w:t>
      </w:r>
      <w:r w:rsidRPr="003D5BDF">
        <w:rPr>
          <w:rFonts w:ascii="Calibri" w:hAnsi="Calibri"/>
          <w:sz w:val="30"/>
          <w:szCs w:val="30"/>
        </w:rPr>
        <w:t xml:space="preserve"> такие устройства удаленного доступа, как POS-терминалы, банкоматы, банковские киоски и терминалы моментальной оплаты. </w:t>
      </w:r>
    </w:p>
    <w:p w:rsidR="00551431" w:rsidRPr="00015E28" w:rsidRDefault="00551431" w:rsidP="00176F0A">
      <w:pPr>
        <w:ind w:firstLine="709"/>
        <w:jc w:val="both"/>
        <w:rPr>
          <w:rFonts w:ascii="Calibri" w:hAnsi="Calibri"/>
          <w:sz w:val="30"/>
          <w:szCs w:val="30"/>
        </w:rPr>
      </w:pPr>
      <w:r w:rsidRPr="003D5BDF">
        <w:rPr>
          <w:rFonts w:ascii="Calibri" w:hAnsi="Calibri"/>
          <w:sz w:val="30"/>
          <w:szCs w:val="30"/>
        </w:rPr>
        <w:t xml:space="preserve">В </w:t>
      </w:r>
      <w:proofErr w:type="gramStart"/>
      <w:r w:rsidRPr="003D5BDF">
        <w:rPr>
          <w:rFonts w:ascii="Calibri" w:hAnsi="Calibri"/>
          <w:sz w:val="30"/>
          <w:szCs w:val="30"/>
        </w:rPr>
        <w:t>Казахстане</w:t>
      </w:r>
      <w:proofErr w:type="gramEnd"/>
      <w:r w:rsidRPr="003D5BDF">
        <w:rPr>
          <w:rFonts w:ascii="Calibri" w:hAnsi="Calibri"/>
          <w:sz w:val="30"/>
          <w:szCs w:val="30"/>
        </w:rPr>
        <w:t xml:space="preserve"> </w:t>
      </w:r>
      <w:r w:rsidR="00586B57" w:rsidRPr="003D5BDF">
        <w:rPr>
          <w:rFonts w:ascii="Calibri" w:hAnsi="Calibri"/>
          <w:b/>
          <w:sz w:val="30"/>
          <w:szCs w:val="30"/>
        </w:rPr>
        <w:t>91</w:t>
      </w:r>
      <w:r w:rsidRPr="003D5BDF">
        <w:rPr>
          <w:rFonts w:ascii="Calibri" w:hAnsi="Calibri"/>
          <w:b/>
          <w:sz w:val="30"/>
          <w:szCs w:val="30"/>
        </w:rPr>
        <w:t>% банков второго уровня</w:t>
      </w:r>
      <w:r w:rsidRPr="003D5BDF">
        <w:rPr>
          <w:rFonts w:ascii="Calibri" w:hAnsi="Calibri"/>
          <w:sz w:val="30"/>
          <w:szCs w:val="30"/>
        </w:rPr>
        <w:t xml:space="preserve"> (30 из 33) и АО</w:t>
      </w:r>
      <w:r w:rsidRPr="00015E28">
        <w:rPr>
          <w:rFonts w:ascii="Calibri" w:hAnsi="Calibri"/>
          <w:sz w:val="30"/>
          <w:szCs w:val="30"/>
        </w:rPr>
        <w:t xml:space="preserve"> «</w:t>
      </w:r>
      <w:proofErr w:type="spellStart"/>
      <w:r w:rsidRPr="00015E28">
        <w:rPr>
          <w:rFonts w:ascii="Calibri" w:hAnsi="Calibri"/>
          <w:sz w:val="30"/>
          <w:szCs w:val="30"/>
        </w:rPr>
        <w:t>Казпочта</w:t>
      </w:r>
      <w:proofErr w:type="spellEnd"/>
      <w:r w:rsidRPr="00015E28">
        <w:rPr>
          <w:rFonts w:ascii="Calibri" w:hAnsi="Calibri"/>
          <w:sz w:val="30"/>
          <w:szCs w:val="30"/>
        </w:rPr>
        <w:t>» имеют собственные электронные терминалы и/или интернет-банкинг для обслуживания клиентов.</w:t>
      </w:r>
    </w:p>
    <w:p w:rsidR="00551431" w:rsidRPr="00015E28" w:rsidRDefault="00B41594" w:rsidP="00176F0A">
      <w:pPr>
        <w:jc w:val="center"/>
        <w:rPr>
          <w:rFonts w:ascii="Calibri" w:hAnsi="Calibri"/>
          <w:sz w:val="30"/>
          <w:szCs w:val="30"/>
        </w:rPr>
      </w:pPr>
      <w:r>
        <w:rPr>
          <w:rFonts w:ascii="Calibri" w:hAnsi="Calibri"/>
          <w:noProof/>
          <w:sz w:val="30"/>
          <w:szCs w:val="30"/>
        </w:rPr>
        <w:drawing>
          <wp:inline distT="0" distB="0" distL="0" distR="0" wp14:anchorId="054CACC0" wp14:editId="698C045C">
            <wp:extent cx="4367215" cy="3093554"/>
            <wp:effectExtent l="0" t="0" r="0" b="0"/>
            <wp:docPr id="19"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80230" cy="3102773"/>
                    </a:xfrm>
                    <a:prstGeom prst="rect">
                      <a:avLst/>
                    </a:prstGeom>
                    <a:noFill/>
                    <a:ln>
                      <a:noFill/>
                    </a:ln>
                  </pic:spPr>
                </pic:pic>
              </a:graphicData>
            </a:graphic>
          </wp:inline>
        </w:drawing>
      </w:r>
    </w:p>
    <w:p w:rsidR="00551431" w:rsidRPr="00015E28" w:rsidRDefault="00551431" w:rsidP="00176F0A">
      <w:pPr>
        <w:ind w:firstLine="708"/>
        <w:jc w:val="both"/>
        <w:rPr>
          <w:rFonts w:ascii="Calibri" w:hAnsi="Calibri"/>
          <w:sz w:val="30"/>
          <w:szCs w:val="30"/>
        </w:rPr>
      </w:pPr>
      <w:r w:rsidRPr="00015E28">
        <w:rPr>
          <w:rFonts w:ascii="Calibri" w:hAnsi="Calibri"/>
          <w:sz w:val="30"/>
          <w:szCs w:val="30"/>
        </w:rPr>
        <w:t>Показатели инфраструктуры электронных банковских терминалов на 01.01.2017 года представлены следующим образом:</w:t>
      </w:r>
    </w:p>
    <w:p w:rsidR="00551431" w:rsidRPr="00015E28" w:rsidRDefault="00551431" w:rsidP="00176F0A">
      <w:pPr>
        <w:ind w:firstLine="709"/>
        <w:jc w:val="both"/>
        <w:rPr>
          <w:rFonts w:ascii="Calibri" w:hAnsi="Calibri"/>
          <w:sz w:val="30"/>
          <w:szCs w:val="30"/>
        </w:rPr>
      </w:pPr>
      <w:r w:rsidRPr="00015E28">
        <w:rPr>
          <w:rFonts w:ascii="Calibri" w:hAnsi="Calibri"/>
          <w:sz w:val="30"/>
          <w:szCs w:val="30"/>
        </w:rPr>
        <w:t xml:space="preserve">- 107 498 POS-терминалов, 99 433 из которых </w:t>
      </w:r>
      <w:proofErr w:type="gramStart"/>
      <w:r w:rsidRPr="00015E28">
        <w:rPr>
          <w:rFonts w:ascii="Calibri" w:hAnsi="Calibri"/>
          <w:sz w:val="30"/>
          <w:szCs w:val="30"/>
        </w:rPr>
        <w:t>установлены</w:t>
      </w:r>
      <w:proofErr w:type="gramEnd"/>
      <w:r w:rsidRPr="00015E28">
        <w:rPr>
          <w:rFonts w:ascii="Calibri" w:hAnsi="Calibri"/>
          <w:sz w:val="30"/>
          <w:szCs w:val="30"/>
        </w:rPr>
        <w:t xml:space="preserve"> в торговых и обслуживающих организациях (рост по сравнению с </w:t>
      </w:r>
      <w:r w:rsidR="000E01E1">
        <w:rPr>
          <w:rFonts w:ascii="Calibri" w:hAnsi="Calibri"/>
          <w:sz w:val="30"/>
          <w:szCs w:val="30"/>
        </w:rPr>
        <w:t xml:space="preserve">аналогичным периодом прошлого года </w:t>
      </w:r>
      <w:r w:rsidRPr="00015E28">
        <w:rPr>
          <w:rFonts w:ascii="Calibri" w:hAnsi="Calibri"/>
          <w:sz w:val="30"/>
          <w:szCs w:val="30"/>
        </w:rPr>
        <w:t>составил 38,1% и 41,2% соответственно);</w:t>
      </w:r>
    </w:p>
    <w:p w:rsidR="00551431" w:rsidRPr="00015E28" w:rsidRDefault="00551431" w:rsidP="00176F0A">
      <w:pPr>
        <w:ind w:firstLine="709"/>
        <w:jc w:val="both"/>
        <w:rPr>
          <w:rFonts w:ascii="Calibri" w:hAnsi="Calibri"/>
          <w:sz w:val="30"/>
          <w:szCs w:val="30"/>
        </w:rPr>
      </w:pPr>
      <w:r w:rsidRPr="00015E28">
        <w:rPr>
          <w:rFonts w:ascii="Calibri" w:hAnsi="Calibri"/>
          <w:sz w:val="30"/>
          <w:szCs w:val="30"/>
        </w:rPr>
        <w:lastRenderedPageBreak/>
        <w:t>- 9 561 банкомат, 1 545 из которых с функцией приема наличных денег (рост на 4,5% и 14,2% соответственно);</w:t>
      </w:r>
    </w:p>
    <w:p w:rsidR="00551431" w:rsidRPr="003D5BDF" w:rsidRDefault="00551431" w:rsidP="00176F0A">
      <w:pPr>
        <w:ind w:firstLine="709"/>
        <w:jc w:val="both"/>
        <w:rPr>
          <w:rFonts w:ascii="Calibri" w:hAnsi="Calibri"/>
          <w:sz w:val="30"/>
          <w:szCs w:val="30"/>
        </w:rPr>
      </w:pPr>
      <w:r w:rsidRPr="00015E28">
        <w:rPr>
          <w:rFonts w:ascii="Calibri" w:hAnsi="Calibri"/>
          <w:sz w:val="30"/>
          <w:szCs w:val="30"/>
        </w:rPr>
        <w:t xml:space="preserve">- </w:t>
      </w:r>
      <w:r w:rsidRPr="003D5BDF">
        <w:rPr>
          <w:rFonts w:ascii="Calibri" w:hAnsi="Calibri"/>
          <w:sz w:val="30"/>
          <w:szCs w:val="30"/>
        </w:rPr>
        <w:t xml:space="preserve">1 522 </w:t>
      </w:r>
      <w:proofErr w:type="gramStart"/>
      <w:r w:rsidRPr="003D5BDF">
        <w:rPr>
          <w:rFonts w:ascii="Calibri" w:hAnsi="Calibri"/>
          <w:sz w:val="30"/>
          <w:szCs w:val="30"/>
        </w:rPr>
        <w:t>банковских</w:t>
      </w:r>
      <w:proofErr w:type="gramEnd"/>
      <w:r w:rsidRPr="003D5BDF">
        <w:rPr>
          <w:rFonts w:ascii="Calibri" w:hAnsi="Calibri"/>
          <w:sz w:val="30"/>
          <w:szCs w:val="30"/>
        </w:rPr>
        <w:t xml:space="preserve"> киоска (рост на 31,2%);</w:t>
      </w:r>
    </w:p>
    <w:p w:rsidR="00551431" w:rsidRPr="00015E28" w:rsidRDefault="00551431" w:rsidP="00176F0A">
      <w:pPr>
        <w:ind w:firstLine="709"/>
        <w:jc w:val="both"/>
        <w:rPr>
          <w:rFonts w:ascii="Calibri" w:hAnsi="Calibri"/>
          <w:sz w:val="30"/>
          <w:szCs w:val="30"/>
        </w:rPr>
      </w:pPr>
      <w:r w:rsidRPr="003D5BDF">
        <w:rPr>
          <w:rFonts w:ascii="Calibri" w:hAnsi="Calibri"/>
          <w:sz w:val="30"/>
          <w:szCs w:val="30"/>
        </w:rPr>
        <w:t xml:space="preserve">- 14 447 терминалов моментальной оплаты </w:t>
      </w:r>
      <w:r w:rsidR="0066398E" w:rsidRPr="003D5BDF">
        <w:rPr>
          <w:rFonts w:ascii="Calibri" w:hAnsi="Calibri"/>
          <w:sz w:val="30"/>
          <w:szCs w:val="30"/>
        </w:rPr>
        <w:t>для приема наличных платежей</w:t>
      </w:r>
      <w:r w:rsidRPr="003D5BDF">
        <w:rPr>
          <w:rFonts w:ascii="Calibri" w:hAnsi="Calibri"/>
          <w:sz w:val="30"/>
          <w:szCs w:val="30"/>
        </w:rPr>
        <w:t xml:space="preserve"> (рост на 1,2%).</w:t>
      </w:r>
    </w:p>
    <w:p w:rsidR="006E2AC8" w:rsidRDefault="006E2AC8" w:rsidP="00176F0A">
      <w:pPr>
        <w:jc w:val="center"/>
        <w:rPr>
          <w:rFonts w:ascii="Calibri" w:hAnsi="Calibri" w:cs="Arial"/>
          <w:b/>
          <w:color w:val="0E4C28"/>
          <w:sz w:val="28"/>
          <w:szCs w:val="28"/>
        </w:rPr>
      </w:pPr>
    </w:p>
    <w:p w:rsidR="00551431" w:rsidRPr="00015E28" w:rsidRDefault="00551431" w:rsidP="00176F0A">
      <w:pPr>
        <w:jc w:val="center"/>
        <w:rPr>
          <w:rFonts w:ascii="Calibri" w:hAnsi="Calibri" w:cs="Arial"/>
          <w:b/>
          <w:color w:val="0E4C28"/>
          <w:sz w:val="28"/>
          <w:szCs w:val="28"/>
        </w:rPr>
      </w:pPr>
      <w:r w:rsidRPr="00015E28">
        <w:rPr>
          <w:rFonts w:ascii="Calibri" w:hAnsi="Calibri" w:cs="Arial"/>
          <w:b/>
          <w:color w:val="0E4C28"/>
          <w:sz w:val="28"/>
          <w:szCs w:val="28"/>
        </w:rPr>
        <w:t>Динамика развития сети электронных терминалов</w:t>
      </w:r>
    </w:p>
    <w:p w:rsidR="00840EC9" w:rsidRDefault="00B41594" w:rsidP="00176F0A">
      <w:pPr>
        <w:jc w:val="both"/>
        <w:rPr>
          <w:rFonts w:ascii="Calibri" w:hAnsi="Calibri"/>
          <w:sz w:val="30"/>
          <w:szCs w:val="30"/>
        </w:rPr>
      </w:pPr>
      <w:r>
        <w:rPr>
          <w:rFonts w:ascii="Calibri" w:hAnsi="Calibri"/>
          <w:noProof/>
          <w:sz w:val="30"/>
          <w:szCs w:val="30"/>
        </w:rPr>
        <w:drawing>
          <wp:inline distT="0" distB="0" distL="0" distR="0" wp14:anchorId="3B90299E" wp14:editId="24997754">
            <wp:extent cx="5955527" cy="2063860"/>
            <wp:effectExtent l="0" t="0" r="0" b="0"/>
            <wp:docPr id="20" name="Диаграмма 4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8E569C">
        <w:tab/>
      </w:r>
      <w:r w:rsidR="00843DBA" w:rsidRPr="005E44AE">
        <w:rPr>
          <w:rFonts w:ascii="Calibri" w:hAnsi="Calibri"/>
          <w:sz w:val="30"/>
          <w:szCs w:val="30"/>
        </w:rPr>
        <w:t xml:space="preserve">С 2014 года наблюдается </w:t>
      </w:r>
      <w:r w:rsidR="00843DBA" w:rsidRPr="005E44AE">
        <w:rPr>
          <w:rFonts w:ascii="Calibri" w:hAnsi="Calibri"/>
          <w:b/>
          <w:sz w:val="30"/>
          <w:szCs w:val="30"/>
        </w:rPr>
        <w:t>заметное расширение сети</w:t>
      </w:r>
      <w:r w:rsidR="00BC2EAE" w:rsidRPr="005E44AE">
        <w:rPr>
          <w:rFonts w:ascii="Calibri" w:hAnsi="Calibri"/>
          <w:b/>
          <w:sz w:val="30"/>
          <w:szCs w:val="30"/>
        </w:rPr>
        <w:t xml:space="preserve"> обслуживания держателей платежных карточек</w:t>
      </w:r>
      <w:r w:rsidR="008D2765" w:rsidRPr="005E44AE">
        <w:rPr>
          <w:rFonts w:ascii="Calibri" w:hAnsi="Calibri"/>
          <w:b/>
          <w:sz w:val="30"/>
          <w:szCs w:val="30"/>
        </w:rPr>
        <w:t xml:space="preserve"> за счет</w:t>
      </w:r>
      <w:r w:rsidR="00C435B4" w:rsidRPr="005E44AE">
        <w:rPr>
          <w:rFonts w:ascii="Calibri" w:hAnsi="Calibri"/>
          <w:b/>
          <w:sz w:val="30"/>
          <w:szCs w:val="30"/>
        </w:rPr>
        <w:t xml:space="preserve"> </w:t>
      </w:r>
      <w:r w:rsidR="008D2765" w:rsidRPr="005E44AE">
        <w:rPr>
          <w:rFonts w:ascii="Calibri" w:hAnsi="Calibri"/>
          <w:b/>
          <w:sz w:val="30"/>
          <w:szCs w:val="30"/>
        </w:rPr>
        <w:t>установки</w:t>
      </w:r>
      <w:r w:rsidR="00C435B4" w:rsidRPr="005E44AE">
        <w:rPr>
          <w:rFonts w:ascii="Calibri" w:hAnsi="Calibri"/>
          <w:b/>
          <w:sz w:val="30"/>
          <w:szCs w:val="30"/>
        </w:rPr>
        <w:t xml:space="preserve"> </w:t>
      </w:r>
      <w:r w:rsidR="00C435B4" w:rsidRPr="005E44AE">
        <w:rPr>
          <w:rFonts w:ascii="Calibri" w:hAnsi="Calibri"/>
          <w:b/>
          <w:sz w:val="30"/>
          <w:szCs w:val="30"/>
          <w:lang w:val="en-US"/>
        </w:rPr>
        <w:t>POS</w:t>
      </w:r>
      <w:r w:rsidR="00C435B4" w:rsidRPr="005E44AE">
        <w:rPr>
          <w:rFonts w:ascii="Calibri" w:hAnsi="Calibri"/>
          <w:b/>
          <w:sz w:val="30"/>
          <w:szCs w:val="30"/>
        </w:rPr>
        <w:t>-терминалов в предприятиях торговли</w:t>
      </w:r>
      <w:r w:rsidR="00D12606" w:rsidRPr="005E44AE">
        <w:rPr>
          <w:rFonts w:ascii="Calibri" w:hAnsi="Calibri"/>
          <w:b/>
          <w:sz w:val="30"/>
          <w:szCs w:val="30"/>
        </w:rPr>
        <w:t xml:space="preserve"> и/или </w:t>
      </w:r>
      <w:r w:rsidR="00F508C2" w:rsidRPr="005E44AE">
        <w:rPr>
          <w:rFonts w:ascii="Calibri" w:hAnsi="Calibri"/>
          <w:b/>
          <w:sz w:val="30"/>
          <w:szCs w:val="30"/>
        </w:rPr>
        <w:t>сервиса</w:t>
      </w:r>
      <w:r w:rsidR="00F508C2" w:rsidRPr="005E44AE">
        <w:rPr>
          <w:rFonts w:ascii="Calibri" w:hAnsi="Calibri"/>
          <w:sz w:val="30"/>
          <w:szCs w:val="30"/>
        </w:rPr>
        <w:t xml:space="preserve">, что </w:t>
      </w:r>
      <w:r w:rsidR="00586B57" w:rsidRPr="005E44AE">
        <w:rPr>
          <w:rFonts w:ascii="Calibri" w:hAnsi="Calibri"/>
          <w:sz w:val="30"/>
          <w:szCs w:val="30"/>
        </w:rPr>
        <w:t xml:space="preserve">в том числе связано </w:t>
      </w:r>
      <w:r w:rsidR="008578F3">
        <w:rPr>
          <w:rFonts w:ascii="Calibri" w:hAnsi="Calibri"/>
          <w:sz w:val="30"/>
          <w:szCs w:val="30"/>
        </w:rPr>
        <w:t xml:space="preserve">с установленными нормативными требованиями </w:t>
      </w:r>
      <w:r w:rsidR="00C97AD7">
        <w:rPr>
          <w:rFonts w:ascii="Calibri" w:hAnsi="Calibri"/>
          <w:sz w:val="30"/>
          <w:szCs w:val="30"/>
        </w:rPr>
        <w:t xml:space="preserve">по </w:t>
      </w:r>
      <w:r w:rsidR="00F42F77" w:rsidRPr="005E44AE">
        <w:rPr>
          <w:rFonts w:ascii="Calibri" w:hAnsi="Calibri"/>
          <w:sz w:val="30"/>
          <w:szCs w:val="30"/>
        </w:rPr>
        <w:t>приему к оплате платежных карточек</w:t>
      </w:r>
      <w:r w:rsidR="00F508C2" w:rsidRPr="005E44AE">
        <w:rPr>
          <w:rFonts w:ascii="Calibri" w:hAnsi="Calibri"/>
          <w:sz w:val="30"/>
          <w:szCs w:val="30"/>
        </w:rPr>
        <w:t xml:space="preserve"> </w:t>
      </w:r>
      <w:r w:rsidR="00C97AD7">
        <w:rPr>
          <w:rFonts w:ascii="Calibri" w:hAnsi="Calibri"/>
          <w:sz w:val="30"/>
          <w:szCs w:val="30"/>
        </w:rPr>
        <w:t>торговыми субъектами</w:t>
      </w:r>
      <w:r w:rsidR="00840EC9" w:rsidRPr="00015E28">
        <w:rPr>
          <w:rFonts w:ascii="Calibri" w:hAnsi="Calibri"/>
          <w:sz w:val="30"/>
          <w:szCs w:val="30"/>
        </w:rPr>
        <w:t xml:space="preserve"> при осуществлении определенных видов деятельности</w:t>
      </w:r>
      <w:r w:rsidR="008578F3" w:rsidRPr="00015E28">
        <w:rPr>
          <w:rStyle w:val="a6"/>
          <w:rFonts w:ascii="Calibri" w:hAnsi="Calibri"/>
          <w:sz w:val="30"/>
          <w:szCs w:val="30"/>
        </w:rPr>
        <w:footnoteReference w:id="13"/>
      </w:r>
      <w:r w:rsidR="00840EC9" w:rsidRPr="00015E28">
        <w:rPr>
          <w:rFonts w:ascii="Calibri" w:hAnsi="Calibri"/>
          <w:sz w:val="30"/>
          <w:szCs w:val="30"/>
        </w:rPr>
        <w:t>.</w:t>
      </w:r>
      <w:r w:rsidR="00840EC9">
        <w:rPr>
          <w:rFonts w:ascii="Calibri" w:hAnsi="Calibri"/>
          <w:sz w:val="30"/>
          <w:szCs w:val="30"/>
        </w:rPr>
        <w:t xml:space="preserve"> </w:t>
      </w:r>
    </w:p>
    <w:p w:rsidR="00551431" w:rsidRPr="00015E28" w:rsidRDefault="00551431" w:rsidP="00176F0A">
      <w:pPr>
        <w:ind w:firstLine="709"/>
        <w:jc w:val="both"/>
        <w:rPr>
          <w:rFonts w:ascii="Calibri" w:hAnsi="Calibri"/>
          <w:sz w:val="30"/>
          <w:szCs w:val="30"/>
        </w:rPr>
      </w:pPr>
      <w:r w:rsidRPr="00015E28">
        <w:rPr>
          <w:rFonts w:ascii="Calibri" w:hAnsi="Calibri"/>
          <w:sz w:val="30"/>
          <w:szCs w:val="30"/>
        </w:rPr>
        <w:t xml:space="preserve">Появление на рынке все новых платежных инструментов и предъявление повышенных требований к работе оборудования вынуждает </w:t>
      </w:r>
      <w:proofErr w:type="spellStart"/>
      <w:r w:rsidRPr="00015E28">
        <w:rPr>
          <w:rFonts w:ascii="Calibri" w:hAnsi="Calibri"/>
          <w:sz w:val="30"/>
          <w:szCs w:val="30"/>
        </w:rPr>
        <w:t>эквайеров</w:t>
      </w:r>
      <w:proofErr w:type="spellEnd"/>
      <w:r w:rsidRPr="00015E28">
        <w:rPr>
          <w:rFonts w:ascii="Calibri" w:hAnsi="Calibri"/>
          <w:sz w:val="30"/>
          <w:szCs w:val="30"/>
        </w:rPr>
        <w:t xml:space="preserve"> реагировать на изменения и совершенствовать свои устройства. Если ранее POS-терминалы были стационарны, то сегодня большая часть поддерживают стандарты сотовой связи и являются мобильными, а также способны обслуживать бесконтактные платежные инструменты. </w:t>
      </w:r>
    </w:p>
    <w:p w:rsidR="00294301" w:rsidRPr="00CB2E51" w:rsidRDefault="00071E84" w:rsidP="00176F0A">
      <w:pPr>
        <w:ind w:firstLine="708"/>
        <w:jc w:val="both"/>
      </w:pPr>
      <w:r w:rsidRPr="00CB2E51">
        <w:rPr>
          <w:rFonts w:ascii="Calibri" w:hAnsi="Calibri"/>
          <w:noProof/>
          <w:sz w:val="30"/>
          <w:szCs w:val="30"/>
        </w:rPr>
        <mc:AlternateContent>
          <mc:Choice Requires="wps">
            <w:drawing>
              <wp:anchor distT="0" distB="0" distL="114300" distR="114300" simplePos="0" relativeHeight="251701248" behindDoc="0" locked="0" layoutInCell="1" allowOverlap="1" wp14:anchorId="1298A071" wp14:editId="044FC17B">
                <wp:simplePos x="0" y="0"/>
                <wp:positionH relativeFrom="column">
                  <wp:posOffset>2806065</wp:posOffset>
                </wp:positionH>
                <wp:positionV relativeFrom="paragraph">
                  <wp:posOffset>60325</wp:posOffset>
                </wp:positionV>
                <wp:extent cx="3314700" cy="1397000"/>
                <wp:effectExtent l="0" t="0" r="38100" b="50800"/>
                <wp:wrapSquare wrapText="bothSides"/>
                <wp:docPr id="449"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39700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A3494E" w:rsidRDefault="00A3494E" w:rsidP="00095276">
                            <w:pPr>
                              <w:numPr>
                                <w:ilvl w:val="0"/>
                                <w:numId w:val="28"/>
                              </w:numPr>
                              <w:tabs>
                                <w:tab w:val="left" w:pos="360"/>
                              </w:tabs>
                              <w:autoSpaceDE w:val="0"/>
                              <w:autoSpaceDN w:val="0"/>
                              <w:adjustRightInd w:val="0"/>
                              <w:ind w:left="0" w:firstLine="0"/>
                              <w:jc w:val="both"/>
                              <w:rPr>
                                <w:rFonts w:ascii="Calibri" w:hAnsi="Calibri" w:cs="Arial"/>
                                <w:sz w:val="30"/>
                                <w:szCs w:val="30"/>
                              </w:rPr>
                            </w:pPr>
                            <w:r w:rsidRPr="00095276">
                              <w:rPr>
                                <w:rFonts w:ascii="Calibri" w:hAnsi="Calibri" w:cs="Arial"/>
                                <w:sz w:val="30"/>
                                <w:szCs w:val="30"/>
                              </w:rPr>
                              <w:t>развитие финансовых технологий (</w:t>
                            </w:r>
                            <w:r w:rsidRPr="00095276">
                              <w:rPr>
                                <w:rFonts w:ascii="Calibri" w:hAnsi="Calibri" w:cs="Arial"/>
                                <w:sz w:val="30"/>
                                <w:szCs w:val="30"/>
                                <w:lang w:val="en-US"/>
                              </w:rPr>
                              <w:t>NFC</w:t>
                            </w:r>
                            <w:r w:rsidRPr="00095276">
                              <w:rPr>
                                <w:rFonts w:ascii="Calibri" w:hAnsi="Calibri" w:cs="Arial"/>
                                <w:sz w:val="30"/>
                                <w:szCs w:val="30"/>
                              </w:rPr>
                              <w:t xml:space="preserve"> технологии, </w:t>
                            </w:r>
                            <w:r w:rsidRPr="00095276">
                              <w:rPr>
                                <w:rFonts w:ascii="Calibri" w:hAnsi="Calibri" w:cs="Arial"/>
                                <w:sz w:val="30"/>
                                <w:szCs w:val="30"/>
                                <w:lang w:val="en-US"/>
                              </w:rPr>
                              <w:t>QR</w:t>
                            </w:r>
                            <w:r w:rsidRPr="00095276">
                              <w:rPr>
                                <w:rFonts w:ascii="Calibri" w:hAnsi="Calibri" w:cs="Arial"/>
                                <w:sz w:val="30"/>
                                <w:szCs w:val="30"/>
                              </w:rPr>
                              <w:t xml:space="preserve"> коды)</w:t>
                            </w:r>
                            <w:r>
                              <w:rPr>
                                <w:rFonts w:ascii="Calibri" w:hAnsi="Calibri" w:cs="Arial"/>
                                <w:sz w:val="30"/>
                                <w:szCs w:val="30"/>
                              </w:rPr>
                              <w:t>;</w:t>
                            </w:r>
                          </w:p>
                          <w:p w:rsidR="00A3494E" w:rsidRDefault="00A3494E" w:rsidP="009C5BA7">
                            <w:pPr>
                              <w:numPr>
                                <w:ilvl w:val="0"/>
                                <w:numId w:val="28"/>
                              </w:numPr>
                              <w:tabs>
                                <w:tab w:val="left" w:pos="360"/>
                              </w:tabs>
                              <w:autoSpaceDE w:val="0"/>
                              <w:autoSpaceDN w:val="0"/>
                              <w:adjustRightInd w:val="0"/>
                              <w:ind w:left="0" w:firstLine="0"/>
                              <w:jc w:val="both"/>
                              <w:rPr>
                                <w:rFonts w:ascii="Calibri" w:hAnsi="Calibri" w:cs="Arial"/>
                                <w:sz w:val="30"/>
                                <w:szCs w:val="30"/>
                              </w:rPr>
                            </w:pPr>
                            <w:r w:rsidRPr="00095276">
                              <w:rPr>
                                <w:rFonts w:ascii="Calibri" w:hAnsi="Calibri" w:cs="Arial"/>
                                <w:sz w:val="30"/>
                                <w:szCs w:val="30"/>
                              </w:rPr>
                              <w:t xml:space="preserve">поддержка </w:t>
                            </w:r>
                            <w:r w:rsidRPr="00095276">
                              <w:rPr>
                                <w:rFonts w:ascii="Calibri" w:hAnsi="Calibri" w:cs="Arial"/>
                                <w:sz w:val="30"/>
                                <w:szCs w:val="30"/>
                                <w:lang w:val="en-US"/>
                              </w:rPr>
                              <w:t>POS</w:t>
                            </w:r>
                            <w:r w:rsidRPr="00095276">
                              <w:rPr>
                                <w:rFonts w:ascii="Calibri" w:hAnsi="Calibri" w:cs="Arial"/>
                                <w:sz w:val="30"/>
                                <w:szCs w:val="30"/>
                              </w:rPr>
                              <w:t>-терминалами стандартов сотовой связи</w:t>
                            </w:r>
                            <w:r>
                              <w:rPr>
                                <w:rFonts w:ascii="Calibri" w:hAnsi="Calibri" w:cs="Arial"/>
                                <w:sz w:val="30"/>
                                <w:szCs w:val="30"/>
                              </w:rPr>
                              <w:t>;</w:t>
                            </w:r>
                          </w:p>
                          <w:p w:rsidR="00A3494E" w:rsidRPr="00DF43AB" w:rsidRDefault="00A3494E" w:rsidP="009C5BA7">
                            <w:pPr>
                              <w:numPr>
                                <w:ilvl w:val="0"/>
                                <w:numId w:val="28"/>
                              </w:numPr>
                              <w:tabs>
                                <w:tab w:val="left" w:pos="360"/>
                              </w:tabs>
                              <w:autoSpaceDE w:val="0"/>
                              <w:autoSpaceDN w:val="0"/>
                              <w:adjustRightInd w:val="0"/>
                              <w:ind w:left="0" w:firstLine="0"/>
                              <w:jc w:val="both"/>
                              <w:rPr>
                                <w:rFonts w:ascii="Calibri" w:hAnsi="Calibri" w:cs="Arial"/>
                                <w:sz w:val="30"/>
                                <w:szCs w:val="30"/>
                              </w:rPr>
                            </w:pPr>
                            <w:proofErr w:type="spellStart"/>
                            <w:r>
                              <w:rPr>
                                <w:rFonts w:ascii="Calibri" w:hAnsi="Calibri" w:cs="Arial"/>
                                <w:sz w:val="30"/>
                                <w:szCs w:val="30"/>
                              </w:rPr>
                              <w:t>фукнции</w:t>
                            </w:r>
                            <w:proofErr w:type="spellEnd"/>
                            <w:r>
                              <w:rPr>
                                <w:rFonts w:ascii="Calibri" w:hAnsi="Calibri" w:cs="Arial"/>
                                <w:sz w:val="30"/>
                                <w:szCs w:val="30"/>
                              </w:rPr>
                              <w:t xml:space="preserve"> «</w:t>
                            </w:r>
                            <w:r>
                              <w:rPr>
                                <w:rFonts w:ascii="Calibri" w:hAnsi="Calibri" w:cs="Arial"/>
                                <w:sz w:val="30"/>
                                <w:szCs w:val="30"/>
                                <w:lang w:val="en-US"/>
                              </w:rPr>
                              <w:t>cash</w:t>
                            </w:r>
                            <w:r>
                              <w:rPr>
                                <w:rFonts w:ascii="Calibri" w:hAnsi="Calibri" w:cs="Arial"/>
                                <w:sz w:val="30"/>
                                <w:szCs w:val="30"/>
                              </w:rPr>
                              <w:t xml:space="preserve"> </w:t>
                            </w:r>
                            <w:r>
                              <w:rPr>
                                <w:rFonts w:ascii="Calibri" w:hAnsi="Calibri" w:cs="Arial"/>
                                <w:sz w:val="30"/>
                                <w:szCs w:val="30"/>
                                <w:lang w:val="en-US"/>
                              </w:rPr>
                              <w:t>in</w:t>
                            </w:r>
                            <w:r>
                              <w:rPr>
                                <w:rFonts w:ascii="Calibri" w:hAnsi="Calibri" w:cs="Arial"/>
                                <w:sz w:val="30"/>
                                <w:szCs w:val="30"/>
                              </w:rPr>
                              <w:t>»</w:t>
                            </w:r>
                            <w:r w:rsidRPr="00095276">
                              <w:rPr>
                                <w:rFonts w:ascii="Calibri" w:hAnsi="Calibri" w:cs="Arial"/>
                                <w:sz w:val="30"/>
                                <w:szCs w:val="30"/>
                              </w:rPr>
                              <w:t xml:space="preserve"> </w:t>
                            </w:r>
                            <w:r>
                              <w:rPr>
                                <w:rFonts w:ascii="Calibri" w:hAnsi="Calibri" w:cs="Arial"/>
                                <w:sz w:val="30"/>
                                <w:szCs w:val="30"/>
                              </w:rPr>
                              <w:t>в банкоматах.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3" o:spid="_x0000_s1047" style="position:absolute;left:0;text-align:left;margin-left:220.95pt;margin-top:4.75pt;width:261pt;height:11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" fillcolor="#cf9" strokecolor="#cf9" strokeweight="1pt">
                <v:shadow on="t" color="#205867" opacity=".5" offset="1pt"/>
                <v:textbox>
                  <w:txbxContent>
                    <w:p w:rsidR="00A3494E" w:rsidRDefault="00A3494E" w:rsidP="00095276">
                      <w:pPr>
                        <w:numPr>
                          <w:ilvl w:val="0"/>
                          <w:numId w:val="28"/>
                        </w:numPr>
                        <w:tabs>
                          <w:tab w:val="left" w:pos="360"/>
                        </w:tabs>
                        <w:autoSpaceDE w:val="0"/>
                        <w:autoSpaceDN w:val="0"/>
                        <w:adjustRightInd w:val="0"/>
                        <w:ind w:left="0" w:firstLine="0"/>
                        <w:jc w:val="both"/>
                        <w:rPr>
                          <w:rFonts w:ascii="Calibri" w:hAnsi="Calibri" w:cs="Arial"/>
                          <w:sz w:val="30"/>
                          <w:szCs w:val="30"/>
                        </w:rPr>
                      </w:pPr>
                      <w:r w:rsidRPr="00095276">
                        <w:rPr>
                          <w:rFonts w:ascii="Calibri" w:hAnsi="Calibri" w:cs="Arial"/>
                          <w:sz w:val="30"/>
                          <w:szCs w:val="30"/>
                        </w:rPr>
                        <w:t>развитие финансовых технологий (</w:t>
                      </w:r>
                      <w:r w:rsidRPr="00095276">
                        <w:rPr>
                          <w:rFonts w:ascii="Calibri" w:hAnsi="Calibri" w:cs="Arial"/>
                          <w:sz w:val="30"/>
                          <w:szCs w:val="30"/>
                          <w:lang w:val="en-US"/>
                        </w:rPr>
                        <w:t>NFC</w:t>
                      </w:r>
                      <w:r w:rsidRPr="00095276">
                        <w:rPr>
                          <w:rFonts w:ascii="Calibri" w:hAnsi="Calibri" w:cs="Arial"/>
                          <w:sz w:val="30"/>
                          <w:szCs w:val="30"/>
                        </w:rPr>
                        <w:t xml:space="preserve"> технологии, </w:t>
                      </w:r>
                      <w:r w:rsidRPr="00095276">
                        <w:rPr>
                          <w:rFonts w:ascii="Calibri" w:hAnsi="Calibri" w:cs="Arial"/>
                          <w:sz w:val="30"/>
                          <w:szCs w:val="30"/>
                          <w:lang w:val="en-US"/>
                        </w:rPr>
                        <w:t>QR</w:t>
                      </w:r>
                      <w:r w:rsidRPr="00095276">
                        <w:rPr>
                          <w:rFonts w:ascii="Calibri" w:hAnsi="Calibri" w:cs="Arial"/>
                          <w:sz w:val="30"/>
                          <w:szCs w:val="30"/>
                        </w:rPr>
                        <w:t xml:space="preserve"> коды)</w:t>
                      </w:r>
                      <w:r>
                        <w:rPr>
                          <w:rFonts w:ascii="Calibri" w:hAnsi="Calibri" w:cs="Arial"/>
                          <w:sz w:val="30"/>
                          <w:szCs w:val="30"/>
                        </w:rPr>
                        <w:t>;</w:t>
                      </w:r>
                    </w:p>
                    <w:p w:rsidR="00A3494E" w:rsidRDefault="00A3494E" w:rsidP="009C5BA7">
                      <w:pPr>
                        <w:numPr>
                          <w:ilvl w:val="0"/>
                          <w:numId w:val="28"/>
                        </w:numPr>
                        <w:tabs>
                          <w:tab w:val="left" w:pos="360"/>
                        </w:tabs>
                        <w:autoSpaceDE w:val="0"/>
                        <w:autoSpaceDN w:val="0"/>
                        <w:adjustRightInd w:val="0"/>
                        <w:ind w:left="0" w:firstLine="0"/>
                        <w:jc w:val="both"/>
                        <w:rPr>
                          <w:rFonts w:ascii="Calibri" w:hAnsi="Calibri" w:cs="Arial"/>
                          <w:sz w:val="30"/>
                          <w:szCs w:val="30"/>
                        </w:rPr>
                      </w:pPr>
                      <w:r w:rsidRPr="00095276">
                        <w:rPr>
                          <w:rFonts w:ascii="Calibri" w:hAnsi="Calibri" w:cs="Arial"/>
                          <w:sz w:val="30"/>
                          <w:szCs w:val="30"/>
                        </w:rPr>
                        <w:t xml:space="preserve">поддержка </w:t>
                      </w:r>
                      <w:r w:rsidRPr="00095276">
                        <w:rPr>
                          <w:rFonts w:ascii="Calibri" w:hAnsi="Calibri" w:cs="Arial"/>
                          <w:sz w:val="30"/>
                          <w:szCs w:val="30"/>
                          <w:lang w:val="en-US"/>
                        </w:rPr>
                        <w:t>POS</w:t>
                      </w:r>
                      <w:r w:rsidRPr="00095276">
                        <w:rPr>
                          <w:rFonts w:ascii="Calibri" w:hAnsi="Calibri" w:cs="Arial"/>
                          <w:sz w:val="30"/>
                          <w:szCs w:val="30"/>
                        </w:rPr>
                        <w:t>-терминалами стандартов сотовой связи</w:t>
                      </w:r>
                      <w:r>
                        <w:rPr>
                          <w:rFonts w:ascii="Calibri" w:hAnsi="Calibri" w:cs="Arial"/>
                          <w:sz w:val="30"/>
                          <w:szCs w:val="30"/>
                        </w:rPr>
                        <w:t>;</w:t>
                      </w:r>
                    </w:p>
                    <w:p w:rsidR="00A3494E" w:rsidRPr="00DF43AB" w:rsidRDefault="00A3494E" w:rsidP="009C5BA7">
                      <w:pPr>
                        <w:numPr>
                          <w:ilvl w:val="0"/>
                          <w:numId w:val="28"/>
                        </w:numPr>
                        <w:tabs>
                          <w:tab w:val="left" w:pos="360"/>
                        </w:tabs>
                        <w:autoSpaceDE w:val="0"/>
                        <w:autoSpaceDN w:val="0"/>
                        <w:adjustRightInd w:val="0"/>
                        <w:ind w:left="0" w:firstLine="0"/>
                        <w:jc w:val="both"/>
                        <w:rPr>
                          <w:rFonts w:ascii="Calibri" w:hAnsi="Calibri" w:cs="Arial"/>
                          <w:sz w:val="30"/>
                          <w:szCs w:val="30"/>
                        </w:rPr>
                      </w:pPr>
                      <w:proofErr w:type="spellStart"/>
                      <w:r>
                        <w:rPr>
                          <w:rFonts w:ascii="Calibri" w:hAnsi="Calibri" w:cs="Arial"/>
                          <w:sz w:val="30"/>
                          <w:szCs w:val="30"/>
                        </w:rPr>
                        <w:t>фукнции</w:t>
                      </w:r>
                      <w:proofErr w:type="spellEnd"/>
                      <w:r>
                        <w:rPr>
                          <w:rFonts w:ascii="Calibri" w:hAnsi="Calibri" w:cs="Arial"/>
                          <w:sz w:val="30"/>
                          <w:szCs w:val="30"/>
                        </w:rPr>
                        <w:t xml:space="preserve"> «</w:t>
                      </w:r>
                      <w:r>
                        <w:rPr>
                          <w:rFonts w:ascii="Calibri" w:hAnsi="Calibri" w:cs="Arial"/>
                          <w:sz w:val="30"/>
                          <w:szCs w:val="30"/>
                          <w:lang w:val="en-US"/>
                        </w:rPr>
                        <w:t>cash</w:t>
                      </w:r>
                      <w:r>
                        <w:rPr>
                          <w:rFonts w:ascii="Calibri" w:hAnsi="Calibri" w:cs="Arial"/>
                          <w:sz w:val="30"/>
                          <w:szCs w:val="30"/>
                        </w:rPr>
                        <w:t xml:space="preserve"> </w:t>
                      </w:r>
                      <w:r>
                        <w:rPr>
                          <w:rFonts w:ascii="Calibri" w:hAnsi="Calibri" w:cs="Arial"/>
                          <w:sz w:val="30"/>
                          <w:szCs w:val="30"/>
                          <w:lang w:val="en-US"/>
                        </w:rPr>
                        <w:t>in</w:t>
                      </w:r>
                      <w:r>
                        <w:rPr>
                          <w:rFonts w:ascii="Calibri" w:hAnsi="Calibri" w:cs="Arial"/>
                          <w:sz w:val="30"/>
                          <w:szCs w:val="30"/>
                        </w:rPr>
                        <w:t>»</w:t>
                      </w:r>
                      <w:r w:rsidRPr="00095276">
                        <w:rPr>
                          <w:rFonts w:ascii="Calibri" w:hAnsi="Calibri" w:cs="Arial"/>
                          <w:sz w:val="30"/>
                          <w:szCs w:val="30"/>
                        </w:rPr>
                        <w:t xml:space="preserve"> </w:t>
                      </w:r>
                      <w:r>
                        <w:rPr>
                          <w:rFonts w:ascii="Calibri" w:hAnsi="Calibri" w:cs="Arial"/>
                          <w:sz w:val="30"/>
                          <w:szCs w:val="30"/>
                        </w:rPr>
                        <w:t>в банкоматах.</w:t>
                      </w:r>
                    </w:p>
                  </w:txbxContent>
                </v:textbox>
                <w10:wrap type="square"/>
              </v:roundrect>
            </w:pict>
          </mc:Fallback>
        </mc:AlternateContent>
      </w:r>
      <w:r w:rsidR="00551431" w:rsidRPr="00015E28">
        <w:rPr>
          <w:rFonts w:ascii="Calibri" w:hAnsi="Calibri"/>
          <w:sz w:val="30"/>
          <w:szCs w:val="30"/>
        </w:rPr>
        <w:t xml:space="preserve">Для мелких торговых и/или обслуживающих предприятий имеется возможность использования </w:t>
      </w:r>
      <w:proofErr w:type="spellStart"/>
      <w:r w:rsidR="00551431" w:rsidRPr="00015E28">
        <w:rPr>
          <w:rFonts w:ascii="Calibri" w:hAnsi="Calibri"/>
          <w:sz w:val="30"/>
          <w:szCs w:val="30"/>
        </w:rPr>
        <w:t>mPOS</w:t>
      </w:r>
      <w:proofErr w:type="spellEnd"/>
      <w:r w:rsidR="00DE66F7">
        <w:rPr>
          <w:rStyle w:val="a6"/>
          <w:rFonts w:ascii="Calibri" w:hAnsi="Calibri"/>
          <w:sz w:val="30"/>
          <w:szCs w:val="30"/>
        </w:rPr>
        <w:footnoteReference w:id="14"/>
      </w:r>
      <w:r w:rsidR="00551431" w:rsidRPr="00015E28">
        <w:rPr>
          <w:rFonts w:ascii="Calibri" w:hAnsi="Calibri"/>
          <w:sz w:val="30"/>
          <w:szCs w:val="30"/>
        </w:rPr>
        <w:t xml:space="preserve">, путем подключения к смартфону. Активное развитие </w:t>
      </w:r>
      <w:r w:rsidR="00551431" w:rsidRPr="00015E28">
        <w:rPr>
          <w:rFonts w:ascii="Calibri" w:hAnsi="Calibri"/>
          <w:sz w:val="30"/>
          <w:szCs w:val="30"/>
        </w:rPr>
        <w:lastRenderedPageBreak/>
        <w:t xml:space="preserve">сети платежных терминалов способствовало </w:t>
      </w:r>
      <w:r w:rsidR="00551431" w:rsidRPr="00CB2E51">
        <w:rPr>
          <w:rFonts w:ascii="Calibri" w:hAnsi="Calibri"/>
          <w:sz w:val="30"/>
          <w:szCs w:val="30"/>
        </w:rPr>
        <w:t xml:space="preserve">усовершенствованию банкоматов путем реализации функции </w:t>
      </w:r>
      <w:r w:rsidR="005F0BFB" w:rsidRPr="00CB2E51">
        <w:rPr>
          <w:rFonts w:ascii="Calibri" w:hAnsi="Calibri"/>
          <w:sz w:val="30"/>
          <w:szCs w:val="30"/>
        </w:rPr>
        <w:t>«</w:t>
      </w:r>
      <w:proofErr w:type="spellStart"/>
      <w:r w:rsidR="00551431" w:rsidRPr="00CB2E51">
        <w:rPr>
          <w:rFonts w:ascii="Calibri" w:hAnsi="Calibri"/>
          <w:sz w:val="30"/>
          <w:szCs w:val="30"/>
        </w:rPr>
        <w:t>cash</w:t>
      </w:r>
      <w:proofErr w:type="spellEnd"/>
      <w:r w:rsidR="00551431" w:rsidRPr="00CB2E51">
        <w:rPr>
          <w:rFonts w:ascii="Calibri" w:hAnsi="Calibri"/>
          <w:sz w:val="30"/>
          <w:szCs w:val="30"/>
        </w:rPr>
        <w:t xml:space="preserve"> </w:t>
      </w:r>
      <w:proofErr w:type="spellStart"/>
      <w:r w:rsidR="00551431" w:rsidRPr="00CB2E51">
        <w:rPr>
          <w:rFonts w:ascii="Calibri" w:hAnsi="Calibri"/>
          <w:sz w:val="30"/>
          <w:szCs w:val="30"/>
        </w:rPr>
        <w:t>in</w:t>
      </w:r>
      <w:proofErr w:type="spellEnd"/>
      <w:r w:rsidR="005F0BFB" w:rsidRPr="00CB2E51">
        <w:rPr>
          <w:rFonts w:ascii="Calibri" w:hAnsi="Calibri"/>
          <w:sz w:val="30"/>
          <w:szCs w:val="30"/>
        </w:rPr>
        <w:t>» (прием наличных денег)</w:t>
      </w:r>
      <w:r w:rsidR="00551431" w:rsidRPr="00CB2E51">
        <w:rPr>
          <w:rFonts w:ascii="Calibri" w:hAnsi="Calibri"/>
          <w:sz w:val="30"/>
          <w:szCs w:val="30"/>
        </w:rPr>
        <w:t>. Из общего количества банкоматов 16% имеют данную функцию.</w:t>
      </w:r>
      <w:r w:rsidR="00294301" w:rsidRPr="00CB2E51">
        <w:t xml:space="preserve"> </w:t>
      </w:r>
    </w:p>
    <w:p w:rsidR="00294301" w:rsidRPr="00294301" w:rsidRDefault="005F0BFB" w:rsidP="00176F0A">
      <w:pPr>
        <w:ind w:firstLine="708"/>
        <w:jc w:val="both"/>
        <w:rPr>
          <w:rFonts w:ascii="Calibri" w:hAnsi="Calibri"/>
          <w:sz w:val="30"/>
          <w:szCs w:val="30"/>
        </w:rPr>
      </w:pPr>
      <w:r w:rsidRPr="00CB2E51">
        <w:rPr>
          <w:rFonts w:ascii="Calibri" w:hAnsi="Calibri"/>
          <w:sz w:val="30"/>
          <w:szCs w:val="30"/>
        </w:rPr>
        <w:t>Развитие получили бесконтактные технологии, которые позволяют осуществлять платежи без физического соприкосновения платежной карточки и электронных терминалов или иных устройств в момент совершения операции (</w:t>
      </w:r>
      <w:r w:rsidR="00294301" w:rsidRPr="00CB2E51">
        <w:rPr>
          <w:rFonts w:ascii="Calibri" w:hAnsi="Calibri"/>
          <w:sz w:val="30"/>
          <w:szCs w:val="30"/>
        </w:rPr>
        <w:t>NFC</w:t>
      </w:r>
      <w:r w:rsidRPr="00CB2E51">
        <w:rPr>
          <w:rFonts w:ascii="Calibri" w:hAnsi="Calibri"/>
          <w:sz w:val="30"/>
          <w:szCs w:val="30"/>
        </w:rPr>
        <w:t>)</w:t>
      </w:r>
      <w:r w:rsidR="00294301" w:rsidRPr="00CB2E51">
        <w:rPr>
          <w:rFonts w:ascii="Calibri" w:hAnsi="Calibri"/>
          <w:sz w:val="30"/>
          <w:szCs w:val="30"/>
        </w:rPr>
        <w:t>.</w:t>
      </w:r>
      <w:r w:rsidR="00294301" w:rsidRPr="00294301">
        <w:rPr>
          <w:rFonts w:ascii="Calibri" w:hAnsi="Calibri"/>
          <w:sz w:val="30"/>
          <w:szCs w:val="30"/>
        </w:rPr>
        <w:t xml:space="preserve"> </w:t>
      </w:r>
      <w:proofErr w:type="gramStart"/>
      <w:r w:rsidR="00294301" w:rsidRPr="00294301">
        <w:rPr>
          <w:rFonts w:ascii="Calibri" w:hAnsi="Calibri"/>
          <w:sz w:val="30"/>
          <w:szCs w:val="30"/>
        </w:rPr>
        <w:t>Из установленных в пунктах торговли/сервиса POS-терминалов порядка 30% имеют технологию бесконтактной оплаты.</w:t>
      </w:r>
      <w:proofErr w:type="gramEnd"/>
      <w:r w:rsidR="00294301" w:rsidRPr="00294301">
        <w:rPr>
          <w:rFonts w:ascii="Calibri" w:hAnsi="Calibri"/>
          <w:sz w:val="30"/>
          <w:szCs w:val="30"/>
        </w:rPr>
        <w:t xml:space="preserve"> Также на рынке представлены решения по использованию в целях оплаты товаров и услуг QR - кодов с зашифрованными реквизитами предпринимателей.</w:t>
      </w:r>
    </w:p>
    <w:p w:rsidR="00FC33C8" w:rsidRDefault="00551431" w:rsidP="00176F0A">
      <w:pPr>
        <w:ind w:firstLine="709"/>
        <w:jc w:val="both"/>
        <w:rPr>
          <w:rFonts w:ascii="Calibri" w:hAnsi="Calibri"/>
          <w:sz w:val="30"/>
          <w:szCs w:val="30"/>
        </w:rPr>
      </w:pPr>
      <w:r w:rsidRPr="00015E28">
        <w:rPr>
          <w:rFonts w:ascii="Calibri" w:hAnsi="Calibri"/>
          <w:sz w:val="30"/>
          <w:szCs w:val="30"/>
        </w:rPr>
        <w:t>При соотношении количественных показателей электронных банковских терминалов с платежны</w:t>
      </w:r>
      <w:r w:rsidR="00BF4D0E" w:rsidRPr="00015E28">
        <w:rPr>
          <w:rFonts w:ascii="Calibri" w:hAnsi="Calibri"/>
          <w:sz w:val="30"/>
          <w:szCs w:val="30"/>
        </w:rPr>
        <w:t>ми</w:t>
      </w:r>
      <w:r w:rsidRPr="00015E28">
        <w:rPr>
          <w:rFonts w:ascii="Calibri" w:hAnsi="Calibri"/>
          <w:sz w:val="30"/>
          <w:szCs w:val="30"/>
        </w:rPr>
        <w:t xml:space="preserve"> карточк</w:t>
      </w:r>
      <w:r w:rsidR="00BF4D0E" w:rsidRPr="00015E28">
        <w:rPr>
          <w:rFonts w:ascii="Calibri" w:hAnsi="Calibri"/>
          <w:sz w:val="30"/>
          <w:szCs w:val="30"/>
        </w:rPr>
        <w:t>ами в обращении</w:t>
      </w:r>
      <w:r w:rsidRPr="00015E28">
        <w:rPr>
          <w:rFonts w:ascii="Calibri" w:hAnsi="Calibri"/>
          <w:sz w:val="30"/>
          <w:szCs w:val="30"/>
        </w:rPr>
        <w:t>, 8 POS-терминал</w:t>
      </w:r>
      <w:r w:rsidR="00B410BD" w:rsidRPr="00015E28">
        <w:rPr>
          <w:rFonts w:ascii="Calibri" w:hAnsi="Calibri"/>
          <w:sz w:val="30"/>
          <w:szCs w:val="30"/>
        </w:rPr>
        <w:t>ов</w:t>
      </w:r>
      <w:r w:rsidRPr="00015E28">
        <w:rPr>
          <w:rFonts w:ascii="Calibri" w:hAnsi="Calibri"/>
          <w:sz w:val="30"/>
          <w:szCs w:val="30"/>
        </w:rPr>
        <w:t xml:space="preserve"> и 1 банкомат приходятся на 1 000 держателей.</w:t>
      </w:r>
      <w:r w:rsidR="00AF4EEF" w:rsidRPr="00015E28">
        <w:rPr>
          <w:rFonts w:ascii="Calibri" w:hAnsi="Calibri"/>
          <w:sz w:val="30"/>
          <w:szCs w:val="30"/>
        </w:rPr>
        <w:t xml:space="preserve"> </w:t>
      </w:r>
    </w:p>
    <w:p w:rsidR="00B571B2" w:rsidRPr="00B571B2" w:rsidRDefault="00B571B2" w:rsidP="00176F0A">
      <w:pPr>
        <w:ind w:firstLine="709"/>
        <w:jc w:val="both"/>
        <w:rPr>
          <w:rFonts w:ascii="Calibri" w:hAnsi="Calibri"/>
          <w:sz w:val="14"/>
          <w:szCs w:val="30"/>
        </w:rPr>
      </w:pPr>
    </w:p>
    <w:tbl>
      <w:tblPr>
        <w:tblStyle w:val="a3"/>
        <w:tblW w:w="0" w:type="auto"/>
        <w:shd w:val="clear" w:color="auto" w:fill="E6E6E6"/>
        <w:tblLook w:val="01E0" w:firstRow="1" w:lastRow="1" w:firstColumn="1" w:lastColumn="1" w:noHBand="0" w:noVBand="0"/>
      </w:tblPr>
      <w:tblGrid>
        <w:gridCol w:w="9570"/>
      </w:tblGrid>
      <w:tr w:rsidR="00FC33C8" w:rsidTr="005F0BFB">
        <w:trPr>
          <w:trHeight w:val="2566"/>
        </w:trPr>
        <w:tc>
          <w:tcPr>
            <w:tcW w:w="9570" w:type="dxa"/>
            <w:shd w:val="clear" w:color="auto" w:fill="E6E6E6"/>
          </w:tcPr>
          <w:p w:rsidR="00FC33C8" w:rsidRDefault="00FC33C8" w:rsidP="00176F0A">
            <w:pPr>
              <w:widowControl w:val="0"/>
              <w:autoSpaceDE w:val="0"/>
              <w:autoSpaceDN w:val="0"/>
              <w:adjustRightInd w:val="0"/>
              <w:jc w:val="center"/>
              <w:rPr>
                <w:rFonts w:ascii="Calibri" w:hAnsi="Calibri" w:cs="Arial"/>
                <w:b/>
                <w:spacing w:val="-4"/>
              </w:rPr>
            </w:pPr>
            <w:r w:rsidRPr="00687214">
              <w:rPr>
                <w:rFonts w:ascii="Calibri" w:hAnsi="Calibri" w:cs="Arial"/>
                <w:b/>
                <w:spacing w:val="-4"/>
              </w:rPr>
              <w:t xml:space="preserve">Справка </w:t>
            </w:r>
            <w:r>
              <w:rPr>
                <w:rFonts w:ascii="Calibri" w:hAnsi="Calibri" w:cs="Arial"/>
                <w:b/>
                <w:spacing w:val="-4"/>
              </w:rPr>
              <w:t>4</w:t>
            </w:r>
            <w:r w:rsidRPr="00687214">
              <w:rPr>
                <w:rFonts w:ascii="Calibri" w:hAnsi="Calibri" w:cs="Arial"/>
                <w:b/>
                <w:spacing w:val="-4"/>
              </w:rPr>
              <w:t xml:space="preserve"> – Сравнение показателей</w:t>
            </w:r>
          </w:p>
          <w:tbl>
            <w:tblPr>
              <w:tblpPr w:leftFromText="180" w:rightFromText="180" w:vertAnchor="text" w:horzAnchor="page" w:tblpX="547" w:tblpY="159"/>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3932"/>
              <w:gridCol w:w="3084"/>
            </w:tblGrid>
            <w:tr w:rsidR="00FC33C8" w:rsidRPr="001673C1" w:rsidTr="00FC33C8">
              <w:tc>
                <w:tcPr>
                  <w:tcW w:w="2340" w:type="dxa"/>
                  <w:vMerge w:val="restart"/>
                  <w:shd w:val="clear" w:color="auto" w:fill="C2D69B"/>
                  <w:vAlign w:val="center"/>
                </w:tcPr>
                <w:p w:rsidR="00FC33C8" w:rsidRPr="00FC33C8" w:rsidRDefault="00FC33C8" w:rsidP="00176F0A">
                  <w:pPr>
                    <w:rPr>
                      <w:rFonts w:ascii="Calibri" w:hAnsi="Calibri"/>
                      <w:b/>
                    </w:rPr>
                  </w:pPr>
                  <w:r w:rsidRPr="00FC33C8">
                    <w:rPr>
                      <w:rFonts w:ascii="Calibri" w:hAnsi="Calibri"/>
                      <w:b/>
                    </w:rPr>
                    <w:t>Страна</w:t>
                  </w:r>
                </w:p>
              </w:tc>
              <w:tc>
                <w:tcPr>
                  <w:tcW w:w="7016" w:type="dxa"/>
                  <w:gridSpan w:val="2"/>
                  <w:shd w:val="clear" w:color="auto" w:fill="C2D69B"/>
                  <w:vAlign w:val="center"/>
                </w:tcPr>
                <w:p w:rsidR="00FC33C8" w:rsidRPr="00FC33C8" w:rsidRDefault="00FC33C8" w:rsidP="00176F0A">
                  <w:pPr>
                    <w:jc w:val="center"/>
                    <w:rPr>
                      <w:rFonts w:ascii="Calibri" w:hAnsi="Calibri"/>
                      <w:b/>
                    </w:rPr>
                  </w:pPr>
                  <w:r w:rsidRPr="00FC33C8">
                    <w:rPr>
                      <w:rFonts w:ascii="Calibri" w:hAnsi="Calibri"/>
                      <w:b/>
                    </w:rPr>
                    <w:t>на 1000 платежных карточек в обращении (2016 год)</w:t>
                  </w:r>
                </w:p>
              </w:tc>
            </w:tr>
            <w:tr w:rsidR="00FC33C8" w:rsidRPr="001673C1" w:rsidTr="00FC33C8">
              <w:tc>
                <w:tcPr>
                  <w:tcW w:w="2340" w:type="dxa"/>
                  <w:vMerge/>
                  <w:shd w:val="clear" w:color="auto" w:fill="C2D69B"/>
                </w:tcPr>
                <w:p w:rsidR="00FC33C8" w:rsidRPr="00FC33C8" w:rsidRDefault="00FC33C8" w:rsidP="00176F0A">
                  <w:pPr>
                    <w:jc w:val="both"/>
                    <w:rPr>
                      <w:rFonts w:ascii="Calibri" w:hAnsi="Calibri"/>
                      <w:b/>
                    </w:rPr>
                  </w:pPr>
                </w:p>
              </w:tc>
              <w:tc>
                <w:tcPr>
                  <w:tcW w:w="3932" w:type="dxa"/>
                  <w:shd w:val="clear" w:color="auto" w:fill="C2D69B"/>
                  <w:vAlign w:val="center"/>
                </w:tcPr>
                <w:p w:rsidR="00FC33C8" w:rsidRPr="00FC33C8" w:rsidRDefault="00FC33C8" w:rsidP="00176F0A">
                  <w:pPr>
                    <w:jc w:val="center"/>
                    <w:rPr>
                      <w:rFonts w:ascii="Calibri" w:hAnsi="Calibri"/>
                      <w:b/>
                    </w:rPr>
                  </w:pPr>
                  <w:r w:rsidRPr="00FC33C8">
                    <w:rPr>
                      <w:rFonts w:ascii="Calibri" w:hAnsi="Calibri"/>
                      <w:b/>
                      <w:lang w:val="en-US"/>
                    </w:rPr>
                    <w:t>POS</w:t>
                  </w:r>
                  <w:r w:rsidRPr="00FC33C8">
                    <w:rPr>
                      <w:rFonts w:ascii="Calibri" w:hAnsi="Calibri"/>
                      <w:b/>
                    </w:rPr>
                    <w:t>-терминалов</w:t>
                  </w:r>
                </w:p>
              </w:tc>
              <w:tc>
                <w:tcPr>
                  <w:tcW w:w="3084" w:type="dxa"/>
                  <w:shd w:val="clear" w:color="auto" w:fill="C2D69B"/>
                  <w:vAlign w:val="center"/>
                </w:tcPr>
                <w:p w:rsidR="00FC33C8" w:rsidRPr="00FC33C8" w:rsidRDefault="00FC33C8" w:rsidP="00176F0A">
                  <w:pPr>
                    <w:jc w:val="center"/>
                    <w:rPr>
                      <w:rFonts w:ascii="Calibri" w:hAnsi="Calibri"/>
                      <w:b/>
                    </w:rPr>
                  </w:pPr>
                  <w:r w:rsidRPr="00FC33C8">
                    <w:rPr>
                      <w:rFonts w:ascii="Calibri" w:hAnsi="Calibri"/>
                      <w:b/>
                    </w:rPr>
                    <w:t>банкоматов</w:t>
                  </w:r>
                </w:p>
              </w:tc>
            </w:tr>
            <w:tr w:rsidR="00FC33C8" w:rsidRPr="001673C1" w:rsidTr="00FC33C8">
              <w:tc>
                <w:tcPr>
                  <w:tcW w:w="2340" w:type="dxa"/>
                  <w:shd w:val="clear" w:color="auto" w:fill="auto"/>
                </w:tcPr>
                <w:p w:rsidR="00FC33C8" w:rsidRPr="00FC33C8" w:rsidRDefault="00FC33C8" w:rsidP="00176F0A">
                  <w:pPr>
                    <w:jc w:val="both"/>
                    <w:rPr>
                      <w:rFonts w:ascii="Calibri" w:hAnsi="Calibri"/>
                    </w:rPr>
                  </w:pPr>
                  <w:r w:rsidRPr="00FC33C8">
                    <w:rPr>
                      <w:rFonts w:ascii="Calibri" w:hAnsi="Calibri"/>
                    </w:rPr>
                    <w:t>Казахстан</w:t>
                  </w:r>
                </w:p>
              </w:tc>
              <w:tc>
                <w:tcPr>
                  <w:tcW w:w="3932" w:type="dxa"/>
                  <w:shd w:val="clear" w:color="auto" w:fill="auto"/>
                  <w:vAlign w:val="center"/>
                </w:tcPr>
                <w:p w:rsidR="00FC33C8" w:rsidRPr="00FC33C8" w:rsidRDefault="00FC33C8" w:rsidP="00176F0A">
                  <w:pPr>
                    <w:jc w:val="center"/>
                    <w:rPr>
                      <w:rFonts w:ascii="Calibri" w:hAnsi="Calibri"/>
                    </w:rPr>
                  </w:pPr>
                  <w:r w:rsidRPr="00FC33C8">
                    <w:rPr>
                      <w:rFonts w:ascii="Calibri" w:hAnsi="Calibri"/>
                    </w:rPr>
                    <w:t>6,3</w:t>
                  </w:r>
                </w:p>
              </w:tc>
              <w:tc>
                <w:tcPr>
                  <w:tcW w:w="3084" w:type="dxa"/>
                  <w:shd w:val="clear" w:color="auto" w:fill="auto"/>
                  <w:vAlign w:val="center"/>
                </w:tcPr>
                <w:p w:rsidR="00FC33C8" w:rsidRPr="00FC33C8" w:rsidRDefault="00FC33C8" w:rsidP="00176F0A">
                  <w:pPr>
                    <w:jc w:val="center"/>
                    <w:rPr>
                      <w:rFonts w:ascii="Calibri" w:hAnsi="Calibri"/>
                    </w:rPr>
                  </w:pPr>
                  <w:r w:rsidRPr="00FC33C8">
                    <w:rPr>
                      <w:rFonts w:ascii="Calibri" w:hAnsi="Calibri"/>
                    </w:rPr>
                    <w:t>0,6</w:t>
                  </w:r>
                </w:p>
              </w:tc>
            </w:tr>
            <w:tr w:rsidR="00FC33C8" w:rsidRPr="001673C1" w:rsidTr="00FC33C8">
              <w:tc>
                <w:tcPr>
                  <w:tcW w:w="2340" w:type="dxa"/>
                  <w:shd w:val="clear" w:color="auto" w:fill="auto"/>
                </w:tcPr>
                <w:p w:rsidR="00FC33C8" w:rsidRPr="00FC33C8" w:rsidRDefault="00FC33C8" w:rsidP="00176F0A">
                  <w:pPr>
                    <w:jc w:val="both"/>
                    <w:rPr>
                      <w:rFonts w:ascii="Calibri" w:hAnsi="Calibri"/>
                    </w:rPr>
                  </w:pPr>
                  <w:r w:rsidRPr="00FC33C8">
                    <w:rPr>
                      <w:rFonts w:ascii="Calibri" w:hAnsi="Calibri"/>
                    </w:rPr>
                    <w:t>Россия</w:t>
                  </w:r>
                </w:p>
              </w:tc>
              <w:tc>
                <w:tcPr>
                  <w:tcW w:w="3932" w:type="dxa"/>
                  <w:shd w:val="clear" w:color="auto" w:fill="auto"/>
                  <w:vAlign w:val="center"/>
                </w:tcPr>
                <w:p w:rsidR="00FC33C8" w:rsidRPr="00FC33C8" w:rsidRDefault="00FC33C8" w:rsidP="00176F0A">
                  <w:pPr>
                    <w:jc w:val="center"/>
                    <w:rPr>
                      <w:rFonts w:ascii="Calibri" w:hAnsi="Calibri"/>
                    </w:rPr>
                  </w:pPr>
                  <w:r w:rsidRPr="00FC33C8">
                    <w:rPr>
                      <w:rFonts w:ascii="Calibri" w:hAnsi="Calibri"/>
                    </w:rPr>
                    <w:t>7,0</w:t>
                  </w:r>
                </w:p>
              </w:tc>
              <w:tc>
                <w:tcPr>
                  <w:tcW w:w="3084" w:type="dxa"/>
                  <w:shd w:val="clear" w:color="auto" w:fill="auto"/>
                  <w:vAlign w:val="center"/>
                </w:tcPr>
                <w:p w:rsidR="00FC33C8" w:rsidRPr="00FC33C8" w:rsidRDefault="00FC33C8" w:rsidP="00176F0A">
                  <w:pPr>
                    <w:jc w:val="center"/>
                    <w:rPr>
                      <w:rFonts w:ascii="Calibri" w:hAnsi="Calibri"/>
                    </w:rPr>
                  </w:pPr>
                  <w:r w:rsidRPr="00FC33C8">
                    <w:rPr>
                      <w:rFonts w:ascii="Calibri" w:hAnsi="Calibri"/>
                    </w:rPr>
                    <w:t>0,8</w:t>
                  </w:r>
                </w:p>
              </w:tc>
            </w:tr>
            <w:tr w:rsidR="00FC33C8" w:rsidRPr="001673C1" w:rsidTr="00FC33C8">
              <w:tc>
                <w:tcPr>
                  <w:tcW w:w="2340" w:type="dxa"/>
                  <w:shd w:val="clear" w:color="auto" w:fill="auto"/>
                </w:tcPr>
                <w:p w:rsidR="00FC33C8" w:rsidRPr="00FC33C8" w:rsidRDefault="00FC33C8" w:rsidP="00176F0A">
                  <w:pPr>
                    <w:jc w:val="both"/>
                    <w:rPr>
                      <w:rFonts w:ascii="Calibri" w:hAnsi="Calibri"/>
                    </w:rPr>
                  </w:pPr>
                  <w:r w:rsidRPr="00FC33C8">
                    <w:rPr>
                      <w:rFonts w:ascii="Calibri" w:hAnsi="Calibri"/>
                    </w:rPr>
                    <w:t>Беларусь</w:t>
                  </w:r>
                </w:p>
              </w:tc>
              <w:tc>
                <w:tcPr>
                  <w:tcW w:w="3932" w:type="dxa"/>
                  <w:shd w:val="clear" w:color="auto" w:fill="auto"/>
                  <w:vAlign w:val="center"/>
                </w:tcPr>
                <w:p w:rsidR="00FC33C8" w:rsidRPr="00FC33C8" w:rsidRDefault="00FC33C8" w:rsidP="00176F0A">
                  <w:pPr>
                    <w:jc w:val="center"/>
                    <w:rPr>
                      <w:rFonts w:ascii="Calibri" w:hAnsi="Calibri"/>
                    </w:rPr>
                  </w:pPr>
                  <w:r w:rsidRPr="00FC33C8">
                    <w:rPr>
                      <w:rFonts w:ascii="Calibri" w:hAnsi="Calibri"/>
                    </w:rPr>
                    <w:t>9,1</w:t>
                  </w:r>
                </w:p>
              </w:tc>
              <w:tc>
                <w:tcPr>
                  <w:tcW w:w="3084" w:type="dxa"/>
                  <w:shd w:val="clear" w:color="auto" w:fill="auto"/>
                  <w:vAlign w:val="center"/>
                </w:tcPr>
                <w:p w:rsidR="00FC33C8" w:rsidRPr="00FC33C8" w:rsidRDefault="00FC33C8" w:rsidP="00176F0A">
                  <w:pPr>
                    <w:jc w:val="center"/>
                    <w:rPr>
                      <w:rFonts w:ascii="Calibri" w:hAnsi="Calibri"/>
                    </w:rPr>
                  </w:pPr>
                  <w:r w:rsidRPr="00FC33C8">
                    <w:rPr>
                      <w:rFonts w:ascii="Calibri" w:hAnsi="Calibri"/>
                    </w:rPr>
                    <w:t>0,4</w:t>
                  </w:r>
                </w:p>
              </w:tc>
            </w:tr>
            <w:tr w:rsidR="00FC33C8" w:rsidRPr="001673C1" w:rsidTr="00FC33C8">
              <w:tc>
                <w:tcPr>
                  <w:tcW w:w="2340" w:type="dxa"/>
                  <w:shd w:val="clear" w:color="auto" w:fill="auto"/>
                </w:tcPr>
                <w:p w:rsidR="00FC33C8" w:rsidRPr="00FC33C8" w:rsidRDefault="00FC33C8" w:rsidP="00176F0A">
                  <w:pPr>
                    <w:jc w:val="both"/>
                    <w:rPr>
                      <w:rFonts w:ascii="Calibri" w:hAnsi="Calibri"/>
                    </w:rPr>
                  </w:pPr>
                  <w:r w:rsidRPr="00FC33C8">
                    <w:rPr>
                      <w:rFonts w:ascii="Calibri" w:hAnsi="Calibri"/>
                    </w:rPr>
                    <w:t>Кыргызстан</w:t>
                  </w:r>
                </w:p>
              </w:tc>
              <w:tc>
                <w:tcPr>
                  <w:tcW w:w="3932" w:type="dxa"/>
                  <w:shd w:val="clear" w:color="auto" w:fill="auto"/>
                  <w:vAlign w:val="center"/>
                </w:tcPr>
                <w:p w:rsidR="00FC33C8" w:rsidRPr="00FC33C8" w:rsidRDefault="00FC33C8" w:rsidP="00176F0A">
                  <w:pPr>
                    <w:jc w:val="center"/>
                    <w:rPr>
                      <w:rFonts w:ascii="Calibri" w:hAnsi="Calibri"/>
                    </w:rPr>
                  </w:pPr>
                  <w:r w:rsidRPr="00FC33C8">
                    <w:rPr>
                      <w:rFonts w:ascii="Calibri" w:hAnsi="Calibri"/>
                    </w:rPr>
                    <w:t>3,5</w:t>
                  </w:r>
                </w:p>
              </w:tc>
              <w:tc>
                <w:tcPr>
                  <w:tcW w:w="3084" w:type="dxa"/>
                  <w:shd w:val="clear" w:color="auto" w:fill="auto"/>
                  <w:vAlign w:val="center"/>
                </w:tcPr>
                <w:p w:rsidR="00FC33C8" w:rsidRPr="00FC33C8" w:rsidRDefault="00FC33C8" w:rsidP="00176F0A">
                  <w:pPr>
                    <w:jc w:val="center"/>
                    <w:rPr>
                      <w:rFonts w:ascii="Calibri" w:hAnsi="Calibri"/>
                    </w:rPr>
                  </w:pPr>
                  <w:r w:rsidRPr="00FC33C8">
                    <w:rPr>
                      <w:rFonts w:ascii="Calibri" w:hAnsi="Calibri"/>
                    </w:rPr>
                    <w:t>0,8</w:t>
                  </w:r>
                </w:p>
              </w:tc>
            </w:tr>
          </w:tbl>
          <w:p w:rsidR="00FC33C8" w:rsidRPr="00037A35" w:rsidRDefault="00037A35" w:rsidP="00176F0A">
            <w:pPr>
              <w:ind w:firstLine="720"/>
              <w:jc w:val="both"/>
              <w:rPr>
                <w:rFonts w:ascii="Calibri" w:hAnsi="Calibri" w:cs="Arial"/>
                <w:spacing w:val="-4"/>
                <w:sz w:val="16"/>
                <w:szCs w:val="16"/>
              </w:rPr>
            </w:pPr>
            <w:r w:rsidRPr="008578F3">
              <w:rPr>
                <w:rFonts w:ascii="Calibri" w:hAnsi="Calibri"/>
              </w:rPr>
              <w:t xml:space="preserve">Как видно из таблицы, Казахстан уступает по уровню оснащенности </w:t>
            </w:r>
            <w:r w:rsidRPr="008578F3">
              <w:rPr>
                <w:rFonts w:ascii="Calibri" w:hAnsi="Calibri"/>
                <w:lang w:val="en-US"/>
              </w:rPr>
              <w:t>POS</w:t>
            </w:r>
            <w:r w:rsidRPr="008578F3">
              <w:rPr>
                <w:rFonts w:ascii="Calibri" w:hAnsi="Calibri"/>
              </w:rPr>
              <w:t>-терминалами Российской Федерации и Республике Беларусь.</w:t>
            </w:r>
          </w:p>
        </w:tc>
      </w:tr>
    </w:tbl>
    <w:p w:rsidR="00D1183C" w:rsidRPr="008578F3" w:rsidRDefault="00D1183C" w:rsidP="00176F0A">
      <w:pPr>
        <w:ind w:firstLine="720"/>
        <w:jc w:val="both"/>
        <w:rPr>
          <w:rFonts w:ascii="Calibri" w:hAnsi="Calibri"/>
          <w:b/>
          <w:sz w:val="8"/>
          <w:szCs w:val="30"/>
        </w:rPr>
      </w:pPr>
    </w:p>
    <w:p w:rsidR="00504B23" w:rsidRPr="008578F3" w:rsidRDefault="00504B23" w:rsidP="00176F0A">
      <w:pPr>
        <w:ind w:firstLine="720"/>
        <w:jc w:val="both"/>
        <w:rPr>
          <w:rFonts w:ascii="Calibri" w:hAnsi="Calibri"/>
          <w:sz w:val="30"/>
          <w:szCs w:val="30"/>
        </w:rPr>
      </w:pPr>
      <w:proofErr w:type="gramStart"/>
      <w:r w:rsidRPr="00A4444F">
        <w:rPr>
          <w:rFonts w:ascii="Calibri" w:hAnsi="Calibri"/>
          <w:b/>
          <w:sz w:val="30"/>
          <w:szCs w:val="30"/>
        </w:rPr>
        <w:t>Наиболее развитая сеть дистанционного банковского обслуживания</w:t>
      </w:r>
      <w:r>
        <w:rPr>
          <w:rFonts w:ascii="Calibri" w:hAnsi="Calibri"/>
          <w:b/>
          <w:sz w:val="30"/>
          <w:szCs w:val="30"/>
        </w:rPr>
        <w:t xml:space="preserve"> в абсолютном выражении</w:t>
      </w:r>
      <w:r w:rsidRPr="00A4444F">
        <w:rPr>
          <w:rFonts w:ascii="Calibri" w:hAnsi="Calibri"/>
          <w:b/>
          <w:sz w:val="30"/>
          <w:szCs w:val="30"/>
        </w:rPr>
        <w:t xml:space="preserve"> наблюдается в г. Алматы</w:t>
      </w:r>
      <w:r w:rsidRPr="00015E28">
        <w:rPr>
          <w:rFonts w:ascii="Calibri" w:hAnsi="Calibri"/>
          <w:sz w:val="30"/>
          <w:szCs w:val="30"/>
        </w:rPr>
        <w:t>, на который приходится 28,6% от общего количества установленных у предпринимателей и в банках POS-терминалов, 29,1% предпринимателей, которые заключили договора с банками на установку POS-тер</w:t>
      </w:r>
      <w:r w:rsidRPr="008578F3">
        <w:rPr>
          <w:rFonts w:ascii="Calibri" w:hAnsi="Calibri"/>
          <w:sz w:val="30"/>
          <w:szCs w:val="30"/>
        </w:rPr>
        <w:t>миналов, 28,6% торговых точек, в которых установлены POS-терминалы, 19,3% банкоматов, 14,7% банковских киосков и 15,8% терминалов моментальной оплаты</w:t>
      </w:r>
      <w:r w:rsidR="00037A35" w:rsidRPr="008578F3">
        <w:rPr>
          <w:rFonts w:ascii="Calibri" w:hAnsi="Calibri"/>
          <w:sz w:val="30"/>
          <w:szCs w:val="30"/>
        </w:rPr>
        <w:t xml:space="preserve"> по всей стране</w:t>
      </w:r>
      <w:r w:rsidRPr="008578F3">
        <w:rPr>
          <w:rFonts w:ascii="Calibri" w:hAnsi="Calibri"/>
          <w:sz w:val="30"/>
          <w:szCs w:val="30"/>
        </w:rPr>
        <w:t xml:space="preserve">. </w:t>
      </w:r>
      <w:proofErr w:type="gramEnd"/>
    </w:p>
    <w:p w:rsidR="00504B23" w:rsidRDefault="00504B23" w:rsidP="00176F0A">
      <w:pPr>
        <w:ind w:firstLine="720"/>
        <w:jc w:val="both"/>
        <w:rPr>
          <w:rFonts w:ascii="Calibri" w:hAnsi="Calibri"/>
          <w:sz w:val="30"/>
          <w:szCs w:val="30"/>
        </w:rPr>
      </w:pPr>
      <w:r w:rsidRPr="008578F3">
        <w:rPr>
          <w:rFonts w:ascii="Calibri" w:hAnsi="Calibri"/>
          <w:sz w:val="30"/>
          <w:szCs w:val="30"/>
        </w:rPr>
        <w:t>При соотношении количества держателей платежных карточек к количеству электронных терминалов самая благоприятная си</w:t>
      </w:r>
      <w:r>
        <w:rPr>
          <w:rFonts w:ascii="Calibri" w:hAnsi="Calibri"/>
          <w:sz w:val="30"/>
          <w:szCs w:val="30"/>
        </w:rPr>
        <w:t xml:space="preserve">туация наблюдается в г. Астане и Павлодарской области, где на единицу устройства приходится наименьшее количество держателей карточек. В то же время, наибольшее количество держателей платежных карточек на единицу устройства наблюдается в </w:t>
      </w:r>
      <w:proofErr w:type="gramStart"/>
      <w:r>
        <w:rPr>
          <w:rFonts w:ascii="Calibri" w:hAnsi="Calibri"/>
          <w:sz w:val="30"/>
          <w:szCs w:val="30"/>
        </w:rPr>
        <w:t>Южно-Казахстанской</w:t>
      </w:r>
      <w:proofErr w:type="gramEnd"/>
      <w:r>
        <w:rPr>
          <w:rFonts w:ascii="Calibri" w:hAnsi="Calibri"/>
          <w:sz w:val="30"/>
          <w:szCs w:val="30"/>
        </w:rPr>
        <w:t xml:space="preserve"> и </w:t>
      </w:r>
      <w:proofErr w:type="spellStart"/>
      <w:r>
        <w:rPr>
          <w:rFonts w:ascii="Calibri" w:hAnsi="Calibri"/>
          <w:sz w:val="30"/>
          <w:szCs w:val="30"/>
        </w:rPr>
        <w:t>Жамбылской</w:t>
      </w:r>
      <w:proofErr w:type="spellEnd"/>
      <w:r>
        <w:rPr>
          <w:rFonts w:ascii="Calibri" w:hAnsi="Calibri"/>
          <w:sz w:val="30"/>
          <w:szCs w:val="30"/>
        </w:rPr>
        <w:t xml:space="preserve"> областях.</w:t>
      </w:r>
    </w:p>
    <w:p w:rsidR="00504B23" w:rsidRDefault="00504B23" w:rsidP="00176F0A">
      <w:pPr>
        <w:ind w:firstLine="720"/>
        <w:jc w:val="both"/>
        <w:rPr>
          <w:rFonts w:ascii="Calibri" w:hAnsi="Calibri"/>
          <w:sz w:val="30"/>
          <w:szCs w:val="30"/>
        </w:rPr>
      </w:pPr>
      <w:r>
        <w:rPr>
          <w:rFonts w:ascii="Calibri" w:hAnsi="Calibri"/>
          <w:sz w:val="30"/>
          <w:szCs w:val="30"/>
        </w:rPr>
        <w:t xml:space="preserve">При установке (развитии сети) электронных терминалов банки учитывают имеющиеся и потенциальное число клиентов – держателей </w:t>
      </w:r>
      <w:r>
        <w:rPr>
          <w:rFonts w:ascii="Calibri" w:hAnsi="Calibri"/>
          <w:sz w:val="30"/>
          <w:szCs w:val="30"/>
        </w:rPr>
        <w:lastRenderedPageBreak/>
        <w:t>платежных карточек и их платежеспособность. Так, имеется прямая зависимость от уровня доходов населения к уровню развития сети электронных терминалов.</w:t>
      </w:r>
      <w:r w:rsidRPr="00504B23">
        <w:rPr>
          <w:rFonts w:ascii="Calibri" w:hAnsi="Calibri"/>
          <w:sz w:val="30"/>
          <w:szCs w:val="30"/>
        </w:rPr>
        <w:t xml:space="preserve"> </w:t>
      </w:r>
      <w:r>
        <w:rPr>
          <w:rFonts w:ascii="Calibri" w:hAnsi="Calibri"/>
          <w:sz w:val="30"/>
          <w:szCs w:val="30"/>
        </w:rPr>
        <w:t>По данным Комитета по статистике Министерства национальной экономики Республики Казахстан наибольший уровень с</w:t>
      </w:r>
      <w:r w:rsidRPr="006219B6">
        <w:rPr>
          <w:rFonts w:ascii="Calibri" w:hAnsi="Calibri"/>
          <w:sz w:val="30"/>
          <w:szCs w:val="30"/>
        </w:rPr>
        <w:t>реднедушев</w:t>
      </w:r>
      <w:r>
        <w:rPr>
          <w:rFonts w:ascii="Calibri" w:hAnsi="Calibri"/>
          <w:sz w:val="30"/>
          <w:szCs w:val="30"/>
        </w:rPr>
        <w:t>ого</w:t>
      </w:r>
      <w:r w:rsidRPr="006219B6">
        <w:rPr>
          <w:rFonts w:ascii="Calibri" w:hAnsi="Calibri"/>
          <w:sz w:val="30"/>
          <w:szCs w:val="30"/>
        </w:rPr>
        <w:t xml:space="preserve"> номинальн</w:t>
      </w:r>
      <w:r>
        <w:rPr>
          <w:rFonts w:ascii="Calibri" w:hAnsi="Calibri"/>
          <w:sz w:val="30"/>
          <w:szCs w:val="30"/>
        </w:rPr>
        <w:t>ого</w:t>
      </w:r>
      <w:r w:rsidRPr="006219B6">
        <w:rPr>
          <w:rFonts w:ascii="Calibri" w:hAnsi="Calibri"/>
          <w:sz w:val="30"/>
          <w:szCs w:val="30"/>
        </w:rPr>
        <w:t xml:space="preserve"> денежн</w:t>
      </w:r>
      <w:r>
        <w:rPr>
          <w:rFonts w:ascii="Calibri" w:hAnsi="Calibri"/>
          <w:sz w:val="30"/>
          <w:szCs w:val="30"/>
        </w:rPr>
        <w:t>ого</w:t>
      </w:r>
      <w:r w:rsidRPr="006219B6">
        <w:rPr>
          <w:rFonts w:ascii="Calibri" w:hAnsi="Calibri"/>
          <w:sz w:val="30"/>
          <w:szCs w:val="30"/>
        </w:rPr>
        <w:t xml:space="preserve"> доход</w:t>
      </w:r>
      <w:r>
        <w:rPr>
          <w:rFonts w:ascii="Calibri" w:hAnsi="Calibri"/>
          <w:sz w:val="30"/>
          <w:szCs w:val="30"/>
        </w:rPr>
        <w:t>а</w:t>
      </w:r>
      <w:r w:rsidRPr="006219B6">
        <w:rPr>
          <w:rFonts w:ascii="Calibri" w:hAnsi="Calibri"/>
          <w:sz w:val="30"/>
          <w:szCs w:val="30"/>
        </w:rPr>
        <w:t xml:space="preserve"> </w:t>
      </w:r>
      <w:r>
        <w:rPr>
          <w:rFonts w:ascii="Calibri" w:hAnsi="Calibri"/>
          <w:sz w:val="30"/>
          <w:szCs w:val="30"/>
        </w:rPr>
        <w:t xml:space="preserve">наблюдается в г. Астана, а из областей (за исключением нефтяных регионов) </w:t>
      </w:r>
      <w:r w:rsidR="00517E84">
        <w:rPr>
          <w:rFonts w:ascii="Calibri" w:hAnsi="Calibri"/>
          <w:sz w:val="30"/>
          <w:szCs w:val="30"/>
        </w:rPr>
        <w:t xml:space="preserve">- </w:t>
      </w:r>
      <w:r>
        <w:rPr>
          <w:rFonts w:ascii="Calibri" w:hAnsi="Calibri"/>
          <w:sz w:val="30"/>
          <w:szCs w:val="30"/>
        </w:rPr>
        <w:t xml:space="preserve">в Павлодарской области. Наименьший уровень доходов в </w:t>
      </w:r>
      <w:proofErr w:type="gramStart"/>
      <w:r>
        <w:rPr>
          <w:rFonts w:ascii="Calibri" w:hAnsi="Calibri"/>
          <w:sz w:val="30"/>
          <w:szCs w:val="30"/>
        </w:rPr>
        <w:t>Южно-Казахстанской</w:t>
      </w:r>
      <w:proofErr w:type="gramEnd"/>
      <w:r>
        <w:rPr>
          <w:rFonts w:ascii="Calibri" w:hAnsi="Calibri"/>
          <w:sz w:val="30"/>
          <w:szCs w:val="30"/>
        </w:rPr>
        <w:t xml:space="preserve"> и </w:t>
      </w:r>
      <w:proofErr w:type="spellStart"/>
      <w:r>
        <w:rPr>
          <w:rFonts w:ascii="Calibri" w:hAnsi="Calibri"/>
          <w:sz w:val="30"/>
          <w:szCs w:val="30"/>
        </w:rPr>
        <w:t>Жамбылской</w:t>
      </w:r>
      <w:proofErr w:type="spellEnd"/>
      <w:r>
        <w:rPr>
          <w:rFonts w:ascii="Calibri" w:hAnsi="Calibri"/>
          <w:sz w:val="30"/>
          <w:szCs w:val="30"/>
        </w:rPr>
        <w:t xml:space="preserve"> областях.</w:t>
      </w:r>
    </w:p>
    <w:p w:rsidR="006E2AC8" w:rsidRDefault="006E2AC8" w:rsidP="00176F0A">
      <w:pPr>
        <w:ind w:firstLine="720"/>
        <w:jc w:val="both"/>
        <w:rPr>
          <w:rFonts w:ascii="Calibri" w:hAnsi="Calibri"/>
          <w:sz w:val="30"/>
          <w:szCs w:val="30"/>
        </w:rPr>
      </w:pPr>
    </w:p>
    <w:p w:rsidR="00294301" w:rsidRDefault="00B41594" w:rsidP="00176F0A">
      <w:pPr>
        <w:jc w:val="both"/>
        <w:rPr>
          <w:rFonts w:ascii="Calibri" w:hAnsi="Calibri"/>
          <w:noProof/>
          <w:sz w:val="30"/>
          <w:szCs w:val="30"/>
        </w:rPr>
      </w:pPr>
      <w:r>
        <w:rPr>
          <w:rFonts w:ascii="Calibri" w:hAnsi="Calibri"/>
          <w:noProof/>
          <w:sz w:val="30"/>
          <w:szCs w:val="30"/>
        </w:rPr>
        <w:drawing>
          <wp:inline distT="0" distB="0" distL="0" distR="0" wp14:anchorId="64215ECD" wp14:editId="6F3EBA1B">
            <wp:extent cx="5891743" cy="3864831"/>
            <wp:effectExtent l="0" t="0" r="0" b="0"/>
            <wp:docPr id="2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5812" cy="3874060"/>
                    </a:xfrm>
                    <a:prstGeom prst="rect">
                      <a:avLst/>
                    </a:prstGeom>
                    <a:noFill/>
                    <a:ln>
                      <a:noFill/>
                    </a:ln>
                  </pic:spPr>
                </pic:pic>
              </a:graphicData>
            </a:graphic>
          </wp:inline>
        </w:drawing>
      </w:r>
    </w:p>
    <w:p w:rsidR="003874CE" w:rsidRPr="00015E28" w:rsidRDefault="003874CE" w:rsidP="00176F0A">
      <w:pPr>
        <w:ind w:firstLine="709"/>
        <w:jc w:val="both"/>
        <w:rPr>
          <w:rFonts w:ascii="Calibri" w:hAnsi="Calibri"/>
          <w:sz w:val="30"/>
          <w:szCs w:val="30"/>
        </w:rPr>
      </w:pPr>
      <w:r w:rsidRPr="00015E28">
        <w:rPr>
          <w:rFonts w:ascii="Calibri" w:hAnsi="Calibri"/>
          <w:sz w:val="30"/>
          <w:szCs w:val="30"/>
        </w:rPr>
        <w:t xml:space="preserve">Нагрузка на электронные терминалы варьируется –  в частности, на один POS-терминал </w:t>
      </w:r>
      <w:r w:rsidRPr="00015E28">
        <w:rPr>
          <w:rFonts w:ascii="Calibri" w:hAnsi="Calibri"/>
          <w:b/>
          <w:sz w:val="30"/>
          <w:szCs w:val="30"/>
        </w:rPr>
        <w:t xml:space="preserve">в среднем в день приходится около 2-х операций, на банкомат - 63 операций, банковский киоск – 11 операций, терминал моментальной оплаты (путем взноса наличных денег) </w:t>
      </w:r>
      <w:r w:rsidR="00517E84">
        <w:rPr>
          <w:rFonts w:ascii="Calibri" w:hAnsi="Calibri"/>
          <w:b/>
          <w:sz w:val="30"/>
          <w:szCs w:val="30"/>
        </w:rPr>
        <w:t>–</w:t>
      </w:r>
      <w:r w:rsidRPr="00015E28">
        <w:rPr>
          <w:rFonts w:ascii="Calibri" w:hAnsi="Calibri"/>
          <w:b/>
          <w:sz w:val="30"/>
          <w:szCs w:val="30"/>
        </w:rPr>
        <w:t xml:space="preserve"> 25</w:t>
      </w:r>
      <w:r w:rsidR="00517E84">
        <w:rPr>
          <w:rFonts w:ascii="Calibri" w:hAnsi="Calibri"/>
          <w:b/>
          <w:sz w:val="30"/>
          <w:szCs w:val="30"/>
        </w:rPr>
        <w:t xml:space="preserve"> операций</w:t>
      </w:r>
      <w:r>
        <w:rPr>
          <w:rFonts w:ascii="Calibri" w:hAnsi="Calibri"/>
          <w:sz w:val="30"/>
          <w:szCs w:val="30"/>
        </w:rPr>
        <w:t>.</w:t>
      </w:r>
    </w:p>
    <w:p w:rsidR="000E4BCF" w:rsidRPr="00176F0A" w:rsidRDefault="000E4BCF" w:rsidP="00176F0A">
      <w:pPr>
        <w:ind w:firstLine="709"/>
        <w:jc w:val="both"/>
        <w:rPr>
          <w:rFonts w:ascii="Calibri" w:hAnsi="Calibri"/>
          <w:sz w:val="30"/>
          <w:szCs w:val="30"/>
        </w:rPr>
      </w:pPr>
    </w:p>
    <w:p w:rsidR="00551431" w:rsidRPr="00015E28" w:rsidRDefault="003E1657" w:rsidP="00176F0A">
      <w:pPr>
        <w:pStyle w:val="2"/>
        <w:pBdr>
          <w:bottom w:val="single" w:sz="12" w:space="1" w:color="auto"/>
        </w:pBdr>
        <w:spacing w:before="0"/>
        <w:jc w:val="both"/>
        <w:rPr>
          <w:rFonts w:ascii="Calibri" w:hAnsi="Calibri"/>
          <w:bCs w:val="0"/>
          <w:snapToGrid w:val="0"/>
          <w:color w:val="0E4C28"/>
          <w:spacing w:val="-2"/>
          <w:sz w:val="32"/>
        </w:rPr>
      </w:pPr>
      <w:bookmarkStart w:id="127" w:name="_Toc481418205"/>
      <w:r w:rsidRPr="008578F3">
        <w:rPr>
          <w:rFonts w:ascii="Calibri" w:hAnsi="Calibri"/>
          <w:bCs w:val="0"/>
          <w:snapToGrid w:val="0"/>
          <w:color w:val="0E4C28"/>
          <w:spacing w:val="-2"/>
          <w:sz w:val="32"/>
        </w:rPr>
        <w:t>3</w:t>
      </w:r>
      <w:r w:rsidR="00551431" w:rsidRPr="008578F3">
        <w:rPr>
          <w:rFonts w:ascii="Calibri" w:hAnsi="Calibri"/>
          <w:bCs w:val="0"/>
          <w:snapToGrid w:val="0"/>
          <w:color w:val="0E4C28"/>
          <w:spacing w:val="-2"/>
          <w:sz w:val="32"/>
        </w:rPr>
        <w:t>.2</w:t>
      </w:r>
      <w:r w:rsidR="00294301" w:rsidRPr="008578F3">
        <w:rPr>
          <w:rFonts w:ascii="Calibri" w:hAnsi="Calibri"/>
          <w:bCs w:val="0"/>
          <w:snapToGrid w:val="0"/>
          <w:color w:val="0E4C28"/>
          <w:spacing w:val="-2"/>
          <w:sz w:val="32"/>
        </w:rPr>
        <w:t>.</w:t>
      </w:r>
      <w:r w:rsidR="00551431" w:rsidRPr="008578F3">
        <w:rPr>
          <w:rFonts w:ascii="Calibri" w:hAnsi="Calibri"/>
          <w:bCs w:val="0"/>
          <w:snapToGrid w:val="0"/>
          <w:color w:val="0E4C28"/>
          <w:spacing w:val="-2"/>
          <w:sz w:val="32"/>
        </w:rPr>
        <w:t xml:space="preserve"> </w:t>
      </w:r>
      <w:r w:rsidR="00D1183C" w:rsidRPr="008578F3">
        <w:rPr>
          <w:rFonts w:ascii="Calibri" w:hAnsi="Calibri"/>
          <w:bCs w:val="0"/>
          <w:snapToGrid w:val="0"/>
          <w:color w:val="0E4C28"/>
          <w:spacing w:val="-2"/>
          <w:sz w:val="32"/>
        </w:rPr>
        <w:t>Платежные услуги</w:t>
      </w:r>
      <w:r w:rsidR="00157779" w:rsidRPr="008578F3">
        <w:rPr>
          <w:rFonts w:ascii="Calibri" w:hAnsi="Calibri"/>
          <w:bCs w:val="0"/>
          <w:snapToGrid w:val="0"/>
          <w:color w:val="0E4C28"/>
          <w:spacing w:val="-2"/>
          <w:sz w:val="32"/>
        </w:rPr>
        <w:t xml:space="preserve"> через системы удаленного доступа</w:t>
      </w:r>
      <w:bookmarkEnd w:id="127"/>
    </w:p>
    <w:p w:rsidR="00DE66F7" w:rsidRPr="00015E28" w:rsidRDefault="00DE66F7" w:rsidP="00176F0A">
      <w:pPr>
        <w:ind w:firstLine="709"/>
        <w:jc w:val="both"/>
        <w:rPr>
          <w:rFonts w:ascii="Calibri" w:hAnsi="Calibri"/>
          <w:sz w:val="30"/>
          <w:szCs w:val="30"/>
        </w:rPr>
      </w:pPr>
      <w:r w:rsidRPr="00015E28">
        <w:rPr>
          <w:rFonts w:ascii="Calibri" w:hAnsi="Calibri"/>
          <w:sz w:val="30"/>
          <w:szCs w:val="30"/>
        </w:rPr>
        <w:t>Объемы произведенных транзакций посредством систем удаленн</w:t>
      </w:r>
      <w:r w:rsidRPr="008578F3">
        <w:rPr>
          <w:rFonts w:ascii="Calibri" w:hAnsi="Calibri"/>
          <w:sz w:val="30"/>
          <w:szCs w:val="30"/>
        </w:rPr>
        <w:t xml:space="preserve">ого доступа </w:t>
      </w:r>
      <w:r w:rsidRPr="008578F3">
        <w:rPr>
          <w:rFonts w:ascii="Calibri" w:hAnsi="Calibri"/>
          <w:b/>
          <w:sz w:val="30"/>
          <w:szCs w:val="30"/>
        </w:rPr>
        <w:t xml:space="preserve">за 2016 год составили 474,7 млн. транзакций на </w:t>
      </w:r>
      <w:r w:rsidR="005F0BFB" w:rsidRPr="008578F3">
        <w:rPr>
          <w:rFonts w:ascii="Calibri" w:hAnsi="Calibri"/>
          <w:noProof/>
          <w:sz w:val="30"/>
          <w:szCs w:val="30"/>
        </w:rPr>
        <mc:AlternateContent>
          <mc:Choice Requires="wps">
            <w:drawing>
              <wp:anchor distT="0" distB="0" distL="114300" distR="114300" simplePos="0" relativeHeight="251696128" behindDoc="0" locked="0" layoutInCell="1" allowOverlap="1" wp14:anchorId="5476A3A1" wp14:editId="6670410F">
                <wp:simplePos x="0" y="0"/>
                <wp:positionH relativeFrom="column">
                  <wp:posOffset>2771140</wp:posOffset>
                </wp:positionH>
                <wp:positionV relativeFrom="paragraph">
                  <wp:posOffset>50800</wp:posOffset>
                </wp:positionV>
                <wp:extent cx="3314700" cy="1384935"/>
                <wp:effectExtent l="0" t="0" r="38100" b="62865"/>
                <wp:wrapSquare wrapText="bothSides"/>
                <wp:docPr id="468"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384935"/>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A3494E" w:rsidRPr="00F224A0" w:rsidRDefault="00A3494E" w:rsidP="00DE66F7">
                            <w:pPr>
                              <w:numPr>
                                <w:ilvl w:val="0"/>
                                <w:numId w:val="28"/>
                              </w:numPr>
                              <w:tabs>
                                <w:tab w:val="left" w:pos="360"/>
                              </w:tabs>
                              <w:autoSpaceDE w:val="0"/>
                              <w:autoSpaceDN w:val="0"/>
                              <w:adjustRightInd w:val="0"/>
                              <w:ind w:left="0" w:firstLine="0"/>
                              <w:jc w:val="both"/>
                              <w:rPr>
                                <w:rFonts w:ascii="Calibri" w:hAnsi="Calibri" w:cs="Arial"/>
                                <w:sz w:val="30"/>
                                <w:szCs w:val="30"/>
                              </w:rPr>
                            </w:pPr>
                            <w:r w:rsidRPr="00294301">
                              <w:rPr>
                                <w:rFonts w:ascii="Calibri" w:hAnsi="Calibri" w:cs="Arial"/>
                                <w:sz w:val="30"/>
                                <w:szCs w:val="30"/>
                              </w:rPr>
                              <w:t>за последние пять лет объем операций, проведенных через дистанционные каналы связи и электронные терминалы, вырос более чем в 2 раза</w:t>
                            </w:r>
                            <w:r>
                              <w:rPr>
                                <w:rFonts w:ascii="Calibri" w:hAnsi="Calibri" w:cs="Arial"/>
                                <w:sz w:val="30"/>
                                <w:szCs w:val="30"/>
                              </w:rPr>
                              <w:t>.</w:t>
                            </w:r>
                          </w:p>
                          <w:p w:rsidR="00A3494E" w:rsidRPr="00DF43AB" w:rsidRDefault="00A3494E" w:rsidP="00DE66F7">
                            <w:pPr>
                              <w:tabs>
                                <w:tab w:val="left" w:pos="360"/>
                              </w:tabs>
                              <w:autoSpaceDE w:val="0"/>
                              <w:autoSpaceDN w:val="0"/>
                              <w:adjustRightInd w:val="0"/>
                              <w:jc w:val="both"/>
                              <w:rPr>
                                <w:rFonts w:ascii="Calibri" w:hAnsi="Calibri" w:cs="Arial"/>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8" style="position:absolute;left:0;text-align:left;margin-left:218.2pt;margin-top:4pt;width:261pt;height:109.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" fillcolor="#cf9" strokecolor="#cf9" strokeweight="1pt">
                <v:shadow on="t" color="#205867" opacity=".5" offset="1pt"/>
                <v:textbox>
                  <w:txbxContent>
                    <w:p w:rsidR="00A3494E" w:rsidRPr="00F224A0" w:rsidRDefault="00A3494E" w:rsidP="00DE66F7">
                      <w:pPr>
                        <w:numPr>
                          <w:ilvl w:val="0"/>
                          <w:numId w:val="28"/>
                        </w:numPr>
                        <w:tabs>
                          <w:tab w:val="left" w:pos="360"/>
                        </w:tabs>
                        <w:autoSpaceDE w:val="0"/>
                        <w:autoSpaceDN w:val="0"/>
                        <w:adjustRightInd w:val="0"/>
                        <w:ind w:left="0" w:firstLine="0"/>
                        <w:jc w:val="both"/>
                        <w:rPr>
                          <w:rFonts w:ascii="Calibri" w:hAnsi="Calibri" w:cs="Arial"/>
                          <w:sz w:val="30"/>
                          <w:szCs w:val="30"/>
                        </w:rPr>
                      </w:pPr>
                      <w:r w:rsidRPr="00294301">
                        <w:rPr>
                          <w:rFonts w:ascii="Calibri" w:hAnsi="Calibri" w:cs="Arial"/>
                          <w:sz w:val="30"/>
                          <w:szCs w:val="30"/>
                        </w:rPr>
                        <w:t>за последние пять лет объем операций, проведенных через дистанционные каналы связи и электронные терминалы, вырос более чем в 2 раза</w:t>
                      </w:r>
                      <w:r>
                        <w:rPr>
                          <w:rFonts w:ascii="Calibri" w:hAnsi="Calibri" w:cs="Arial"/>
                          <w:sz w:val="30"/>
                          <w:szCs w:val="30"/>
                        </w:rPr>
                        <w:t>.</w:t>
                      </w:r>
                    </w:p>
                    <w:p w:rsidR="00A3494E" w:rsidRPr="00DF43AB" w:rsidRDefault="00A3494E" w:rsidP="00DE66F7">
                      <w:pPr>
                        <w:tabs>
                          <w:tab w:val="left" w:pos="360"/>
                        </w:tabs>
                        <w:autoSpaceDE w:val="0"/>
                        <w:autoSpaceDN w:val="0"/>
                        <w:adjustRightInd w:val="0"/>
                        <w:jc w:val="both"/>
                        <w:rPr>
                          <w:rFonts w:ascii="Calibri" w:hAnsi="Calibri" w:cs="Arial"/>
                          <w:sz w:val="30"/>
                          <w:szCs w:val="30"/>
                        </w:rPr>
                      </w:pPr>
                    </w:p>
                  </w:txbxContent>
                </v:textbox>
                <w10:wrap type="square"/>
              </v:roundrect>
            </w:pict>
          </mc:Fallback>
        </mc:AlternateContent>
      </w:r>
      <w:r w:rsidRPr="008578F3">
        <w:rPr>
          <w:rFonts w:ascii="Calibri" w:hAnsi="Calibri"/>
          <w:b/>
          <w:sz w:val="30"/>
          <w:szCs w:val="30"/>
        </w:rPr>
        <w:t>сумму 12</w:t>
      </w:r>
      <w:r w:rsidR="00D1183C" w:rsidRPr="008578F3">
        <w:rPr>
          <w:rFonts w:ascii="Calibri" w:hAnsi="Calibri"/>
          <w:b/>
          <w:sz w:val="30"/>
          <w:szCs w:val="30"/>
        </w:rPr>
        <w:t>,4 трлн</w:t>
      </w:r>
      <w:r w:rsidRPr="008578F3">
        <w:rPr>
          <w:rFonts w:ascii="Calibri" w:hAnsi="Calibri"/>
          <w:b/>
          <w:sz w:val="30"/>
          <w:szCs w:val="30"/>
        </w:rPr>
        <w:t>. тенге</w:t>
      </w:r>
      <w:r w:rsidRPr="008578F3">
        <w:rPr>
          <w:rFonts w:ascii="Calibri" w:hAnsi="Calibri"/>
          <w:sz w:val="30"/>
          <w:szCs w:val="30"/>
        </w:rPr>
        <w:t>. По сравнению</w:t>
      </w:r>
      <w:r w:rsidRPr="00015E28">
        <w:rPr>
          <w:rFonts w:ascii="Calibri" w:hAnsi="Calibri"/>
          <w:sz w:val="30"/>
          <w:szCs w:val="30"/>
        </w:rPr>
        <w:t xml:space="preserve"> с 2015 </w:t>
      </w:r>
      <w:r w:rsidRPr="00015E28">
        <w:rPr>
          <w:rFonts w:ascii="Calibri" w:hAnsi="Calibri"/>
          <w:sz w:val="30"/>
          <w:szCs w:val="30"/>
        </w:rPr>
        <w:lastRenderedPageBreak/>
        <w:t xml:space="preserve">годом количество транзакций увеличилось на 13,6%, а сумма – на 28,6%. </w:t>
      </w:r>
    </w:p>
    <w:p w:rsidR="00B1573D" w:rsidRPr="008578F3" w:rsidRDefault="00DE66F7" w:rsidP="00176F0A">
      <w:pPr>
        <w:ind w:firstLine="709"/>
        <w:jc w:val="both"/>
        <w:rPr>
          <w:rFonts w:ascii="Calibri" w:hAnsi="Calibri"/>
          <w:sz w:val="30"/>
          <w:szCs w:val="30"/>
        </w:rPr>
      </w:pPr>
      <w:r w:rsidRPr="00015E28">
        <w:rPr>
          <w:rFonts w:ascii="Calibri" w:hAnsi="Calibri"/>
          <w:sz w:val="30"/>
          <w:szCs w:val="30"/>
        </w:rPr>
        <w:t xml:space="preserve">Основная доля указанных операций - </w:t>
      </w:r>
      <w:r w:rsidRPr="005010CE">
        <w:rPr>
          <w:rFonts w:ascii="Calibri" w:hAnsi="Calibri"/>
          <w:sz w:val="30"/>
          <w:szCs w:val="30"/>
        </w:rPr>
        <w:t xml:space="preserve">44,2% количества и 70,4% </w:t>
      </w:r>
      <w:r w:rsidRPr="008578F3">
        <w:rPr>
          <w:rFonts w:ascii="Calibri" w:hAnsi="Calibri"/>
          <w:sz w:val="30"/>
          <w:szCs w:val="30"/>
        </w:rPr>
        <w:t>объема приходятся на снятие наличных денег с использованием платежных карточек.</w:t>
      </w:r>
      <w:r w:rsidR="005010CE" w:rsidRPr="008578F3">
        <w:rPr>
          <w:rFonts w:ascii="Calibri" w:hAnsi="Calibri"/>
          <w:sz w:val="30"/>
          <w:szCs w:val="30"/>
        </w:rPr>
        <w:t xml:space="preserve"> </w:t>
      </w:r>
      <w:r w:rsidRPr="008578F3">
        <w:rPr>
          <w:rFonts w:ascii="Calibri" w:hAnsi="Calibri"/>
          <w:sz w:val="30"/>
          <w:szCs w:val="30"/>
        </w:rPr>
        <w:t>Так, количество операций по снятию наличных денег с использованием платежных карточек  составило 209,6 млн. транзакций на сумму 8</w:t>
      </w:r>
      <w:r w:rsidR="00D1183C" w:rsidRPr="008578F3">
        <w:rPr>
          <w:rFonts w:ascii="Calibri" w:hAnsi="Calibri"/>
          <w:sz w:val="30"/>
          <w:szCs w:val="30"/>
        </w:rPr>
        <w:t>,</w:t>
      </w:r>
      <w:r w:rsidRPr="008578F3">
        <w:rPr>
          <w:rFonts w:ascii="Calibri" w:hAnsi="Calibri"/>
          <w:sz w:val="30"/>
          <w:szCs w:val="30"/>
        </w:rPr>
        <w:t>7</w:t>
      </w:r>
      <w:r w:rsidR="00D1183C" w:rsidRPr="008578F3">
        <w:rPr>
          <w:rFonts w:ascii="Calibri" w:hAnsi="Calibri"/>
          <w:sz w:val="30"/>
          <w:szCs w:val="30"/>
        </w:rPr>
        <w:t xml:space="preserve"> трлн</w:t>
      </w:r>
      <w:r w:rsidRPr="008578F3">
        <w:rPr>
          <w:rFonts w:ascii="Calibri" w:hAnsi="Calibri"/>
          <w:sz w:val="30"/>
          <w:szCs w:val="30"/>
        </w:rPr>
        <w:t>. тенге, увеличившись по сравнению с 2015 годом на 12,8% по количеству и на 21,6% по сумме.</w:t>
      </w:r>
      <w:r w:rsidRPr="008578F3">
        <w:rPr>
          <w:rFonts w:ascii="Calibri" w:hAnsi="Calibri"/>
          <w:b/>
          <w:sz w:val="30"/>
          <w:szCs w:val="30"/>
        </w:rPr>
        <w:t xml:space="preserve"> </w:t>
      </w:r>
      <w:r w:rsidR="00B1573D" w:rsidRPr="008578F3">
        <w:rPr>
          <w:rFonts w:ascii="Calibri" w:hAnsi="Calibri"/>
          <w:b/>
          <w:sz w:val="30"/>
          <w:szCs w:val="30"/>
        </w:rPr>
        <w:t xml:space="preserve"> </w:t>
      </w:r>
      <w:r w:rsidR="00B1573D" w:rsidRPr="008578F3">
        <w:rPr>
          <w:rFonts w:ascii="Calibri" w:hAnsi="Calibri"/>
          <w:sz w:val="30"/>
          <w:szCs w:val="30"/>
        </w:rPr>
        <w:t>Операции без использования платежных карточек путем взноса наличных денег через электронные терминалы составили 139,8 млн. транзакций на сумму 1</w:t>
      </w:r>
      <w:r w:rsidR="00D1183C" w:rsidRPr="008578F3">
        <w:rPr>
          <w:rFonts w:ascii="Calibri" w:hAnsi="Calibri"/>
          <w:sz w:val="30"/>
          <w:szCs w:val="30"/>
        </w:rPr>
        <w:t>,8</w:t>
      </w:r>
      <w:r w:rsidR="00B1573D" w:rsidRPr="008578F3">
        <w:rPr>
          <w:rFonts w:ascii="Calibri" w:hAnsi="Calibri"/>
          <w:sz w:val="30"/>
          <w:szCs w:val="30"/>
        </w:rPr>
        <w:t xml:space="preserve"> </w:t>
      </w:r>
      <w:r w:rsidR="00D1183C" w:rsidRPr="008578F3">
        <w:rPr>
          <w:rFonts w:ascii="Calibri" w:hAnsi="Calibri"/>
          <w:sz w:val="30"/>
          <w:szCs w:val="30"/>
        </w:rPr>
        <w:t>трлн</w:t>
      </w:r>
      <w:r w:rsidR="00B1573D" w:rsidRPr="008578F3">
        <w:rPr>
          <w:rFonts w:ascii="Calibri" w:hAnsi="Calibri"/>
          <w:sz w:val="30"/>
          <w:szCs w:val="30"/>
        </w:rPr>
        <w:t xml:space="preserve">. тенге. </w:t>
      </w:r>
    </w:p>
    <w:p w:rsidR="00DE66F7" w:rsidRPr="00015E28" w:rsidRDefault="00DE66F7" w:rsidP="00176F0A">
      <w:pPr>
        <w:ind w:firstLine="709"/>
        <w:jc w:val="both"/>
        <w:rPr>
          <w:rFonts w:ascii="Calibri" w:hAnsi="Calibri"/>
          <w:sz w:val="30"/>
          <w:szCs w:val="30"/>
        </w:rPr>
      </w:pPr>
      <w:r w:rsidRPr="008578F3">
        <w:rPr>
          <w:rFonts w:ascii="Calibri" w:hAnsi="Calibri"/>
          <w:b/>
          <w:sz w:val="30"/>
          <w:szCs w:val="30"/>
        </w:rPr>
        <w:t xml:space="preserve">Безналичные платежи </w:t>
      </w:r>
      <w:r w:rsidR="00D1183C" w:rsidRPr="008578F3">
        <w:rPr>
          <w:rFonts w:ascii="Calibri" w:hAnsi="Calibri"/>
          <w:b/>
          <w:sz w:val="30"/>
          <w:szCs w:val="30"/>
        </w:rPr>
        <w:t>и переводы денег</w:t>
      </w:r>
      <w:r w:rsidRPr="008578F3">
        <w:rPr>
          <w:rFonts w:ascii="Calibri" w:hAnsi="Calibri"/>
          <w:b/>
          <w:sz w:val="30"/>
          <w:szCs w:val="30"/>
        </w:rPr>
        <w:t xml:space="preserve"> </w:t>
      </w:r>
      <w:r w:rsidR="005010CE" w:rsidRPr="008578F3">
        <w:rPr>
          <w:rFonts w:ascii="Calibri" w:hAnsi="Calibri"/>
          <w:b/>
          <w:sz w:val="30"/>
          <w:szCs w:val="30"/>
        </w:rPr>
        <w:t xml:space="preserve">посредством систем удаленного обслуживания </w:t>
      </w:r>
      <w:r w:rsidR="005010CE" w:rsidRPr="008578F3">
        <w:rPr>
          <w:rFonts w:ascii="Calibri" w:hAnsi="Calibri"/>
          <w:sz w:val="30"/>
          <w:szCs w:val="30"/>
        </w:rPr>
        <w:t>(дистанционные каналы обслуживания и оборудование)</w:t>
      </w:r>
      <w:r w:rsidR="005010CE" w:rsidRPr="008578F3">
        <w:rPr>
          <w:rFonts w:ascii="Calibri" w:hAnsi="Calibri"/>
          <w:b/>
          <w:sz w:val="30"/>
          <w:szCs w:val="30"/>
        </w:rPr>
        <w:t xml:space="preserve"> составили </w:t>
      </w:r>
      <w:r w:rsidRPr="008578F3">
        <w:rPr>
          <w:rFonts w:ascii="Calibri" w:hAnsi="Calibri"/>
          <w:b/>
          <w:sz w:val="30"/>
          <w:szCs w:val="30"/>
        </w:rPr>
        <w:t>125,3 млн. транзакций на сумму 1</w:t>
      </w:r>
      <w:r w:rsidR="00D1183C" w:rsidRPr="008578F3">
        <w:rPr>
          <w:rFonts w:ascii="Calibri" w:hAnsi="Calibri"/>
          <w:b/>
          <w:sz w:val="30"/>
          <w:szCs w:val="30"/>
        </w:rPr>
        <w:t>,9 трлн.</w:t>
      </w:r>
      <w:r w:rsidRPr="008578F3">
        <w:rPr>
          <w:rFonts w:ascii="Calibri" w:hAnsi="Calibri"/>
          <w:b/>
          <w:sz w:val="30"/>
          <w:szCs w:val="30"/>
        </w:rPr>
        <w:t xml:space="preserve"> тенге</w:t>
      </w:r>
      <w:r w:rsidRPr="008578F3">
        <w:rPr>
          <w:rFonts w:ascii="Calibri" w:hAnsi="Calibri"/>
          <w:sz w:val="30"/>
          <w:szCs w:val="30"/>
        </w:rPr>
        <w:t>, увеличившись по сравнению с 2015 годом на 38,8% по количеству</w:t>
      </w:r>
      <w:r w:rsidRPr="00015E28">
        <w:rPr>
          <w:rFonts w:ascii="Calibri" w:hAnsi="Calibri"/>
          <w:sz w:val="30"/>
          <w:szCs w:val="30"/>
        </w:rPr>
        <w:t xml:space="preserve"> и на </w:t>
      </w:r>
      <w:r>
        <w:rPr>
          <w:rFonts w:ascii="Calibri" w:hAnsi="Calibri"/>
          <w:sz w:val="30"/>
          <w:szCs w:val="30"/>
        </w:rPr>
        <w:t>44</w:t>
      </w:r>
      <w:r w:rsidRPr="00015E28">
        <w:rPr>
          <w:rFonts w:ascii="Calibri" w:hAnsi="Calibri"/>
          <w:sz w:val="30"/>
          <w:szCs w:val="30"/>
        </w:rPr>
        <w:t>,</w:t>
      </w:r>
      <w:r>
        <w:rPr>
          <w:rFonts w:ascii="Calibri" w:hAnsi="Calibri"/>
          <w:sz w:val="30"/>
          <w:szCs w:val="30"/>
        </w:rPr>
        <w:t>6</w:t>
      </w:r>
      <w:r w:rsidRPr="00015E28">
        <w:rPr>
          <w:rFonts w:ascii="Calibri" w:hAnsi="Calibri"/>
          <w:sz w:val="30"/>
          <w:szCs w:val="30"/>
        </w:rPr>
        <w:t>% по сумме.</w:t>
      </w:r>
    </w:p>
    <w:p w:rsidR="006E2AC8" w:rsidRDefault="006E2AC8" w:rsidP="00176F0A">
      <w:pPr>
        <w:jc w:val="center"/>
        <w:rPr>
          <w:rFonts w:ascii="Calibri" w:hAnsi="Calibri" w:cs="Arial"/>
          <w:b/>
          <w:color w:val="0E4C28"/>
          <w:sz w:val="28"/>
          <w:szCs w:val="28"/>
        </w:rPr>
      </w:pPr>
    </w:p>
    <w:p w:rsidR="00846DC9" w:rsidRDefault="00DE66F7" w:rsidP="00176F0A">
      <w:pPr>
        <w:jc w:val="center"/>
        <w:rPr>
          <w:rFonts w:ascii="Calibri" w:hAnsi="Calibri" w:cs="Arial"/>
          <w:b/>
          <w:color w:val="0E4C28"/>
          <w:sz w:val="28"/>
          <w:szCs w:val="28"/>
        </w:rPr>
      </w:pPr>
      <w:r w:rsidRPr="00846DC9">
        <w:rPr>
          <w:rFonts w:ascii="Calibri" w:hAnsi="Calibri" w:cs="Arial"/>
          <w:b/>
          <w:color w:val="0E4C28"/>
          <w:sz w:val="28"/>
          <w:szCs w:val="28"/>
        </w:rPr>
        <w:t xml:space="preserve">Динамика </w:t>
      </w:r>
      <w:r w:rsidR="00846DC9">
        <w:rPr>
          <w:rFonts w:ascii="Calibri" w:hAnsi="Calibri" w:cs="Arial"/>
          <w:b/>
          <w:color w:val="0E4C28"/>
          <w:sz w:val="28"/>
          <w:szCs w:val="28"/>
        </w:rPr>
        <w:t xml:space="preserve">платежных услуг, </w:t>
      </w:r>
      <w:proofErr w:type="gramStart"/>
      <w:r w:rsidR="00846DC9">
        <w:rPr>
          <w:rFonts w:ascii="Calibri" w:hAnsi="Calibri" w:cs="Arial"/>
          <w:b/>
          <w:color w:val="0E4C28"/>
          <w:sz w:val="28"/>
          <w:szCs w:val="28"/>
        </w:rPr>
        <w:t>оказанных</w:t>
      </w:r>
      <w:proofErr w:type="gramEnd"/>
      <w:r w:rsidR="00846DC9">
        <w:rPr>
          <w:rFonts w:ascii="Calibri" w:hAnsi="Calibri" w:cs="Arial"/>
          <w:b/>
          <w:color w:val="0E4C28"/>
          <w:sz w:val="28"/>
          <w:szCs w:val="28"/>
        </w:rPr>
        <w:t xml:space="preserve"> посредством </w:t>
      </w:r>
    </w:p>
    <w:p w:rsidR="00DE66F7" w:rsidRDefault="00846DC9" w:rsidP="00176F0A">
      <w:pPr>
        <w:jc w:val="center"/>
        <w:rPr>
          <w:rFonts w:ascii="Calibri" w:hAnsi="Calibri" w:cs="Arial"/>
          <w:b/>
          <w:color w:val="0E4C28"/>
          <w:sz w:val="28"/>
          <w:szCs w:val="28"/>
        </w:rPr>
      </w:pPr>
      <w:r>
        <w:rPr>
          <w:rFonts w:ascii="Calibri" w:hAnsi="Calibri" w:cs="Arial"/>
          <w:b/>
          <w:color w:val="0E4C28"/>
          <w:sz w:val="28"/>
          <w:szCs w:val="28"/>
        </w:rPr>
        <w:t>систем удаленного доступа</w:t>
      </w:r>
    </w:p>
    <w:p w:rsidR="00176F0A" w:rsidRDefault="00176F0A" w:rsidP="00176F0A">
      <w:pPr>
        <w:jc w:val="center"/>
        <w:rPr>
          <w:rFonts w:ascii="Calibri" w:hAnsi="Calibri"/>
          <w:sz w:val="30"/>
          <w:szCs w:val="30"/>
        </w:rPr>
      </w:pPr>
      <w:r w:rsidRPr="000E3E77">
        <w:rPr>
          <w:noProof/>
        </w:rPr>
        <w:drawing>
          <wp:inline distT="0" distB="0" distL="0" distR="0" wp14:anchorId="49BD9CE5" wp14:editId="0A38EBB7">
            <wp:extent cx="5947576" cy="2167227"/>
            <wp:effectExtent l="0" t="0" r="0" b="5080"/>
            <wp:docPr id="458" name="Диаграмма 4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1573D" w:rsidRPr="00B1573D" w:rsidRDefault="00B1573D" w:rsidP="00176F0A">
      <w:pPr>
        <w:ind w:firstLine="709"/>
        <w:jc w:val="both"/>
        <w:rPr>
          <w:rFonts w:ascii="Calibri" w:hAnsi="Calibri"/>
          <w:sz w:val="30"/>
          <w:szCs w:val="30"/>
        </w:rPr>
      </w:pPr>
      <w:r w:rsidRPr="00B1573D">
        <w:rPr>
          <w:rFonts w:ascii="Calibri" w:hAnsi="Calibri"/>
          <w:sz w:val="30"/>
          <w:szCs w:val="30"/>
        </w:rPr>
        <w:t>Основная часть безналичных операций</w:t>
      </w:r>
      <w:r>
        <w:rPr>
          <w:rFonts w:ascii="Calibri" w:hAnsi="Calibri"/>
          <w:sz w:val="30"/>
          <w:szCs w:val="30"/>
        </w:rPr>
        <w:t xml:space="preserve">, проведенных </w:t>
      </w:r>
      <w:r w:rsidR="00095276">
        <w:rPr>
          <w:rFonts w:ascii="Calibri" w:hAnsi="Calibri"/>
          <w:sz w:val="30"/>
          <w:szCs w:val="30"/>
        </w:rPr>
        <w:t>посредством систем</w:t>
      </w:r>
      <w:r>
        <w:rPr>
          <w:rFonts w:ascii="Calibri" w:hAnsi="Calibri"/>
          <w:sz w:val="30"/>
          <w:szCs w:val="30"/>
        </w:rPr>
        <w:t xml:space="preserve"> удаленного доступа,</w:t>
      </w:r>
      <w:r w:rsidRPr="00B1573D">
        <w:rPr>
          <w:rFonts w:ascii="Calibri" w:hAnsi="Calibri"/>
          <w:sz w:val="30"/>
          <w:szCs w:val="30"/>
        </w:rPr>
        <w:t xml:space="preserve"> приходится на интернет/мобильные платежи (41,8% от общего количества и 44,2</w:t>
      </w:r>
      <w:r>
        <w:rPr>
          <w:rFonts w:ascii="Calibri" w:hAnsi="Calibri"/>
          <w:sz w:val="30"/>
          <w:szCs w:val="30"/>
        </w:rPr>
        <w:t xml:space="preserve">% от общей суммы) и </w:t>
      </w:r>
      <w:r w:rsidRPr="00B1573D">
        <w:rPr>
          <w:rFonts w:ascii="Calibri" w:hAnsi="Calibri"/>
          <w:sz w:val="30"/>
          <w:szCs w:val="30"/>
        </w:rPr>
        <w:t xml:space="preserve">платежи посредством </w:t>
      </w:r>
      <w:r w:rsidRPr="00CB2E51">
        <w:rPr>
          <w:rFonts w:ascii="Calibri" w:hAnsi="Calibri"/>
          <w:sz w:val="30"/>
          <w:szCs w:val="30"/>
        </w:rPr>
        <w:t xml:space="preserve">POS-терминалов (46,8% от общего количества и 42,8% от общей суммы). На долю </w:t>
      </w:r>
      <w:r w:rsidR="00327BDD" w:rsidRPr="00CB2E51">
        <w:rPr>
          <w:rFonts w:ascii="Calibri" w:hAnsi="Calibri"/>
          <w:sz w:val="30"/>
          <w:szCs w:val="30"/>
        </w:rPr>
        <w:t>прочих</w:t>
      </w:r>
      <w:r w:rsidRPr="00B1573D">
        <w:rPr>
          <w:rFonts w:ascii="Calibri" w:hAnsi="Calibri"/>
          <w:sz w:val="30"/>
          <w:szCs w:val="30"/>
        </w:rPr>
        <w:t xml:space="preserve"> устройств (банкоматы, банковские киоски и прочее) приходится 11,5% и 13,0% от общего количества и объема безналичных платежей, соответственно.</w:t>
      </w:r>
    </w:p>
    <w:p w:rsidR="00095276" w:rsidRPr="00015E28" w:rsidRDefault="00095276" w:rsidP="00176F0A">
      <w:pPr>
        <w:jc w:val="center"/>
        <w:rPr>
          <w:rFonts w:ascii="Calibri" w:hAnsi="Calibri"/>
          <w:sz w:val="30"/>
          <w:szCs w:val="30"/>
        </w:rPr>
      </w:pPr>
      <w:r w:rsidRPr="00015E28">
        <w:rPr>
          <w:rFonts w:ascii="Calibri" w:hAnsi="Calibri" w:cs="Arial"/>
          <w:b/>
          <w:color w:val="0E4C28"/>
          <w:sz w:val="28"/>
          <w:szCs w:val="28"/>
        </w:rPr>
        <w:lastRenderedPageBreak/>
        <w:t xml:space="preserve">Доля </w:t>
      </w:r>
      <w:r>
        <w:rPr>
          <w:rFonts w:ascii="Calibri" w:hAnsi="Calibri" w:cs="Arial"/>
          <w:b/>
          <w:color w:val="0E4C28"/>
          <w:sz w:val="28"/>
          <w:szCs w:val="28"/>
        </w:rPr>
        <w:t xml:space="preserve">количества безналичных операций, проведенных посредством систем удаленного доступа, </w:t>
      </w:r>
      <w:r w:rsidRPr="00015E28">
        <w:rPr>
          <w:rFonts w:ascii="Calibri" w:hAnsi="Calibri" w:cs="Arial"/>
          <w:b/>
          <w:color w:val="0E4C28"/>
          <w:sz w:val="28"/>
          <w:szCs w:val="28"/>
        </w:rPr>
        <w:t>в разрезе среды проведения</w:t>
      </w:r>
      <w:r w:rsidRPr="00015E28">
        <w:rPr>
          <w:rFonts w:ascii="Calibri" w:hAnsi="Calibri" w:cs="Arial"/>
          <w:b/>
          <w:sz w:val="30"/>
          <w:szCs w:val="30"/>
        </w:rPr>
        <w:t xml:space="preserve"> </w:t>
      </w:r>
      <w:r>
        <w:rPr>
          <w:rFonts w:ascii="Calibri" w:hAnsi="Calibri"/>
          <w:noProof/>
          <w:sz w:val="30"/>
          <w:szCs w:val="30"/>
        </w:rPr>
        <w:drawing>
          <wp:inline distT="0" distB="0" distL="0" distR="0" wp14:anchorId="44B77BE2" wp14:editId="4E1873FA">
            <wp:extent cx="5890846" cy="1713621"/>
            <wp:effectExtent l="0" t="0" r="0" b="1270"/>
            <wp:docPr id="24" name="Диаграмма 4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E2AC8" w:rsidRDefault="006E2AC8" w:rsidP="00176F0A">
      <w:pPr>
        <w:jc w:val="center"/>
        <w:rPr>
          <w:rFonts w:ascii="Calibri" w:hAnsi="Calibri" w:cs="Arial"/>
          <w:b/>
          <w:color w:val="0E4C28"/>
          <w:sz w:val="28"/>
          <w:szCs w:val="28"/>
        </w:rPr>
      </w:pPr>
    </w:p>
    <w:p w:rsidR="00095276" w:rsidRPr="00015E28" w:rsidRDefault="00095276" w:rsidP="00176F0A">
      <w:pPr>
        <w:jc w:val="center"/>
        <w:rPr>
          <w:rFonts w:ascii="Calibri" w:hAnsi="Calibri" w:cs="Arial"/>
          <w:b/>
          <w:color w:val="0E4C28"/>
          <w:sz w:val="28"/>
          <w:szCs w:val="28"/>
        </w:rPr>
      </w:pPr>
      <w:r w:rsidRPr="00015E28">
        <w:rPr>
          <w:rFonts w:ascii="Calibri" w:hAnsi="Calibri" w:cs="Arial"/>
          <w:b/>
          <w:color w:val="0E4C28"/>
          <w:sz w:val="28"/>
          <w:szCs w:val="28"/>
        </w:rPr>
        <w:t>Доля суммы безналичных операций</w:t>
      </w:r>
      <w:r>
        <w:rPr>
          <w:rFonts w:ascii="Calibri" w:hAnsi="Calibri" w:cs="Arial"/>
          <w:b/>
          <w:color w:val="0E4C28"/>
          <w:sz w:val="28"/>
          <w:szCs w:val="28"/>
        </w:rPr>
        <w:t>, проведенных посредством систем удаленного доступа,</w:t>
      </w:r>
      <w:r w:rsidRPr="00015E28">
        <w:rPr>
          <w:rFonts w:ascii="Calibri" w:hAnsi="Calibri" w:cs="Arial"/>
          <w:b/>
          <w:color w:val="0E4C28"/>
          <w:sz w:val="28"/>
          <w:szCs w:val="28"/>
        </w:rPr>
        <w:t xml:space="preserve"> в разрезе среды проведения</w:t>
      </w:r>
    </w:p>
    <w:p w:rsidR="00095276" w:rsidRPr="00015E28" w:rsidRDefault="00095276" w:rsidP="00176F0A">
      <w:pPr>
        <w:jc w:val="both"/>
        <w:rPr>
          <w:rFonts w:ascii="Calibri" w:hAnsi="Calibri"/>
          <w:sz w:val="30"/>
          <w:szCs w:val="30"/>
        </w:rPr>
      </w:pPr>
      <w:r>
        <w:rPr>
          <w:rFonts w:ascii="Calibri" w:hAnsi="Calibri"/>
          <w:noProof/>
          <w:sz w:val="30"/>
          <w:szCs w:val="30"/>
        </w:rPr>
        <w:drawing>
          <wp:inline distT="0" distB="0" distL="0" distR="0" wp14:anchorId="1B2626B9" wp14:editId="21A84613">
            <wp:extent cx="5908431" cy="1713621"/>
            <wp:effectExtent l="0" t="0" r="0" b="1270"/>
            <wp:docPr id="25" name="Диаграмма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76F0A" w:rsidRPr="00176F0A" w:rsidRDefault="00176F0A" w:rsidP="00176F0A">
      <w:pPr>
        <w:pStyle w:val="2"/>
        <w:pBdr>
          <w:bottom w:val="single" w:sz="12" w:space="1" w:color="auto"/>
        </w:pBdr>
        <w:spacing w:before="0"/>
        <w:jc w:val="both"/>
        <w:rPr>
          <w:rFonts w:ascii="Calibri" w:hAnsi="Calibri"/>
          <w:bCs w:val="0"/>
          <w:snapToGrid w:val="0"/>
          <w:color w:val="0E4C28"/>
          <w:spacing w:val="-2"/>
          <w:sz w:val="30"/>
          <w:szCs w:val="30"/>
        </w:rPr>
      </w:pPr>
      <w:bookmarkStart w:id="128" w:name="_Toc481418206"/>
    </w:p>
    <w:p w:rsidR="00551431" w:rsidRDefault="003E1657" w:rsidP="00176F0A">
      <w:pPr>
        <w:pStyle w:val="2"/>
        <w:pBdr>
          <w:bottom w:val="single" w:sz="12" w:space="1" w:color="auto"/>
        </w:pBdr>
        <w:spacing w:before="0"/>
        <w:jc w:val="both"/>
        <w:rPr>
          <w:rFonts w:ascii="Calibri" w:hAnsi="Calibri"/>
          <w:bCs w:val="0"/>
          <w:snapToGrid w:val="0"/>
          <w:color w:val="0E4C28"/>
          <w:spacing w:val="-2"/>
          <w:sz w:val="32"/>
        </w:rPr>
      </w:pPr>
      <w:r>
        <w:rPr>
          <w:rFonts w:ascii="Calibri" w:hAnsi="Calibri"/>
          <w:bCs w:val="0"/>
          <w:snapToGrid w:val="0"/>
          <w:color w:val="0E4C28"/>
          <w:spacing w:val="-2"/>
          <w:sz w:val="32"/>
        </w:rPr>
        <w:t>3</w:t>
      </w:r>
      <w:r w:rsidR="00551431" w:rsidRPr="00015E28">
        <w:rPr>
          <w:rFonts w:ascii="Calibri" w:hAnsi="Calibri"/>
          <w:bCs w:val="0"/>
          <w:snapToGrid w:val="0"/>
          <w:color w:val="0E4C28"/>
          <w:spacing w:val="-2"/>
          <w:sz w:val="32"/>
        </w:rPr>
        <w:t>.3</w:t>
      </w:r>
      <w:r w:rsidR="00176F0A">
        <w:rPr>
          <w:rFonts w:ascii="Calibri" w:hAnsi="Calibri"/>
          <w:bCs w:val="0"/>
          <w:snapToGrid w:val="0"/>
          <w:color w:val="0E4C28"/>
          <w:spacing w:val="-2"/>
          <w:sz w:val="32"/>
        </w:rPr>
        <w:t>.</w:t>
      </w:r>
      <w:r w:rsidR="00551431" w:rsidRPr="00015E28">
        <w:rPr>
          <w:rFonts w:ascii="Calibri" w:hAnsi="Calibri"/>
          <w:bCs w:val="0"/>
          <w:snapToGrid w:val="0"/>
          <w:color w:val="0E4C28"/>
          <w:spacing w:val="-2"/>
          <w:sz w:val="32"/>
        </w:rPr>
        <w:t xml:space="preserve"> Интернет и мобильные платежи</w:t>
      </w:r>
      <w:bookmarkEnd w:id="128"/>
    </w:p>
    <w:p w:rsidR="00E148B7" w:rsidRPr="008578F3" w:rsidRDefault="00846DC9" w:rsidP="00176F0A">
      <w:pPr>
        <w:ind w:firstLine="709"/>
        <w:jc w:val="both"/>
        <w:rPr>
          <w:rFonts w:ascii="Calibri" w:hAnsi="Calibri"/>
          <w:sz w:val="30"/>
          <w:szCs w:val="30"/>
        </w:rPr>
      </w:pPr>
      <w:r>
        <w:rPr>
          <w:rFonts w:ascii="Calibri" w:hAnsi="Calibri"/>
          <w:noProof/>
          <w:sz w:val="30"/>
          <w:szCs w:val="30"/>
        </w:rPr>
        <mc:AlternateContent>
          <mc:Choice Requires="wps">
            <w:drawing>
              <wp:anchor distT="0" distB="0" distL="114300" distR="114300" simplePos="0" relativeHeight="251666432" behindDoc="0" locked="0" layoutInCell="1" allowOverlap="1" wp14:anchorId="4F950997" wp14:editId="239DB2A9">
                <wp:simplePos x="0" y="0"/>
                <wp:positionH relativeFrom="column">
                  <wp:posOffset>3086100</wp:posOffset>
                </wp:positionH>
                <wp:positionV relativeFrom="paragraph">
                  <wp:posOffset>90170</wp:posOffset>
                </wp:positionV>
                <wp:extent cx="2945130" cy="1623695"/>
                <wp:effectExtent l="0" t="0" r="45720" b="52705"/>
                <wp:wrapSquare wrapText="bothSides"/>
                <wp:docPr id="467"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5130" cy="1623695"/>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A3494E" w:rsidRPr="00294301" w:rsidRDefault="00A3494E" w:rsidP="00840EC9">
                            <w:pPr>
                              <w:numPr>
                                <w:ilvl w:val="0"/>
                                <w:numId w:val="28"/>
                              </w:numPr>
                              <w:tabs>
                                <w:tab w:val="left" w:pos="360"/>
                              </w:tabs>
                              <w:autoSpaceDE w:val="0"/>
                              <w:autoSpaceDN w:val="0"/>
                              <w:adjustRightInd w:val="0"/>
                              <w:spacing w:line="235" w:lineRule="auto"/>
                              <w:ind w:left="0" w:firstLine="0"/>
                              <w:jc w:val="both"/>
                              <w:rPr>
                                <w:rFonts w:ascii="Calibri" w:hAnsi="Calibri" w:cs="Arial"/>
                                <w:sz w:val="30"/>
                                <w:szCs w:val="30"/>
                              </w:rPr>
                            </w:pPr>
                            <w:r w:rsidRPr="00294301">
                              <w:rPr>
                                <w:rFonts w:ascii="Calibri" w:hAnsi="Calibri" w:cs="Arial"/>
                                <w:sz w:val="30"/>
                                <w:szCs w:val="30"/>
                              </w:rPr>
                              <w:t>расширение спектра оказываемых клиентам услуг;</w:t>
                            </w:r>
                          </w:p>
                          <w:p w:rsidR="00A3494E" w:rsidRPr="00095276" w:rsidRDefault="00A3494E" w:rsidP="00840EC9">
                            <w:pPr>
                              <w:numPr>
                                <w:ilvl w:val="0"/>
                                <w:numId w:val="28"/>
                              </w:numPr>
                              <w:tabs>
                                <w:tab w:val="left" w:pos="360"/>
                              </w:tabs>
                              <w:autoSpaceDE w:val="0"/>
                              <w:autoSpaceDN w:val="0"/>
                              <w:adjustRightInd w:val="0"/>
                              <w:spacing w:line="235" w:lineRule="auto"/>
                              <w:ind w:left="0" w:firstLine="0"/>
                              <w:jc w:val="both"/>
                              <w:rPr>
                                <w:rFonts w:ascii="Calibri" w:hAnsi="Calibri" w:cs="Arial"/>
                                <w:sz w:val="30"/>
                                <w:szCs w:val="30"/>
                              </w:rPr>
                            </w:pPr>
                            <w:r w:rsidRPr="00095276">
                              <w:rPr>
                                <w:rFonts w:ascii="Calibri" w:hAnsi="Calibri" w:cs="Arial"/>
                                <w:sz w:val="30"/>
                                <w:szCs w:val="30"/>
                              </w:rPr>
                              <w:t xml:space="preserve">рост объемов платежей, проведенных через </w:t>
                            </w:r>
                            <w:r>
                              <w:rPr>
                                <w:rFonts w:ascii="Calibri" w:hAnsi="Calibri" w:cs="Arial"/>
                                <w:sz w:val="30"/>
                                <w:szCs w:val="30"/>
                              </w:rPr>
                              <w:t>и</w:t>
                            </w:r>
                            <w:r w:rsidRPr="00095276">
                              <w:rPr>
                                <w:rFonts w:ascii="Calibri" w:hAnsi="Calibri" w:cs="Arial"/>
                                <w:sz w:val="30"/>
                                <w:szCs w:val="30"/>
                              </w:rPr>
                              <w:t>нтернет</w:t>
                            </w:r>
                            <w:r>
                              <w:rPr>
                                <w:rFonts w:ascii="Calibri" w:hAnsi="Calibri" w:cs="Arial"/>
                                <w:sz w:val="30"/>
                                <w:szCs w:val="30"/>
                              </w:rPr>
                              <w:t>/</w:t>
                            </w:r>
                            <w:r w:rsidRPr="00095276">
                              <w:rPr>
                                <w:rFonts w:ascii="Calibri" w:hAnsi="Calibri" w:cs="Arial"/>
                                <w:sz w:val="30"/>
                                <w:szCs w:val="30"/>
                              </w:rPr>
                              <w:t>мобильный банкинг в 2,3 раза по сравнению с 2015 годом</w:t>
                            </w:r>
                            <w:r>
                              <w:rPr>
                                <w:rFonts w:ascii="Calibri" w:hAnsi="Calibri" w:cs="Arial"/>
                                <w:sz w:val="30"/>
                                <w:szCs w:val="3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49" style="position:absolute;left:0;text-align:left;margin-left:243pt;margin-top:7.1pt;width:231.9pt;height:12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" fillcolor="#cf9" strokecolor="#cf9" strokeweight="1pt">
                <v:shadow on="t" color="#205867" opacity=".5" offset="1pt"/>
                <v:textbox>
                  <w:txbxContent>
                    <w:p w:rsidR="00A3494E" w:rsidRPr="00294301" w:rsidRDefault="00A3494E" w:rsidP="00840EC9">
                      <w:pPr>
                        <w:numPr>
                          <w:ilvl w:val="0"/>
                          <w:numId w:val="28"/>
                        </w:numPr>
                        <w:tabs>
                          <w:tab w:val="left" w:pos="360"/>
                        </w:tabs>
                        <w:autoSpaceDE w:val="0"/>
                        <w:autoSpaceDN w:val="0"/>
                        <w:adjustRightInd w:val="0"/>
                        <w:spacing w:line="235" w:lineRule="auto"/>
                        <w:ind w:left="0" w:firstLine="0"/>
                        <w:jc w:val="both"/>
                        <w:rPr>
                          <w:rFonts w:ascii="Calibri" w:hAnsi="Calibri" w:cs="Arial"/>
                          <w:sz w:val="30"/>
                          <w:szCs w:val="30"/>
                        </w:rPr>
                      </w:pPr>
                      <w:r w:rsidRPr="00294301">
                        <w:rPr>
                          <w:rFonts w:ascii="Calibri" w:hAnsi="Calibri" w:cs="Arial"/>
                          <w:sz w:val="30"/>
                          <w:szCs w:val="30"/>
                        </w:rPr>
                        <w:t>расширение спектра оказываемых клиентам услуг;</w:t>
                      </w:r>
                    </w:p>
                    <w:p w:rsidR="00A3494E" w:rsidRPr="00095276" w:rsidRDefault="00A3494E" w:rsidP="00840EC9">
                      <w:pPr>
                        <w:numPr>
                          <w:ilvl w:val="0"/>
                          <w:numId w:val="28"/>
                        </w:numPr>
                        <w:tabs>
                          <w:tab w:val="left" w:pos="360"/>
                        </w:tabs>
                        <w:autoSpaceDE w:val="0"/>
                        <w:autoSpaceDN w:val="0"/>
                        <w:adjustRightInd w:val="0"/>
                        <w:spacing w:line="235" w:lineRule="auto"/>
                        <w:ind w:left="0" w:firstLine="0"/>
                        <w:jc w:val="both"/>
                        <w:rPr>
                          <w:rFonts w:ascii="Calibri" w:hAnsi="Calibri" w:cs="Arial"/>
                          <w:sz w:val="30"/>
                          <w:szCs w:val="30"/>
                        </w:rPr>
                      </w:pPr>
                      <w:r w:rsidRPr="00095276">
                        <w:rPr>
                          <w:rFonts w:ascii="Calibri" w:hAnsi="Calibri" w:cs="Arial"/>
                          <w:sz w:val="30"/>
                          <w:szCs w:val="30"/>
                        </w:rPr>
                        <w:t xml:space="preserve">рост объемов платежей, проведенных через </w:t>
                      </w:r>
                      <w:r>
                        <w:rPr>
                          <w:rFonts w:ascii="Calibri" w:hAnsi="Calibri" w:cs="Arial"/>
                          <w:sz w:val="30"/>
                          <w:szCs w:val="30"/>
                        </w:rPr>
                        <w:t>и</w:t>
                      </w:r>
                      <w:r w:rsidRPr="00095276">
                        <w:rPr>
                          <w:rFonts w:ascii="Calibri" w:hAnsi="Calibri" w:cs="Arial"/>
                          <w:sz w:val="30"/>
                          <w:szCs w:val="30"/>
                        </w:rPr>
                        <w:t>нтернет</w:t>
                      </w:r>
                      <w:r>
                        <w:rPr>
                          <w:rFonts w:ascii="Calibri" w:hAnsi="Calibri" w:cs="Arial"/>
                          <w:sz w:val="30"/>
                          <w:szCs w:val="30"/>
                        </w:rPr>
                        <w:t>/</w:t>
                      </w:r>
                      <w:r w:rsidRPr="00095276">
                        <w:rPr>
                          <w:rFonts w:ascii="Calibri" w:hAnsi="Calibri" w:cs="Arial"/>
                          <w:sz w:val="30"/>
                          <w:szCs w:val="30"/>
                        </w:rPr>
                        <w:t>мобильный банкинг в 2,3 раза по сравнению с 2015 годом</w:t>
                      </w:r>
                      <w:r>
                        <w:rPr>
                          <w:rFonts w:ascii="Calibri" w:hAnsi="Calibri" w:cs="Arial"/>
                          <w:sz w:val="30"/>
                          <w:szCs w:val="30"/>
                        </w:rPr>
                        <w:t>.</w:t>
                      </w:r>
                    </w:p>
                  </w:txbxContent>
                </v:textbox>
                <w10:wrap type="square"/>
              </v:roundrect>
            </w:pict>
          </mc:Fallback>
        </mc:AlternateContent>
      </w:r>
      <w:r w:rsidR="00E148B7" w:rsidRPr="00294301">
        <w:rPr>
          <w:rFonts w:ascii="Calibri" w:hAnsi="Calibri"/>
          <w:sz w:val="30"/>
          <w:szCs w:val="30"/>
        </w:rPr>
        <w:t>В последние годы наблюдается высокий уровень роста в сфере предоставления финансовыми организациями дис</w:t>
      </w:r>
      <w:r w:rsidR="00E148B7" w:rsidRPr="008578F3">
        <w:rPr>
          <w:rFonts w:ascii="Calibri" w:hAnsi="Calibri"/>
          <w:sz w:val="30"/>
          <w:szCs w:val="30"/>
        </w:rPr>
        <w:t>танционных услуг посредством интернет</w:t>
      </w:r>
      <w:r w:rsidR="00745ECF" w:rsidRPr="008578F3">
        <w:rPr>
          <w:rFonts w:ascii="Calibri" w:hAnsi="Calibri"/>
          <w:sz w:val="30"/>
          <w:szCs w:val="30"/>
        </w:rPr>
        <w:t>/</w:t>
      </w:r>
      <w:r w:rsidR="00E148B7" w:rsidRPr="008578F3">
        <w:rPr>
          <w:rFonts w:ascii="Calibri" w:hAnsi="Calibri"/>
          <w:sz w:val="30"/>
          <w:szCs w:val="30"/>
        </w:rPr>
        <w:t xml:space="preserve">мобильного банкинга. </w:t>
      </w:r>
      <w:r w:rsidR="006E7AD4" w:rsidRPr="008578F3">
        <w:rPr>
          <w:rFonts w:ascii="Calibri" w:hAnsi="Calibri"/>
          <w:sz w:val="30"/>
          <w:szCs w:val="30"/>
        </w:rPr>
        <w:t xml:space="preserve"> Банками проводятся работы по улучшению сервисов интернет-</w:t>
      </w:r>
      <w:r w:rsidR="00A34E05" w:rsidRPr="008578F3">
        <w:rPr>
          <w:rFonts w:ascii="Calibri" w:hAnsi="Calibri"/>
          <w:sz w:val="30"/>
          <w:szCs w:val="30"/>
        </w:rPr>
        <w:t>оплаты</w:t>
      </w:r>
      <w:r w:rsidR="00B7048D" w:rsidRPr="008578F3">
        <w:rPr>
          <w:rFonts w:ascii="Calibri" w:hAnsi="Calibri"/>
          <w:sz w:val="30"/>
          <w:szCs w:val="30"/>
        </w:rPr>
        <w:t xml:space="preserve"> и в целом</w:t>
      </w:r>
      <w:r w:rsidR="006E7AD4" w:rsidRPr="008578F3">
        <w:rPr>
          <w:rFonts w:ascii="Calibri" w:hAnsi="Calibri"/>
          <w:sz w:val="30"/>
          <w:szCs w:val="30"/>
        </w:rPr>
        <w:t xml:space="preserve"> систем </w:t>
      </w:r>
      <w:r w:rsidR="00B7048D" w:rsidRPr="008578F3">
        <w:rPr>
          <w:rFonts w:ascii="Calibri" w:hAnsi="Calibri"/>
          <w:sz w:val="30"/>
          <w:szCs w:val="30"/>
        </w:rPr>
        <w:t xml:space="preserve">интернет и </w:t>
      </w:r>
      <w:proofErr w:type="gramStart"/>
      <w:r w:rsidR="006E7AD4" w:rsidRPr="008578F3">
        <w:rPr>
          <w:rFonts w:ascii="Calibri" w:hAnsi="Calibri"/>
          <w:sz w:val="30"/>
          <w:szCs w:val="30"/>
        </w:rPr>
        <w:t>мобильного</w:t>
      </w:r>
      <w:proofErr w:type="gramEnd"/>
      <w:r w:rsidR="006E7AD4" w:rsidRPr="008578F3">
        <w:rPr>
          <w:rFonts w:ascii="Calibri" w:hAnsi="Calibri"/>
          <w:sz w:val="30"/>
          <w:szCs w:val="30"/>
        </w:rPr>
        <w:t xml:space="preserve"> банкинга, расширя</w:t>
      </w:r>
      <w:r w:rsidR="00B7048D" w:rsidRPr="008578F3">
        <w:rPr>
          <w:rFonts w:ascii="Calibri" w:hAnsi="Calibri"/>
          <w:sz w:val="30"/>
          <w:szCs w:val="30"/>
        </w:rPr>
        <w:t>ется</w:t>
      </w:r>
      <w:r w:rsidR="006E7AD4" w:rsidRPr="008578F3">
        <w:rPr>
          <w:rFonts w:ascii="Calibri" w:hAnsi="Calibri"/>
          <w:sz w:val="30"/>
          <w:szCs w:val="30"/>
        </w:rPr>
        <w:t xml:space="preserve"> спектр оказываемых клиентам услуг и привлека</w:t>
      </w:r>
      <w:r w:rsidR="00B7048D" w:rsidRPr="008578F3">
        <w:rPr>
          <w:rFonts w:ascii="Calibri" w:hAnsi="Calibri"/>
          <w:sz w:val="30"/>
          <w:szCs w:val="30"/>
        </w:rPr>
        <w:t>ется</w:t>
      </w:r>
      <w:r w:rsidR="006E7AD4" w:rsidRPr="008578F3">
        <w:rPr>
          <w:rFonts w:ascii="Calibri" w:hAnsi="Calibri"/>
          <w:sz w:val="30"/>
          <w:szCs w:val="30"/>
        </w:rPr>
        <w:t xml:space="preserve"> все больш</w:t>
      </w:r>
      <w:r w:rsidR="00B7048D" w:rsidRPr="008578F3">
        <w:rPr>
          <w:rFonts w:ascii="Calibri" w:hAnsi="Calibri"/>
          <w:sz w:val="30"/>
          <w:szCs w:val="30"/>
        </w:rPr>
        <w:t>ее количество предпринимателей.</w:t>
      </w:r>
    </w:p>
    <w:p w:rsidR="00DE66F7" w:rsidRPr="00015E28" w:rsidRDefault="00DE66F7" w:rsidP="00176F0A">
      <w:pPr>
        <w:ind w:firstLine="709"/>
        <w:jc w:val="both"/>
        <w:rPr>
          <w:rFonts w:ascii="Calibri" w:hAnsi="Calibri"/>
          <w:sz w:val="30"/>
          <w:szCs w:val="30"/>
        </w:rPr>
      </w:pPr>
      <w:r w:rsidRPr="008578F3">
        <w:rPr>
          <w:rFonts w:ascii="Calibri" w:hAnsi="Calibri"/>
          <w:b/>
          <w:sz w:val="30"/>
          <w:szCs w:val="30"/>
        </w:rPr>
        <w:t xml:space="preserve">В 2016 году </w:t>
      </w:r>
      <w:r w:rsidRPr="008578F3">
        <w:rPr>
          <w:rFonts w:ascii="Calibri" w:hAnsi="Calibri"/>
          <w:sz w:val="30"/>
          <w:szCs w:val="30"/>
        </w:rPr>
        <w:t>посредством интернет/мобильного банкинга было совершено</w:t>
      </w:r>
      <w:r w:rsidRPr="008578F3">
        <w:rPr>
          <w:rFonts w:ascii="Calibri" w:hAnsi="Calibri"/>
          <w:b/>
          <w:sz w:val="30"/>
          <w:szCs w:val="30"/>
        </w:rPr>
        <w:t xml:space="preserve"> 58,3 млн. операций на сумму 934,0 млрд. тенге</w:t>
      </w:r>
      <w:r w:rsidRPr="008578F3">
        <w:rPr>
          <w:rFonts w:ascii="Calibri" w:hAnsi="Calibri"/>
          <w:sz w:val="30"/>
          <w:szCs w:val="30"/>
        </w:rPr>
        <w:t>. По сравнению с 2015 годом количество и сумма указанных операций увеличились на 69,4% и в 2,3 раза соответств</w:t>
      </w:r>
      <w:r w:rsidRPr="00015E28">
        <w:rPr>
          <w:rFonts w:ascii="Calibri" w:hAnsi="Calibri"/>
          <w:sz w:val="30"/>
          <w:szCs w:val="30"/>
        </w:rPr>
        <w:t>енно.</w:t>
      </w:r>
    </w:p>
    <w:p w:rsidR="006E2AC8" w:rsidRDefault="006E2AC8" w:rsidP="00176F0A">
      <w:pPr>
        <w:jc w:val="center"/>
        <w:rPr>
          <w:rFonts w:ascii="Calibri" w:hAnsi="Calibri" w:cs="Arial"/>
          <w:b/>
          <w:color w:val="0E4C28"/>
          <w:sz w:val="28"/>
          <w:szCs w:val="28"/>
        </w:rPr>
      </w:pPr>
    </w:p>
    <w:p w:rsidR="006E2AC8" w:rsidRDefault="006E2AC8" w:rsidP="00176F0A">
      <w:pPr>
        <w:jc w:val="center"/>
        <w:rPr>
          <w:rFonts w:ascii="Calibri" w:hAnsi="Calibri" w:cs="Arial"/>
          <w:b/>
          <w:color w:val="0E4C28"/>
          <w:sz w:val="28"/>
          <w:szCs w:val="28"/>
        </w:rPr>
      </w:pPr>
    </w:p>
    <w:p w:rsidR="006E2AC8" w:rsidRDefault="006E2AC8" w:rsidP="00176F0A">
      <w:pPr>
        <w:jc w:val="center"/>
        <w:rPr>
          <w:rFonts w:ascii="Calibri" w:hAnsi="Calibri" w:cs="Arial"/>
          <w:b/>
          <w:color w:val="0E4C28"/>
          <w:sz w:val="28"/>
          <w:szCs w:val="28"/>
        </w:rPr>
      </w:pPr>
    </w:p>
    <w:p w:rsidR="00551431" w:rsidRPr="00015E28" w:rsidRDefault="00551431" w:rsidP="00176F0A">
      <w:pPr>
        <w:jc w:val="center"/>
        <w:rPr>
          <w:rFonts w:ascii="Calibri" w:hAnsi="Calibri" w:cs="Arial"/>
          <w:b/>
          <w:color w:val="0E4C28"/>
          <w:sz w:val="28"/>
          <w:szCs w:val="28"/>
        </w:rPr>
      </w:pPr>
      <w:r w:rsidRPr="008578F3">
        <w:rPr>
          <w:rFonts w:ascii="Calibri" w:hAnsi="Calibri" w:cs="Arial"/>
          <w:b/>
          <w:color w:val="0E4C28"/>
          <w:sz w:val="28"/>
          <w:szCs w:val="28"/>
        </w:rPr>
        <w:lastRenderedPageBreak/>
        <w:t xml:space="preserve">Динамика </w:t>
      </w:r>
      <w:r w:rsidR="00745ECF" w:rsidRPr="008578F3">
        <w:rPr>
          <w:rFonts w:ascii="Calibri" w:hAnsi="Calibri" w:cs="Arial"/>
          <w:b/>
          <w:color w:val="0E4C28"/>
          <w:sz w:val="28"/>
          <w:szCs w:val="28"/>
        </w:rPr>
        <w:t>операций</w:t>
      </w:r>
      <w:r w:rsidR="00840EC9" w:rsidRPr="008578F3">
        <w:rPr>
          <w:rFonts w:ascii="Calibri" w:hAnsi="Calibri" w:cs="Arial"/>
          <w:b/>
          <w:color w:val="0E4C28"/>
          <w:sz w:val="28"/>
          <w:szCs w:val="28"/>
        </w:rPr>
        <w:t xml:space="preserve"> посредством </w:t>
      </w:r>
      <w:r w:rsidRPr="008578F3">
        <w:rPr>
          <w:rFonts w:ascii="Calibri" w:hAnsi="Calibri" w:cs="Arial"/>
          <w:b/>
          <w:color w:val="0E4C28"/>
          <w:sz w:val="28"/>
          <w:szCs w:val="28"/>
        </w:rPr>
        <w:t>интернет/мобильн</w:t>
      </w:r>
      <w:r w:rsidR="00840EC9" w:rsidRPr="008578F3">
        <w:rPr>
          <w:rFonts w:ascii="Calibri" w:hAnsi="Calibri" w:cs="Arial"/>
          <w:b/>
          <w:color w:val="0E4C28"/>
          <w:sz w:val="28"/>
          <w:szCs w:val="28"/>
        </w:rPr>
        <w:t>ого банкинга</w:t>
      </w:r>
      <w:r w:rsidRPr="00015E28">
        <w:rPr>
          <w:rFonts w:ascii="Calibri" w:hAnsi="Calibri" w:cs="Arial"/>
          <w:b/>
          <w:color w:val="0E4C28"/>
          <w:sz w:val="28"/>
          <w:szCs w:val="28"/>
        </w:rPr>
        <w:t xml:space="preserve"> </w:t>
      </w:r>
    </w:p>
    <w:p w:rsidR="00551431" w:rsidRPr="00015E28" w:rsidRDefault="00B41594" w:rsidP="00176F0A">
      <w:pPr>
        <w:jc w:val="both"/>
        <w:rPr>
          <w:rFonts w:ascii="Calibri" w:hAnsi="Calibri"/>
          <w:sz w:val="30"/>
          <w:szCs w:val="30"/>
        </w:rPr>
      </w:pPr>
      <w:r>
        <w:rPr>
          <w:rFonts w:ascii="Calibri" w:hAnsi="Calibri"/>
          <w:noProof/>
          <w:sz w:val="30"/>
          <w:szCs w:val="30"/>
        </w:rPr>
        <w:drawing>
          <wp:inline distT="0" distB="0" distL="0" distR="0" wp14:anchorId="73DBB7D6" wp14:editId="4F2880A8">
            <wp:extent cx="5987333" cy="1979378"/>
            <wp:effectExtent l="0" t="0" r="0" b="1905"/>
            <wp:docPr id="23" name="Диаграмма 4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04B23" w:rsidRPr="008578F3" w:rsidRDefault="00DF20F3" w:rsidP="00176F0A">
      <w:pPr>
        <w:ind w:firstLine="709"/>
        <w:jc w:val="both"/>
        <w:rPr>
          <w:rFonts w:ascii="Calibri" w:hAnsi="Calibri"/>
          <w:sz w:val="30"/>
          <w:szCs w:val="30"/>
        </w:rPr>
      </w:pPr>
      <w:r w:rsidRPr="008578F3">
        <w:rPr>
          <w:rFonts w:ascii="Calibri" w:hAnsi="Calibri"/>
          <w:sz w:val="30"/>
          <w:szCs w:val="30"/>
        </w:rPr>
        <w:t xml:space="preserve">Подавляющий объем </w:t>
      </w:r>
      <w:r w:rsidR="00745ECF" w:rsidRPr="008578F3">
        <w:rPr>
          <w:rFonts w:ascii="Calibri" w:hAnsi="Calibri"/>
          <w:sz w:val="30"/>
          <w:szCs w:val="30"/>
        </w:rPr>
        <w:t>операций</w:t>
      </w:r>
      <w:r w:rsidR="00840EC9" w:rsidRPr="008578F3">
        <w:rPr>
          <w:rFonts w:ascii="Calibri" w:hAnsi="Calibri"/>
          <w:sz w:val="30"/>
          <w:szCs w:val="30"/>
        </w:rPr>
        <w:t xml:space="preserve"> посредством </w:t>
      </w:r>
      <w:r w:rsidRPr="008578F3">
        <w:rPr>
          <w:rFonts w:ascii="Calibri" w:hAnsi="Calibri"/>
          <w:sz w:val="30"/>
          <w:szCs w:val="30"/>
        </w:rPr>
        <w:t>интернет и мобильн</w:t>
      </w:r>
      <w:r w:rsidR="00840EC9" w:rsidRPr="008578F3">
        <w:rPr>
          <w:rFonts w:ascii="Calibri" w:hAnsi="Calibri"/>
          <w:sz w:val="30"/>
          <w:szCs w:val="30"/>
        </w:rPr>
        <w:t>ого банкинга</w:t>
      </w:r>
      <w:r w:rsidRPr="008578F3">
        <w:rPr>
          <w:rFonts w:ascii="Calibri" w:hAnsi="Calibri"/>
          <w:sz w:val="30"/>
          <w:szCs w:val="30"/>
        </w:rPr>
        <w:t xml:space="preserve"> приходится на переводы денег с одного банковского счета на другой банковский счет – 37,9% от общего объема интернет платежей или 354,1 млрд. тенге. </w:t>
      </w:r>
    </w:p>
    <w:p w:rsidR="00DF20F3" w:rsidRPr="00015E28" w:rsidRDefault="00DF20F3" w:rsidP="00176F0A">
      <w:pPr>
        <w:ind w:firstLine="709"/>
        <w:jc w:val="both"/>
        <w:rPr>
          <w:rFonts w:ascii="Calibri" w:hAnsi="Calibri"/>
          <w:sz w:val="30"/>
          <w:szCs w:val="30"/>
        </w:rPr>
      </w:pPr>
      <w:r w:rsidRPr="008578F3">
        <w:rPr>
          <w:rFonts w:ascii="Calibri" w:hAnsi="Calibri"/>
          <w:sz w:val="30"/>
          <w:szCs w:val="30"/>
        </w:rPr>
        <w:t>При этом наиболее часто посредством интернет осуществляется оплата услуг операторов сотовой связи – 37,7% от общего количества интернет платежей или 22,</w:t>
      </w:r>
      <w:r w:rsidR="000716C8" w:rsidRPr="008578F3">
        <w:rPr>
          <w:rFonts w:ascii="Calibri" w:hAnsi="Calibri"/>
          <w:sz w:val="30"/>
          <w:szCs w:val="30"/>
        </w:rPr>
        <w:t>0</w:t>
      </w:r>
      <w:r w:rsidRPr="008578F3">
        <w:rPr>
          <w:rFonts w:ascii="Calibri" w:hAnsi="Calibri"/>
          <w:sz w:val="30"/>
          <w:szCs w:val="30"/>
        </w:rPr>
        <w:t xml:space="preserve"> млн. операций.</w:t>
      </w:r>
    </w:p>
    <w:p w:rsidR="003E1657" w:rsidRPr="00176F0A" w:rsidRDefault="003E1657" w:rsidP="00176F0A">
      <w:pPr>
        <w:ind w:firstLine="709"/>
        <w:jc w:val="both"/>
        <w:rPr>
          <w:rFonts w:ascii="Calibri" w:hAnsi="Calibri"/>
          <w:sz w:val="30"/>
          <w:szCs w:val="30"/>
        </w:rPr>
      </w:pPr>
    </w:p>
    <w:p w:rsidR="00551431" w:rsidRPr="00015E28" w:rsidRDefault="00504B23" w:rsidP="00176F0A">
      <w:pPr>
        <w:pStyle w:val="2"/>
        <w:pBdr>
          <w:bottom w:val="single" w:sz="12" w:space="1" w:color="auto"/>
        </w:pBdr>
        <w:spacing w:before="0"/>
        <w:rPr>
          <w:rFonts w:ascii="Calibri" w:hAnsi="Calibri"/>
          <w:bCs w:val="0"/>
          <w:snapToGrid w:val="0"/>
          <w:color w:val="0E4C28"/>
          <w:spacing w:val="-2"/>
          <w:sz w:val="32"/>
        </w:rPr>
      </w:pPr>
      <w:bookmarkStart w:id="129" w:name="_Toc481418207"/>
      <w:r>
        <w:rPr>
          <w:rFonts w:ascii="Calibri" w:hAnsi="Calibri"/>
          <w:bCs w:val="0"/>
          <w:snapToGrid w:val="0"/>
          <w:color w:val="0E4C28"/>
          <w:spacing w:val="-2"/>
          <w:sz w:val="32"/>
        </w:rPr>
        <w:t>3</w:t>
      </w:r>
      <w:r w:rsidR="00551431" w:rsidRPr="00015E28">
        <w:rPr>
          <w:rFonts w:ascii="Calibri" w:hAnsi="Calibri"/>
          <w:bCs w:val="0"/>
          <w:snapToGrid w:val="0"/>
          <w:color w:val="0E4C28"/>
          <w:spacing w:val="-2"/>
          <w:sz w:val="32"/>
        </w:rPr>
        <w:t>.4</w:t>
      </w:r>
      <w:r w:rsidR="00176F0A">
        <w:rPr>
          <w:rFonts w:ascii="Calibri" w:hAnsi="Calibri"/>
          <w:bCs w:val="0"/>
          <w:snapToGrid w:val="0"/>
          <w:color w:val="0E4C28"/>
          <w:spacing w:val="-2"/>
          <w:sz w:val="32"/>
        </w:rPr>
        <w:t>.</w:t>
      </w:r>
      <w:r w:rsidR="00551431" w:rsidRPr="00015E28">
        <w:rPr>
          <w:rFonts w:ascii="Calibri" w:hAnsi="Calibri"/>
          <w:bCs w:val="0"/>
          <w:snapToGrid w:val="0"/>
          <w:color w:val="0E4C28"/>
          <w:spacing w:val="-2"/>
          <w:sz w:val="32"/>
        </w:rPr>
        <w:t xml:space="preserve"> Рынок платежных карточек</w:t>
      </w:r>
      <w:bookmarkEnd w:id="129"/>
    </w:p>
    <w:p w:rsidR="00C11292" w:rsidRPr="00015E28" w:rsidRDefault="00C11292" w:rsidP="00176F0A">
      <w:pPr>
        <w:ind w:firstLine="709"/>
        <w:jc w:val="both"/>
        <w:rPr>
          <w:rFonts w:ascii="Calibri" w:hAnsi="Calibri"/>
          <w:sz w:val="30"/>
          <w:szCs w:val="30"/>
        </w:rPr>
      </w:pPr>
      <w:r w:rsidRPr="00294301">
        <w:rPr>
          <w:rFonts w:ascii="Calibri" w:hAnsi="Calibri"/>
          <w:sz w:val="30"/>
          <w:szCs w:val="30"/>
        </w:rPr>
        <w:t xml:space="preserve">В </w:t>
      </w:r>
      <w:proofErr w:type="gramStart"/>
      <w:r w:rsidRPr="00294301">
        <w:rPr>
          <w:rFonts w:ascii="Calibri" w:hAnsi="Calibri"/>
          <w:sz w:val="30"/>
          <w:szCs w:val="30"/>
        </w:rPr>
        <w:t>Казахстане</w:t>
      </w:r>
      <w:proofErr w:type="gramEnd"/>
      <w:r w:rsidRPr="00294301">
        <w:rPr>
          <w:rFonts w:ascii="Calibri" w:hAnsi="Calibri"/>
          <w:sz w:val="30"/>
          <w:szCs w:val="30"/>
        </w:rPr>
        <w:t xml:space="preserve"> основным платежным инструментом по дистанционному предоставлению платежных услуг населению остается платежная карточка, выпуск которых осуществляют 26 банков и АО «</w:t>
      </w:r>
      <w:proofErr w:type="spellStart"/>
      <w:r w:rsidRPr="00294301">
        <w:rPr>
          <w:rFonts w:ascii="Calibri" w:hAnsi="Calibri"/>
          <w:sz w:val="30"/>
          <w:szCs w:val="30"/>
        </w:rPr>
        <w:t>Казпочта</w:t>
      </w:r>
      <w:proofErr w:type="spellEnd"/>
      <w:r w:rsidRPr="00294301">
        <w:rPr>
          <w:rFonts w:ascii="Calibri" w:hAnsi="Calibri"/>
          <w:sz w:val="30"/>
          <w:szCs w:val="30"/>
        </w:rPr>
        <w:t>»</w:t>
      </w:r>
      <w:r>
        <w:rPr>
          <w:rFonts w:ascii="Calibri" w:hAnsi="Calibri"/>
          <w:sz w:val="30"/>
          <w:szCs w:val="30"/>
        </w:rPr>
        <w:t>.</w:t>
      </w:r>
      <w:r w:rsidRPr="00294301">
        <w:rPr>
          <w:rFonts w:ascii="Calibri" w:hAnsi="Calibri"/>
          <w:sz w:val="30"/>
          <w:szCs w:val="30"/>
        </w:rPr>
        <w:t xml:space="preserve"> </w:t>
      </w:r>
    </w:p>
    <w:p w:rsidR="00C11292" w:rsidRPr="00015E28" w:rsidRDefault="00176F0A" w:rsidP="00176F0A">
      <w:pPr>
        <w:ind w:firstLine="709"/>
        <w:jc w:val="both"/>
        <w:rPr>
          <w:rFonts w:ascii="Calibri" w:hAnsi="Calibri"/>
          <w:sz w:val="18"/>
          <w:szCs w:val="30"/>
        </w:rPr>
      </w:pPr>
      <w:r>
        <w:rPr>
          <w:rFonts w:ascii="Calibri" w:hAnsi="Calibri"/>
          <w:noProof/>
          <w:sz w:val="30"/>
          <w:szCs w:val="30"/>
        </w:rPr>
        <mc:AlternateContent>
          <mc:Choice Requires="wps">
            <w:drawing>
              <wp:anchor distT="0" distB="0" distL="114300" distR="114300" simplePos="0" relativeHeight="251699200" behindDoc="0" locked="0" layoutInCell="1" allowOverlap="1" wp14:anchorId="5FDC86DE" wp14:editId="2A2EEAAF">
                <wp:simplePos x="0" y="0"/>
                <wp:positionH relativeFrom="column">
                  <wp:posOffset>2402840</wp:posOffset>
                </wp:positionH>
                <wp:positionV relativeFrom="paragraph">
                  <wp:posOffset>-3810</wp:posOffset>
                </wp:positionV>
                <wp:extent cx="3803015" cy="2174240"/>
                <wp:effectExtent l="0" t="0" r="45085" b="54610"/>
                <wp:wrapSquare wrapText="bothSides"/>
                <wp:docPr id="46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015" cy="217424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A3494E" w:rsidRDefault="00A3494E" w:rsidP="00C11292">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 xml:space="preserve">рост активности использования платежных карточек; </w:t>
                            </w:r>
                          </w:p>
                          <w:p w:rsidR="00A3494E" w:rsidRPr="00095276" w:rsidRDefault="00A3494E" w:rsidP="00C11292">
                            <w:pPr>
                              <w:numPr>
                                <w:ilvl w:val="0"/>
                                <w:numId w:val="28"/>
                              </w:numPr>
                              <w:tabs>
                                <w:tab w:val="left" w:pos="360"/>
                              </w:tabs>
                              <w:autoSpaceDE w:val="0"/>
                              <w:autoSpaceDN w:val="0"/>
                              <w:adjustRightInd w:val="0"/>
                              <w:ind w:left="0" w:firstLine="0"/>
                              <w:jc w:val="both"/>
                              <w:rPr>
                                <w:rFonts w:ascii="Calibri" w:hAnsi="Calibri" w:cs="Arial"/>
                                <w:sz w:val="30"/>
                                <w:szCs w:val="30"/>
                              </w:rPr>
                            </w:pPr>
                            <w:r w:rsidRPr="00095276">
                              <w:rPr>
                                <w:rFonts w:ascii="Calibri" w:hAnsi="Calibri" w:cs="Arial"/>
                                <w:sz w:val="30"/>
                                <w:szCs w:val="30"/>
                              </w:rPr>
                              <w:t>расширение сети обслуживания: за последние три года количество POS-терминалов выросло в 2,3 раза, количество предпринимателей, принимающих к оплате платежные карточки в 2,9 раз за последние три года.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50" style="position:absolute;left:0;text-align:left;margin-left:189.2pt;margin-top:-.3pt;width:299.45pt;height:171.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" fillcolor="#cf9" strokecolor="#cf9" strokeweight="1pt">
                <v:shadow on="t" color="#205867" opacity=".5" offset="1pt"/>
                <v:textbox>
                  <w:txbxContent>
                    <w:p w:rsidR="00A3494E" w:rsidRDefault="00A3494E" w:rsidP="00C11292">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 xml:space="preserve">рост активности использования платежных карточек; </w:t>
                      </w:r>
                    </w:p>
                    <w:p w:rsidR="00A3494E" w:rsidRPr="00095276" w:rsidRDefault="00A3494E" w:rsidP="00C11292">
                      <w:pPr>
                        <w:numPr>
                          <w:ilvl w:val="0"/>
                          <w:numId w:val="28"/>
                        </w:numPr>
                        <w:tabs>
                          <w:tab w:val="left" w:pos="360"/>
                        </w:tabs>
                        <w:autoSpaceDE w:val="0"/>
                        <w:autoSpaceDN w:val="0"/>
                        <w:adjustRightInd w:val="0"/>
                        <w:ind w:left="0" w:firstLine="0"/>
                        <w:jc w:val="both"/>
                        <w:rPr>
                          <w:rFonts w:ascii="Calibri" w:hAnsi="Calibri" w:cs="Arial"/>
                          <w:sz w:val="30"/>
                          <w:szCs w:val="30"/>
                        </w:rPr>
                      </w:pPr>
                      <w:r w:rsidRPr="00095276">
                        <w:rPr>
                          <w:rFonts w:ascii="Calibri" w:hAnsi="Calibri" w:cs="Arial"/>
                          <w:sz w:val="30"/>
                          <w:szCs w:val="30"/>
                        </w:rPr>
                        <w:t>расширение сети обслуживания: за последние три года количество POS-терминалов выросло в 2,3 раза, количество предпринимателей, принимающих к оплате платежные карточки в 2,9 раз за последние три года.</w:t>
                      </w:r>
                    </w:p>
                  </w:txbxContent>
                </v:textbox>
                <w10:wrap type="square"/>
              </v:roundrect>
            </w:pict>
          </mc:Fallback>
        </mc:AlternateContent>
      </w:r>
      <w:r w:rsidR="00C11292" w:rsidRPr="00015E28">
        <w:rPr>
          <w:rFonts w:ascii="Calibri" w:hAnsi="Calibri"/>
          <w:sz w:val="30"/>
          <w:szCs w:val="30"/>
        </w:rPr>
        <w:t xml:space="preserve">По состоянию на 1 января 2017 года в обращении находилось 15,7 млн. платежных карточек, количество их держателей составляет 14,2 млн. человек, по сравнению с аналогичным периодом </w:t>
      </w:r>
      <w:r w:rsidR="000E01E1">
        <w:rPr>
          <w:rFonts w:ascii="Calibri" w:hAnsi="Calibri"/>
          <w:sz w:val="30"/>
          <w:szCs w:val="30"/>
        </w:rPr>
        <w:t>прошлого</w:t>
      </w:r>
      <w:r w:rsidR="00C11292" w:rsidRPr="00015E28">
        <w:rPr>
          <w:rFonts w:ascii="Calibri" w:hAnsi="Calibri"/>
          <w:sz w:val="30"/>
          <w:szCs w:val="30"/>
        </w:rPr>
        <w:t xml:space="preserve"> года наблюдается уменьшение по данным показателям на 8,5% и 0,7% соответственно. </w:t>
      </w:r>
    </w:p>
    <w:p w:rsidR="006E2AC8" w:rsidRDefault="006E2AC8" w:rsidP="00176F0A">
      <w:pPr>
        <w:jc w:val="center"/>
        <w:rPr>
          <w:rFonts w:ascii="Calibri" w:hAnsi="Calibri" w:cs="Arial"/>
          <w:b/>
          <w:color w:val="0E4C28"/>
          <w:sz w:val="28"/>
          <w:szCs w:val="28"/>
        </w:rPr>
      </w:pPr>
    </w:p>
    <w:p w:rsidR="006E2AC8" w:rsidRDefault="006E2AC8" w:rsidP="00176F0A">
      <w:pPr>
        <w:jc w:val="center"/>
        <w:rPr>
          <w:rFonts w:ascii="Calibri" w:hAnsi="Calibri" w:cs="Arial"/>
          <w:b/>
          <w:color w:val="0E4C28"/>
          <w:sz w:val="28"/>
          <w:szCs w:val="28"/>
        </w:rPr>
      </w:pPr>
    </w:p>
    <w:p w:rsidR="006E2AC8" w:rsidRDefault="006E2AC8" w:rsidP="00176F0A">
      <w:pPr>
        <w:jc w:val="center"/>
        <w:rPr>
          <w:rFonts w:ascii="Calibri" w:hAnsi="Calibri" w:cs="Arial"/>
          <w:b/>
          <w:color w:val="0E4C28"/>
          <w:sz w:val="28"/>
          <w:szCs w:val="28"/>
        </w:rPr>
      </w:pPr>
    </w:p>
    <w:p w:rsidR="006E2AC8" w:rsidRDefault="006E2AC8" w:rsidP="00176F0A">
      <w:pPr>
        <w:jc w:val="center"/>
        <w:rPr>
          <w:rFonts w:ascii="Calibri" w:hAnsi="Calibri" w:cs="Arial"/>
          <w:b/>
          <w:color w:val="0E4C28"/>
          <w:sz w:val="28"/>
          <w:szCs w:val="28"/>
        </w:rPr>
      </w:pPr>
    </w:p>
    <w:p w:rsidR="006E2AC8" w:rsidRDefault="006E2AC8" w:rsidP="00176F0A">
      <w:pPr>
        <w:jc w:val="center"/>
        <w:rPr>
          <w:rFonts w:ascii="Calibri" w:hAnsi="Calibri" w:cs="Arial"/>
          <w:b/>
          <w:color w:val="0E4C28"/>
          <w:sz w:val="28"/>
          <w:szCs w:val="28"/>
        </w:rPr>
      </w:pPr>
    </w:p>
    <w:p w:rsidR="006E2AC8" w:rsidRDefault="006E2AC8" w:rsidP="00176F0A">
      <w:pPr>
        <w:jc w:val="center"/>
        <w:rPr>
          <w:rFonts w:ascii="Calibri" w:hAnsi="Calibri" w:cs="Arial"/>
          <w:b/>
          <w:color w:val="0E4C28"/>
          <w:sz w:val="28"/>
          <w:szCs w:val="28"/>
        </w:rPr>
      </w:pPr>
    </w:p>
    <w:p w:rsidR="00551431" w:rsidRPr="00015E28" w:rsidRDefault="00551431" w:rsidP="00176F0A">
      <w:pPr>
        <w:jc w:val="center"/>
        <w:rPr>
          <w:rFonts w:ascii="Calibri" w:hAnsi="Calibri" w:cs="Arial"/>
          <w:b/>
          <w:color w:val="0E4C28"/>
          <w:sz w:val="28"/>
          <w:szCs w:val="28"/>
        </w:rPr>
      </w:pPr>
      <w:r w:rsidRPr="00015E28">
        <w:rPr>
          <w:rFonts w:ascii="Calibri" w:hAnsi="Calibri" w:cs="Arial"/>
          <w:b/>
          <w:color w:val="0E4C28"/>
          <w:sz w:val="28"/>
          <w:szCs w:val="28"/>
        </w:rPr>
        <w:lastRenderedPageBreak/>
        <w:t>Динамика развития рынка платежных карточек</w:t>
      </w:r>
    </w:p>
    <w:p w:rsidR="006848F2" w:rsidRPr="00015E28" w:rsidRDefault="00B41594" w:rsidP="00176F0A">
      <w:pPr>
        <w:jc w:val="both"/>
        <w:rPr>
          <w:rFonts w:ascii="Calibri" w:hAnsi="Calibri"/>
          <w:sz w:val="30"/>
          <w:szCs w:val="30"/>
        </w:rPr>
      </w:pPr>
      <w:r>
        <w:rPr>
          <w:rFonts w:ascii="Calibri" w:hAnsi="Calibri"/>
          <w:noProof/>
          <w:sz w:val="30"/>
          <w:szCs w:val="30"/>
        </w:rPr>
        <w:drawing>
          <wp:inline distT="0" distB="0" distL="0" distR="0" wp14:anchorId="64EE14F6" wp14:editId="1CA715F5">
            <wp:extent cx="5852160" cy="1822340"/>
            <wp:effectExtent l="0" t="0" r="0" b="6985"/>
            <wp:docPr id="26" name="Диаграмма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51431" w:rsidRDefault="00C11292" w:rsidP="00176F0A">
      <w:pPr>
        <w:ind w:firstLine="709"/>
        <w:jc w:val="both"/>
        <w:rPr>
          <w:rFonts w:ascii="Calibri" w:hAnsi="Calibri"/>
          <w:spacing w:val="-4"/>
          <w:sz w:val="30"/>
          <w:szCs w:val="30"/>
        </w:rPr>
      </w:pPr>
      <w:r w:rsidRPr="008578F3">
        <w:rPr>
          <w:rFonts w:ascii="Calibri" w:hAnsi="Calibri"/>
          <w:spacing w:val="-4"/>
          <w:sz w:val="30"/>
          <w:szCs w:val="30"/>
        </w:rPr>
        <w:t xml:space="preserve">Снижение количества карточек в обращении характеризуется </w:t>
      </w:r>
      <w:r w:rsidR="00327BDD" w:rsidRPr="008578F3">
        <w:rPr>
          <w:rFonts w:ascii="Calibri" w:hAnsi="Calibri"/>
          <w:spacing w:val="-4"/>
          <w:sz w:val="30"/>
          <w:szCs w:val="30"/>
        </w:rPr>
        <w:t xml:space="preserve">произошедшими слияниями </w:t>
      </w:r>
      <w:r w:rsidR="00745ECF" w:rsidRPr="008578F3">
        <w:rPr>
          <w:rFonts w:ascii="Calibri" w:hAnsi="Calibri"/>
          <w:spacing w:val="-4"/>
          <w:sz w:val="30"/>
          <w:szCs w:val="30"/>
        </w:rPr>
        <w:t xml:space="preserve">ряда </w:t>
      </w:r>
      <w:r w:rsidR="00327BDD" w:rsidRPr="008578F3">
        <w:rPr>
          <w:rFonts w:ascii="Calibri" w:hAnsi="Calibri"/>
          <w:spacing w:val="-4"/>
          <w:sz w:val="30"/>
          <w:szCs w:val="30"/>
        </w:rPr>
        <w:t>банков</w:t>
      </w:r>
      <w:r w:rsidR="00745ECF" w:rsidRPr="008578F3">
        <w:rPr>
          <w:rFonts w:ascii="Calibri" w:hAnsi="Calibri"/>
          <w:spacing w:val="-4"/>
          <w:sz w:val="30"/>
          <w:szCs w:val="30"/>
        </w:rPr>
        <w:t>, которые имели место в 2016 году,</w:t>
      </w:r>
      <w:r w:rsidR="00CB2E51" w:rsidRPr="008578F3">
        <w:rPr>
          <w:rFonts w:ascii="Calibri" w:hAnsi="Calibri"/>
          <w:spacing w:val="-4"/>
          <w:sz w:val="30"/>
          <w:szCs w:val="30"/>
        </w:rPr>
        <w:t xml:space="preserve"> и оптимизацией их карточного бизнеса</w:t>
      </w:r>
      <w:r w:rsidR="00D03AA5" w:rsidRPr="008578F3">
        <w:rPr>
          <w:rFonts w:ascii="Calibri" w:hAnsi="Calibri"/>
          <w:spacing w:val="-4"/>
          <w:sz w:val="30"/>
          <w:szCs w:val="30"/>
        </w:rPr>
        <w:t>. Так,</w:t>
      </w:r>
      <w:r w:rsidR="00551431" w:rsidRPr="008578F3">
        <w:rPr>
          <w:rFonts w:ascii="Calibri" w:hAnsi="Calibri"/>
          <w:spacing w:val="-4"/>
          <w:sz w:val="30"/>
          <w:szCs w:val="30"/>
        </w:rPr>
        <w:t xml:space="preserve"> в 2015 году из находящихся в обращении платежных карточек в среднем в месяц использовалось 43%, в 2016 году данный показатель увеличился до 51</w:t>
      </w:r>
      <w:r w:rsidR="00551431" w:rsidRPr="00CB2E51">
        <w:rPr>
          <w:rFonts w:ascii="Calibri" w:hAnsi="Calibri"/>
          <w:spacing w:val="-4"/>
          <w:sz w:val="30"/>
          <w:szCs w:val="30"/>
        </w:rPr>
        <w:t xml:space="preserve">% (на 8 </w:t>
      </w:r>
      <w:proofErr w:type="spellStart"/>
      <w:r w:rsidR="00551431" w:rsidRPr="00CB2E51">
        <w:rPr>
          <w:rFonts w:ascii="Calibri" w:hAnsi="Calibri"/>
          <w:spacing w:val="-4"/>
          <w:sz w:val="30"/>
          <w:szCs w:val="30"/>
        </w:rPr>
        <w:t>п.п</w:t>
      </w:r>
      <w:proofErr w:type="spellEnd"/>
      <w:r w:rsidR="00551431" w:rsidRPr="00CB2E51">
        <w:rPr>
          <w:rFonts w:ascii="Calibri" w:hAnsi="Calibri"/>
          <w:spacing w:val="-4"/>
          <w:sz w:val="30"/>
          <w:szCs w:val="30"/>
        </w:rPr>
        <w:t xml:space="preserve">.). Таким образом, при </w:t>
      </w:r>
      <w:proofErr w:type="gramStart"/>
      <w:r w:rsidR="00551431" w:rsidRPr="00CB2E51">
        <w:rPr>
          <w:rFonts w:ascii="Calibri" w:hAnsi="Calibri"/>
          <w:spacing w:val="-4"/>
          <w:sz w:val="30"/>
          <w:szCs w:val="30"/>
        </w:rPr>
        <w:t>снижении</w:t>
      </w:r>
      <w:proofErr w:type="gramEnd"/>
      <w:r w:rsidR="00551431" w:rsidRPr="001D639D">
        <w:rPr>
          <w:rFonts w:ascii="Calibri" w:hAnsi="Calibri"/>
          <w:spacing w:val="-4"/>
          <w:sz w:val="30"/>
          <w:szCs w:val="30"/>
        </w:rPr>
        <w:t xml:space="preserve"> платежных карточек в обращении на 8,5% наблюдается увеличение количества активных пользователей на 11,3% с 7,1 млн. до 8,0 млн.</w:t>
      </w:r>
      <w:r w:rsidR="00846DC9">
        <w:rPr>
          <w:rFonts w:ascii="Calibri" w:hAnsi="Calibri"/>
          <w:spacing w:val="-4"/>
          <w:sz w:val="30"/>
          <w:szCs w:val="30"/>
        </w:rPr>
        <w:t xml:space="preserve"> </w:t>
      </w:r>
    </w:p>
    <w:p w:rsidR="006E2AC8" w:rsidRPr="001D639D" w:rsidRDefault="006E2AC8" w:rsidP="00176F0A">
      <w:pPr>
        <w:ind w:firstLine="709"/>
        <w:jc w:val="both"/>
        <w:rPr>
          <w:rFonts w:ascii="Calibri" w:hAnsi="Calibri"/>
          <w:spacing w:val="-4"/>
          <w:sz w:val="30"/>
          <w:szCs w:val="30"/>
        </w:rPr>
      </w:pPr>
    </w:p>
    <w:tbl>
      <w:tblPr>
        <w:tblW w:w="9828" w:type="dxa"/>
        <w:tblLayout w:type="fixed"/>
        <w:tblLook w:val="04A0" w:firstRow="1" w:lastRow="0" w:firstColumn="1" w:lastColumn="0" w:noHBand="0" w:noVBand="1"/>
      </w:tblPr>
      <w:tblGrid>
        <w:gridCol w:w="4788"/>
        <w:gridCol w:w="5040"/>
      </w:tblGrid>
      <w:tr w:rsidR="00551431" w:rsidRPr="00551431" w:rsidTr="008578F3">
        <w:tc>
          <w:tcPr>
            <w:tcW w:w="4788" w:type="dxa"/>
            <w:vMerge w:val="restart"/>
            <w:shd w:val="clear" w:color="auto" w:fill="auto"/>
          </w:tcPr>
          <w:p w:rsidR="00551431" w:rsidRPr="00015E28" w:rsidRDefault="00551431" w:rsidP="00176F0A">
            <w:pPr>
              <w:spacing w:line="235" w:lineRule="auto"/>
              <w:ind w:firstLine="709"/>
              <w:jc w:val="both"/>
              <w:rPr>
                <w:rFonts w:ascii="Calibri" w:hAnsi="Calibri" w:cs="Arial"/>
                <w:sz w:val="30"/>
                <w:szCs w:val="30"/>
              </w:rPr>
            </w:pPr>
            <w:r w:rsidRPr="00015E28">
              <w:rPr>
                <w:rFonts w:ascii="Calibri" w:hAnsi="Calibri"/>
                <w:sz w:val="30"/>
                <w:szCs w:val="30"/>
              </w:rPr>
              <w:t>Основную долю платежных карточек в обращении составляют международные платежные системы – 98,7%, которые представлены платежными к</w:t>
            </w:r>
            <w:r w:rsidRPr="008578F3">
              <w:rPr>
                <w:rFonts w:ascii="Calibri" w:hAnsi="Calibri"/>
                <w:sz w:val="30"/>
                <w:szCs w:val="30"/>
              </w:rPr>
              <w:t xml:space="preserve">арточками VISA International (71,1%), </w:t>
            </w:r>
            <w:proofErr w:type="spellStart"/>
            <w:r w:rsidRPr="008578F3">
              <w:rPr>
                <w:rFonts w:ascii="Calibri" w:hAnsi="Calibri"/>
                <w:sz w:val="30"/>
                <w:szCs w:val="30"/>
              </w:rPr>
              <w:t>MasterCard</w:t>
            </w:r>
            <w:proofErr w:type="spellEnd"/>
            <w:r w:rsidRPr="008578F3">
              <w:rPr>
                <w:rFonts w:ascii="Calibri" w:hAnsi="Calibri"/>
                <w:sz w:val="30"/>
                <w:szCs w:val="30"/>
              </w:rPr>
              <w:t xml:space="preserve"> </w:t>
            </w:r>
            <w:proofErr w:type="spellStart"/>
            <w:r w:rsidRPr="008578F3">
              <w:rPr>
                <w:rFonts w:ascii="Calibri" w:hAnsi="Calibri"/>
                <w:sz w:val="30"/>
                <w:szCs w:val="30"/>
              </w:rPr>
              <w:t>Worldwide</w:t>
            </w:r>
            <w:proofErr w:type="spellEnd"/>
            <w:r w:rsidRPr="008578F3">
              <w:rPr>
                <w:rFonts w:ascii="Calibri" w:hAnsi="Calibri"/>
                <w:sz w:val="30"/>
                <w:szCs w:val="30"/>
              </w:rPr>
              <w:t xml:space="preserve"> (19,7%), </w:t>
            </w:r>
            <w:proofErr w:type="spellStart"/>
            <w:r w:rsidRPr="008578F3">
              <w:rPr>
                <w:rFonts w:ascii="Calibri" w:hAnsi="Calibri"/>
                <w:sz w:val="30"/>
                <w:szCs w:val="30"/>
              </w:rPr>
              <w:t>Union</w:t>
            </w:r>
            <w:proofErr w:type="spellEnd"/>
            <w:r w:rsidRPr="008578F3">
              <w:rPr>
                <w:rFonts w:ascii="Calibri" w:hAnsi="Calibri"/>
                <w:sz w:val="30"/>
                <w:szCs w:val="30"/>
              </w:rPr>
              <w:t xml:space="preserve"> </w:t>
            </w:r>
            <w:proofErr w:type="spellStart"/>
            <w:r w:rsidRPr="008578F3">
              <w:rPr>
                <w:rFonts w:ascii="Calibri" w:hAnsi="Calibri"/>
                <w:sz w:val="30"/>
                <w:szCs w:val="30"/>
              </w:rPr>
              <w:t>Pay</w:t>
            </w:r>
            <w:proofErr w:type="spellEnd"/>
            <w:r w:rsidR="00745ECF" w:rsidRPr="008578F3">
              <w:rPr>
                <w:rFonts w:ascii="Calibri" w:hAnsi="Calibri"/>
                <w:sz w:val="30"/>
                <w:szCs w:val="30"/>
              </w:rPr>
              <w:t xml:space="preserve"> </w:t>
            </w:r>
            <w:r w:rsidR="00745ECF" w:rsidRPr="008578F3">
              <w:rPr>
                <w:rFonts w:ascii="Calibri" w:hAnsi="Calibri"/>
                <w:sz w:val="30"/>
                <w:szCs w:val="30"/>
                <w:lang w:val="en-US"/>
              </w:rPr>
              <w:t>International</w:t>
            </w:r>
            <w:r w:rsidRPr="008578F3">
              <w:rPr>
                <w:rFonts w:ascii="Calibri" w:hAnsi="Calibri"/>
                <w:sz w:val="30"/>
                <w:szCs w:val="30"/>
              </w:rPr>
              <w:t xml:space="preserve"> (7,5%) и </w:t>
            </w:r>
            <w:proofErr w:type="spellStart"/>
            <w:r w:rsidRPr="008578F3">
              <w:rPr>
                <w:rFonts w:ascii="Calibri" w:hAnsi="Calibri"/>
                <w:sz w:val="30"/>
                <w:szCs w:val="30"/>
              </w:rPr>
              <w:t>American</w:t>
            </w:r>
            <w:proofErr w:type="spellEnd"/>
            <w:r w:rsidRPr="008578F3">
              <w:rPr>
                <w:rFonts w:ascii="Calibri" w:hAnsi="Calibri"/>
                <w:sz w:val="30"/>
                <w:szCs w:val="30"/>
              </w:rPr>
              <w:t xml:space="preserve"> </w:t>
            </w:r>
            <w:proofErr w:type="spellStart"/>
            <w:r w:rsidRPr="008578F3">
              <w:rPr>
                <w:rFonts w:ascii="Calibri" w:hAnsi="Calibri"/>
                <w:sz w:val="30"/>
                <w:szCs w:val="30"/>
              </w:rPr>
              <w:t>Express</w:t>
            </w:r>
            <w:proofErr w:type="spellEnd"/>
            <w:r w:rsidRPr="008578F3">
              <w:rPr>
                <w:rFonts w:ascii="Calibri" w:hAnsi="Calibri"/>
                <w:sz w:val="30"/>
                <w:szCs w:val="30"/>
              </w:rPr>
              <w:t xml:space="preserve"> International (0,3%). </w:t>
            </w:r>
            <w:r w:rsidR="001D639D" w:rsidRPr="008578F3">
              <w:rPr>
                <w:rFonts w:ascii="Calibri" w:hAnsi="Calibri"/>
                <w:sz w:val="30"/>
                <w:szCs w:val="30"/>
              </w:rPr>
              <w:t>Л</w:t>
            </w:r>
            <w:r w:rsidRPr="008578F3">
              <w:rPr>
                <w:rFonts w:ascii="Calibri" w:hAnsi="Calibri"/>
                <w:sz w:val="30"/>
                <w:szCs w:val="30"/>
              </w:rPr>
              <w:t xml:space="preserve">окальные системы занимают 1,3% рынка и представлены такими системами, как </w:t>
            </w:r>
            <w:proofErr w:type="spellStart"/>
            <w:r w:rsidRPr="008578F3">
              <w:rPr>
                <w:rFonts w:ascii="Calibri" w:hAnsi="Calibri"/>
                <w:sz w:val="30"/>
                <w:szCs w:val="30"/>
              </w:rPr>
              <w:t>Altyn</w:t>
            </w:r>
            <w:proofErr w:type="spellEnd"/>
            <w:r w:rsidRPr="008578F3">
              <w:rPr>
                <w:rFonts w:ascii="Calibri" w:hAnsi="Calibri"/>
                <w:sz w:val="30"/>
                <w:szCs w:val="30"/>
              </w:rPr>
              <w:t xml:space="preserve"> </w:t>
            </w:r>
            <w:proofErr w:type="spellStart"/>
            <w:r w:rsidRPr="008578F3">
              <w:rPr>
                <w:rFonts w:ascii="Calibri" w:hAnsi="Calibri"/>
                <w:sz w:val="30"/>
                <w:szCs w:val="30"/>
              </w:rPr>
              <w:t>Card</w:t>
            </w:r>
            <w:proofErr w:type="spellEnd"/>
            <w:r w:rsidRPr="008578F3">
              <w:rPr>
                <w:rFonts w:ascii="Calibri" w:hAnsi="Calibri"/>
                <w:sz w:val="30"/>
                <w:szCs w:val="30"/>
              </w:rPr>
              <w:t xml:space="preserve"> и локальные карточки Ситибанка Казахстан.</w:t>
            </w:r>
            <w:r w:rsidR="001D639D" w:rsidRPr="008578F3">
              <w:rPr>
                <w:rFonts w:ascii="Calibri" w:hAnsi="Calibri"/>
                <w:sz w:val="30"/>
                <w:szCs w:val="30"/>
              </w:rPr>
              <w:t xml:space="preserve"> </w:t>
            </w:r>
            <w:r w:rsidRPr="008578F3">
              <w:rPr>
                <w:rFonts w:ascii="Calibri" w:hAnsi="Calibri"/>
                <w:sz w:val="30"/>
                <w:szCs w:val="30"/>
              </w:rPr>
              <w:t>Д</w:t>
            </w:r>
            <w:r w:rsidRPr="00015E28">
              <w:rPr>
                <w:rFonts w:ascii="Calibri" w:hAnsi="Calibri"/>
                <w:sz w:val="30"/>
                <w:szCs w:val="30"/>
              </w:rPr>
              <w:t xml:space="preserve">оля </w:t>
            </w:r>
            <w:proofErr w:type="spellStart"/>
            <w:r w:rsidRPr="00015E28">
              <w:rPr>
                <w:rFonts w:ascii="Calibri" w:hAnsi="Calibri"/>
                <w:sz w:val="30"/>
                <w:szCs w:val="30"/>
              </w:rPr>
              <w:t>дебетных</w:t>
            </w:r>
            <w:proofErr w:type="spellEnd"/>
            <w:r w:rsidRPr="00015E28">
              <w:rPr>
                <w:rFonts w:ascii="Calibri" w:hAnsi="Calibri"/>
                <w:sz w:val="30"/>
                <w:szCs w:val="30"/>
              </w:rPr>
              <w:t xml:space="preserve"> платежных карточек занимает 81,0%, кредитных</w:t>
            </w:r>
            <w:r w:rsidR="001D639D">
              <w:rPr>
                <w:rFonts w:ascii="Calibri" w:hAnsi="Calibri"/>
                <w:sz w:val="30"/>
                <w:szCs w:val="30"/>
              </w:rPr>
              <w:t xml:space="preserve"> -</w:t>
            </w:r>
            <w:r w:rsidRPr="00015E28">
              <w:rPr>
                <w:rFonts w:ascii="Calibri" w:hAnsi="Calibri"/>
                <w:sz w:val="30"/>
                <w:szCs w:val="30"/>
              </w:rPr>
              <w:t xml:space="preserve"> 15,1%, </w:t>
            </w:r>
            <w:proofErr w:type="spellStart"/>
            <w:r w:rsidRPr="00015E28">
              <w:rPr>
                <w:rFonts w:ascii="Calibri" w:hAnsi="Calibri"/>
                <w:sz w:val="30"/>
                <w:szCs w:val="30"/>
              </w:rPr>
              <w:t>дебетных</w:t>
            </w:r>
            <w:proofErr w:type="spellEnd"/>
            <w:r w:rsidRPr="00015E28">
              <w:rPr>
                <w:rFonts w:ascii="Calibri" w:hAnsi="Calibri"/>
                <w:sz w:val="30"/>
                <w:szCs w:val="30"/>
              </w:rPr>
              <w:t xml:space="preserve"> с кредитным лимитом и предоплаченных </w:t>
            </w:r>
            <w:r w:rsidR="001D639D">
              <w:rPr>
                <w:rFonts w:ascii="Calibri" w:hAnsi="Calibri"/>
                <w:sz w:val="30"/>
                <w:szCs w:val="30"/>
              </w:rPr>
              <w:t xml:space="preserve">- </w:t>
            </w:r>
            <w:r w:rsidRPr="00015E28">
              <w:rPr>
                <w:rFonts w:ascii="Calibri" w:hAnsi="Calibri"/>
                <w:sz w:val="30"/>
                <w:szCs w:val="30"/>
              </w:rPr>
              <w:t>3,9%.</w:t>
            </w:r>
          </w:p>
        </w:tc>
        <w:tc>
          <w:tcPr>
            <w:tcW w:w="5040" w:type="dxa"/>
            <w:shd w:val="clear" w:color="auto" w:fill="auto"/>
          </w:tcPr>
          <w:p w:rsidR="00551431" w:rsidRPr="00015E28" w:rsidRDefault="00551431" w:rsidP="00176F0A">
            <w:pPr>
              <w:spacing w:line="235" w:lineRule="auto"/>
              <w:jc w:val="center"/>
              <w:rPr>
                <w:rFonts w:ascii="Calibri" w:hAnsi="Calibri" w:cs="Arial"/>
                <w:b/>
                <w:color w:val="0E4C28"/>
                <w:sz w:val="28"/>
                <w:szCs w:val="28"/>
              </w:rPr>
            </w:pPr>
            <w:r w:rsidRPr="00015E28">
              <w:rPr>
                <w:rFonts w:ascii="Calibri" w:hAnsi="Calibri" w:cs="Arial"/>
                <w:b/>
                <w:color w:val="0E4C28"/>
                <w:sz w:val="28"/>
                <w:szCs w:val="28"/>
              </w:rPr>
              <w:t xml:space="preserve">Доля </w:t>
            </w:r>
            <w:r w:rsidR="005805D6" w:rsidRPr="00015E28">
              <w:rPr>
                <w:rFonts w:ascii="Calibri" w:hAnsi="Calibri" w:cs="Arial"/>
                <w:b/>
                <w:color w:val="0E4C28"/>
                <w:sz w:val="28"/>
                <w:szCs w:val="28"/>
              </w:rPr>
              <w:t>систем платежных карточек</w:t>
            </w:r>
            <w:r w:rsidRPr="00015E28">
              <w:rPr>
                <w:rFonts w:ascii="Calibri" w:hAnsi="Calibri" w:cs="Arial"/>
                <w:b/>
                <w:color w:val="0E4C28"/>
                <w:sz w:val="28"/>
                <w:szCs w:val="28"/>
              </w:rPr>
              <w:t xml:space="preserve"> </w:t>
            </w:r>
            <w:r w:rsidR="005805D6" w:rsidRPr="00015E28">
              <w:rPr>
                <w:rFonts w:ascii="Calibri" w:hAnsi="Calibri" w:cs="Arial"/>
                <w:b/>
                <w:color w:val="0E4C28"/>
                <w:sz w:val="28"/>
                <w:szCs w:val="28"/>
              </w:rPr>
              <w:t>в общем количестве</w:t>
            </w:r>
            <w:r w:rsidRPr="00015E28">
              <w:rPr>
                <w:rFonts w:ascii="Calibri" w:hAnsi="Calibri" w:cs="Arial"/>
                <w:b/>
                <w:color w:val="0E4C28"/>
                <w:sz w:val="28"/>
                <w:szCs w:val="28"/>
              </w:rPr>
              <w:t xml:space="preserve"> платежных карточек в обращении</w:t>
            </w:r>
          </w:p>
          <w:p w:rsidR="00551431" w:rsidRPr="00015E28" w:rsidRDefault="00B41594" w:rsidP="00176F0A">
            <w:pPr>
              <w:tabs>
                <w:tab w:val="num" w:pos="993"/>
              </w:tabs>
              <w:spacing w:line="235" w:lineRule="auto"/>
              <w:ind w:left="-142"/>
              <w:jc w:val="both"/>
              <w:rPr>
                <w:rFonts w:ascii="Calibri" w:hAnsi="Calibri"/>
                <w:sz w:val="30"/>
                <w:szCs w:val="30"/>
              </w:rPr>
            </w:pPr>
            <w:r>
              <w:rPr>
                <w:rFonts w:ascii="Calibri" w:hAnsi="Calibri"/>
                <w:noProof/>
                <w:sz w:val="30"/>
                <w:szCs w:val="30"/>
              </w:rPr>
              <w:drawing>
                <wp:inline distT="0" distB="0" distL="0" distR="0" wp14:anchorId="3F3FE021" wp14:editId="108621DD">
                  <wp:extent cx="3103685" cy="1521069"/>
                  <wp:effectExtent l="38100" t="0" r="40005" b="3175"/>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551431" w:rsidRPr="00551431" w:rsidTr="008578F3">
        <w:tc>
          <w:tcPr>
            <w:tcW w:w="4788" w:type="dxa"/>
            <w:vMerge/>
            <w:shd w:val="clear" w:color="auto" w:fill="auto"/>
          </w:tcPr>
          <w:p w:rsidR="00551431" w:rsidRPr="00015E28" w:rsidRDefault="00551431" w:rsidP="00176F0A">
            <w:pPr>
              <w:jc w:val="both"/>
              <w:rPr>
                <w:rFonts w:ascii="Calibri" w:hAnsi="Calibri" w:cs="Arial"/>
                <w:sz w:val="30"/>
                <w:szCs w:val="30"/>
              </w:rPr>
            </w:pPr>
          </w:p>
        </w:tc>
        <w:tc>
          <w:tcPr>
            <w:tcW w:w="5040" w:type="dxa"/>
            <w:shd w:val="clear" w:color="auto" w:fill="auto"/>
          </w:tcPr>
          <w:p w:rsidR="005805D6" w:rsidRPr="00015E28" w:rsidRDefault="00551431" w:rsidP="00176F0A">
            <w:pPr>
              <w:jc w:val="center"/>
              <w:rPr>
                <w:rFonts w:ascii="Calibri" w:hAnsi="Calibri" w:cs="Arial"/>
                <w:b/>
                <w:color w:val="0E4C28"/>
                <w:sz w:val="28"/>
                <w:szCs w:val="28"/>
              </w:rPr>
            </w:pPr>
            <w:r w:rsidRPr="00015E28">
              <w:rPr>
                <w:rFonts w:ascii="Calibri" w:hAnsi="Calibri" w:cs="Arial"/>
                <w:b/>
                <w:color w:val="0E4C28"/>
                <w:sz w:val="28"/>
                <w:szCs w:val="28"/>
              </w:rPr>
              <w:t xml:space="preserve">Доля </w:t>
            </w:r>
            <w:r w:rsidR="005805D6" w:rsidRPr="00015E28">
              <w:rPr>
                <w:rFonts w:ascii="Calibri" w:hAnsi="Calibri" w:cs="Arial"/>
                <w:b/>
                <w:color w:val="0E4C28"/>
                <w:sz w:val="28"/>
                <w:szCs w:val="28"/>
              </w:rPr>
              <w:t xml:space="preserve">видов платежных карточек </w:t>
            </w:r>
          </w:p>
          <w:p w:rsidR="00551431" w:rsidRPr="00015E28" w:rsidRDefault="005805D6" w:rsidP="00176F0A">
            <w:pPr>
              <w:jc w:val="center"/>
              <w:rPr>
                <w:rFonts w:ascii="Calibri" w:hAnsi="Calibri" w:cs="Arial"/>
                <w:b/>
                <w:color w:val="0E4C28"/>
                <w:sz w:val="28"/>
                <w:szCs w:val="28"/>
              </w:rPr>
            </w:pPr>
            <w:r w:rsidRPr="00015E28">
              <w:rPr>
                <w:rFonts w:ascii="Calibri" w:hAnsi="Calibri" w:cs="Arial"/>
                <w:b/>
                <w:color w:val="0E4C28"/>
                <w:sz w:val="28"/>
                <w:szCs w:val="28"/>
              </w:rPr>
              <w:t>в общем количестве</w:t>
            </w:r>
            <w:r w:rsidR="00551431" w:rsidRPr="00015E28">
              <w:rPr>
                <w:rFonts w:ascii="Calibri" w:hAnsi="Calibri" w:cs="Arial"/>
                <w:b/>
                <w:color w:val="0E4C28"/>
                <w:sz w:val="28"/>
                <w:szCs w:val="28"/>
              </w:rPr>
              <w:t xml:space="preserve"> платежных карточек в обращении</w:t>
            </w:r>
          </w:p>
          <w:p w:rsidR="00551431" w:rsidRPr="00015E28" w:rsidRDefault="00B41594" w:rsidP="00176F0A">
            <w:pPr>
              <w:tabs>
                <w:tab w:val="num" w:pos="993"/>
              </w:tabs>
              <w:jc w:val="center"/>
              <w:rPr>
                <w:rFonts w:ascii="Calibri" w:hAnsi="Calibri"/>
                <w:b/>
                <w:sz w:val="30"/>
                <w:szCs w:val="30"/>
              </w:rPr>
            </w:pPr>
            <w:r>
              <w:rPr>
                <w:rFonts w:ascii="Calibri" w:hAnsi="Calibri"/>
                <w:b/>
                <w:noProof/>
                <w:sz w:val="30"/>
                <w:szCs w:val="30"/>
              </w:rPr>
              <w:drawing>
                <wp:inline distT="0" distB="0" distL="0" distR="0" wp14:anchorId="7BCC6405" wp14:editId="6B260EB2">
                  <wp:extent cx="3006969" cy="1441938"/>
                  <wp:effectExtent l="38100" t="0" r="41275" b="6350"/>
                  <wp:docPr id="28" name="Диаграмма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rsidR="00551431" w:rsidRDefault="00551431" w:rsidP="00176F0A">
      <w:pPr>
        <w:widowControl w:val="0"/>
        <w:spacing w:line="235" w:lineRule="auto"/>
        <w:ind w:firstLine="709"/>
        <w:jc w:val="both"/>
        <w:rPr>
          <w:rFonts w:ascii="Calibri" w:hAnsi="Calibri"/>
          <w:sz w:val="30"/>
          <w:szCs w:val="30"/>
        </w:rPr>
      </w:pPr>
      <w:r w:rsidRPr="00015E28">
        <w:rPr>
          <w:rFonts w:ascii="Calibri" w:hAnsi="Calibri"/>
          <w:sz w:val="30"/>
          <w:szCs w:val="30"/>
        </w:rPr>
        <w:t xml:space="preserve">За 2016 год </w:t>
      </w:r>
      <w:r w:rsidRPr="00015E28">
        <w:rPr>
          <w:rFonts w:ascii="Calibri" w:hAnsi="Calibri"/>
          <w:b/>
          <w:sz w:val="30"/>
          <w:szCs w:val="30"/>
        </w:rPr>
        <w:t>объем произведенных операций с использованием платежных карточек казахстанских эмитентов составил 331,1 млн. транзакций на сумму 10,4 трлн. тенге</w:t>
      </w:r>
      <w:r w:rsidRPr="00015E28">
        <w:rPr>
          <w:rFonts w:ascii="Calibri" w:hAnsi="Calibri"/>
          <w:sz w:val="30"/>
          <w:szCs w:val="30"/>
        </w:rPr>
        <w:t xml:space="preserve"> (по сравнению с 2015 годом </w:t>
      </w:r>
      <w:r w:rsidRPr="00015E28">
        <w:rPr>
          <w:rFonts w:ascii="Calibri" w:hAnsi="Calibri"/>
          <w:sz w:val="30"/>
          <w:szCs w:val="30"/>
        </w:rPr>
        <w:lastRenderedPageBreak/>
        <w:t xml:space="preserve">количество транзакций увеличилось на 22,0%, а сумма – на 25,9%). Из них на долю безналичных операций приходится 36,4% от общего количества и 15,6% от общей суммы, на операции по выдаче наличных денег </w:t>
      </w:r>
      <w:r w:rsidRPr="00015E28">
        <w:rPr>
          <w:rFonts w:ascii="Calibri" w:hAnsi="Calibri"/>
          <w:sz w:val="30"/>
          <w:szCs w:val="30"/>
        </w:rPr>
        <w:sym w:font="Symbol" w:char="F02D"/>
      </w:r>
      <w:r w:rsidRPr="00015E28">
        <w:rPr>
          <w:rFonts w:ascii="Calibri" w:hAnsi="Calibri"/>
          <w:sz w:val="30"/>
          <w:szCs w:val="30"/>
        </w:rPr>
        <w:t xml:space="preserve"> 63,6% и 84,4% соответственно. </w:t>
      </w:r>
      <w:r w:rsidR="00583F9B">
        <w:rPr>
          <w:rFonts w:ascii="Calibri" w:hAnsi="Calibri"/>
          <w:sz w:val="30"/>
          <w:szCs w:val="30"/>
        </w:rPr>
        <w:t>П</w:t>
      </w:r>
      <w:r w:rsidRPr="00015E28">
        <w:rPr>
          <w:rFonts w:ascii="Calibri" w:hAnsi="Calibri"/>
          <w:sz w:val="30"/>
          <w:szCs w:val="30"/>
        </w:rPr>
        <w:t xml:space="preserve">ри этом заметен опережающий рост количества и суммы безналичных операций, которые по сравнению с 2015 годом увеличились на 42,5% и 57,2% соответственно, составив </w:t>
      </w:r>
      <w:r w:rsidR="005805D6" w:rsidRPr="00015E28">
        <w:rPr>
          <w:rFonts w:ascii="Calibri" w:hAnsi="Calibri"/>
          <w:sz w:val="30"/>
          <w:szCs w:val="30"/>
        </w:rPr>
        <w:t>120,5</w:t>
      </w:r>
      <w:r w:rsidRPr="00015E28">
        <w:rPr>
          <w:rFonts w:ascii="Calibri" w:hAnsi="Calibri"/>
          <w:sz w:val="30"/>
          <w:szCs w:val="30"/>
        </w:rPr>
        <w:t xml:space="preserve"> млн. операций на сумму </w:t>
      </w:r>
      <w:r w:rsidR="005805D6" w:rsidRPr="00015E28">
        <w:rPr>
          <w:rFonts w:ascii="Calibri" w:hAnsi="Calibri"/>
          <w:sz w:val="30"/>
          <w:szCs w:val="30"/>
        </w:rPr>
        <w:t>1 620,6</w:t>
      </w:r>
      <w:r w:rsidRPr="00015E28">
        <w:rPr>
          <w:rFonts w:ascii="Calibri" w:hAnsi="Calibri"/>
          <w:sz w:val="30"/>
          <w:szCs w:val="30"/>
        </w:rPr>
        <w:t xml:space="preserve"> млрд. тенге.</w:t>
      </w:r>
    </w:p>
    <w:p w:rsidR="006E2AC8" w:rsidRDefault="006E2AC8" w:rsidP="00176F0A">
      <w:pPr>
        <w:jc w:val="center"/>
        <w:rPr>
          <w:rFonts w:ascii="Calibri" w:hAnsi="Calibri" w:cs="Arial"/>
          <w:b/>
          <w:color w:val="0E4C28"/>
          <w:sz w:val="28"/>
          <w:szCs w:val="28"/>
        </w:rPr>
      </w:pPr>
    </w:p>
    <w:p w:rsidR="00504B23" w:rsidRDefault="00551431" w:rsidP="00176F0A">
      <w:pPr>
        <w:jc w:val="center"/>
        <w:rPr>
          <w:rFonts w:ascii="Calibri" w:hAnsi="Calibri" w:cs="Arial"/>
          <w:b/>
          <w:color w:val="0E4C28"/>
          <w:sz w:val="28"/>
          <w:szCs w:val="28"/>
        </w:rPr>
      </w:pPr>
      <w:r w:rsidRPr="00015E28">
        <w:rPr>
          <w:rFonts w:ascii="Calibri" w:hAnsi="Calibri" w:cs="Arial"/>
          <w:b/>
          <w:color w:val="0E4C28"/>
          <w:sz w:val="28"/>
          <w:szCs w:val="28"/>
        </w:rPr>
        <w:t xml:space="preserve">Динамика операций с использованием платежных карточек </w:t>
      </w:r>
    </w:p>
    <w:p w:rsidR="00583F9B" w:rsidRDefault="00551431" w:rsidP="00176F0A">
      <w:pPr>
        <w:jc w:val="center"/>
        <w:rPr>
          <w:rFonts w:ascii="Calibri" w:hAnsi="Calibri" w:cs="Arial"/>
          <w:b/>
          <w:color w:val="0E4C28"/>
          <w:sz w:val="28"/>
          <w:szCs w:val="28"/>
        </w:rPr>
      </w:pPr>
      <w:r w:rsidRPr="00015E28">
        <w:rPr>
          <w:rFonts w:ascii="Calibri" w:hAnsi="Calibri" w:cs="Arial"/>
          <w:b/>
          <w:color w:val="0E4C28"/>
          <w:sz w:val="28"/>
          <w:szCs w:val="28"/>
        </w:rPr>
        <w:t>казахстанских</w:t>
      </w:r>
      <w:r w:rsidR="005805D6" w:rsidRPr="00015E28">
        <w:rPr>
          <w:rFonts w:ascii="Calibri" w:hAnsi="Calibri" w:cs="Arial"/>
          <w:b/>
          <w:color w:val="0E4C28"/>
          <w:sz w:val="28"/>
          <w:szCs w:val="28"/>
        </w:rPr>
        <w:t xml:space="preserve"> эмитентов</w:t>
      </w:r>
    </w:p>
    <w:p w:rsidR="00551431" w:rsidRPr="00015E28" w:rsidRDefault="00B41594" w:rsidP="00176F0A">
      <w:pPr>
        <w:jc w:val="center"/>
        <w:rPr>
          <w:rFonts w:ascii="Calibri" w:hAnsi="Calibri"/>
          <w:b/>
          <w:color w:val="FF0000"/>
          <w:sz w:val="30"/>
          <w:szCs w:val="30"/>
        </w:rPr>
      </w:pPr>
      <w:r>
        <w:rPr>
          <w:rFonts w:ascii="Calibri" w:hAnsi="Calibri"/>
          <w:b/>
          <w:noProof/>
          <w:color w:val="FF0000"/>
          <w:sz w:val="30"/>
          <w:szCs w:val="30"/>
        </w:rPr>
        <w:drawing>
          <wp:inline distT="0" distB="0" distL="0" distR="0" wp14:anchorId="2E0EBEAC" wp14:editId="06B597A4">
            <wp:extent cx="2918129" cy="2122501"/>
            <wp:effectExtent l="0" t="0" r="0" b="0"/>
            <wp:docPr id="29"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Pr>
          <w:rFonts w:ascii="Calibri" w:hAnsi="Calibri"/>
          <w:b/>
          <w:noProof/>
          <w:color w:val="FF0000"/>
          <w:sz w:val="30"/>
          <w:szCs w:val="30"/>
        </w:rPr>
        <w:drawing>
          <wp:inline distT="0" distB="0" distL="0" distR="0" wp14:anchorId="7F87292B" wp14:editId="7F435878">
            <wp:extent cx="2918129" cy="2104611"/>
            <wp:effectExtent l="0" t="0" r="0" b="0"/>
            <wp:docPr id="30"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C11292" w:rsidRPr="00015E28" w:rsidRDefault="005805D6" w:rsidP="00176F0A">
      <w:pPr>
        <w:widowControl w:val="0"/>
        <w:spacing w:line="235" w:lineRule="auto"/>
        <w:ind w:firstLine="709"/>
        <w:jc w:val="both"/>
        <w:rPr>
          <w:rFonts w:ascii="Calibri" w:hAnsi="Calibri"/>
          <w:b/>
          <w:sz w:val="30"/>
          <w:szCs w:val="30"/>
        </w:rPr>
      </w:pPr>
      <w:r w:rsidRPr="00015E28">
        <w:rPr>
          <w:rFonts w:ascii="Calibri" w:hAnsi="Calibri"/>
          <w:sz w:val="30"/>
          <w:szCs w:val="30"/>
        </w:rPr>
        <w:t>В</w:t>
      </w:r>
      <w:r w:rsidR="00551431" w:rsidRPr="00015E28">
        <w:rPr>
          <w:rFonts w:ascii="Calibri" w:hAnsi="Calibri"/>
          <w:sz w:val="30"/>
          <w:szCs w:val="30"/>
        </w:rPr>
        <w:t xml:space="preserve"> </w:t>
      </w:r>
      <w:proofErr w:type="gramStart"/>
      <w:r w:rsidR="00551431" w:rsidRPr="00015E28">
        <w:rPr>
          <w:rFonts w:ascii="Calibri" w:hAnsi="Calibri"/>
          <w:sz w:val="30"/>
          <w:szCs w:val="30"/>
        </w:rPr>
        <w:t>среднем</w:t>
      </w:r>
      <w:proofErr w:type="gramEnd"/>
      <w:r w:rsidR="00551431" w:rsidRPr="00015E28">
        <w:rPr>
          <w:rFonts w:ascii="Calibri" w:hAnsi="Calibri"/>
          <w:sz w:val="30"/>
          <w:szCs w:val="30"/>
        </w:rPr>
        <w:t xml:space="preserve"> один из двух жителей Казахстана является держателем платежной карточки (в Южно-Казахстанской и </w:t>
      </w:r>
      <w:proofErr w:type="spellStart"/>
      <w:r w:rsidR="00551431" w:rsidRPr="00015E28">
        <w:rPr>
          <w:rFonts w:ascii="Calibri" w:hAnsi="Calibri"/>
          <w:sz w:val="30"/>
          <w:szCs w:val="30"/>
        </w:rPr>
        <w:t>Алматинской</w:t>
      </w:r>
      <w:proofErr w:type="spellEnd"/>
      <w:r w:rsidR="00551431" w:rsidRPr="00015E28">
        <w:rPr>
          <w:rFonts w:ascii="Calibri" w:hAnsi="Calibri"/>
          <w:sz w:val="30"/>
          <w:szCs w:val="30"/>
        </w:rPr>
        <w:t xml:space="preserve"> областях</w:t>
      </w:r>
      <w:r w:rsidRPr="00015E28">
        <w:rPr>
          <w:rFonts w:ascii="Calibri" w:hAnsi="Calibri"/>
          <w:sz w:val="30"/>
          <w:szCs w:val="30"/>
        </w:rPr>
        <w:t xml:space="preserve"> -</w:t>
      </w:r>
      <w:r w:rsidR="00551431" w:rsidRPr="00015E28">
        <w:rPr>
          <w:rFonts w:ascii="Calibri" w:hAnsi="Calibri"/>
          <w:sz w:val="30"/>
          <w:szCs w:val="30"/>
        </w:rPr>
        <w:t xml:space="preserve"> в среднем один из троих). Значительно контрастирует на данном фоне</w:t>
      </w:r>
      <w:r w:rsidR="00D03AA5">
        <w:rPr>
          <w:rFonts w:ascii="Calibri" w:hAnsi="Calibri"/>
          <w:sz w:val="30"/>
          <w:szCs w:val="30"/>
        </w:rPr>
        <w:br/>
      </w:r>
      <w:r w:rsidR="00551431" w:rsidRPr="00015E28">
        <w:rPr>
          <w:rFonts w:ascii="Calibri" w:hAnsi="Calibri"/>
          <w:sz w:val="30"/>
          <w:szCs w:val="30"/>
        </w:rPr>
        <w:t xml:space="preserve"> г. Алматы, поскольку многие жители являются держателями нескольких платежных карточек различных банков – эмитентов.</w:t>
      </w:r>
      <w:r w:rsidR="00C11292" w:rsidRPr="00015E28">
        <w:rPr>
          <w:rFonts w:ascii="Calibri" w:hAnsi="Calibri"/>
          <w:b/>
          <w:sz w:val="30"/>
          <w:szCs w:val="30"/>
        </w:rPr>
        <w:t xml:space="preserve"> </w:t>
      </w:r>
    </w:p>
    <w:p w:rsidR="00551431" w:rsidRDefault="00C11292" w:rsidP="00176F0A">
      <w:pPr>
        <w:widowControl w:val="0"/>
        <w:spacing w:line="235" w:lineRule="auto"/>
        <w:ind w:firstLine="708"/>
        <w:jc w:val="both"/>
        <w:rPr>
          <w:rFonts w:ascii="Calibri" w:hAnsi="Calibri"/>
          <w:sz w:val="30"/>
          <w:szCs w:val="30"/>
        </w:rPr>
      </w:pPr>
      <w:r>
        <w:rPr>
          <w:rFonts w:ascii="Calibri" w:hAnsi="Calibri"/>
          <w:b/>
          <w:sz w:val="30"/>
          <w:szCs w:val="30"/>
        </w:rPr>
        <w:t>М</w:t>
      </w:r>
      <w:r w:rsidR="00551431" w:rsidRPr="00015E28">
        <w:rPr>
          <w:rFonts w:ascii="Calibri" w:hAnsi="Calibri"/>
          <w:b/>
          <w:sz w:val="30"/>
          <w:szCs w:val="30"/>
        </w:rPr>
        <w:t xml:space="preserve">ежбанковские платежи. </w:t>
      </w:r>
      <w:r w:rsidR="00551431" w:rsidRPr="00015E28">
        <w:rPr>
          <w:rFonts w:ascii="Calibri" w:hAnsi="Calibri"/>
          <w:sz w:val="30"/>
          <w:szCs w:val="30"/>
        </w:rPr>
        <w:t>Межбанковские операции (чужие карты в сети банка)</w:t>
      </w:r>
      <w:r w:rsidR="00551431" w:rsidRPr="00015E28">
        <w:rPr>
          <w:rStyle w:val="a6"/>
          <w:rFonts w:ascii="Calibri" w:hAnsi="Calibri"/>
          <w:sz w:val="30"/>
          <w:szCs w:val="30"/>
        </w:rPr>
        <w:footnoteReference w:id="15"/>
      </w:r>
      <w:r w:rsidR="00551431" w:rsidRPr="00015E28">
        <w:rPr>
          <w:rFonts w:ascii="Calibri" w:hAnsi="Calibri"/>
          <w:sz w:val="30"/>
          <w:szCs w:val="30"/>
        </w:rPr>
        <w:t xml:space="preserve"> с использованием платежных карточек казахстанских эмитентов составили 56,3 млн. операций на сумму 1 137,9 млрд. тенге, что занимает 17,9% и 11,4% от общего количества и суммы </w:t>
      </w:r>
      <w:proofErr w:type="spellStart"/>
      <w:r w:rsidR="00551431" w:rsidRPr="00015E28">
        <w:rPr>
          <w:rFonts w:ascii="Calibri" w:hAnsi="Calibri"/>
          <w:sz w:val="30"/>
          <w:szCs w:val="30"/>
        </w:rPr>
        <w:t>внутристрановых</w:t>
      </w:r>
      <w:proofErr w:type="spellEnd"/>
      <w:r w:rsidR="00551431" w:rsidRPr="00015E28">
        <w:rPr>
          <w:rFonts w:ascii="Calibri" w:hAnsi="Calibri"/>
          <w:sz w:val="30"/>
          <w:szCs w:val="30"/>
        </w:rPr>
        <w:t xml:space="preserve"> платежей, совершенных с использованием платежных карточек казахстанских эмитентов.</w:t>
      </w:r>
    </w:p>
    <w:tbl>
      <w:tblPr>
        <w:tblStyle w:val="a3"/>
        <w:tblW w:w="0" w:type="auto"/>
        <w:shd w:val="clear" w:color="auto" w:fill="E6E6E6"/>
        <w:tblLook w:val="01E0" w:firstRow="1" w:lastRow="1" w:firstColumn="1" w:lastColumn="1" w:noHBand="0" w:noVBand="0"/>
      </w:tblPr>
      <w:tblGrid>
        <w:gridCol w:w="9570"/>
      </w:tblGrid>
      <w:tr w:rsidR="00C11292" w:rsidRPr="00671D55" w:rsidTr="009C5BA7">
        <w:tc>
          <w:tcPr>
            <w:tcW w:w="9570" w:type="dxa"/>
            <w:shd w:val="clear" w:color="auto" w:fill="E6E6E6"/>
          </w:tcPr>
          <w:p w:rsidR="00C11292" w:rsidRPr="00671D55" w:rsidRDefault="00C11292" w:rsidP="00176F0A">
            <w:pPr>
              <w:widowControl w:val="0"/>
              <w:autoSpaceDE w:val="0"/>
              <w:autoSpaceDN w:val="0"/>
              <w:adjustRightInd w:val="0"/>
              <w:jc w:val="center"/>
              <w:rPr>
                <w:rFonts w:ascii="Calibri" w:hAnsi="Calibri" w:cs="Arial"/>
                <w:b/>
                <w:spacing w:val="-4"/>
              </w:rPr>
            </w:pPr>
            <w:r w:rsidRPr="00671D55">
              <w:rPr>
                <w:rFonts w:ascii="Calibri" w:hAnsi="Calibri" w:cs="Arial"/>
                <w:b/>
                <w:spacing w:val="-4"/>
              </w:rPr>
              <w:t xml:space="preserve">Справка </w:t>
            </w:r>
            <w:r w:rsidR="007E45C2">
              <w:rPr>
                <w:rFonts w:ascii="Calibri" w:hAnsi="Calibri" w:cs="Arial"/>
                <w:b/>
                <w:spacing w:val="-4"/>
              </w:rPr>
              <w:t>5</w:t>
            </w:r>
            <w:r w:rsidRPr="00671D55">
              <w:rPr>
                <w:rFonts w:ascii="Calibri" w:hAnsi="Calibri" w:cs="Arial"/>
                <w:b/>
                <w:spacing w:val="-4"/>
              </w:rPr>
              <w:t xml:space="preserve"> – Процессинговые услуги</w:t>
            </w:r>
          </w:p>
          <w:p w:rsidR="00C11292" w:rsidRPr="00745ECF" w:rsidRDefault="00C11292" w:rsidP="00176F0A">
            <w:pPr>
              <w:widowControl w:val="0"/>
              <w:autoSpaceDE w:val="0"/>
              <w:autoSpaceDN w:val="0"/>
              <w:adjustRightInd w:val="0"/>
              <w:ind w:firstLine="720"/>
              <w:jc w:val="both"/>
              <w:rPr>
                <w:rFonts w:ascii="Calibri" w:hAnsi="Calibri" w:cs="Arial"/>
                <w:spacing w:val="-4"/>
                <w:sz w:val="2"/>
              </w:rPr>
            </w:pPr>
          </w:p>
          <w:p w:rsidR="00745ECF" w:rsidRPr="00745ECF" w:rsidRDefault="00745ECF" w:rsidP="00176F0A">
            <w:pPr>
              <w:widowControl w:val="0"/>
              <w:autoSpaceDE w:val="0"/>
              <w:autoSpaceDN w:val="0"/>
              <w:adjustRightInd w:val="0"/>
              <w:ind w:firstLine="720"/>
              <w:jc w:val="both"/>
              <w:rPr>
                <w:rFonts w:ascii="Calibri" w:hAnsi="Calibri" w:cs="Arial"/>
                <w:spacing w:val="-4"/>
                <w:sz w:val="2"/>
                <w:lang w:val="en-US"/>
              </w:rPr>
            </w:pPr>
          </w:p>
          <w:p w:rsidR="00C11292" w:rsidRDefault="00C11292" w:rsidP="00176F0A">
            <w:pPr>
              <w:widowControl w:val="0"/>
              <w:autoSpaceDE w:val="0"/>
              <w:autoSpaceDN w:val="0"/>
              <w:adjustRightInd w:val="0"/>
              <w:ind w:firstLine="720"/>
              <w:jc w:val="both"/>
              <w:rPr>
                <w:rFonts w:ascii="Calibri" w:hAnsi="Calibri" w:cs="Arial"/>
                <w:b/>
                <w:color w:val="0E4C28"/>
              </w:rPr>
            </w:pPr>
            <w:proofErr w:type="gramStart"/>
            <w:r w:rsidRPr="00671D55">
              <w:rPr>
                <w:rFonts w:ascii="Calibri" w:hAnsi="Calibri" w:cs="Arial"/>
                <w:spacing w:val="-4"/>
              </w:rPr>
              <w:t>В Казахстане обработку карточных транзакций осуществляют 18 процессинговых центров, из них 14 центров расположены на территории Республики Казахстан, 4 дочерних организаций иностранных банков используют процессинговые центры материнских компаний.</w:t>
            </w:r>
            <w:proofErr w:type="gramEnd"/>
            <w:r w:rsidRPr="00671D55">
              <w:rPr>
                <w:rFonts w:ascii="Calibri" w:hAnsi="Calibri" w:cs="Arial"/>
                <w:spacing w:val="-4"/>
              </w:rPr>
              <w:t xml:space="preserve"> При этом доля банков, создавших собственные процессинговые центры, составляет 70,4% от общего количества банков-эмитентов.</w:t>
            </w:r>
            <w:r w:rsidRPr="00671D55">
              <w:rPr>
                <w:rFonts w:ascii="Calibri" w:hAnsi="Calibri" w:cs="Arial"/>
                <w:b/>
                <w:color w:val="0E4C28"/>
              </w:rPr>
              <w:t xml:space="preserve"> </w:t>
            </w:r>
          </w:p>
          <w:p w:rsidR="00C11292" w:rsidRPr="00583F9B" w:rsidRDefault="00C11292" w:rsidP="00176F0A">
            <w:pPr>
              <w:widowControl w:val="0"/>
              <w:autoSpaceDE w:val="0"/>
              <w:autoSpaceDN w:val="0"/>
              <w:adjustRightInd w:val="0"/>
              <w:ind w:firstLine="720"/>
              <w:jc w:val="both"/>
              <w:rPr>
                <w:rFonts w:ascii="Calibri" w:hAnsi="Calibri" w:cs="Arial"/>
                <w:spacing w:val="-4"/>
                <w:sz w:val="8"/>
              </w:rPr>
            </w:pPr>
          </w:p>
        </w:tc>
      </w:tr>
    </w:tbl>
    <w:p w:rsidR="00551431" w:rsidRDefault="00551431" w:rsidP="00176F0A">
      <w:pPr>
        <w:widowControl w:val="0"/>
        <w:spacing w:line="235" w:lineRule="auto"/>
        <w:ind w:firstLine="709"/>
        <w:jc w:val="both"/>
        <w:rPr>
          <w:rFonts w:ascii="Calibri" w:hAnsi="Calibri"/>
          <w:sz w:val="30"/>
          <w:szCs w:val="30"/>
        </w:rPr>
      </w:pPr>
      <w:r w:rsidRPr="00583F9B">
        <w:rPr>
          <w:rFonts w:ascii="Calibri" w:hAnsi="Calibri"/>
          <w:sz w:val="30"/>
          <w:szCs w:val="30"/>
        </w:rPr>
        <w:t xml:space="preserve">Основная доля операций по снятию наличных денег проводится клиентами в основном в сети своих банков - эмитентов платежных карточек (88,0% и 92,6% от общего количества и суммы транзакций), что </w:t>
      </w:r>
      <w:r w:rsidRPr="00583F9B">
        <w:rPr>
          <w:rFonts w:ascii="Calibri" w:hAnsi="Calibri"/>
          <w:sz w:val="30"/>
          <w:szCs w:val="30"/>
        </w:rPr>
        <w:lastRenderedPageBreak/>
        <w:t>характеризуется низкими тарифами на проведение данных операций в собственной сети (по зарплатным проектам в большинстве случаев установлены нулевые тарифы) по сравнению с тарифами на проведение данных операций в сети других банков. Безналичные платежи с использованием платежных карточек могут проводиться клиентами как в сети собственных банков, так и других банков Казахстана, так как в данном случае держатели платежных карточек не несут затраты по данным операциям.</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894"/>
      </w:tblGrid>
      <w:tr w:rsidR="00583F9B" w:rsidTr="00583F9B">
        <w:tc>
          <w:tcPr>
            <w:tcW w:w="4785" w:type="dxa"/>
          </w:tcPr>
          <w:p w:rsidR="006E2AC8" w:rsidRDefault="006E2AC8" w:rsidP="00176F0A">
            <w:pPr>
              <w:shd w:val="clear" w:color="auto" w:fill="FFFFFF"/>
              <w:jc w:val="center"/>
              <w:rPr>
                <w:rFonts w:ascii="Calibri" w:hAnsi="Calibri" w:cs="Arial"/>
                <w:b/>
                <w:color w:val="0E4C28"/>
                <w:sz w:val="28"/>
                <w:szCs w:val="28"/>
              </w:rPr>
            </w:pPr>
          </w:p>
          <w:p w:rsidR="00583F9B" w:rsidRDefault="00583F9B" w:rsidP="00176F0A">
            <w:pPr>
              <w:shd w:val="clear" w:color="auto" w:fill="FFFFFF"/>
              <w:jc w:val="center"/>
              <w:rPr>
                <w:rFonts w:ascii="Calibri" w:hAnsi="Calibri" w:cs="Arial"/>
                <w:b/>
                <w:color w:val="0E4C28"/>
                <w:sz w:val="28"/>
                <w:szCs w:val="28"/>
              </w:rPr>
            </w:pPr>
            <w:r w:rsidRPr="00C77E3B">
              <w:rPr>
                <w:rFonts w:ascii="Calibri" w:hAnsi="Calibri" w:cs="Arial"/>
                <w:b/>
                <w:color w:val="0E4C28"/>
                <w:sz w:val="28"/>
                <w:szCs w:val="28"/>
              </w:rPr>
              <w:t>Операции по снятию</w:t>
            </w:r>
          </w:p>
          <w:p w:rsidR="00583F9B" w:rsidRDefault="00583F9B" w:rsidP="00176F0A">
            <w:pPr>
              <w:widowControl w:val="0"/>
              <w:jc w:val="center"/>
              <w:rPr>
                <w:rFonts w:ascii="Calibri" w:hAnsi="Calibri" w:cs="Arial"/>
                <w:b/>
                <w:color w:val="0E4C28"/>
                <w:sz w:val="28"/>
                <w:szCs w:val="28"/>
              </w:rPr>
            </w:pPr>
            <w:r w:rsidRPr="00C77E3B">
              <w:rPr>
                <w:rFonts w:ascii="Calibri" w:hAnsi="Calibri" w:cs="Arial"/>
                <w:b/>
                <w:color w:val="0E4C28"/>
                <w:sz w:val="28"/>
                <w:szCs w:val="28"/>
              </w:rPr>
              <w:t>наличных денег</w:t>
            </w:r>
          </w:p>
          <w:p w:rsidR="00583F9B" w:rsidRDefault="00583F9B" w:rsidP="00176F0A">
            <w:pPr>
              <w:widowControl w:val="0"/>
              <w:jc w:val="both"/>
              <w:rPr>
                <w:rFonts w:ascii="Calibri" w:hAnsi="Calibri"/>
                <w:sz w:val="30"/>
                <w:szCs w:val="30"/>
              </w:rPr>
            </w:pPr>
            <w:r>
              <w:rPr>
                <w:rFonts w:ascii="Calibri" w:hAnsi="Calibri" w:cs="Arial"/>
                <w:b/>
                <w:noProof/>
                <w:sz w:val="30"/>
                <w:szCs w:val="30"/>
              </w:rPr>
              <w:drawing>
                <wp:inline distT="0" distB="0" distL="0" distR="0" wp14:anchorId="55A5EB8E" wp14:editId="594A7915">
                  <wp:extent cx="2854519" cy="1791528"/>
                  <wp:effectExtent l="0" t="0" r="3175" b="0"/>
                  <wp:docPr id="31"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c>
          <w:tcPr>
            <w:tcW w:w="4785" w:type="dxa"/>
          </w:tcPr>
          <w:p w:rsidR="006E2AC8" w:rsidRDefault="006E2AC8" w:rsidP="00176F0A">
            <w:pPr>
              <w:shd w:val="clear" w:color="auto" w:fill="FFFFFF"/>
              <w:jc w:val="center"/>
              <w:rPr>
                <w:rFonts w:ascii="Calibri" w:hAnsi="Calibri" w:cs="Arial"/>
                <w:b/>
                <w:color w:val="0E4C28"/>
                <w:sz w:val="28"/>
                <w:szCs w:val="28"/>
              </w:rPr>
            </w:pPr>
          </w:p>
          <w:p w:rsidR="00583F9B" w:rsidRDefault="00583F9B" w:rsidP="00176F0A">
            <w:pPr>
              <w:shd w:val="clear" w:color="auto" w:fill="FFFFFF"/>
              <w:jc w:val="center"/>
              <w:rPr>
                <w:rFonts w:ascii="Calibri" w:hAnsi="Calibri" w:cs="Arial"/>
                <w:b/>
                <w:color w:val="0E4C28"/>
                <w:sz w:val="28"/>
                <w:szCs w:val="28"/>
              </w:rPr>
            </w:pPr>
            <w:r w:rsidRPr="00C77E3B">
              <w:rPr>
                <w:rFonts w:ascii="Calibri" w:hAnsi="Calibri" w:cs="Arial"/>
                <w:b/>
                <w:color w:val="0E4C28"/>
                <w:sz w:val="28"/>
                <w:szCs w:val="28"/>
              </w:rPr>
              <w:t>Безналичные платежи</w:t>
            </w:r>
            <w:r>
              <w:rPr>
                <w:rFonts w:ascii="Calibri" w:hAnsi="Calibri" w:cs="Arial"/>
                <w:b/>
                <w:color w:val="0E4C28"/>
                <w:sz w:val="28"/>
                <w:szCs w:val="28"/>
              </w:rPr>
              <w:t xml:space="preserve"> с использованием платежных карточек</w:t>
            </w:r>
          </w:p>
          <w:p w:rsidR="00583F9B" w:rsidRDefault="00583F9B" w:rsidP="00176F0A">
            <w:pPr>
              <w:widowControl w:val="0"/>
              <w:jc w:val="both"/>
              <w:rPr>
                <w:rFonts w:ascii="Calibri" w:hAnsi="Calibri"/>
                <w:sz w:val="30"/>
                <w:szCs w:val="30"/>
              </w:rPr>
            </w:pPr>
            <w:r>
              <w:rPr>
                <w:rFonts w:ascii="Calibri" w:hAnsi="Calibri" w:cs="Arial"/>
                <w:b/>
                <w:noProof/>
                <w:sz w:val="30"/>
                <w:szCs w:val="30"/>
              </w:rPr>
              <w:drawing>
                <wp:inline distT="0" distB="0" distL="0" distR="0" wp14:anchorId="1913F3F2" wp14:editId="2D82522C">
                  <wp:extent cx="2997642" cy="1789043"/>
                  <wp:effectExtent l="0" t="0" r="0" b="1905"/>
                  <wp:docPr id="32"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r>
    </w:tbl>
    <w:p w:rsidR="00583F9B" w:rsidRDefault="00C11292" w:rsidP="00176F0A">
      <w:pPr>
        <w:widowControl w:val="0"/>
        <w:spacing w:line="235" w:lineRule="auto"/>
        <w:ind w:firstLine="709"/>
        <w:jc w:val="both"/>
        <w:rPr>
          <w:noProof/>
        </w:rPr>
      </w:pPr>
      <w:r w:rsidRPr="00015E28">
        <w:rPr>
          <w:rFonts w:ascii="Calibri" w:hAnsi="Calibri"/>
          <w:sz w:val="30"/>
          <w:szCs w:val="30"/>
        </w:rPr>
        <w:t xml:space="preserve">При этом межбанковские платежи с использованием платежных карточек совершаются в Казахстане через инфраструктуру международных платежных систем (VISA, </w:t>
      </w:r>
      <w:proofErr w:type="spellStart"/>
      <w:r w:rsidRPr="00015E28">
        <w:rPr>
          <w:rFonts w:ascii="Calibri" w:hAnsi="Calibri"/>
          <w:sz w:val="30"/>
          <w:szCs w:val="30"/>
        </w:rPr>
        <w:t>Mastercard</w:t>
      </w:r>
      <w:proofErr w:type="spellEnd"/>
      <w:r w:rsidRPr="00015E28">
        <w:rPr>
          <w:rFonts w:ascii="Calibri" w:hAnsi="Calibri"/>
          <w:sz w:val="30"/>
          <w:szCs w:val="30"/>
        </w:rPr>
        <w:t xml:space="preserve">, </w:t>
      </w:r>
      <w:proofErr w:type="spellStart"/>
      <w:r w:rsidRPr="00015E28">
        <w:rPr>
          <w:rFonts w:ascii="Calibri" w:hAnsi="Calibri"/>
          <w:sz w:val="30"/>
          <w:szCs w:val="30"/>
        </w:rPr>
        <w:t>UnionPay</w:t>
      </w:r>
      <w:proofErr w:type="spellEnd"/>
      <w:r w:rsidRPr="00015E28">
        <w:rPr>
          <w:rFonts w:ascii="Calibri" w:hAnsi="Calibri"/>
          <w:sz w:val="30"/>
          <w:szCs w:val="30"/>
        </w:rPr>
        <w:t xml:space="preserve">, </w:t>
      </w:r>
      <w:proofErr w:type="spellStart"/>
      <w:r w:rsidRPr="00015E28">
        <w:rPr>
          <w:rFonts w:ascii="Calibri" w:hAnsi="Calibri"/>
          <w:sz w:val="30"/>
          <w:szCs w:val="30"/>
        </w:rPr>
        <w:t>American</w:t>
      </w:r>
      <w:proofErr w:type="spellEnd"/>
      <w:r w:rsidRPr="00015E28">
        <w:rPr>
          <w:rFonts w:ascii="Calibri" w:hAnsi="Calibri"/>
          <w:sz w:val="30"/>
          <w:szCs w:val="30"/>
        </w:rPr>
        <w:t xml:space="preserve"> </w:t>
      </w:r>
      <w:proofErr w:type="spellStart"/>
      <w:r w:rsidRPr="00015E28">
        <w:rPr>
          <w:rFonts w:ascii="Calibri" w:hAnsi="Calibri"/>
          <w:sz w:val="30"/>
          <w:szCs w:val="30"/>
        </w:rPr>
        <w:t>Express</w:t>
      </w:r>
      <w:proofErr w:type="spellEnd"/>
      <w:r w:rsidRPr="00015E28">
        <w:rPr>
          <w:rFonts w:ascii="Calibri" w:hAnsi="Calibri"/>
          <w:sz w:val="30"/>
          <w:szCs w:val="30"/>
        </w:rPr>
        <w:t xml:space="preserve">), с помощью </w:t>
      </w:r>
      <w:proofErr w:type="spellStart"/>
      <w:r w:rsidRPr="00015E28">
        <w:rPr>
          <w:rFonts w:ascii="Calibri" w:hAnsi="Calibri"/>
          <w:sz w:val="30"/>
          <w:szCs w:val="30"/>
        </w:rPr>
        <w:t>межхостовых</w:t>
      </w:r>
      <w:proofErr w:type="spellEnd"/>
      <w:r w:rsidRPr="00015E28">
        <w:rPr>
          <w:rFonts w:ascii="Calibri" w:hAnsi="Calibri"/>
          <w:sz w:val="30"/>
          <w:szCs w:val="30"/>
        </w:rPr>
        <w:t xml:space="preserve"> соединений (</w:t>
      </w:r>
      <w:proofErr w:type="spellStart"/>
      <w:r w:rsidRPr="00015E28">
        <w:rPr>
          <w:rFonts w:ascii="Calibri" w:hAnsi="Calibri"/>
          <w:sz w:val="30"/>
          <w:szCs w:val="30"/>
        </w:rPr>
        <w:t>Host</w:t>
      </w:r>
      <w:proofErr w:type="spellEnd"/>
      <w:r w:rsidRPr="00015E28">
        <w:rPr>
          <w:rFonts w:ascii="Calibri" w:hAnsi="Calibri"/>
          <w:sz w:val="30"/>
          <w:szCs w:val="30"/>
        </w:rPr>
        <w:t xml:space="preserve"> 2 </w:t>
      </w:r>
      <w:proofErr w:type="spellStart"/>
      <w:r w:rsidRPr="00015E28">
        <w:rPr>
          <w:rFonts w:ascii="Calibri" w:hAnsi="Calibri"/>
          <w:sz w:val="30"/>
          <w:szCs w:val="30"/>
        </w:rPr>
        <w:t>Host</w:t>
      </w:r>
      <w:proofErr w:type="spellEnd"/>
      <w:r w:rsidRPr="00015E28">
        <w:rPr>
          <w:rFonts w:ascii="Calibri" w:hAnsi="Calibri"/>
          <w:sz w:val="30"/>
          <w:szCs w:val="30"/>
        </w:rPr>
        <w:t>)</w:t>
      </w:r>
      <w:r>
        <w:rPr>
          <w:rStyle w:val="a6"/>
          <w:rFonts w:ascii="Calibri" w:hAnsi="Calibri"/>
          <w:sz w:val="30"/>
          <w:szCs w:val="30"/>
        </w:rPr>
        <w:footnoteReference w:id="16"/>
      </w:r>
      <w:r w:rsidRPr="00015E28">
        <w:rPr>
          <w:rFonts w:ascii="Calibri" w:hAnsi="Calibri"/>
          <w:sz w:val="30"/>
          <w:szCs w:val="30"/>
        </w:rPr>
        <w:t xml:space="preserve"> между банками</w:t>
      </w:r>
      <w:r>
        <w:rPr>
          <w:rFonts w:ascii="Calibri" w:hAnsi="Calibri"/>
          <w:sz w:val="30"/>
          <w:szCs w:val="30"/>
        </w:rPr>
        <w:t xml:space="preserve">, </w:t>
      </w:r>
      <w:proofErr w:type="spellStart"/>
      <w:r w:rsidRPr="00503833">
        <w:rPr>
          <w:rFonts w:ascii="Calibri" w:hAnsi="Calibri"/>
          <w:sz w:val="30"/>
          <w:szCs w:val="30"/>
        </w:rPr>
        <w:t>обс</w:t>
      </w:r>
      <w:r w:rsidR="00A3494E" w:rsidRPr="00503833">
        <w:rPr>
          <w:rFonts w:ascii="Calibri" w:hAnsi="Calibri"/>
          <w:sz w:val="30"/>
          <w:szCs w:val="30"/>
        </w:rPr>
        <w:t>л</w:t>
      </w:r>
      <w:r w:rsidRPr="00503833">
        <w:rPr>
          <w:rFonts w:ascii="Calibri" w:hAnsi="Calibri"/>
          <w:sz w:val="30"/>
          <w:szCs w:val="30"/>
        </w:rPr>
        <w:t>уживающимися</w:t>
      </w:r>
      <w:proofErr w:type="spellEnd"/>
      <w:r w:rsidRPr="00503833">
        <w:rPr>
          <w:rFonts w:ascii="Calibri" w:hAnsi="Calibri"/>
          <w:sz w:val="30"/>
          <w:szCs w:val="30"/>
        </w:rPr>
        <w:t xml:space="preserve"> в разных процес</w:t>
      </w:r>
      <w:r w:rsidR="00A3494E" w:rsidRPr="00503833">
        <w:rPr>
          <w:rFonts w:ascii="Calibri" w:hAnsi="Calibri"/>
          <w:sz w:val="30"/>
          <w:szCs w:val="30"/>
        </w:rPr>
        <w:t>с</w:t>
      </w:r>
      <w:r w:rsidRPr="00503833">
        <w:rPr>
          <w:rFonts w:ascii="Calibri" w:hAnsi="Calibri"/>
          <w:sz w:val="30"/>
          <w:szCs w:val="30"/>
        </w:rPr>
        <w:t xml:space="preserve">инговых центрах, </w:t>
      </w:r>
      <w:r>
        <w:rPr>
          <w:rFonts w:ascii="Calibri" w:hAnsi="Calibri"/>
          <w:sz w:val="30"/>
          <w:szCs w:val="30"/>
        </w:rPr>
        <w:t>а также в рам</w:t>
      </w:r>
      <w:bookmarkStart w:id="130" w:name="_GoBack"/>
      <w:bookmarkEnd w:id="130"/>
      <w:r w:rsidR="00846DC9">
        <w:rPr>
          <w:rFonts w:ascii="Calibri" w:hAnsi="Calibri"/>
          <w:sz w:val="30"/>
          <w:szCs w:val="30"/>
        </w:rPr>
        <w:t>ках одного процессингового центра (1РС)</w:t>
      </w:r>
      <w:r w:rsidR="00846DC9" w:rsidRPr="00015E28">
        <w:rPr>
          <w:rFonts w:ascii="Calibri" w:hAnsi="Calibri"/>
          <w:sz w:val="30"/>
          <w:szCs w:val="30"/>
        </w:rPr>
        <w:t>.</w:t>
      </w:r>
      <w:r w:rsidR="00846DC9" w:rsidRPr="00846DC9">
        <w:rPr>
          <w:noProof/>
        </w:rPr>
        <w:t xml:space="preserve"> </w:t>
      </w:r>
    </w:p>
    <w:p w:rsidR="00846DC9" w:rsidRDefault="00846DC9" w:rsidP="00583F9B">
      <w:pPr>
        <w:widowControl w:val="0"/>
        <w:spacing w:line="235" w:lineRule="auto"/>
        <w:jc w:val="both"/>
        <w:rPr>
          <w:rFonts w:ascii="Calibri" w:hAnsi="Calibri"/>
          <w:sz w:val="30"/>
          <w:szCs w:val="30"/>
        </w:rPr>
      </w:pPr>
      <w:r>
        <w:rPr>
          <w:noProof/>
        </w:rPr>
        <w:lastRenderedPageBreak/>
        <mc:AlternateContent>
          <mc:Choice Requires="wps">
            <w:drawing>
              <wp:inline distT="0" distB="0" distL="0" distR="0" wp14:anchorId="7B9731DB" wp14:editId="72609086">
                <wp:extent cx="5939790" cy="7776873"/>
                <wp:effectExtent l="0" t="0" r="22860" b="14605"/>
                <wp:docPr id="465"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7776873"/>
                        </a:xfrm>
                        <a:prstGeom prst="roundRect">
                          <a:avLst>
                            <a:gd name="adj" fmla="val 3079"/>
                          </a:avLst>
                        </a:prstGeom>
                        <a:solidFill>
                          <a:srgbClr val="CCFFCC">
                            <a:alpha val="27000"/>
                          </a:srgbClr>
                        </a:solidFill>
                        <a:ln w="9525">
                          <a:solidFill>
                            <a:srgbClr val="000000"/>
                          </a:solidFill>
                          <a:round/>
                          <a:headEnd/>
                          <a:tailEnd/>
                        </a:ln>
                      </wps:spPr>
                      <wps:txbx>
                        <w:txbxContent>
                          <w:p w:rsidR="00A3494E" w:rsidRDefault="00A3494E" w:rsidP="00176F0A">
                            <w:pPr>
                              <w:spacing w:line="235" w:lineRule="auto"/>
                              <w:ind w:firstLine="709"/>
                              <w:jc w:val="both"/>
                              <w:rPr>
                                <w:rFonts w:ascii="Calibri" w:hAnsi="Calibri"/>
                                <w:sz w:val="30"/>
                                <w:szCs w:val="30"/>
                              </w:rPr>
                            </w:pPr>
                            <w:r>
                              <w:rPr>
                                <w:rFonts w:ascii="Calibri" w:hAnsi="Calibri"/>
                                <w:sz w:val="30"/>
                                <w:szCs w:val="30"/>
                              </w:rPr>
                              <w:t>У</w:t>
                            </w:r>
                            <w:r w:rsidRPr="006726F2">
                              <w:rPr>
                                <w:rFonts w:ascii="Calibri" w:hAnsi="Calibri"/>
                                <w:sz w:val="30"/>
                                <w:szCs w:val="30"/>
                              </w:rPr>
                              <w:t>ровень развития рынка платежных услуг зависит от степени доступности населению платежных сервисов, удобства и скорости оказания услуг.  Для осуществления дистанционных платежей казахстанскими банками представлены для клиентов такие устройства удаленног</w:t>
                            </w:r>
                            <w:r w:rsidRPr="00176F0A">
                              <w:rPr>
                                <w:rFonts w:ascii="Calibri" w:hAnsi="Calibri"/>
                                <w:sz w:val="30"/>
                                <w:szCs w:val="30"/>
                              </w:rPr>
                              <w:t>о доступа, как POS-терминалы, банкоматы, банковские киоски и терминалы моментальной оплаты, а также услуги интернет и мобильного банкинга.</w:t>
                            </w:r>
                            <w:bookmarkStart w:id="131" w:name="OLE_LINK11"/>
                            <w:bookmarkStart w:id="132" w:name="OLE_LINK12"/>
                            <w:r>
                              <w:rPr>
                                <w:rFonts w:ascii="Calibri" w:hAnsi="Calibri"/>
                                <w:sz w:val="30"/>
                                <w:szCs w:val="30"/>
                              </w:rPr>
                              <w:t xml:space="preserve"> </w:t>
                            </w:r>
                          </w:p>
                          <w:p w:rsidR="00A3494E" w:rsidRDefault="00A3494E" w:rsidP="00176F0A">
                            <w:pPr>
                              <w:spacing w:line="235" w:lineRule="auto"/>
                              <w:ind w:firstLine="709"/>
                              <w:jc w:val="both"/>
                              <w:rPr>
                                <w:rFonts w:ascii="Calibri" w:hAnsi="Calibri"/>
                                <w:sz w:val="30"/>
                                <w:szCs w:val="30"/>
                              </w:rPr>
                            </w:pPr>
                            <w:r w:rsidRPr="006726F2">
                              <w:rPr>
                                <w:rFonts w:ascii="Calibri" w:hAnsi="Calibri"/>
                                <w:sz w:val="30"/>
                                <w:szCs w:val="30"/>
                              </w:rPr>
                              <w:t xml:space="preserve">Развитие и активное внедрение Интернет и мобильной связи способствовало изменению имеющихся </w:t>
                            </w:r>
                            <w:proofErr w:type="gramStart"/>
                            <w:r w:rsidRPr="006726F2">
                              <w:rPr>
                                <w:rFonts w:ascii="Calibri" w:hAnsi="Calibri"/>
                                <w:sz w:val="30"/>
                                <w:szCs w:val="30"/>
                              </w:rPr>
                              <w:t>бизнес-моделей</w:t>
                            </w:r>
                            <w:proofErr w:type="gramEnd"/>
                            <w:r w:rsidRPr="006726F2">
                              <w:rPr>
                                <w:rFonts w:ascii="Calibri" w:hAnsi="Calibri"/>
                                <w:sz w:val="30"/>
                                <w:szCs w:val="30"/>
                              </w:rPr>
                              <w:t>, все большему переходу на использование дистанционных каналов связи.</w:t>
                            </w:r>
                            <w:r>
                              <w:rPr>
                                <w:rFonts w:ascii="Calibri" w:hAnsi="Calibri"/>
                                <w:sz w:val="30"/>
                                <w:szCs w:val="30"/>
                              </w:rPr>
                              <w:t xml:space="preserve"> С учетом глобальных тенденций по переходу на электронные банковские услуги </w:t>
                            </w:r>
                            <w:r w:rsidRPr="006726F2">
                              <w:rPr>
                                <w:rFonts w:ascii="Calibri" w:hAnsi="Calibri"/>
                                <w:sz w:val="30"/>
                                <w:szCs w:val="30"/>
                              </w:rPr>
                              <w:t>за последние пять лет объем операций, проведенных через дистанционные каналы связи и электронные терминалы, вырос более чем в 2 раза</w:t>
                            </w:r>
                            <w:bookmarkEnd w:id="131"/>
                            <w:bookmarkEnd w:id="132"/>
                            <w:r w:rsidRPr="006726F2">
                              <w:rPr>
                                <w:rFonts w:ascii="Calibri" w:hAnsi="Calibri"/>
                                <w:sz w:val="30"/>
                                <w:szCs w:val="30"/>
                              </w:rPr>
                              <w:t>, составив в 2016 году 474,7 млн. транзакций на сумму 12,4 трлн. тенге.</w:t>
                            </w:r>
                            <w:r w:rsidRPr="00A02F67">
                              <w:rPr>
                                <w:rFonts w:ascii="Calibri" w:hAnsi="Calibri"/>
                                <w:sz w:val="30"/>
                                <w:szCs w:val="30"/>
                              </w:rPr>
                              <w:t xml:space="preserve"> </w:t>
                            </w:r>
                            <w:r>
                              <w:rPr>
                                <w:rFonts w:ascii="Calibri" w:hAnsi="Calibri"/>
                                <w:sz w:val="30"/>
                                <w:szCs w:val="30"/>
                              </w:rPr>
                              <w:t xml:space="preserve">Повсеместное внедрение </w:t>
                            </w:r>
                            <w:r w:rsidRPr="006726F2">
                              <w:rPr>
                                <w:rFonts w:ascii="Calibri" w:hAnsi="Calibri"/>
                                <w:sz w:val="30"/>
                                <w:szCs w:val="30"/>
                              </w:rPr>
                              <w:t xml:space="preserve">цифровых технологий сказалось на увеличении объемов операций посредством </w:t>
                            </w:r>
                            <w:r>
                              <w:rPr>
                                <w:rFonts w:ascii="Calibri" w:hAnsi="Calibri"/>
                                <w:sz w:val="30"/>
                                <w:szCs w:val="30"/>
                              </w:rPr>
                              <w:t>и</w:t>
                            </w:r>
                            <w:r w:rsidRPr="006726F2">
                              <w:rPr>
                                <w:rFonts w:ascii="Calibri" w:hAnsi="Calibri"/>
                                <w:sz w:val="30"/>
                                <w:szCs w:val="30"/>
                              </w:rPr>
                              <w:t xml:space="preserve">нтернет/мобильного банкинга, который в 2016 году составил 934,0 млрд. тенге, что превышает </w:t>
                            </w:r>
                            <w:r>
                              <w:rPr>
                                <w:rFonts w:ascii="Calibri" w:hAnsi="Calibri"/>
                                <w:sz w:val="30"/>
                                <w:szCs w:val="30"/>
                              </w:rPr>
                              <w:t>показатели 2015 года в 2,3 раза.</w:t>
                            </w:r>
                          </w:p>
                          <w:p w:rsidR="00A3494E" w:rsidRPr="006726F2" w:rsidRDefault="00A3494E" w:rsidP="00176F0A">
                            <w:pPr>
                              <w:widowControl w:val="0"/>
                              <w:spacing w:line="235" w:lineRule="auto"/>
                              <w:ind w:firstLine="709"/>
                              <w:jc w:val="both"/>
                              <w:rPr>
                                <w:rFonts w:ascii="Calibri" w:hAnsi="Calibri"/>
                                <w:sz w:val="30"/>
                                <w:szCs w:val="30"/>
                              </w:rPr>
                            </w:pPr>
                            <w:r>
                              <w:rPr>
                                <w:rFonts w:ascii="Calibri" w:hAnsi="Calibri"/>
                                <w:sz w:val="30"/>
                                <w:szCs w:val="30"/>
                              </w:rPr>
                              <w:t>Н</w:t>
                            </w:r>
                            <w:r w:rsidRPr="006726F2">
                              <w:rPr>
                                <w:rFonts w:ascii="Calibri" w:hAnsi="Calibri"/>
                                <w:sz w:val="30"/>
                                <w:szCs w:val="30"/>
                              </w:rPr>
                              <w:t>а рынке платежных карточек сохранилась положительная динам</w:t>
                            </w:r>
                            <w:r>
                              <w:rPr>
                                <w:rFonts w:ascii="Calibri" w:hAnsi="Calibri"/>
                                <w:sz w:val="30"/>
                                <w:szCs w:val="30"/>
                              </w:rPr>
                              <w:t xml:space="preserve">ика.  Активность использования платежных карточек составила более 50% от находящихся в обращении платежных карточек. При этом банки все больше концентрируются на развитии безналичных способов проведения платежей. С учетом проводимых работ банками и государством значительно расширилась сеть приема к оплате платежных карточек для осуществления  платежей за товары и услуги: выросли количество </w:t>
                            </w:r>
                            <w:r>
                              <w:rPr>
                                <w:rFonts w:ascii="Calibri" w:hAnsi="Calibri"/>
                                <w:sz w:val="30"/>
                                <w:szCs w:val="30"/>
                                <w:lang w:val="en-US"/>
                              </w:rPr>
                              <w:t>POS</w:t>
                            </w:r>
                            <w:r w:rsidRPr="006726F2">
                              <w:rPr>
                                <w:rFonts w:ascii="Calibri" w:hAnsi="Calibri"/>
                                <w:sz w:val="30"/>
                                <w:szCs w:val="30"/>
                              </w:rPr>
                              <w:t>-</w:t>
                            </w:r>
                            <w:proofErr w:type="spellStart"/>
                            <w:r>
                              <w:rPr>
                                <w:rFonts w:ascii="Calibri" w:hAnsi="Calibri"/>
                                <w:sz w:val="30"/>
                                <w:szCs w:val="30"/>
                                <w:lang w:val="kk-KZ"/>
                              </w:rPr>
                              <w:t>терминалов</w:t>
                            </w:r>
                            <w:proofErr w:type="spellEnd"/>
                            <w:r>
                              <w:rPr>
                                <w:rFonts w:ascii="Calibri" w:hAnsi="Calibri"/>
                                <w:sz w:val="30"/>
                                <w:szCs w:val="30"/>
                              </w:rPr>
                              <w:t xml:space="preserve">  и  количество предпринимателей, принимающих к оплате платежные карточки (в 2,3 раза и 2,9 раз соответственно за последние три года), что способствовало росту безналичных платежей. </w:t>
                            </w:r>
                            <w:r w:rsidRPr="00C77E3B">
                              <w:rPr>
                                <w:rFonts w:ascii="Calibri" w:hAnsi="Calibri"/>
                                <w:sz w:val="30"/>
                                <w:szCs w:val="30"/>
                              </w:rPr>
                              <w:t xml:space="preserve">Так, </w:t>
                            </w:r>
                            <w:r>
                              <w:rPr>
                                <w:rFonts w:ascii="Calibri" w:hAnsi="Calibri"/>
                                <w:sz w:val="30"/>
                                <w:szCs w:val="30"/>
                              </w:rPr>
                              <w:t>сумма безналичных платежей с использованием платежных карточек выросла на 57,2% по сравнению с 2015 годом, тогда как рост сумм операций по снятию наличных денег составил по сумме 21,4%.</w:t>
                            </w:r>
                          </w:p>
                        </w:txbxContent>
                      </wps:txbx>
                      <wps:bodyPr rot="0" vert="horz" wrap="square" lIns="91440" tIns="45720" rIns="91440" bIns="45720" anchor="t" anchorCtr="0" upright="1">
                        <a:noAutofit/>
                      </wps:bodyPr>
                    </wps:wsp>
                  </a:graphicData>
                </a:graphic>
              </wp:inline>
            </w:drawing>
          </mc:Choice>
          <mc:Fallback>
            <w:pict>
              <v:roundrect id="AutoShape 77" o:spid="_x0000_s1051" style="width:467.7pt;height:612.35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" fillcolor="#cfc">
                <v:fill opacity="17733f"/>
                <v:textbox>
                  <w:txbxContent>
                    <w:p w:rsidR="00A3494E" w:rsidRDefault="00A3494E" w:rsidP="00176F0A">
                      <w:pPr>
                        <w:spacing w:line="235" w:lineRule="auto"/>
                        <w:ind w:firstLine="709"/>
                        <w:jc w:val="both"/>
                        <w:rPr>
                          <w:rFonts w:ascii="Calibri" w:hAnsi="Calibri"/>
                          <w:sz w:val="30"/>
                          <w:szCs w:val="30"/>
                        </w:rPr>
                      </w:pPr>
                      <w:r>
                        <w:rPr>
                          <w:rFonts w:ascii="Calibri" w:hAnsi="Calibri"/>
                          <w:sz w:val="30"/>
                          <w:szCs w:val="30"/>
                        </w:rPr>
                        <w:t>У</w:t>
                      </w:r>
                      <w:r w:rsidRPr="006726F2">
                        <w:rPr>
                          <w:rFonts w:ascii="Calibri" w:hAnsi="Calibri"/>
                          <w:sz w:val="30"/>
                          <w:szCs w:val="30"/>
                        </w:rPr>
                        <w:t>ровень развития рынка платежных услуг зависит от степени доступности населению платежных сервисов, удобства и скорости оказания услуг.  Для осуществления дистанционных платежей казахстанскими банками представлены для клиентов такие устройства удаленног</w:t>
                      </w:r>
                      <w:r w:rsidRPr="00176F0A">
                        <w:rPr>
                          <w:rFonts w:ascii="Calibri" w:hAnsi="Calibri"/>
                          <w:sz w:val="30"/>
                          <w:szCs w:val="30"/>
                        </w:rPr>
                        <w:t>о доступа, как POS-терминалы, банкоматы, банковские киоски и терминалы моментальной оплаты, а также услуги интернет и мобильного банкинга.</w:t>
                      </w:r>
                      <w:bookmarkStart w:id="133" w:name="OLE_LINK11"/>
                      <w:bookmarkStart w:id="134" w:name="OLE_LINK12"/>
                      <w:r>
                        <w:rPr>
                          <w:rFonts w:ascii="Calibri" w:hAnsi="Calibri"/>
                          <w:sz w:val="30"/>
                          <w:szCs w:val="30"/>
                        </w:rPr>
                        <w:t xml:space="preserve"> </w:t>
                      </w:r>
                    </w:p>
                    <w:p w:rsidR="00A3494E" w:rsidRDefault="00A3494E" w:rsidP="00176F0A">
                      <w:pPr>
                        <w:spacing w:line="235" w:lineRule="auto"/>
                        <w:ind w:firstLine="709"/>
                        <w:jc w:val="both"/>
                        <w:rPr>
                          <w:rFonts w:ascii="Calibri" w:hAnsi="Calibri"/>
                          <w:sz w:val="30"/>
                          <w:szCs w:val="30"/>
                        </w:rPr>
                      </w:pPr>
                      <w:r w:rsidRPr="006726F2">
                        <w:rPr>
                          <w:rFonts w:ascii="Calibri" w:hAnsi="Calibri"/>
                          <w:sz w:val="30"/>
                          <w:szCs w:val="30"/>
                        </w:rPr>
                        <w:t xml:space="preserve">Развитие и активное внедрение Интернет и мобильной связи способствовало изменению имеющихся </w:t>
                      </w:r>
                      <w:proofErr w:type="gramStart"/>
                      <w:r w:rsidRPr="006726F2">
                        <w:rPr>
                          <w:rFonts w:ascii="Calibri" w:hAnsi="Calibri"/>
                          <w:sz w:val="30"/>
                          <w:szCs w:val="30"/>
                        </w:rPr>
                        <w:t>бизнес-моделей</w:t>
                      </w:r>
                      <w:proofErr w:type="gramEnd"/>
                      <w:r w:rsidRPr="006726F2">
                        <w:rPr>
                          <w:rFonts w:ascii="Calibri" w:hAnsi="Calibri"/>
                          <w:sz w:val="30"/>
                          <w:szCs w:val="30"/>
                        </w:rPr>
                        <w:t>, все большему переходу на использование дистанционных каналов связи.</w:t>
                      </w:r>
                      <w:r>
                        <w:rPr>
                          <w:rFonts w:ascii="Calibri" w:hAnsi="Calibri"/>
                          <w:sz w:val="30"/>
                          <w:szCs w:val="30"/>
                        </w:rPr>
                        <w:t xml:space="preserve"> С учетом глобальных тенденций по переходу на электронные банковские услуги </w:t>
                      </w:r>
                      <w:r w:rsidRPr="006726F2">
                        <w:rPr>
                          <w:rFonts w:ascii="Calibri" w:hAnsi="Calibri"/>
                          <w:sz w:val="30"/>
                          <w:szCs w:val="30"/>
                        </w:rPr>
                        <w:t>за последние пять лет объем операций, проведенных через дистанционные каналы связи и электронные терминалы, вырос более чем в 2 раза</w:t>
                      </w:r>
                      <w:bookmarkEnd w:id="133"/>
                      <w:bookmarkEnd w:id="134"/>
                      <w:r w:rsidRPr="006726F2">
                        <w:rPr>
                          <w:rFonts w:ascii="Calibri" w:hAnsi="Calibri"/>
                          <w:sz w:val="30"/>
                          <w:szCs w:val="30"/>
                        </w:rPr>
                        <w:t>, составив в 2016 году 474,7 млн. транзакций на сумму 12,4 трлн. тенге.</w:t>
                      </w:r>
                      <w:r w:rsidRPr="00A02F67">
                        <w:rPr>
                          <w:rFonts w:ascii="Calibri" w:hAnsi="Calibri"/>
                          <w:sz w:val="30"/>
                          <w:szCs w:val="30"/>
                        </w:rPr>
                        <w:t xml:space="preserve"> </w:t>
                      </w:r>
                      <w:r>
                        <w:rPr>
                          <w:rFonts w:ascii="Calibri" w:hAnsi="Calibri"/>
                          <w:sz w:val="30"/>
                          <w:szCs w:val="30"/>
                        </w:rPr>
                        <w:t xml:space="preserve">Повсеместное внедрение </w:t>
                      </w:r>
                      <w:r w:rsidRPr="006726F2">
                        <w:rPr>
                          <w:rFonts w:ascii="Calibri" w:hAnsi="Calibri"/>
                          <w:sz w:val="30"/>
                          <w:szCs w:val="30"/>
                        </w:rPr>
                        <w:t xml:space="preserve">цифровых технологий сказалось на увеличении объемов операций посредством </w:t>
                      </w:r>
                      <w:r>
                        <w:rPr>
                          <w:rFonts w:ascii="Calibri" w:hAnsi="Calibri"/>
                          <w:sz w:val="30"/>
                          <w:szCs w:val="30"/>
                        </w:rPr>
                        <w:t>и</w:t>
                      </w:r>
                      <w:r w:rsidRPr="006726F2">
                        <w:rPr>
                          <w:rFonts w:ascii="Calibri" w:hAnsi="Calibri"/>
                          <w:sz w:val="30"/>
                          <w:szCs w:val="30"/>
                        </w:rPr>
                        <w:t xml:space="preserve">нтернет/мобильного банкинга, который в 2016 году составил 934,0 млрд. тенге, что превышает </w:t>
                      </w:r>
                      <w:r>
                        <w:rPr>
                          <w:rFonts w:ascii="Calibri" w:hAnsi="Calibri"/>
                          <w:sz w:val="30"/>
                          <w:szCs w:val="30"/>
                        </w:rPr>
                        <w:t>показатели 2015 года в 2,3 раза.</w:t>
                      </w:r>
                    </w:p>
                    <w:p w:rsidR="00A3494E" w:rsidRPr="006726F2" w:rsidRDefault="00A3494E" w:rsidP="00176F0A">
                      <w:pPr>
                        <w:widowControl w:val="0"/>
                        <w:spacing w:line="235" w:lineRule="auto"/>
                        <w:ind w:firstLine="709"/>
                        <w:jc w:val="both"/>
                        <w:rPr>
                          <w:rFonts w:ascii="Calibri" w:hAnsi="Calibri"/>
                          <w:sz w:val="30"/>
                          <w:szCs w:val="30"/>
                        </w:rPr>
                      </w:pPr>
                      <w:r>
                        <w:rPr>
                          <w:rFonts w:ascii="Calibri" w:hAnsi="Calibri"/>
                          <w:sz w:val="30"/>
                          <w:szCs w:val="30"/>
                        </w:rPr>
                        <w:t>Н</w:t>
                      </w:r>
                      <w:r w:rsidRPr="006726F2">
                        <w:rPr>
                          <w:rFonts w:ascii="Calibri" w:hAnsi="Calibri"/>
                          <w:sz w:val="30"/>
                          <w:szCs w:val="30"/>
                        </w:rPr>
                        <w:t>а рынке платежных карточек сохранилась положительная динам</w:t>
                      </w:r>
                      <w:r>
                        <w:rPr>
                          <w:rFonts w:ascii="Calibri" w:hAnsi="Calibri"/>
                          <w:sz w:val="30"/>
                          <w:szCs w:val="30"/>
                        </w:rPr>
                        <w:t xml:space="preserve">ика.  Активность использования платежных карточек составила более 50% от находящихся в обращении платежных карточек. При этом банки все больше концентрируются на развитии безналичных способов проведения платежей. С учетом проводимых работ банками и государством значительно расширилась сеть приема к оплате платежных карточек для осуществления  платежей за товары и услуги: выросли количество </w:t>
                      </w:r>
                      <w:r>
                        <w:rPr>
                          <w:rFonts w:ascii="Calibri" w:hAnsi="Calibri"/>
                          <w:sz w:val="30"/>
                          <w:szCs w:val="30"/>
                          <w:lang w:val="en-US"/>
                        </w:rPr>
                        <w:t>POS</w:t>
                      </w:r>
                      <w:r w:rsidRPr="006726F2">
                        <w:rPr>
                          <w:rFonts w:ascii="Calibri" w:hAnsi="Calibri"/>
                          <w:sz w:val="30"/>
                          <w:szCs w:val="30"/>
                        </w:rPr>
                        <w:t>-</w:t>
                      </w:r>
                      <w:proofErr w:type="spellStart"/>
                      <w:r>
                        <w:rPr>
                          <w:rFonts w:ascii="Calibri" w:hAnsi="Calibri"/>
                          <w:sz w:val="30"/>
                          <w:szCs w:val="30"/>
                          <w:lang w:val="kk-KZ"/>
                        </w:rPr>
                        <w:t>терминалов</w:t>
                      </w:r>
                      <w:proofErr w:type="spellEnd"/>
                      <w:r>
                        <w:rPr>
                          <w:rFonts w:ascii="Calibri" w:hAnsi="Calibri"/>
                          <w:sz w:val="30"/>
                          <w:szCs w:val="30"/>
                        </w:rPr>
                        <w:t xml:space="preserve">  и  количество предпринимателей, принимающих к оплате платежные карточки (в 2,3 раза и 2,9 раз соответственно за последние три года), что способствовало росту безналичных платежей. </w:t>
                      </w:r>
                      <w:r w:rsidRPr="00C77E3B">
                        <w:rPr>
                          <w:rFonts w:ascii="Calibri" w:hAnsi="Calibri"/>
                          <w:sz w:val="30"/>
                          <w:szCs w:val="30"/>
                        </w:rPr>
                        <w:t xml:space="preserve">Так, </w:t>
                      </w:r>
                      <w:r>
                        <w:rPr>
                          <w:rFonts w:ascii="Calibri" w:hAnsi="Calibri"/>
                          <w:sz w:val="30"/>
                          <w:szCs w:val="30"/>
                        </w:rPr>
                        <w:t>сумма безналичных платежей с использованием платежных карточек выросла на 57,2% по сравнению с 2015 годом, тогда как рост сумм операций по снятию наличных денег составил по сумме 21,4%.</w:t>
                      </w:r>
                    </w:p>
                  </w:txbxContent>
                </v:textbox>
                <w10:anchorlock/>
              </v:roundrect>
            </w:pict>
          </mc:Fallback>
        </mc:AlternateContent>
      </w:r>
    </w:p>
    <w:p w:rsidR="007E45C2" w:rsidRDefault="007E45C2" w:rsidP="00583F9B">
      <w:pPr>
        <w:spacing w:line="235" w:lineRule="auto"/>
        <w:sectPr w:rsidR="007E45C2" w:rsidSect="0035454E">
          <w:pgSz w:w="11906" w:h="16838"/>
          <w:pgMar w:top="1134" w:right="851" w:bottom="1134" w:left="1701" w:header="709" w:footer="709" w:gutter="0"/>
          <w:cols w:space="708"/>
          <w:docGrid w:linePitch="360"/>
        </w:sectPr>
      </w:pPr>
    </w:p>
    <w:p w:rsidR="00476637" w:rsidRPr="00015E28" w:rsidRDefault="005C7913" w:rsidP="0008527A">
      <w:pPr>
        <w:pStyle w:val="1"/>
        <w:spacing w:before="0" w:after="0"/>
        <w:jc w:val="center"/>
        <w:rPr>
          <w:rFonts w:ascii="Calibri" w:hAnsi="Calibri"/>
          <w:bCs w:val="0"/>
          <w:snapToGrid w:val="0"/>
          <w:color w:val="0E4C28"/>
          <w:spacing w:val="-2"/>
          <w:kern w:val="0"/>
          <w:sz w:val="36"/>
          <w:szCs w:val="36"/>
        </w:rPr>
      </w:pPr>
      <w:bookmarkStart w:id="135" w:name="_Toc481418208"/>
      <w:r w:rsidRPr="00015E28">
        <w:rPr>
          <w:rFonts w:ascii="Calibri" w:hAnsi="Calibri"/>
          <w:bCs w:val="0"/>
          <w:snapToGrid w:val="0"/>
          <w:color w:val="0E4C28"/>
          <w:spacing w:val="-2"/>
          <w:kern w:val="0"/>
          <w:sz w:val="36"/>
          <w:szCs w:val="36"/>
        </w:rPr>
        <w:lastRenderedPageBreak/>
        <w:t xml:space="preserve">РАЗДЕЛ </w:t>
      </w:r>
      <w:r>
        <w:rPr>
          <w:rFonts w:ascii="Calibri" w:hAnsi="Calibri"/>
          <w:bCs w:val="0"/>
          <w:snapToGrid w:val="0"/>
          <w:color w:val="0E4C28"/>
          <w:spacing w:val="-2"/>
          <w:kern w:val="0"/>
          <w:sz w:val="36"/>
          <w:szCs w:val="36"/>
        </w:rPr>
        <w:t>4</w:t>
      </w:r>
      <w:r w:rsidR="00476637" w:rsidRPr="00015E28">
        <w:rPr>
          <w:rFonts w:ascii="Calibri" w:hAnsi="Calibri"/>
          <w:bCs w:val="0"/>
          <w:snapToGrid w:val="0"/>
          <w:color w:val="0E4C28"/>
          <w:spacing w:val="-2"/>
          <w:kern w:val="0"/>
          <w:sz w:val="36"/>
          <w:szCs w:val="36"/>
        </w:rPr>
        <w:t>. СИСТЕМЫ ДЕНЕЖНЫХ ПЕРЕВОДОВ</w:t>
      </w:r>
      <w:bookmarkEnd w:id="135"/>
    </w:p>
    <w:p w:rsidR="00A76649" w:rsidRPr="00015E28" w:rsidRDefault="00A76649" w:rsidP="00476637">
      <w:pPr>
        <w:ind w:firstLine="709"/>
        <w:jc w:val="both"/>
        <w:rPr>
          <w:rFonts w:ascii="Calibri" w:hAnsi="Calibri" w:cs="Arial"/>
          <w:sz w:val="30"/>
          <w:szCs w:val="30"/>
        </w:rPr>
      </w:pPr>
    </w:p>
    <w:p w:rsidR="00DD08FE" w:rsidRPr="00015E28" w:rsidRDefault="00B41594" w:rsidP="00DD08FE">
      <w:pPr>
        <w:ind w:firstLine="709"/>
        <w:jc w:val="both"/>
        <w:rPr>
          <w:rFonts w:ascii="Calibri" w:hAnsi="Calibri" w:cs="Arial"/>
          <w:sz w:val="30"/>
          <w:szCs w:val="30"/>
        </w:rPr>
      </w:pPr>
      <w:r>
        <w:rPr>
          <w:rFonts w:ascii="Calibri" w:hAnsi="Calibri" w:cs="Arial"/>
          <w:noProof/>
          <w:sz w:val="30"/>
          <w:szCs w:val="30"/>
        </w:rPr>
        <mc:AlternateContent>
          <mc:Choice Requires="wps">
            <w:drawing>
              <wp:anchor distT="0" distB="0" distL="114300" distR="114300" simplePos="0" relativeHeight="251669504" behindDoc="0" locked="0" layoutInCell="1" allowOverlap="1" wp14:anchorId="7D954928" wp14:editId="632473B2">
                <wp:simplePos x="0" y="0"/>
                <wp:positionH relativeFrom="column">
                  <wp:posOffset>2627630</wp:posOffset>
                </wp:positionH>
                <wp:positionV relativeFrom="paragraph">
                  <wp:posOffset>28575</wp:posOffset>
                </wp:positionV>
                <wp:extent cx="3354705" cy="3393440"/>
                <wp:effectExtent l="0" t="0" r="36195" b="54610"/>
                <wp:wrapSquare wrapText="bothSides"/>
                <wp:docPr id="463"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4705" cy="339344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A3494E" w:rsidRDefault="00A3494E" w:rsidP="00C77E3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 xml:space="preserve">удобство (без открытия счета) и скорость; </w:t>
                            </w:r>
                          </w:p>
                          <w:p w:rsidR="00A3494E" w:rsidRDefault="00A3494E" w:rsidP="00C77E3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 xml:space="preserve">незначительный объем переводов денег - </w:t>
                            </w:r>
                            <w:proofErr w:type="gramStart"/>
                            <w:r>
                              <w:rPr>
                                <w:rFonts w:ascii="Calibri" w:hAnsi="Calibri" w:cs="Arial"/>
                                <w:sz w:val="30"/>
                                <w:szCs w:val="30"/>
                              </w:rPr>
                              <w:t>покрывает</w:t>
                            </w:r>
                            <w:proofErr w:type="gramEnd"/>
                            <w:r>
                              <w:rPr>
                                <w:rFonts w:ascii="Calibri" w:hAnsi="Calibri" w:cs="Arial"/>
                                <w:sz w:val="30"/>
                                <w:szCs w:val="30"/>
                              </w:rPr>
                              <w:t xml:space="preserve"> нужны населения в проведении срочных переводов;</w:t>
                            </w:r>
                          </w:p>
                          <w:p w:rsidR="00A3494E" w:rsidRDefault="00A3494E" w:rsidP="00C77E3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в основном безвозмездные переводы;</w:t>
                            </w:r>
                          </w:p>
                          <w:p w:rsidR="00A3494E" w:rsidRPr="00DF43AB" w:rsidRDefault="00A3494E" w:rsidP="00C77E3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отправленные из Казахстана переводы значительно превышают полученные (отрицательная нетто-позиция).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52" style="position:absolute;left:0;text-align:left;margin-left:206.9pt;margin-top:2.25pt;width:264.15pt;height:267.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" fillcolor="#cf9" strokecolor="#cf9" strokeweight="1pt">
                <v:shadow on="t" color="#205867" opacity=".5" offset="1pt"/>
                <v:textbox>
                  <w:txbxContent>
                    <w:p w:rsidR="00A3494E" w:rsidRDefault="00A3494E" w:rsidP="00C77E3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 xml:space="preserve">удобство (без открытия счета) и скорость; </w:t>
                      </w:r>
                    </w:p>
                    <w:p w:rsidR="00A3494E" w:rsidRDefault="00A3494E" w:rsidP="00C77E3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 xml:space="preserve">незначительный объем переводов денег - </w:t>
                      </w:r>
                      <w:proofErr w:type="gramStart"/>
                      <w:r>
                        <w:rPr>
                          <w:rFonts w:ascii="Calibri" w:hAnsi="Calibri" w:cs="Arial"/>
                          <w:sz w:val="30"/>
                          <w:szCs w:val="30"/>
                        </w:rPr>
                        <w:t>покрывает</w:t>
                      </w:r>
                      <w:proofErr w:type="gramEnd"/>
                      <w:r>
                        <w:rPr>
                          <w:rFonts w:ascii="Calibri" w:hAnsi="Calibri" w:cs="Arial"/>
                          <w:sz w:val="30"/>
                          <w:szCs w:val="30"/>
                        </w:rPr>
                        <w:t xml:space="preserve"> нужны населения в проведении срочных переводов;</w:t>
                      </w:r>
                    </w:p>
                    <w:p w:rsidR="00A3494E" w:rsidRDefault="00A3494E" w:rsidP="00C77E3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в основном безвозмездные переводы;</w:t>
                      </w:r>
                    </w:p>
                    <w:p w:rsidR="00A3494E" w:rsidRPr="00DF43AB" w:rsidRDefault="00A3494E" w:rsidP="00C77E3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отправленные из Казахстана переводы значительно превышают полученные (отрицательная нетто-позиция).</w:t>
                      </w:r>
                    </w:p>
                  </w:txbxContent>
                </v:textbox>
                <w10:wrap type="square"/>
              </v:roundrect>
            </w:pict>
          </mc:Fallback>
        </mc:AlternateContent>
      </w:r>
      <w:r w:rsidR="00C77E3B" w:rsidRPr="00C77E3B">
        <w:rPr>
          <w:rFonts w:ascii="Calibri" w:hAnsi="Calibri" w:cs="Arial"/>
          <w:sz w:val="30"/>
          <w:szCs w:val="30"/>
        </w:rPr>
        <w:t>Объемы переводов через системы</w:t>
      </w:r>
      <w:r w:rsidR="007E45C2">
        <w:rPr>
          <w:rFonts w:ascii="Calibri" w:hAnsi="Calibri" w:cs="Arial"/>
          <w:sz w:val="30"/>
          <w:szCs w:val="30"/>
        </w:rPr>
        <w:t xml:space="preserve"> денежных переводов </w:t>
      </w:r>
      <w:r w:rsidR="00C77E3B" w:rsidRPr="00C77E3B">
        <w:rPr>
          <w:rFonts w:ascii="Calibri" w:hAnsi="Calibri" w:cs="Arial"/>
          <w:sz w:val="30"/>
          <w:szCs w:val="30"/>
        </w:rPr>
        <w:t>покрывают нужды населения по осуществлению срочных, как правило, безвозмездных переводов.</w:t>
      </w:r>
      <w:r w:rsidR="00FC1B6F">
        <w:rPr>
          <w:rFonts w:ascii="Calibri" w:hAnsi="Calibri" w:cs="Arial"/>
          <w:sz w:val="30"/>
          <w:szCs w:val="30"/>
        </w:rPr>
        <w:t xml:space="preserve"> </w:t>
      </w:r>
      <w:r w:rsidR="00DD08FE" w:rsidRPr="00015E28">
        <w:rPr>
          <w:rFonts w:ascii="Calibri" w:hAnsi="Calibri" w:cs="Arial"/>
          <w:sz w:val="30"/>
          <w:szCs w:val="30"/>
        </w:rPr>
        <w:t xml:space="preserve">В </w:t>
      </w:r>
      <w:proofErr w:type="gramStart"/>
      <w:r w:rsidR="00DD08FE" w:rsidRPr="00015E28">
        <w:rPr>
          <w:rFonts w:ascii="Calibri" w:hAnsi="Calibri" w:cs="Arial"/>
          <w:sz w:val="30"/>
          <w:szCs w:val="30"/>
        </w:rPr>
        <w:t>Казахстане</w:t>
      </w:r>
      <w:proofErr w:type="gramEnd"/>
      <w:r w:rsidR="00DD08FE" w:rsidRPr="00015E28">
        <w:rPr>
          <w:rFonts w:ascii="Calibri" w:hAnsi="Calibri" w:cs="Arial"/>
          <w:sz w:val="30"/>
          <w:szCs w:val="30"/>
        </w:rPr>
        <w:t xml:space="preserve"> в 2016 году на рынке систем денежных переводов оказание населению платежных услуг по срочным переводам денег осуществлялось через 16 систем денежных переводов, количество которых незначительно изменилось за последние три года. </w:t>
      </w:r>
    </w:p>
    <w:p w:rsidR="00DD08FE" w:rsidRDefault="00DD08FE" w:rsidP="00DD08FE">
      <w:pPr>
        <w:ind w:firstLine="709"/>
        <w:jc w:val="both"/>
        <w:rPr>
          <w:rFonts w:ascii="Calibri" w:hAnsi="Calibri" w:cs="Arial"/>
          <w:sz w:val="30"/>
          <w:szCs w:val="30"/>
        </w:rPr>
      </w:pPr>
      <w:r w:rsidRPr="00015E28">
        <w:rPr>
          <w:rFonts w:ascii="Calibri" w:hAnsi="Calibri" w:cs="Arial"/>
          <w:sz w:val="30"/>
          <w:szCs w:val="30"/>
        </w:rPr>
        <w:t>Так, в 2014 году платежные услуги по переводу денег через банки второго уровня и отделения АО «</w:t>
      </w:r>
      <w:proofErr w:type="spellStart"/>
      <w:r w:rsidRPr="00015E28">
        <w:rPr>
          <w:rFonts w:ascii="Calibri" w:hAnsi="Calibri" w:cs="Arial"/>
          <w:sz w:val="30"/>
          <w:szCs w:val="30"/>
        </w:rPr>
        <w:t>Казпочта</w:t>
      </w:r>
      <w:proofErr w:type="spellEnd"/>
      <w:r w:rsidRPr="00015E28">
        <w:rPr>
          <w:rFonts w:ascii="Calibri" w:hAnsi="Calibri" w:cs="Arial"/>
          <w:sz w:val="30"/>
          <w:szCs w:val="30"/>
        </w:rPr>
        <w:t xml:space="preserve">» осуществлялись по 18 системам денежных переводов, в 2015 году – работало 15 систем денежных переводов.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4422"/>
      </w:tblGrid>
      <w:tr w:rsidR="00B571B2" w:rsidTr="002E5C2F">
        <w:tc>
          <w:tcPr>
            <w:tcW w:w="5148" w:type="dxa"/>
          </w:tcPr>
          <w:p w:rsidR="006E2AC8" w:rsidRDefault="006E2AC8" w:rsidP="00B571B2">
            <w:pPr>
              <w:shd w:val="clear" w:color="auto" w:fill="FFFFFF"/>
              <w:jc w:val="center"/>
              <w:rPr>
                <w:rFonts w:ascii="Calibri" w:hAnsi="Calibri" w:cs="Arial"/>
                <w:b/>
                <w:color w:val="0E4C28"/>
                <w:sz w:val="28"/>
                <w:szCs w:val="28"/>
              </w:rPr>
            </w:pPr>
          </w:p>
          <w:p w:rsidR="00B571B2" w:rsidRDefault="00B571B2" w:rsidP="00B571B2">
            <w:pPr>
              <w:shd w:val="clear" w:color="auto" w:fill="FFFFFF"/>
              <w:jc w:val="center"/>
              <w:rPr>
                <w:rFonts w:ascii="Calibri" w:hAnsi="Calibri" w:cs="Arial"/>
                <w:sz w:val="30"/>
                <w:szCs w:val="30"/>
              </w:rPr>
            </w:pPr>
            <w:r w:rsidRPr="00176F0A">
              <w:rPr>
                <w:rFonts w:ascii="Calibri" w:hAnsi="Calibri" w:cs="Arial"/>
                <w:b/>
                <w:noProof/>
                <w:color w:val="0E4C28"/>
                <w:sz w:val="28"/>
                <w:szCs w:val="28"/>
              </w:rPr>
              <w:drawing>
                <wp:anchor distT="0" distB="0" distL="114300" distR="114300" simplePos="0" relativeHeight="251634688" behindDoc="1" locked="0" layoutInCell="1" allowOverlap="1" wp14:anchorId="04F5C8E5" wp14:editId="6428B37C">
                  <wp:simplePos x="0" y="0"/>
                  <wp:positionH relativeFrom="column">
                    <wp:posOffset>-20320</wp:posOffset>
                  </wp:positionH>
                  <wp:positionV relativeFrom="paragraph">
                    <wp:posOffset>529590</wp:posOffset>
                  </wp:positionV>
                  <wp:extent cx="2992120" cy="2059940"/>
                  <wp:effectExtent l="0" t="0" r="0" b="0"/>
                  <wp:wrapSquare wrapText="bothSides"/>
                  <wp:docPr id="462" name="Диаграмма 4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r w:rsidRPr="00176F0A">
              <w:rPr>
                <w:rFonts w:ascii="Calibri" w:hAnsi="Calibri" w:cs="Arial"/>
                <w:b/>
                <w:color w:val="0E4C28"/>
                <w:sz w:val="28"/>
                <w:szCs w:val="28"/>
              </w:rPr>
              <w:t>Объемы переводов денег  через системы денежных переводов</w:t>
            </w:r>
          </w:p>
        </w:tc>
        <w:tc>
          <w:tcPr>
            <w:tcW w:w="4422" w:type="dxa"/>
          </w:tcPr>
          <w:p w:rsidR="006E2AC8" w:rsidRDefault="006E2AC8" w:rsidP="00B571B2">
            <w:pPr>
              <w:ind w:firstLine="708"/>
              <w:jc w:val="both"/>
              <w:rPr>
                <w:rFonts w:ascii="Calibri" w:hAnsi="Calibri" w:cs="Arial"/>
                <w:sz w:val="30"/>
                <w:szCs w:val="30"/>
              </w:rPr>
            </w:pPr>
          </w:p>
          <w:p w:rsidR="00B571B2" w:rsidRPr="00015E28" w:rsidRDefault="00B571B2" w:rsidP="00B571B2">
            <w:pPr>
              <w:ind w:firstLine="708"/>
              <w:jc w:val="both"/>
              <w:rPr>
                <w:rFonts w:ascii="Calibri" w:hAnsi="Calibri" w:cs="Arial"/>
                <w:sz w:val="30"/>
                <w:szCs w:val="30"/>
              </w:rPr>
            </w:pPr>
            <w:r w:rsidRPr="00015E28">
              <w:rPr>
                <w:rFonts w:ascii="Calibri" w:hAnsi="Calibri" w:cs="Arial"/>
                <w:sz w:val="30"/>
                <w:szCs w:val="30"/>
              </w:rPr>
              <w:t xml:space="preserve">Общий объем </w:t>
            </w:r>
            <w:r w:rsidRPr="002E5C2F">
              <w:rPr>
                <w:rFonts w:ascii="Calibri" w:hAnsi="Calibri" w:cs="Arial"/>
                <w:b/>
                <w:sz w:val="30"/>
                <w:szCs w:val="30"/>
              </w:rPr>
              <w:t>транзакций, отправленных через системы денежных переводов</w:t>
            </w:r>
            <w:r w:rsidRPr="00015E28">
              <w:rPr>
                <w:rFonts w:ascii="Calibri" w:hAnsi="Calibri" w:cs="Arial"/>
                <w:sz w:val="30"/>
                <w:szCs w:val="30"/>
              </w:rPr>
              <w:t xml:space="preserve"> денег</w:t>
            </w:r>
            <w:r w:rsidR="007E45C2">
              <w:rPr>
                <w:rFonts w:ascii="Calibri" w:hAnsi="Calibri" w:cs="Arial"/>
                <w:sz w:val="30"/>
                <w:szCs w:val="30"/>
              </w:rPr>
              <w:t xml:space="preserve"> в 2016 году</w:t>
            </w:r>
            <w:r w:rsidRPr="00015E28">
              <w:rPr>
                <w:rFonts w:ascii="Calibri" w:hAnsi="Calibri" w:cs="Arial"/>
                <w:sz w:val="30"/>
                <w:szCs w:val="30"/>
              </w:rPr>
              <w:t xml:space="preserve">, составил </w:t>
            </w:r>
            <w:r w:rsidRPr="00015E28">
              <w:rPr>
                <w:rFonts w:ascii="Calibri" w:hAnsi="Calibri" w:cs="Arial"/>
                <w:b/>
                <w:sz w:val="30"/>
                <w:szCs w:val="30"/>
              </w:rPr>
              <w:t>2,4 млн. транзакций  на сумму 405,3 млрд. тенге</w:t>
            </w:r>
            <w:r w:rsidRPr="00015E28">
              <w:rPr>
                <w:rFonts w:ascii="Calibri" w:hAnsi="Calibri" w:cs="Arial"/>
                <w:sz w:val="30"/>
                <w:szCs w:val="30"/>
              </w:rPr>
              <w:t xml:space="preserve"> и по сравнению с 2014 годом увеличился на 26,2%, по сравнению с 2015 годом - на 6%. </w:t>
            </w:r>
          </w:p>
          <w:p w:rsidR="00B571B2" w:rsidRDefault="002E5C2F" w:rsidP="002E5C2F">
            <w:pPr>
              <w:jc w:val="both"/>
              <w:rPr>
                <w:rFonts w:ascii="Calibri" w:hAnsi="Calibri" w:cs="Arial"/>
                <w:sz w:val="30"/>
                <w:szCs w:val="30"/>
              </w:rPr>
            </w:pPr>
            <w:r>
              <w:rPr>
                <w:rFonts w:ascii="Calibri" w:hAnsi="Calibri" w:cs="Arial"/>
                <w:sz w:val="30"/>
                <w:szCs w:val="30"/>
              </w:rPr>
              <w:t xml:space="preserve">Системы </w:t>
            </w:r>
            <w:r w:rsidRPr="00015E28">
              <w:rPr>
                <w:rFonts w:ascii="Calibri" w:hAnsi="Calibri" w:cs="Arial"/>
                <w:sz w:val="30"/>
                <w:szCs w:val="30"/>
              </w:rPr>
              <w:t>денежных переводов</w:t>
            </w:r>
            <w:r>
              <w:rPr>
                <w:rFonts w:ascii="Calibri" w:hAnsi="Calibri" w:cs="Arial"/>
                <w:sz w:val="30"/>
                <w:szCs w:val="30"/>
              </w:rPr>
              <w:t xml:space="preserve"> </w:t>
            </w:r>
            <w:r>
              <w:rPr>
                <w:rFonts w:ascii="Calibri" w:hAnsi="Calibri" w:cs="Arial"/>
                <w:sz w:val="30"/>
                <w:szCs w:val="30"/>
              </w:rPr>
              <w:br/>
            </w:r>
            <w:r w:rsidRPr="00015E28">
              <w:rPr>
                <w:rFonts w:ascii="Calibri" w:hAnsi="Calibri" w:cs="Arial"/>
                <w:sz w:val="30"/>
                <w:szCs w:val="30"/>
              </w:rPr>
              <w:t xml:space="preserve">в основном </w:t>
            </w:r>
            <w:r>
              <w:rPr>
                <w:rFonts w:ascii="Calibri" w:hAnsi="Calibri" w:cs="Arial"/>
                <w:sz w:val="30"/>
                <w:szCs w:val="30"/>
              </w:rPr>
              <w:t xml:space="preserve">  </w:t>
            </w:r>
            <w:r w:rsidRPr="00015E28">
              <w:rPr>
                <w:rFonts w:ascii="Calibri" w:hAnsi="Calibri" w:cs="Arial"/>
                <w:sz w:val="30"/>
                <w:szCs w:val="30"/>
              </w:rPr>
              <w:t xml:space="preserve">ориентированы </w:t>
            </w:r>
            <w:r>
              <w:rPr>
                <w:rFonts w:ascii="Calibri" w:hAnsi="Calibri" w:cs="Arial"/>
                <w:sz w:val="30"/>
                <w:szCs w:val="30"/>
              </w:rPr>
              <w:t xml:space="preserve"> </w:t>
            </w:r>
            <w:r w:rsidRPr="00015E28">
              <w:rPr>
                <w:rFonts w:ascii="Calibri" w:hAnsi="Calibri" w:cs="Arial"/>
                <w:sz w:val="30"/>
                <w:szCs w:val="30"/>
              </w:rPr>
              <w:t xml:space="preserve">на </w:t>
            </w:r>
          </w:p>
        </w:tc>
      </w:tr>
    </w:tbl>
    <w:p w:rsidR="00BC1404" w:rsidRDefault="002E5C2F" w:rsidP="002E5C2F">
      <w:pPr>
        <w:jc w:val="both"/>
        <w:rPr>
          <w:rFonts w:ascii="Calibri" w:hAnsi="Calibri" w:cs="Arial"/>
          <w:sz w:val="30"/>
          <w:szCs w:val="30"/>
        </w:rPr>
      </w:pPr>
      <w:r w:rsidRPr="00015E28">
        <w:rPr>
          <w:rFonts w:ascii="Calibri" w:hAnsi="Calibri" w:cs="Arial"/>
          <w:sz w:val="30"/>
          <w:szCs w:val="30"/>
        </w:rPr>
        <w:t xml:space="preserve">проведение </w:t>
      </w:r>
      <w:r w:rsidR="00BC1404" w:rsidRPr="00015E28">
        <w:rPr>
          <w:rFonts w:ascii="Calibri" w:hAnsi="Calibri" w:cs="Arial"/>
          <w:sz w:val="30"/>
          <w:szCs w:val="30"/>
        </w:rPr>
        <w:t xml:space="preserve">безвозмездных специфических переводов в пользу иных физических лиц – 2,4 млн. переводов на сумму </w:t>
      </w:r>
      <w:r w:rsidR="00BC1404" w:rsidRPr="007E45C2">
        <w:rPr>
          <w:rFonts w:ascii="Calibri" w:hAnsi="Calibri" w:cs="Arial"/>
          <w:sz w:val="30"/>
          <w:szCs w:val="30"/>
        </w:rPr>
        <w:t>402,5 млрд.</w:t>
      </w:r>
      <w:r w:rsidR="00BC1404" w:rsidRPr="00015E28">
        <w:rPr>
          <w:rFonts w:ascii="Calibri" w:hAnsi="Calibri" w:cs="Arial"/>
          <w:sz w:val="30"/>
          <w:szCs w:val="30"/>
        </w:rPr>
        <w:t xml:space="preserve"> тенге в 2016 году, что составило 99,6% от общего количества и 99,4% от общего объема переводов физических лиц. </w:t>
      </w:r>
    </w:p>
    <w:p w:rsidR="00015E28" w:rsidRPr="00015E28" w:rsidRDefault="00015E28" w:rsidP="00015E28">
      <w:pPr>
        <w:rPr>
          <w:vanish/>
        </w:rPr>
      </w:pPr>
    </w:p>
    <w:tbl>
      <w:tblPr>
        <w:tblW w:w="0" w:type="auto"/>
        <w:tblLayout w:type="fixed"/>
        <w:tblLook w:val="04A0" w:firstRow="1" w:lastRow="0" w:firstColumn="1" w:lastColumn="0" w:noHBand="0" w:noVBand="1"/>
      </w:tblPr>
      <w:tblGrid>
        <w:gridCol w:w="4968"/>
        <w:gridCol w:w="4500"/>
      </w:tblGrid>
      <w:tr w:rsidR="00DD08FE" w:rsidRPr="00176F0A" w:rsidTr="00FC1B6F">
        <w:trPr>
          <w:trHeight w:val="4100"/>
        </w:trPr>
        <w:tc>
          <w:tcPr>
            <w:tcW w:w="4968" w:type="dxa"/>
            <w:shd w:val="clear" w:color="auto" w:fill="auto"/>
          </w:tcPr>
          <w:p w:rsidR="00DD08FE" w:rsidRPr="00176F0A" w:rsidRDefault="00B41594" w:rsidP="00FC1B6F">
            <w:pPr>
              <w:tabs>
                <w:tab w:val="left" w:pos="0"/>
                <w:tab w:val="left" w:pos="4500"/>
              </w:tabs>
              <w:jc w:val="center"/>
              <w:rPr>
                <w:rFonts w:ascii="Calibri" w:hAnsi="Calibri" w:cs="Arial"/>
                <w:color w:val="0E4C28"/>
                <w:sz w:val="28"/>
                <w:szCs w:val="28"/>
              </w:rPr>
            </w:pPr>
            <w:r w:rsidRPr="00176F0A">
              <w:rPr>
                <w:noProof/>
                <w:sz w:val="28"/>
                <w:szCs w:val="28"/>
              </w:rPr>
              <w:lastRenderedPageBreak/>
              <w:drawing>
                <wp:anchor distT="0" distB="0" distL="114300" distR="114300" simplePos="0" relativeHeight="251636736" behindDoc="0" locked="0" layoutInCell="1" allowOverlap="1" wp14:anchorId="05A19471" wp14:editId="22C85392">
                  <wp:simplePos x="0" y="0"/>
                  <wp:positionH relativeFrom="column">
                    <wp:posOffset>-66675</wp:posOffset>
                  </wp:positionH>
                  <wp:positionV relativeFrom="paragraph">
                    <wp:posOffset>438150</wp:posOffset>
                  </wp:positionV>
                  <wp:extent cx="3038475" cy="2026920"/>
                  <wp:effectExtent l="0" t="0" r="0" b="0"/>
                  <wp:wrapSquare wrapText="bothSides"/>
                  <wp:docPr id="461"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r w:rsidR="00DD08FE" w:rsidRPr="00176F0A">
              <w:rPr>
                <w:rFonts w:ascii="Calibri" w:hAnsi="Calibri" w:cs="Arial"/>
                <w:b/>
                <w:color w:val="0E4C28"/>
                <w:sz w:val="28"/>
                <w:szCs w:val="28"/>
              </w:rPr>
              <w:t>Динамика изменения объемов переводов денег в 2014 - 2016 годах</w:t>
            </w:r>
          </w:p>
        </w:tc>
        <w:tc>
          <w:tcPr>
            <w:tcW w:w="4500" w:type="dxa"/>
            <w:shd w:val="clear" w:color="auto" w:fill="auto"/>
          </w:tcPr>
          <w:p w:rsidR="00DD08FE" w:rsidRPr="00176F0A" w:rsidRDefault="00DD08FE" w:rsidP="002E5C2F">
            <w:pPr>
              <w:ind w:firstLine="708"/>
              <w:jc w:val="both"/>
              <w:rPr>
                <w:rFonts w:ascii="Calibri" w:hAnsi="Calibri" w:cs="Arial"/>
                <w:b/>
                <w:color w:val="0E4C28"/>
                <w:szCs w:val="28"/>
              </w:rPr>
            </w:pPr>
            <w:r w:rsidRPr="00176F0A">
              <w:rPr>
                <w:rFonts w:ascii="Calibri" w:hAnsi="Calibri" w:cs="Calibri"/>
                <w:b/>
                <w:sz w:val="30"/>
                <w:szCs w:val="30"/>
              </w:rPr>
              <w:t xml:space="preserve">В большинстве случаев  </w:t>
            </w:r>
            <w:r w:rsidR="002E5C2F" w:rsidRPr="00176F0A">
              <w:rPr>
                <w:rFonts w:ascii="Calibri" w:hAnsi="Calibri" w:cs="Calibri"/>
                <w:b/>
                <w:sz w:val="30"/>
                <w:szCs w:val="30"/>
              </w:rPr>
              <w:t>системы денежных переводов</w:t>
            </w:r>
            <w:r w:rsidRPr="00176F0A">
              <w:rPr>
                <w:rFonts w:ascii="Calibri" w:hAnsi="Calibri" w:cs="Calibri"/>
                <w:b/>
                <w:sz w:val="30"/>
                <w:szCs w:val="30"/>
              </w:rPr>
              <w:t xml:space="preserve"> используются населением страны для проведения переводов  денег за рубеж </w:t>
            </w:r>
            <w:r w:rsidRPr="00176F0A">
              <w:rPr>
                <w:rFonts w:ascii="Calibri" w:hAnsi="Calibri" w:cs="Calibri"/>
                <w:sz w:val="30"/>
                <w:szCs w:val="30"/>
              </w:rPr>
              <w:t xml:space="preserve">(доля отправленных за рубеж платежей и переводов денег через системы составила 90,3% от общего количества и 94,3% от общей </w:t>
            </w:r>
            <w:proofErr w:type="gramStart"/>
            <w:r w:rsidRPr="00176F0A">
              <w:rPr>
                <w:rFonts w:ascii="Calibri" w:hAnsi="Calibri" w:cs="Calibri"/>
                <w:sz w:val="30"/>
                <w:szCs w:val="30"/>
              </w:rPr>
              <w:t>суммы</w:t>
            </w:r>
            <w:proofErr w:type="gramEnd"/>
            <w:r w:rsidRPr="00176F0A">
              <w:rPr>
                <w:rFonts w:ascii="Calibri" w:hAnsi="Calibri" w:cs="Calibri"/>
                <w:sz w:val="30"/>
                <w:szCs w:val="30"/>
              </w:rPr>
              <w:t xml:space="preserve"> отправленных через системы транзакций).</w:t>
            </w:r>
          </w:p>
        </w:tc>
      </w:tr>
    </w:tbl>
    <w:tbl>
      <w:tblPr>
        <w:tblStyle w:val="a3"/>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148"/>
        <w:gridCol w:w="4500"/>
      </w:tblGrid>
      <w:tr w:rsidR="001575F9" w:rsidTr="009E1B53">
        <w:tc>
          <w:tcPr>
            <w:tcW w:w="5148" w:type="dxa"/>
          </w:tcPr>
          <w:p w:rsidR="006E2AC8" w:rsidRDefault="006E2AC8" w:rsidP="009E1B53">
            <w:pPr>
              <w:ind w:firstLine="708"/>
              <w:jc w:val="both"/>
              <w:rPr>
                <w:rFonts w:ascii="Calibri" w:hAnsi="Calibri" w:cs="Calibri"/>
                <w:sz w:val="30"/>
                <w:szCs w:val="30"/>
              </w:rPr>
            </w:pPr>
          </w:p>
          <w:p w:rsidR="001575F9" w:rsidRPr="00176F0A" w:rsidRDefault="001575F9" w:rsidP="009E1B53">
            <w:pPr>
              <w:ind w:firstLine="708"/>
              <w:jc w:val="both"/>
              <w:rPr>
                <w:rFonts w:ascii="Calibri" w:hAnsi="Calibri" w:cs="Calibri"/>
                <w:sz w:val="30"/>
                <w:szCs w:val="30"/>
              </w:rPr>
            </w:pPr>
            <w:r w:rsidRPr="00176F0A">
              <w:rPr>
                <w:rFonts w:ascii="Calibri" w:hAnsi="Calibri" w:cs="Calibri"/>
                <w:sz w:val="30"/>
                <w:szCs w:val="30"/>
              </w:rPr>
              <w:t xml:space="preserve">Вместе  с тем, данные системы также применяются для осуществления срочных переводов </w:t>
            </w:r>
            <w:r w:rsidR="00633E6E" w:rsidRPr="00176F0A">
              <w:rPr>
                <w:rFonts w:ascii="Calibri" w:hAnsi="Calibri" w:cs="Calibri"/>
                <w:sz w:val="30"/>
                <w:szCs w:val="30"/>
              </w:rPr>
              <w:t>внутри страны</w:t>
            </w:r>
            <w:r w:rsidRPr="00176F0A">
              <w:rPr>
                <w:rFonts w:ascii="Calibri" w:hAnsi="Calibri" w:cs="Calibri"/>
                <w:sz w:val="30"/>
                <w:szCs w:val="30"/>
              </w:rPr>
              <w:t xml:space="preserve">, средняя сумма которых составляет порядка 100 тыс. тенге. </w:t>
            </w:r>
            <w:r w:rsidRPr="00176F0A">
              <w:rPr>
                <w:rFonts w:ascii="Calibri" w:hAnsi="Calibri" w:cs="Arial"/>
                <w:sz w:val="30"/>
                <w:szCs w:val="30"/>
              </w:rPr>
              <w:t xml:space="preserve">Так, объемы переводов денег, </w:t>
            </w:r>
            <w:r w:rsidRPr="00176F0A">
              <w:rPr>
                <w:rFonts w:ascii="Calibri" w:hAnsi="Calibri" w:cs="Arial"/>
                <w:b/>
                <w:sz w:val="30"/>
                <w:szCs w:val="30"/>
              </w:rPr>
              <w:t xml:space="preserve">проведенных через системы денежных переводов по Казахстану, составили в 2016 году 230,7 тыс. </w:t>
            </w:r>
            <w:r w:rsidR="0073388E" w:rsidRPr="00176F0A">
              <w:rPr>
                <w:rFonts w:ascii="Calibri" w:hAnsi="Calibri" w:cs="Arial"/>
                <w:b/>
                <w:sz w:val="30"/>
                <w:szCs w:val="30"/>
              </w:rPr>
              <w:t xml:space="preserve"> </w:t>
            </w:r>
            <w:r w:rsidRPr="00176F0A">
              <w:rPr>
                <w:rFonts w:ascii="Calibri" w:hAnsi="Calibri" w:cs="Arial"/>
                <w:b/>
                <w:sz w:val="30"/>
                <w:szCs w:val="30"/>
              </w:rPr>
              <w:t xml:space="preserve">транзакций </w:t>
            </w:r>
            <w:r w:rsidR="0073388E" w:rsidRPr="00176F0A">
              <w:rPr>
                <w:rFonts w:ascii="Calibri" w:hAnsi="Calibri" w:cs="Arial"/>
                <w:b/>
                <w:sz w:val="30"/>
                <w:szCs w:val="30"/>
              </w:rPr>
              <w:t xml:space="preserve">     </w:t>
            </w:r>
            <w:r w:rsidRPr="00176F0A">
              <w:rPr>
                <w:rFonts w:ascii="Calibri" w:hAnsi="Calibri" w:cs="Arial"/>
                <w:b/>
                <w:sz w:val="30"/>
                <w:szCs w:val="30"/>
              </w:rPr>
              <w:t>на сумму</w:t>
            </w:r>
            <w:r w:rsidRPr="00176F0A">
              <w:rPr>
                <w:rFonts w:ascii="Calibri" w:hAnsi="Calibri" w:cs="Arial"/>
                <w:sz w:val="30"/>
                <w:szCs w:val="30"/>
              </w:rPr>
              <w:t xml:space="preserve"> </w:t>
            </w:r>
            <w:r w:rsidR="009E1B53" w:rsidRPr="00176F0A">
              <w:rPr>
                <w:rFonts w:ascii="Calibri" w:hAnsi="Calibri" w:cs="Arial"/>
                <w:b/>
                <w:sz w:val="30"/>
                <w:szCs w:val="30"/>
              </w:rPr>
              <w:t xml:space="preserve">23,1 млрд. </w:t>
            </w:r>
          </w:p>
        </w:tc>
        <w:tc>
          <w:tcPr>
            <w:tcW w:w="4500" w:type="dxa"/>
          </w:tcPr>
          <w:p w:rsidR="006E2AC8" w:rsidRDefault="006E2AC8" w:rsidP="001575F9">
            <w:pPr>
              <w:shd w:val="clear" w:color="auto" w:fill="FFFFFF"/>
              <w:jc w:val="center"/>
              <w:rPr>
                <w:rFonts w:ascii="Calibri" w:hAnsi="Calibri" w:cs="Arial"/>
                <w:b/>
                <w:color w:val="0E4C28"/>
                <w:sz w:val="28"/>
                <w:szCs w:val="28"/>
              </w:rPr>
            </w:pPr>
          </w:p>
          <w:p w:rsidR="001575F9" w:rsidRPr="00176F0A" w:rsidRDefault="001575F9" w:rsidP="001575F9">
            <w:pPr>
              <w:shd w:val="clear" w:color="auto" w:fill="FFFFFF"/>
              <w:jc w:val="center"/>
              <w:rPr>
                <w:rFonts w:ascii="Calibri" w:hAnsi="Calibri" w:cs="Arial"/>
                <w:b/>
                <w:color w:val="0E4C28"/>
                <w:sz w:val="28"/>
                <w:szCs w:val="28"/>
              </w:rPr>
            </w:pPr>
            <w:r w:rsidRPr="00176F0A">
              <w:rPr>
                <w:rFonts w:ascii="Calibri" w:hAnsi="Calibri" w:cs="Arial"/>
                <w:b/>
                <w:color w:val="0E4C28"/>
                <w:sz w:val="28"/>
                <w:szCs w:val="28"/>
              </w:rPr>
              <w:t>Переводы  денег на территории Казахстана  в 2016 году</w:t>
            </w:r>
            <w:r w:rsidR="002E5C2F" w:rsidRPr="00176F0A">
              <w:rPr>
                <w:rFonts w:ascii="Calibri" w:hAnsi="Calibri" w:cs="Arial"/>
                <w:b/>
                <w:color w:val="0E4C28"/>
                <w:sz w:val="28"/>
                <w:szCs w:val="28"/>
              </w:rPr>
              <w:t xml:space="preserve"> по видам платежей</w:t>
            </w:r>
            <w:r w:rsidRPr="00176F0A">
              <w:rPr>
                <w:rFonts w:ascii="Calibri" w:hAnsi="Calibri" w:cs="Arial"/>
                <w:b/>
                <w:color w:val="0E4C28"/>
                <w:sz w:val="28"/>
                <w:szCs w:val="28"/>
              </w:rPr>
              <w:t xml:space="preserve"> </w:t>
            </w:r>
          </w:p>
          <w:p w:rsidR="001575F9" w:rsidRPr="002E5C2F" w:rsidRDefault="00B41594" w:rsidP="00DD08FE">
            <w:pPr>
              <w:jc w:val="both"/>
              <w:rPr>
                <w:rFonts w:ascii="Calibri" w:hAnsi="Calibri" w:cs="Calibri"/>
                <w:sz w:val="20"/>
                <w:szCs w:val="20"/>
              </w:rPr>
            </w:pPr>
            <w:r w:rsidRPr="00176F0A">
              <w:rPr>
                <w:rFonts w:ascii="Calibri" w:hAnsi="Calibri" w:cs="Calibri"/>
                <w:noProof/>
                <w:sz w:val="20"/>
                <w:szCs w:val="20"/>
              </w:rPr>
              <w:drawing>
                <wp:inline distT="0" distB="0" distL="0" distR="0" wp14:anchorId="7A3ADB6E" wp14:editId="3F011188">
                  <wp:extent cx="2556164" cy="1655272"/>
                  <wp:effectExtent l="0" t="0" r="0" b="0"/>
                  <wp:docPr id="35" name="Объект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bl>
    <w:p w:rsidR="001575F9" w:rsidRDefault="009E1B53" w:rsidP="0073388E">
      <w:pPr>
        <w:jc w:val="both"/>
        <w:rPr>
          <w:rFonts w:ascii="Calibri" w:hAnsi="Calibri" w:cs="Arial"/>
          <w:sz w:val="30"/>
          <w:szCs w:val="30"/>
        </w:rPr>
      </w:pPr>
      <w:r w:rsidRPr="00FC1B6F">
        <w:rPr>
          <w:rFonts w:ascii="Calibri" w:hAnsi="Calibri" w:cs="Arial"/>
          <w:b/>
          <w:sz w:val="30"/>
          <w:szCs w:val="30"/>
        </w:rPr>
        <w:t>тенге</w:t>
      </w:r>
      <w:r w:rsidRPr="00015E28">
        <w:rPr>
          <w:rFonts w:ascii="Calibri" w:hAnsi="Calibri" w:cs="Arial"/>
          <w:sz w:val="30"/>
          <w:szCs w:val="30"/>
        </w:rPr>
        <w:t xml:space="preserve"> </w:t>
      </w:r>
      <w:r w:rsidR="0073388E" w:rsidRPr="00015E28">
        <w:rPr>
          <w:rFonts w:ascii="Calibri" w:hAnsi="Calibri" w:cs="Arial"/>
          <w:sz w:val="30"/>
          <w:szCs w:val="30"/>
        </w:rPr>
        <w:t xml:space="preserve">и снизились по сравнению с показателями 2015 года в 2,2 раза по объему платежей. </w:t>
      </w:r>
      <w:r w:rsidR="001575F9" w:rsidRPr="00015E28">
        <w:rPr>
          <w:rFonts w:ascii="Calibri" w:hAnsi="Calibri" w:cs="Arial"/>
          <w:sz w:val="30"/>
          <w:szCs w:val="30"/>
        </w:rPr>
        <w:t xml:space="preserve">При этом из общего объема </w:t>
      </w:r>
      <w:r w:rsidR="007E45C2">
        <w:rPr>
          <w:rFonts w:ascii="Calibri" w:hAnsi="Calibri" w:cs="Arial"/>
          <w:sz w:val="30"/>
          <w:szCs w:val="30"/>
        </w:rPr>
        <w:t xml:space="preserve">переводов </w:t>
      </w:r>
      <w:r w:rsidR="001575F9" w:rsidRPr="00015E28">
        <w:rPr>
          <w:rFonts w:ascii="Calibri" w:hAnsi="Calibri" w:cs="Arial"/>
          <w:sz w:val="30"/>
          <w:szCs w:val="30"/>
        </w:rPr>
        <w:t xml:space="preserve">193,5 тыс. транзакций на сумму 10,3 млрд. тенге проведено в национальной валюте (83,9% и 44,7% от общего количества и суммы переводов денег, проведенных через системы денежных переводов по Казахстану). </w:t>
      </w:r>
    </w:p>
    <w:tbl>
      <w:tblPr>
        <w:tblW w:w="10260" w:type="dxa"/>
        <w:tblInd w:w="-432" w:type="dxa"/>
        <w:tblLayout w:type="fixed"/>
        <w:tblLook w:val="00A0" w:firstRow="1" w:lastRow="0" w:firstColumn="1" w:lastColumn="0" w:noHBand="0" w:noVBand="0"/>
      </w:tblPr>
      <w:tblGrid>
        <w:gridCol w:w="5400"/>
        <w:gridCol w:w="4860"/>
      </w:tblGrid>
      <w:tr w:rsidR="00DD08FE" w:rsidRPr="00A86AE4" w:rsidTr="007E45C2">
        <w:trPr>
          <w:trHeight w:val="3229"/>
        </w:trPr>
        <w:tc>
          <w:tcPr>
            <w:tcW w:w="5400" w:type="dxa"/>
          </w:tcPr>
          <w:p w:rsidR="006E2AC8" w:rsidRDefault="006E2AC8" w:rsidP="009E09D9">
            <w:pPr>
              <w:jc w:val="center"/>
              <w:rPr>
                <w:rFonts w:ascii="Calibri" w:hAnsi="Calibri" w:cs="Arial"/>
                <w:b/>
                <w:color w:val="0E4C28"/>
                <w:sz w:val="28"/>
                <w:szCs w:val="28"/>
              </w:rPr>
            </w:pPr>
          </w:p>
          <w:p w:rsidR="00DD08FE" w:rsidRPr="0073388E" w:rsidRDefault="00DD08FE" w:rsidP="009E09D9">
            <w:pPr>
              <w:jc w:val="center"/>
              <w:rPr>
                <w:rFonts w:ascii="Calibri" w:hAnsi="Calibri" w:cs="Arial"/>
                <w:b/>
                <w:color w:val="0E4C28"/>
                <w:sz w:val="28"/>
                <w:szCs w:val="28"/>
              </w:rPr>
            </w:pPr>
            <w:r w:rsidRPr="0073388E">
              <w:rPr>
                <w:rFonts w:ascii="Calibri" w:hAnsi="Calibri" w:cs="Arial"/>
                <w:b/>
                <w:color w:val="0E4C28"/>
                <w:sz w:val="28"/>
                <w:szCs w:val="28"/>
              </w:rPr>
              <w:t xml:space="preserve">Доля от общего количества отправленных переводов </w:t>
            </w:r>
            <w:r w:rsidR="00633E6E">
              <w:rPr>
                <w:rFonts w:ascii="Calibri" w:hAnsi="Calibri" w:cs="Arial"/>
                <w:b/>
                <w:color w:val="0E4C28"/>
                <w:sz w:val="28"/>
                <w:szCs w:val="28"/>
              </w:rPr>
              <w:t>внутри страны</w:t>
            </w:r>
            <w:r w:rsidR="007E45C2">
              <w:rPr>
                <w:rFonts w:ascii="Calibri" w:hAnsi="Calibri" w:cs="Arial"/>
                <w:b/>
                <w:color w:val="0E4C28"/>
                <w:sz w:val="28"/>
                <w:szCs w:val="28"/>
              </w:rPr>
              <w:t xml:space="preserve"> через СДП</w:t>
            </w:r>
            <w:r w:rsidR="007E45C2">
              <w:rPr>
                <w:rStyle w:val="a6"/>
                <w:rFonts w:ascii="Calibri" w:hAnsi="Calibri" w:cs="Arial"/>
                <w:b/>
                <w:color w:val="0E4C28"/>
                <w:sz w:val="28"/>
                <w:szCs w:val="28"/>
              </w:rPr>
              <w:footnoteReference w:id="17"/>
            </w:r>
          </w:p>
          <w:p w:rsidR="00DD08FE" w:rsidRPr="00A86AE4" w:rsidRDefault="00B41594" w:rsidP="009E09D9">
            <w:pPr>
              <w:tabs>
                <w:tab w:val="num" w:pos="993"/>
              </w:tabs>
              <w:jc w:val="both"/>
            </w:pPr>
            <w:r>
              <w:rPr>
                <w:noProof/>
              </w:rPr>
              <w:drawing>
                <wp:inline distT="0" distB="0" distL="0" distR="0" wp14:anchorId="7690326F" wp14:editId="14EBD1D9">
                  <wp:extent cx="3307080" cy="1584960"/>
                  <wp:effectExtent l="38100" t="0" r="45720" b="0"/>
                  <wp:docPr id="36" name="Диаграмма 4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4860" w:type="dxa"/>
          </w:tcPr>
          <w:p w:rsidR="006E2AC8" w:rsidRDefault="006E2AC8" w:rsidP="009E09D9">
            <w:pPr>
              <w:jc w:val="center"/>
              <w:rPr>
                <w:rFonts w:ascii="Calibri" w:hAnsi="Calibri" w:cs="Arial"/>
                <w:b/>
                <w:color w:val="0E4C28"/>
                <w:sz w:val="28"/>
                <w:szCs w:val="28"/>
              </w:rPr>
            </w:pPr>
          </w:p>
          <w:p w:rsidR="00DD08FE" w:rsidRPr="0073388E" w:rsidRDefault="00DD08FE" w:rsidP="009E09D9">
            <w:pPr>
              <w:jc w:val="center"/>
              <w:rPr>
                <w:rFonts w:ascii="Calibri" w:hAnsi="Calibri" w:cs="Arial"/>
                <w:b/>
                <w:color w:val="0E4C28"/>
                <w:sz w:val="28"/>
                <w:szCs w:val="28"/>
              </w:rPr>
            </w:pPr>
            <w:r w:rsidRPr="0073388E">
              <w:rPr>
                <w:rFonts w:ascii="Calibri" w:hAnsi="Calibri" w:cs="Arial"/>
                <w:b/>
                <w:color w:val="0E4C28"/>
                <w:sz w:val="28"/>
                <w:szCs w:val="28"/>
              </w:rPr>
              <w:t xml:space="preserve">Доля от общей суммы </w:t>
            </w:r>
            <w:proofErr w:type="gramStart"/>
            <w:r w:rsidRPr="0073388E">
              <w:rPr>
                <w:rFonts w:ascii="Calibri" w:hAnsi="Calibri" w:cs="Arial"/>
                <w:b/>
                <w:color w:val="0E4C28"/>
                <w:sz w:val="28"/>
                <w:szCs w:val="28"/>
              </w:rPr>
              <w:t>отправленных</w:t>
            </w:r>
            <w:proofErr w:type="gramEnd"/>
            <w:r w:rsidRPr="0073388E">
              <w:rPr>
                <w:rFonts w:ascii="Calibri" w:hAnsi="Calibri" w:cs="Arial"/>
                <w:b/>
                <w:color w:val="0E4C28"/>
                <w:sz w:val="28"/>
                <w:szCs w:val="28"/>
              </w:rPr>
              <w:t xml:space="preserve"> </w:t>
            </w:r>
          </w:p>
          <w:p w:rsidR="00DD08FE" w:rsidRPr="0073388E" w:rsidRDefault="00DD08FE" w:rsidP="009E09D9">
            <w:pPr>
              <w:jc w:val="center"/>
              <w:rPr>
                <w:rFonts w:ascii="Calibri" w:hAnsi="Calibri" w:cs="Arial"/>
                <w:b/>
                <w:color w:val="0E4C28"/>
                <w:sz w:val="28"/>
                <w:szCs w:val="28"/>
              </w:rPr>
            </w:pPr>
            <w:r w:rsidRPr="0073388E">
              <w:rPr>
                <w:rFonts w:ascii="Calibri" w:hAnsi="Calibri" w:cs="Arial"/>
                <w:b/>
                <w:color w:val="0E4C28"/>
                <w:sz w:val="28"/>
                <w:szCs w:val="28"/>
              </w:rPr>
              <w:t xml:space="preserve">переводов </w:t>
            </w:r>
            <w:r w:rsidR="00633E6E">
              <w:rPr>
                <w:rFonts w:ascii="Calibri" w:hAnsi="Calibri" w:cs="Arial"/>
                <w:b/>
                <w:color w:val="0E4C28"/>
                <w:sz w:val="28"/>
                <w:szCs w:val="28"/>
              </w:rPr>
              <w:t>внутри страны</w:t>
            </w:r>
            <w:r w:rsidR="007E45C2">
              <w:rPr>
                <w:rFonts w:ascii="Calibri" w:hAnsi="Calibri" w:cs="Arial"/>
                <w:b/>
                <w:color w:val="0E4C28"/>
                <w:sz w:val="28"/>
                <w:szCs w:val="28"/>
              </w:rPr>
              <w:t xml:space="preserve"> через СДП</w:t>
            </w:r>
          </w:p>
          <w:p w:rsidR="00DD08FE" w:rsidRPr="009E1B53" w:rsidRDefault="00B41594" w:rsidP="009E09D9">
            <w:pPr>
              <w:tabs>
                <w:tab w:val="num" w:pos="993"/>
              </w:tabs>
              <w:jc w:val="center"/>
              <w:rPr>
                <w:b/>
                <w:sz w:val="20"/>
                <w:szCs w:val="20"/>
              </w:rPr>
            </w:pPr>
            <w:r w:rsidRPr="009E1B53">
              <w:rPr>
                <w:noProof/>
                <w:sz w:val="20"/>
                <w:szCs w:val="20"/>
              </w:rPr>
              <w:drawing>
                <wp:inline distT="0" distB="0" distL="0" distR="0" wp14:anchorId="35DE3F89" wp14:editId="2A382C1C">
                  <wp:extent cx="3009900" cy="1584960"/>
                  <wp:effectExtent l="38100" t="0" r="38100" b="0"/>
                  <wp:docPr id="37" name="Диаграмма 4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D08FE" w:rsidRPr="00A86AE4" w:rsidRDefault="00DD08FE" w:rsidP="009E09D9">
            <w:pPr>
              <w:tabs>
                <w:tab w:val="num" w:pos="993"/>
              </w:tabs>
              <w:jc w:val="both"/>
            </w:pPr>
          </w:p>
        </w:tc>
      </w:tr>
    </w:tbl>
    <w:p w:rsidR="00DD08FE" w:rsidRPr="00015E28" w:rsidRDefault="00DD08FE" w:rsidP="00DD08FE">
      <w:pPr>
        <w:ind w:firstLine="709"/>
        <w:jc w:val="both"/>
        <w:rPr>
          <w:rFonts w:ascii="Calibri" w:hAnsi="Calibri" w:cs="Calibri"/>
          <w:sz w:val="30"/>
          <w:szCs w:val="30"/>
        </w:rPr>
      </w:pPr>
      <w:r w:rsidRPr="00015E28">
        <w:rPr>
          <w:rFonts w:ascii="Calibri" w:hAnsi="Calibri" w:cs="Calibri"/>
          <w:b/>
          <w:sz w:val="30"/>
          <w:szCs w:val="30"/>
        </w:rPr>
        <w:lastRenderedPageBreak/>
        <w:t xml:space="preserve">Наиболее популярной системой для переводов денег </w:t>
      </w:r>
      <w:r w:rsidR="00633E6E">
        <w:rPr>
          <w:rFonts w:ascii="Calibri" w:hAnsi="Calibri" w:cs="Calibri"/>
          <w:b/>
          <w:sz w:val="30"/>
          <w:szCs w:val="30"/>
        </w:rPr>
        <w:t>внутри страны</w:t>
      </w:r>
      <w:r w:rsidRPr="00015E28">
        <w:rPr>
          <w:rFonts w:ascii="Calibri" w:hAnsi="Calibri" w:cs="Calibri"/>
          <w:b/>
          <w:sz w:val="30"/>
          <w:szCs w:val="30"/>
        </w:rPr>
        <w:t xml:space="preserve"> является система </w:t>
      </w:r>
      <w:proofErr w:type="spellStart"/>
      <w:r w:rsidRPr="00015E28">
        <w:rPr>
          <w:rFonts w:ascii="Calibri" w:hAnsi="Calibri" w:cs="Calibri"/>
          <w:b/>
          <w:sz w:val="30"/>
          <w:szCs w:val="30"/>
        </w:rPr>
        <w:t>Faster</w:t>
      </w:r>
      <w:proofErr w:type="spellEnd"/>
      <w:r w:rsidRPr="00015E28">
        <w:rPr>
          <w:rFonts w:ascii="Calibri" w:hAnsi="Calibri" w:cs="Calibri"/>
          <w:sz w:val="30"/>
          <w:szCs w:val="30"/>
        </w:rPr>
        <w:t xml:space="preserve">, через которую в 2016 году было проведено  36,0% и 29,7% от общего количества и суммы транзакций, проведенных по стране с использованием </w:t>
      </w:r>
      <w:r w:rsidR="007E45C2">
        <w:rPr>
          <w:rFonts w:ascii="Calibri" w:hAnsi="Calibri" w:cs="Calibri"/>
          <w:sz w:val="30"/>
          <w:szCs w:val="30"/>
        </w:rPr>
        <w:t>систем денежных переводов</w:t>
      </w:r>
      <w:r w:rsidRPr="00015E28">
        <w:rPr>
          <w:rFonts w:ascii="Calibri" w:hAnsi="Calibri" w:cs="Calibri"/>
          <w:sz w:val="30"/>
          <w:szCs w:val="30"/>
        </w:rPr>
        <w:t xml:space="preserve">. Также активно население Казахстана использует для </w:t>
      </w:r>
      <w:proofErr w:type="spellStart"/>
      <w:r w:rsidRPr="00015E28">
        <w:rPr>
          <w:rFonts w:ascii="Calibri" w:hAnsi="Calibri" w:cs="Calibri"/>
          <w:sz w:val="30"/>
          <w:szCs w:val="30"/>
        </w:rPr>
        <w:t>внутристрановых</w:t>
      </w:r>
      <w:proofErr w:type="spellEnd"/>
      <w:r w:rsidRPr="00015E28">
        <w:rPr>
          <w:rFonts w:ascii="Calibri" w:hAnsi="Calibri" w:cs="Calibri"/>
          <w:sz w:val="30"/>
          <w:szCs w:val="30"/>
        </w:rPr>
        <w:t xml:space="preserve"> переводов такие системы как </w:t>
      </w:r>
      <w:proofErr w:type="spellStart"/>
      <w:r w:rsidRPr="00015E28">
        <w:rPr>
          <w:rFonts w:ascii="Calibri" w:hAnsi="Calibri" w:cs="Calibri"/>
          <w:sz w:val="30"/>
          <w:szCs w:val="30"/>
        </w:rPr>
        <w:t>Western</w:t>
      </w:r>
      <w:proofErr w:type="spellEnd"/>
      <w:r w:rsidRPr="00015E28">
        <w:rPr>
          <w:rFonts w:ascii="Calibri" w:hAnsi="Calibri" w:cs="Calibri"/>
          <w:sz w:val="30"/>
          <w:szCs w:val="30"/>
        </w:rPr>
        <w:t xml:space="preserve"> </w:t>
      </w:r>
      <w:proofErr w:type="spellStart"/>
      <w:r w:rsidRPr="00015E28">
        <w:rPr>
          <w:rFonts w:ascii="Calibri" w:hAnsi="Calibri" w:cs="Calibri"/>
          <w:sz w:val="30"/>
          <w:szCs w:val="30"/>
        </w:rPr>
        <w:t>Union</w:t>
      </w:r>
      <w:proofErr w:type="spellEnd"/>
      <w:r w:rsidRPr="00015E28">
        <w:rPr>
          <w:rFonts w:ascii="Calibri" w:hAnsi="Calibri" w:cs="Calibri"/>
          <w:sz w:val="30"/>
          <w:szCs w:val="30"/>
        </w:rPr>
        <w:t>, Золотая корона.</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4"/>
        <w:gridCol w:w="1655"/>
        <w:gridCol w:w="1409"/>
        <w:gridCol w:w="1478"/>
        <w:gridCol w:w="1829"/>
      </w:tblGrid>
      <w:tr w:rsidR="00DD08FE" w:rsidRPr="00A86AE4" w:rsidTr="00015E28">
        <w:trPr>
          <w:trHeight w:val="255"/>
        </w:trPr>
        <w:tc>
          <w:tcPr>
            <w:tcW w:w="3524"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rPr>
              <w:tab/>
            </w:r>
            <w:r w:rsidRPr="00015E28">
              <w:rPr>
                <w:rFonts w:ascii="Calibri" w:hAnsi="Calibri" w:cs="Calibri"/>
                <w:b/>
              </w:rPr>
              <w:t>Система</w:t>
            </w:r>
          </w:p>
        </w:tc>
        <w:tc>
          <w:tcPr>
            <w:tcW w:w="1655"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 xml:space="preserve">Кол-во </w:t>
            </w:r>
          </w:p>
          <w:p w:rsidR="00DD08FE" w:rsidRPr="00015E28" w:rsidRDefault="00DD08FE" w:rsidP="009E09D9">
            <w:pPr>
              <w:jc w:val="center"/>
              <w:rPr>
                <w:rFonts w:ascii="Calibri" w:hAnsi="Calibri" w:cs="Calibri"/>
                <w:b/>
              </w:rPr>
            </w:pPr>
            <w:r w:rsidRPr="00015E28">
              <w:rPr>
                <w:rFonts w:ascii="Calibri" w:hAnsi="Calibri" w:cs="Calibri"/>
                <w:b/>
              </w:rPr>
              <w:t>(тыс. транзакций)</w:t>
            </w:r>
          </w:p>
        </w:tc>
        <w:tc>
          <w:tcPr>
            <w:tcW w:w="1409"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 xml:space="preserve">Доля от общего кол-ва, </w:t>
            </w:r>
            <w:proofErr w:type="gramStart"/>
            <w:r w:rsidRPr="00015E28">
              <w:rPr>
                <w:rFonts w:ascii="Calibri" w:hAnsi="Calibri" w:cs="Calibri"/>
                <w:b/>
                <w:i/>
              </w:rPr>
              <w:t>в</w:t>
            </w:r>
            <w:proofErr w:type="gramEnd"/>
            <w:r w:rsidRPr="00015E28">
              <w:rPr>
                <w:rFonts w:ascii="Calibri" w:hAnsi="Calibri" w:cs="Calibri"/>
                <w:b/>
                <w:i/>
              </w:rPr>
              <w:t xml:space="preserve"> %</w:t>
            </w:r>
          </w:p>
        </w:tc>
        <w:tc>
          <w:tcPr>
            <w:tcW w:w="1478"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 xml:space="preserve">Сумма </w:t>
            </w:r>
          </w:p>
          <w:p w:rsidR="00DD08FE" w:rsidRPr="00015E28" w:rsidRDefault="00DD08FE" w:rsidP="009E09D9">
            <w:pPr>
              <w:jc w:val="center"/>
              <w:rPr>
                <w:rFonts w:ascii="Calibri" w:hAnsi="Calibri" w:cs="Calibri"/>
                <w:b/>
              </w:rPr>
            </w:pPr>
            <w:r w:rsidRPr="00015E28">
              <w:rPr>
                <w:rFonts w:ascii="Calibri" w:hAnsi="Calibri" w:cs="Calibri"/>
                <w:b/>
              </w:rPr>
              <w:t>(млн. тенге)</w:t>
            </w:r>
          </w:p>
        </w:tc>
        <w:tc>
          <w:tcPr>
            <w:tcW w:w="1829"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 xml:space="preserve">Доля от общей  суммы, </w:t>
            </w:r>
            <w:proofErr w:type="gramStart"/>
            <w:r w:rsidRPr="00015E28">
              <w:rPr>
                <w:rFonts w:ascii="Calibri" w:hAnsi="Calibri" w:cs="Calibri"/>
                <w:b/>
                <w:i/>
              </w:rPr>
              <w:t>в</w:t>
            </w:r>
            <w:proofErr w:type="gramEnd"/>
            <w:r w:rsidRPr="00015E28">
              <w:rPr>
                <w:rFonts w:ascii="Calibri" w:hAnsi="Calibri" w:cs="Calibri"/>
                <w:b/>
                <w:i/>
              </w:rPr>
              <w:t xml:space="preserve"> %</w:t>
            </w:r>
          </w:p>
        </w:tc>
      </w:tr>
      <w:tr w:rsidR="00DD08FE" w:rsidRPr="00A86AE4" w:rsidTr="009E09D9">
        <w:trPr>
          <w:trHeight w:val="171"/>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Faster</w:t>
            </w:r>
            <w:proofErr w:type="spellEnd"/>
          </w:p>
        </w:tc>
        <w:tc>
          <w:tcPr>
            <w:tcW w:w="1655" w:type="dxa"/>
            <w:noWrap/>
            <w:vAlign w:val="center"/>
          </w:tcPr>
          <w:p w:rsidR="00DD08FE" w:rsidRPr="00015E28" w:rsidRDefault="00DD08FE" w:rsidP="009E09D9">
            <w:pPr>
              <w:jc w:val="center"/>
              <w:rPr>
                <w:rFonts w:ascii="Calibri" w:hAnsi="Calibri" w:cs="Calibri"/>
              </w:rPr>
            </w:pPr>
            <w:r w:rsidRPr="00015E28">
              <w:rPr>
                <w:rFonts w:ascii="Calibri" w:hAnsi="Calibri" w:cs="Calibri"/>
              </w:rPr>
              <w:t>83,0</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36,0%</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6 857,1</w:t>
            </w:r>
          </w:p>
        </w:tc>
        <w:tc>
          <w:tcPr>
            <w:tcW w:w="182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29,7%</w:t>
            </w:r>
          </w:p>
        </w:tc>
      </w:tr>
      <w:tr w:rsidR="00DD08FE" w:rsidRPr="00A86AE4" w:rsidTr="009E09D9">
        <w:trPr>
          <w:trHeight w:val="255"/>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Western</w:t>
            </w:r>
            <w:proofErr w:type="spellEnd"/>
            <w:r w:rsidRPr="00015E28">
              <w:rPr>
                <w:rFonts w:ascii="Calibri" w:hAnsi="Calibri" w:cs="Calibri"/>
              </w:rPr>
              <w:t xml:space="preserve"> </w:t>
            </w:r>
            <w:proofErr w:type="spellStart"/>
            <w:r w:rsidRPr="00015E28">
              <w:rPr>
                <w:rFonts w:ascii="Calibri" w:hAnsi="Calibri" w:cs="Calibri"/>
              </w:rPr>
              <w:t>Union</w:t>
            </w:r>
            <w:proofErr w:type="spellEnd"/>
          </w:p>
        </w:tc>
        <w:tc>
          <w:tcPr>
            <w:tcW w:w="1655" w:type="dxa"/>
            <w:noWrap/>
            <w:vAlign w:val="center"/>
          </w:tcPr>
          <w:p w:rsidR="00DD08FE" w:rsidRPr="00015E28" w:rsidRDefault="00DD08FE" w:rsidP="009E09D9">
            <w:pPr>
              <w:jc w:val="center"/>
              <w:rPr>
                <w:rFonts w:ascii="Calibri" w:hAnsi="Calibri" w:cs="Calibri"/>
              </w:rPr>
            </w:pPr>
            <w:r w:rsidRPr="00015E28">
              <w:rPr>
                <w:rFonts w:ascii="Calibri" w:hAnsi="Calibri" w:cs="Calibri"/>
              </w:rPr>
              <w:t>19,5</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8,4%</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5 099,1</w:t>
            </w:r>
          </w:p>
        </w:tc>
        <w:tc>
          <w:tcPr>
            <w:tcW w:w="182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22,1%</w:t>
            </w:r>
          </w:p>
        </w:tc>
      </w:tr>
      <w:tr w:rsidR="00DD08FE" w:rsidRPr="00A86AE4" w:rsidTr="009E09D9">
        <w:trPr>
          <w:trHeight w:val="255"/>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Золотая корона</w:t>
            </w:r>
          </w:p>
        </w:tc>
        <w:tc>
          <w:tcPr>
            <w:tcW w:w="1655" w:type="dxa"/>
            <w:noWrap/>
            <w:vAlign w:val="center"/>
          </w:tcPr>
          <w:p w:rsidR="00DD08FE" w:rsidRPr="00015E28" w:rsidRDefault="00DD08FE" w:rsidP="009E09D9">
            <w:pPr>
              <w:jc w:val="center"/>
              <w:rPr>
                <w:rFonts w:ascii="Calibri" w:hAnsi="Calibri" w:cs="Calibri"/>
              </w:rPr>
            </w:pPr>
            <w:r w:rsidRPr="00015E28">
              <w:rPr>
                <w:rFonts w:ascii="Calibri" w:hAnsi="Calibri" w:cs="Calibri"/>
              </w:rPr>
              <w:t>15,2</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6,6%</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3 674,2</w:t>
            </w:r>
          </w:p>
        </w:tc>
        <w:tc>
          <w:tcPr>
            <w:tcW w:w="182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15,9%</w:t>
            </w:r>
          </w:p>
        </w:tc>
      </w:tr>
      <w:tr w:rsidR="00DD08FE" w:rsidRPr="00A86AE4" w:rsidTr="009E09D9">
        <w:trPr>
          <w:trHeight w:val="255"/>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Блиц</w:t>
            </w:r>
          </w:p>
        </w:tc>
        <w:tc>
          <w:tcPr>
            <w:tcW w:w="1655" w:type="dxa"/>
            <w:noWrap/>
            <w:vAlign w:val="center"/>
          </w:tcPr>
          <w:p w:rsidR="00DD08FE" w:rsidRPr="00015E28" w:rsidRDefault="00DD08FE" w:rsidP="009E09D9">
            <w:pPr>
              <w:jc w:val="center"/>
              <w:rPr>
                <w:rFonts w:ascii="Calibri" w:hAnsi="Calibri" w:cs="Calibri"/>
              </w:rPr>
            </w:pPr>
            <w:r w:rsidRPr="00015E28">
              <w:rPr>
                <w:rFonts w:ascii="Calibri" w:hAnsi="Calibri" w:cs="Calibri"/>
              </w:rPr>
              <w:t>12,2</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5,3%</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1 933,6</w:t>
            </w:r>
          </w:p>
        </w:tc>
        <w:tc>
          <w:tcPr>
            <w:tcW w:w="182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8,4%</w:t>
            </w:r>
          </w:p>
        </w:tc>
      </w:tr>
      <w:tr w:rsidR="00DD08FE" w:rsidRPr="00A86AE4" w:rsidTr="009E09D9">
        <w:trPr>
          <w:trHeight w:val="255"/>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Юнистрим</w:t>
            </w:r>
            <w:proofErr w:type="spellEnd"/>
          </w:p>
        </w:tc>
        <w:tc>
          <w:tcPr>
            <w:tcW w:w="1655" w:type="dxa"/>
            <w:noWrap/>
            <w:vAlign w:val="center"/>
          </w:tcPr>
          <w:p w:rsidR="00DD08FE" w:rsidRPr="00015E28" w:rsidRDefault="00DD08FE" w:rsidP="009E09D9">
            <w:pPr>
              <w:jc w:val="center"/>
              <w:rPr>
                <w:rFonts w:ascii="Calibri" w:hAnsi="Calibri" w:cs="Calibri"/>
              </w:rPr>
            </w:pPr>
            <w:r w:rsidRPr="00015E28">
              <w:rPr>
                <w:rFonts w:ascii="Calibri" w:hAnsi="Calibri" w:cs="Calibri"/>
              </w:rPr>
              <w:t>6,0</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2,6%</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1 726,7</w:t>
            </w:r>
          </w:p>
        </w:tc>
        <w:tc>
          <w:tcPr>
            <w:tcW w:w="182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7,5%</w:t>
            </w:r>
          </w:p>
        </w:tc>
      </w:tr>
      <w:tr w:rsidR="00DD08FE" w:rsidRPr="00A86AE4" w:rsidTr="009E09D9">
        <w:trPr>
          <w:trHeight w:val="255"/>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Contact</w:t>
            </w:r>
            <w:proofErr w:type="spellEnd"/>
          </w:p>
        </w:tc>
        <w:tc>
          <w:tcPr>
            <w:tcW w:w="1655" w:type="dxa"/>
            <w:noWrap/>
            <w:vAlign w:val="center"/>
          </w:tcPr>
          <w:p w:rsidR="00DD08FE" w:rsidRPr="00015E28" w:rsidRDefault="00DD08FE" w:rsidP="009E09D9">
            <w:pPr>
              <w:jc w:val="center"/>
              <w:rPr>
                <w:rFonts w:ascii="Calibri" w:hAnsi="Calibri" w:cs="Calibri"/>
              </w:rPr>
            </w:pPr>
            <w:r w:rsidRPr="00015E28">
              <w:rPr>
                <w:rFonts w:ascii="Calibri" w:hAnsi="Calibri" w:cs="Calibri"/>
              </w:rPr>
              <w:t>2,4</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1,1%</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1 537,7</w:t>
            </w:r>
          </w:p>
        </w:tc>
        <w:tc>
          <w:tcPr>
            <w:tcW w:w="182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6,7%</w:t>
            </w:r>
          </w:p>
        </w:tc>
      </w:tr>
      <w:tr w:rsidR="00DD08FE" w:rsidRPr="00A86AE4" w:rsidTr="009E09D9">
        <w:trPr>
          <w:trHeight w:val="255"/>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Почтовые переводы</w:t>
            </w:r>
          </w:p>
        </w:tc>
        <w:tc>
          <w:tcPr>
            <w:tcW w:w="1655" w:type="dxa"/>
            <w:noWrap/>
            <w:vAlign w:val="center"/>
          </w:tcPr>
          <w:p w:rsidR="00DD08FE" w:rsidRPr="00015E28" w:rsidRDefault="00DD08FE" w:rsidP="009E09D9">
            <w:pPr>
              <w:jc w:val="center"/>
              <w:rPr>
                <w:rFonts w:ascii="Calibri" w:hAnsi="Calibri" w:cs="Calibri"/>
              </w:rPr>
            </w:pPr>
            <w:r w:rsidRPr="00015E28">
              <w:rPr>
                <w:rFonts w:ascii="Calibri" w:hAnsi="Calibri" w:cs="Calibri"/>
              </w:rPr>
              <w:t>89,2</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38,7%</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1 247,4</w:t>
            </w:r>
          </w:p>
        </w:tc>
        <w:tc>
          <w:tcPr>
            <w:tcW w:w="182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5,4%</w:t>
            </w:r>
          </w:p>
        </w:tc>
      </w:tr>
      <w:tr w:rsidR="00DD08FE" w:rsidRPr="00A86AE4" w:rsidTr="009E09D9">
        <w:trPr>
          <w:trHeight w:val="255"/>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Быстрые денежные переводы без открытия банковского счета</w:t>
            </w:r>
          </w:p>
        </w:tc>
        <w:tc>
          <w:tcPr>
            <w:tcW w:w="1655" w:type="dxa"/>
            <w:noWrap/>
            <w:vAlign w:val="center"/>
          </w:tcPr>
          <w:p w:rsidR="00DD08FE" w:rsidRPr="00015E28" w:rsidRDefault="00DD08FE" w:rsidP="009E09D9">
            <w:pPr>
              <w:jc w:val="center"/>
              <w:rPr>
                <w:rFonts w:ascii="Calibri" w:hAnsi="Calibri" w:cs="Calibri"/>
              </w:rPr>
            </w:pPr>
            <w:r w:rsidRPr="00015E28">
              <w:rPr>
                <w:rFonts w:ascii="Calibri" w:hAnsi="Calibri" w:cs="Calibri"/>
              </w:rPr>
              <w:t>3,0</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1,3%</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574,1</w:t>
            </w:r>
          </w:p>
        </w:tc>
        <w:tc>
          <w:tcPr>
            <w:tcW w:w="182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2,5%</w:t>
            </w:r>
          </w:p>
        </w:tc>
      </w:tr>
      <w:tr w:rsidR="00DD08FE" w:rsidRPr="00A86AE4" w:rsidTr="009E09D9">
        <w:trPr>
          <w:trHeight w:val="255"/>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Лидер</w:t>
            </w:r>
          </w:p>
        </w:tc>
        <w:tc>
          <w:tcPr>
            <w:tcW w:w="1655" w:type="dxa"/>
            <w:noWrap/>
            <w:vAlign w:val="center"/>
          </w:tcPr>
          <w:p w:rsidR="00DD08FE" w:rsidRPr="00015E28" w:rsidRDefault="00DD08FE" w:rsidP="009E09D9">
            <w:pPr>
              <w:jc w:val="center"/>
              <w:rPr>
                <w:rFonts w:ascii="Calibri" w:hAnsi="Calibri" w:cs="Calibri"/>
              </w:rPr>
            </w:pPr>
            <w:r w:rsidRPr="00015E28">
              <w:rPr>
                <w:rFonts w:ascii="Calibri" w:hAnsi="Calibri" w:cs="Calibri"/>
              </w:rPr>
              <w:t>0,2</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0,1%</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429,2</w:t>
            </w:r>
          </w:p>
        </w:tc>
        <w:tc>
          <w:tcPr>
            <w:tcW w:w="182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1,9%</w:t>
            </w:r>
          </w:p>
        </w:tc>
      </w:tr>
      <w:tr w:rsidR="00DD08FE" w:rsidRPr="00A86AE4" w:rsidTr="009E09D9">
        <w:trPr>
          <w:trHeight w:val="255"/>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MoneyGram</w:t>
            </w:r>
            <w:proofErr w:type="spellEnd"/>
          </w:p>
        </w:tc>
        <w:tc>
          <w:tcPr>
            <w:tcW w:w="1655" w:type="dxa"/>
            <w:noWrap/>
            <w:vAlign w:val="center"/>
          </w:tcPr>
          <w:p w:rsidR="00DD08FE" w:rsidRPr="00015E28" w:rsidRDefault="00DD08FE" w:rsidP="009E09D9">
            <w:pPr>
              <w:jc w:val="center"/>
              <w:rPr>
                <w:rFonts w:ascii="Calibri" w:hAnsi="Calibri" w:cs="Calibri"/>
              </w:rPr>
            </w:pPr>
            <w:r w:rsidRPr="00015E28">
              <w:rPr>
                <w:rFonts w:ascii="Calibri" w:hAnsi="Calibri" w:cs="Calibri"/>
              </w:rPr>
              <w:t>0,0</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0,003%</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1,7</w:t>
            </w:r>
          </w:p>
        </w:tc>
        <w:tc>
          <w:tcPr>
            <w:tcW w:w="182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0,007%</w:t>
            </w:r>
          </w:p>
        </w:tc>
      </w:tr>
      <w:tr w:rsidR="00DD08FE" w:rsidRPr="00A86AE4" w:rsidTr="00015E28">
        <w:trPr>
          <w:trHeight w:val="255"/>
        </w:trPr>
        <w:tc>
          <w:tcPr>
            <w:tcW w:w="3524" w:type="dxa"/>
            <w:shd w:val="clear" w:color="auto" w:fill="9BBB59"/>
            <w:noWrap/>
            <w:vAlign w:val="center"/>
          </w:tcPr>
          <w:p w:rsidR="00DD08FE" w:rsidRPr="00015E28" w:rsidRDefault="00DD08FE" w:rsidP="009E09D9">
            <w:pPr>
              <w:rPr>
                <w:rFonts w:ascii="Calibri" w:hAnsi="Calibri" w:cs="Calibri"/>
                <w:b/>
                <w:bCs/>
                <w:color w:val="000000"/>
              </w:rPr>
            </w:pPr>
            <w:r w:rsidRPr="00015E28">
              <w:rPr>
                <w:rFonts w:ascii="Calibri" w:hAnsi="Calibri" w:cs="Calibri"/>
                <w:b/>
                <w:bCs/>
                <w:color w:val="000000"/>
              </w:rPr>
              <w:t>Общий итог</w:t>
            </w:r>
          </w:p>
        </w:tc>
        <w:tc>
          <w:tcPr>
            <w:tcW w:w="1655" w:type="dxa"/>
            <w:shd w:val="clear" w:color="auto" w:fill="9BBB59"/>
            <w:noWrap/>
            <w:vAlign w:val="center"/>
          </w:tcPr>
          <w:p w:rsidR="00DD08FE" w:rsidRPr="00015E28" w:rsidRDefault="00DD08FE" w:rsidP="009E09D9">
            <w:pPr>
              <w:jc w:val="center"/>
              <w:rPr>
                <w:rFonts w:ascii="Calibri" w:hAnsi="Calibri" w:cs="Calibri"/>
                <w:b/>
                <w:bCs/>
                <w:color w:val="000000"/>
              </w:rPr>
            </w:pPr>
            <w:r w:rsidRPr="00015E28">
              <w:rPr>
                <w:rFonts w:ascii="Calibri" w:hAnsi="Calibri" w:cs="Calibri"/>
                <w:b/>
                <w:bCs/>
                <w:color w:val="000000"/>
              </w:rPr>
              <w:t>230,7</w:t>
            </w:r>
          </w:p>
        </w:tc>
        <w:tc>
          <w:tcPr>
            <w:tcW w:w="1409"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100,0%</w:t>
            </w:r>
          </w:p>
        </w:tc>
        <w:tc>
          <w:tcPr>
            <w:tcW w:w="1478" w:type="dxa"/>
            <w:shd w:val="clear" w:color="auto" w:fill="9BBB59"/>
            <w:noWrap/>
            <w:vAlign w:val="center"/>
          </w:tcPr>
          <w:p w:rsidR="00DD08FE" w:rsidRPr="00015E28" w:rsidRDefault="00DD08FE" w:rsidP="009E09D9">
            <w:pPr>
              <w:jc w:val="center"/>
              <w:rPr>
                <w:rFonts w:ascii="Calibri" w:hAnsi="Calibri" w:cs="Calibri"/>
                <w:b/>
                <w:bCs/>
                <w:color w:val="000000"/>
              </w:rPr>
            </w:pPr>
            <w:r w:rsidRPr="00015E28">
              <w:rPr>
                <w:rFonts w:ascii="Calibri" w:hAnsi="Calibri" w:cs="Calibri"/>
                <w:b/>
                <w:bCs/>
                <w:color w:val="000000"/>
              </w:rPr>
              <w:t>23 080,7</w:t>
            </w:r>
          </w:p>
        </w:tc>
        <w:tc>
          <w:tcPr>
            <w:tcW w:w="1829"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100,0%</w:t>
            </w:r>
          </w:p>
        </w:tc>
      </w:tr>
    </w:tbl>
    <w:p w:rsidR="00DD08FE" w:rsidRPr="00015E28" w:rsidRDefault="00B41594" w:rsidP="00DD08FE">
      <w:pPr>
        <w:tabs>
          <w:tab w:val="left" w:pos="5670"/>
        </w:tabs>
        <w:jc w:val="both"/>
        <w:rPr>
          <w:rFonts w:ascii="Calibri" w:hAnsi="Calibri" w:cs="Arial"/>
          <w:sz w:val="30"/>
          <w:szCs w:val="30"/>
        </w:rPr>
      </w:pPr>
      <w:r>
        <w:rPr>
          <w:noProof/>
        </w:rPr>
        <w:drawing>
          <wp:anchor distT="0" distB="0" distL="114300" distR="114300" simplePos="0" relativeHeight="251635712" behindDoc="1" locked="0" layoutInCell="1" allowOverlap="1" wp14:anchorId="4800F0A2" wp14:editId="671C551C">
            <wp:simplePos x="0" y="0"/>
            <wp:positionH relativeFrom="column">
              <wp:posOffset>0</wp:posOffset>
            </wp:positionH>
            <wp:positionV relativeFrom="paragraph">
              <wp:posOffset>149225</wp:posOffset>
            </wp:positionV>
            <wp:extent cx="3169920" cy="2456815"/>
            <wp:effectExtent l="0" t="0" r="0" b="635"/>
            <wp:wrapSquare wrapText="bothSides"/>
            <wp:docPr id="460" name="Диаграмма 4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page">
              <wp14:pctWidth>0</wp14:pctWidth>
            </wp14:sizeRelH>
            <wp14:sizeRelV relativeFrom="page">
              <wp14:pctHeight>0</wp14:pctHeight>
            </wp14:sizeRelV>
          </wp:anchor>
        </w:drawing>
      </w:r>
    </w:p>
    <w:p w:rsidR="00DD08FE" w:rsidRPr="00015E28" w:rsidRDefault="00DD08FE" w:rsidP="00DD08FE">
      <w:pPr>
        <w:tabs>
          <w:tab w:val="left" w:pos="5670"/>
        </w:tabs>
        <w:jc w:val="both"/>
        <w:rPr>
          <w:rFonts w:ascii="Calibri" w:hAnsi="Calibri" w:cs="Arial"/>
          <w:b/>
          <w:color w:val="0E4C28"/>
          <w:szCs w:val="28"/>
        </w:rPr>
      </w:pPr>
      <w:r w:rsidRPr="00015E28">
        <w:rPr>
          <w:rFonts w:ascii="Calibri" w:hAnsi="Calibri" w:cs="Arial"/>
          <w:sz w:val="30"/>
          <w:szCs w:val="30"/>
        </w:rPr>
        <w:t xml:space="preserve">Объем переводов денег, отправленных за границу через системы денежных переводов </w:t>
      </w:r>
      <w:r w:rsidRPr="00015E28">
        <w:rPr>
          <w:rFonts w:ascii="Calibri" w:hAnsi="Calibri" w:cs="Arial"/>
          <w:b/>
          <w:sz w:val="30"/>
          <w:szCs w:val="30"/>
        </w:rPr>
        <w:t>за 2016 год</w:t>
      </w:r>
      <w:r w:rsidR="009E1B53">
        <w:rPr>
          <w:rFonts w:ascii="Calibri" w:hAnsi="Calibri" w:cs="Arial"/>
          <w:b/>
          <w:sz w:val="30"/>
          <w:szCs w:val="30"/>
        </w:rPr>
        <w:t>,</w:t>
      </w:r>
      <w:r w:rsidRPr="00015E28">
        <w:rPr>
          <w:rFonts w:ascii="Calibri" w:hAnsi="Calibri" w:cs="Arial"/>
          <w:b/>
          <w:sz w:val="30"/>
          <w:szCs w:val="30"/>
        </w:rPr>
        <w:t xml:space="preserve"> составил 2 136,8 тыс. транзакций на сумму 382,2 млрд. тенге</w:t>
      </w:r>
      <w:r w:rsidRPr="00015E28">
        <w:rPr>
          <w:rFonts w:ascii="Calibri" w:hAnsi="Calibri" w:cs="Arial"/>
          <w:sz w:val="30"/>
          <w:szCs w:val="30"/>
        </w:rPr>
        <w:t xml:space="preserve">, что по сравнению с 2015 годом меньше по количеству платежей </w:t>
      </w:r>
      <w:r w:rsidRPr="00015E28">
        <w:rPr>
          <w:rFonts w:ascii="Calibri" w:hAnsi="Calibri" w:cs="Arial"/>
          <w:b/>
          <w:sz w:val="30"/>
          <w:szCs w:val="30"/>
        </w:rPr>
        <w:t>на 4,1%</w:t>
      </w:r>
      <w:r w:rsidRPr="00015E28">
        <w:rPr>
          <w:rFonts w:ascii="Calibri" w:hAnsi="Calibri" w:cs="Arial"/>
          <w:sz w:val="30"/>
          <w:szCs w:val="30"/>
        </w:rPr>
        <w:t xml:space="preserve"> и больше по </w:t>
      </w:r>
      <w:r w:rsidR="007E45C2">
        <w:rPr>
          <w:rFonts w:ascii="Calibri" w:hAnsi="Calibri" w:cs="Arial"/>
          <w:sz w:val="30"/>
          <w:szCs w:val="30"/>
        </w:rPr>
        <w:t>сумме</w:t>
      </w:r>
      <w:r w:rsidRPr="00015E28">
        <w:rPr>
          <w:rFonts w:ascii="Calibri" w:hAnsi="Calibri" w:cs="Arial"/>
          <w:sz w:val="30"/>
          <w:szCs w:val="30"/>
        </w:rPr>
        <w:t xml:space="preserve"> платежей </w:t>
      </w:r>
      <w:r w:rsidRPr="00015E28">
        <w:rPr>
          <w:rFonts w:ascii="Calibri" w:hAnsi="Calibri" w:cs="Arial"/>
          <w:b/>
          <w:sz w:val="30"/>
          <w:szCs w:val="30"/>
        </w:rPr>
        <w:t>на 14,9%.</w:t>
      </w:r>
    </w:p>
    <w:tbl>
      <w:tblPr>
        <w:tblW w:w="9719" w:type="dxa"/>
        <w:tblInd w:w="93" w:type="dxa"/>
        <w:tblLook w:val="04A0" w:firstRow="1" w:lastRow="0" w:firstColumn="1" w:lastColumn="0" w:noHBand="0" w:noVBand="1"/>
      </w:tblPr>
      <w:tblGrid>
        <w:gridCol w:w="9850"/>
      </w:tblGrid>
      <w:tr w:rsidR="00BC1404" w:rsidRPr="00A86AE4" w:rsidTr="00BC1404">
        <w:trPr>
          <w:trHeight w:val="264"/>
        </w:trPr>
        <w:tc>
          <w:tcPr>
            <w:tcW w:w="9719" w:type="dxa"/>
            <w:shd w:val="clear" w:color="auto" w:fill="auto"/>
            <w:noWrap/>
            <w:vAlign w:val="bottom"/>
          </w:tcPr>
          <w:p w:rsidR="006E2AC8" w:rsidRDefault="006E2AC8"/>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26"/>
              <w:gridCol w:w="4808"/>
            </w:tblGrid>
            <w:tr w:rsidR="0073388E" w:rsidTr="009E1B53">
              <w:trPr>
                <w:trHeight w:val="3049"/>
              </w:trPr>
              <w:tc>
                <w:tcPr>
                  <w:tcW w:w="4826" w:type="dxa"/>
                </w:tcPr>
                <w:p w:rsidR="0073388E" w:rsidRDefault="0073388E" w:rsidP="009E1B53">
                  <w:pPr>
                    <w:ind w:firstLine="709"/>
                    <w:jc w:val="both"/>
                    <w:rPr>
                      <w:rFonts w:ascii="Calibri" w:hAnsi="Calibri" w:cs="Calibri"/>
                      <w:sz w:val="30"/>
                      <w:szCs w:val="30"/>
                    </w:rPr>
                  </w:pPr>
                  <w:r w:rsidRPr="00015E28">
                    <w:rPr>
                      <w:rFonts w:ascii="Calibri" w:hAnsi="Calibri" w:cs="Arial"/>
                      <w:sz w:val="30"/>
                      <w:szCs w:val="30"/>
                    </w:rPr>
                    <w:t xml:space="preserve">Сравнительный анализ данных за три года показывает, что объем переводов денег, отправленных за рубеж через системы денежных переводов с 2014 по 2016 год, заметно увеличился (с 280,4 млрд. тенге до 382,2 млрд. тенге). </w:t>
                  </w:r>
                </w:p>
              </w:tc>
              <w:tc>
                <w:tcPr>
                  <w:tcW w:w="4808" w:type="dxa"/>
                </w:tcPr>
                <w:p w:rsidR="0073388E" w:rsidRPr="001575F9" w:rsidRDefault="0073388E" w:rsidP="0073388E">
                  <w:pPr>
                    <w:jc w:val="center"/>
                    <w:rPr>
                      <w:rFonts w:ascii="Calibri" w:hAnsi="Calibri" w:cs="Calibri"/>
                      <w:sz w:val="30"/>
                      <w:szCs w:val="30"/>
                    </w:rPr>
                  </w:pPr>
                  <w:r w:rsidRPr="00C77E3B">
                    <w:rPr>
                      <w:rFonts w:ascii="Calibri" w:hAnsi="Calibri" w:cs="Arial"/>
                      <w:b/>
                      <w:color w:val="0E4C28"/>
                      <w:sz w:val="28"/>
                      <w:szCs w:val="28"/>
                    </w:rPr>
                    <w:t>Пер</w:t>
                  </w:r>
                  <w:r w:rsidRPr="00176F0A">
                    <w:rPr>
                      <w:rFonts w:ascii="Calibri" w:hAnsi="Calibri" w:cs="Arial"/>
                      <w:b/>
                      <w:color w:val="0E4C28"/>
                      <w:sz w:val="28"/>
                      <w:szCs w:val="28"/>
                    </w:rPr>
                    <w:t xml:space="preserve">еводы  денег,  отправленные через СДП, в 2016 году </w:t>
                  </w:r>
                  <w:r w:rsidR="002E5C2F" w:rsidRPr="00176F0A">
                    <w:rPr>
                      <w:rFonts w:ascii="Calibri" w:hAnsi="Calibri" w:cs="Arial"/>
                      <w:b/>
                      <w:color w:val="0E4C28"/>
                      <w:sz w:val="28"/>
                      <w:szCs w:val="28"/>
                    </w:rPr>
                    <w:t>по видам платежей</w:t>
                  </w:r>
                  <w:r w:rsidR="00B41594">
                    <w:rPr>
                      <w:rFonts w:ascii="Calibri" w:hAnsi="Calibri" w:cs="Calibri"/>
                      <w:noProof/>
                      <w:sz w:val="30"/>
                      <w:szCs w:val="30"/>
                    </w:rPr>
                    <w:drawing>
                      <wp:inline distT="0" distB="0" distL="0" distR="0" wp14:anchorId="29B01567" wp14:editId="6331DC2B">
                        <wp:extent cx="2750820" cy="1383030"/>
                        <wp:effectExtent l="0" t="0" r="0" b="0"/>
                        <wp:docPr id="38" name="Объект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bl>
          <w:p w:rsidR="00BC1404" w:rsidRPr="00015E28" w:rsidRDefault="00BC1404" w:rsidP="00BC1404">
            <w:pPr>
              <w:rPr>
                <w:rFonts w:ascii="Calibri" w:hAnsi="Calibri" w:cs="Calibri"/>
                <w:sz w:val="30"/>
                <w:szCs w:val="30"/>
              </w:rPr>
            </w:pPr>
          </w:p>
        </w:tc>
      </w:tr>
    </w:tbl>
    <w:p w:rsidR="00DD08FE" w:rsidRPr="00015E28" w:rsidRDefault="00DD08FE" w:rsidP="00DD08FE">
      <w:pPr>
        <w:ind w:firstLine="708"/>
        <w:jc w:val="both"/>
        <w:rPr>
          <w:rFonts w:ascii="Calibri" w:hAnsi="Calibri" w:cs="Arial"/>
          <w:sz w:val="30"/>
          <w:szCs w:val="30"/>
        </w:rPr>
      </w:pPr>
      <w:r w:rsidRPr="00015E28">
        <w:rPr>
          <w:rFonts w:ascii="Calibri" w:hAnsi="Calibri" w:cs="Arial"/>
          <w:sz w:val="30"/>
          <w:szCs w:val="30"/>
        </w:rPr>
        <w:lastRenderedPageBreak/>
        <w:t xml:space="preserve">При этом </w:t>
      </w:r>
      <w:r w:rsidR="002F5468">
        <w:rPr>
          <w:rFonts w:ascii="Calibri" w:hAnsi="Calibri" w:cs="Arial"/>
          <w:sz w:val="30"/>
          <w:szCs w:val="30"/>
        </w:rPr>
        <w:t xml:space="preserve">отправленные </w:t>
      </w:r>
      <w:r w:rsidR="002F5468" w:rsidRPr="00015E28">
        <w:rPr>
          <w:rFonts w:ascii="Calibri" w:hAnsi="Calibri" w:cs="Arial"/>
          <w:sz w:val="30"/>
          <w:szCs w:val="30"/>
        </w:rPr>
        <w:t xml:space="preserve">по системам денежных переводов </w:t>
      </w:r>
      <w:r w:rsidR="002F5468">
        <w:rPr>
          <w:rFonts w:ascii="Calibri" w:hAnsi="Calibri" w:cs="Arial"/>
          <w:sz w:val="30"/>
          <w:szCs w:val="30"/>
        </w:rPr>
        <w:t xml:space="preserve">за рубеж </w:t>
      </w:r>
      <w:r w:rsidRPr="00015E28">
        <w:rPr>
          <w:rFonts w:ascii="Calibri" w:hAnsi="Calibri" w:cs="Arial"/>
          <w:sz w:val="30"/>
          <w:szCs w:val="30"/>
        </w:rPr>
        <w:t xml:space="preserve">переводы из Казахстана </w:t>
      </w:r>
      <w:r w:rsidRPr="0073388E">
        <w:rPr>
          <w:rFonts w:ascii="Calibri" w:hAnsi="Calibri" w:cs="Arial"/>
          <w:b/>
          <w:sz w:val="30"/>
          <w:szCs w:val="30"/>
        </w:rPr>
        <w:t>значительно превышают поступления</w:t>
      </w:r>
      <w:r w:rsidRPr="00015E28">
        <w:rPr>
          <w:rFonts w:ascii="Calibri" w:hAnsi="Calibri" w:cs="Arial"/>
          <w:sz w:val="30"/>
          <w:szCs w:val="30"/>
        </w:rPr>
        <w:t xml:space="preserve">. Так, </w:t>
      </w:r>
      <w:r w:rsidRPr="0073388E">
        <w:rPr>
          <w:rFonts w:ascii="Calibri" w:hAnsi="Calibri" w:cs="Arial"/>
          <w:b/>
          <w:sz w:val="30"/>
          <w:szCs w:val="30"/>
        </w:rPr>
        <w:t>за 2016 год поступившие переводы денег из-за рубежа составили 1,2 млн. транзакций на сумму 248,5 млрд. тенге</w:t>
      </w:r>
      <w:r w:rsidRPr="00015E28">
        <w:rPr>
          <w:rFonts w:ascii="Calibri" w:hAnsi="Calibri" w:cs="Arial"/>
          <w:sz w:val="30"/>
          <w:szCs w:val="30"/>
        </w:rPr>
        <w:t xml:space="preserve"> (отрицательное сальдо составило 133,7 млрд. тенге).</w:t>
      </w:r>
    </w:p>
    <w:p w:rsidR="00DD08FE" w:rsidRDefault="00DD08FE" w:rsidP="00DD08FE">
      <w:pPr>
        <w:ind w:firstLine="708"/>
        <w:jc w:val="both"/>
        <w:rPr>
          <w:rFonts w:ascii="Calibri" w:hAnsi="Calibri" w:cs="Calibri"/>
          <w:sz w:val="30"/>
          <w:szCs w:val="30"/>
        </w:rPr>
      </w:pPr>
      <w:r w:rsidRPr="00015E28">
        <w:rPr>
          <w:rFonts w:ascii="Calibri" w:hAnsi="Calibri" w:cs="Calibri"/>
          <w:sz w:val="30"/>
          <w:szCs w:val="30"/>
        </w:rPr>
        <w:t xml:space="preserve">Лидером при переводах денег за рубеж и из-за рубежа в Казахстан остается Золотая корона. Также при отправке переводов денег значительны доли переводов денег через системы </w:t>
      </w:r>
      <w:proofErr w:type="spellStart"/>
      <w:r w:rsidRPr="00015E28">
        <w:rPr>
          <w:rFonts w:ascii="Calibri" w:hAnsi="Calibri" w:cs="Calibri"/>
          <w:sz w:val="30"/>
          <w:szCs w:val="30"/>
        </w:rPr>
        <w:t>Western</w:t>
      </w:r>
      <w:proofErr w:type="spellEnd"/>
      <w:r w:rsidRPr="00015E28">
        <w:rPr>
          <w:rFonts w:ascii="Calibri" w:hAnsi="Calibri" w:cs="Calibri"/>
          <w:sz w:val="30"/>
          <w:szCs w:val="30"/>
        </w:rPr>
        <w:t xml:space="preserve"> </w:t>
      </w:r>
      <w:proofErr w:type="spellStart"/>
      <w:r w:rsidRPr="00015E28">
        <w:rPr>
          <w:rFonts w:ascii="Calibri" w:hAnsi="Calibri" w:cs="Calibri"/>
          <w:sz w:val="30"/>
          <w:szCs w:val="30"/>
        </w:rPr>
        <w:t>Union</w:t>
      </w:r>
      <w:proofErr w:type="spellEnd"/>
      <w:r w:rsidRPr="00015E28">
        <w:rPr>
          <w:rFonts w:ascii="Calibri" w:hAnsi="Calibri" w:cs="Calibri"/>
          <w:sz w:val="30"/>
          <w:szCs w:val="30"/>
        </w:rPr>
        <w:t xml:space="preserve">, </w:t>
      </w:r>
      <w:proofErr w:type="spellStart"/>
      <w:r w:rsidRPr="00015E28">
        <w:rPr>
          <w:rFonts w:ascii="Calibri" w:hAnsi="Calibri" w:cs="Calibri"/>
          <w:sz w:val="30"/>
          <w:szCs w:val="30"/>
        </w:rPr>
        <w:t>Contact</w:t>
      </w:r>
      <w:proofErr w:type="spellEnd"/>
      <w:r w:rsidRPr="00015E28">
        <w:rPr>
          <w:rFonts w:ascii="Calibri" w:hAnsi="Calibri" w:cs="Calibri"/>
          <w:sz w:val="30"/>
          <w:szCs w:val="30"/>
        </w:rPr>
        <w:t xml:space="preserve">, </w:t>
      </w:r>
      <w:proofErr w:type="spellStart"/>
      <w:r w:rsidRPr="00015E28">
        <w:rPr>
          <w:rFonts w:ascii="Calibri" w:hAnsi="Calibri" w:cs="Calibri"/>
          <w:sz w:val="30"/>
          <w:szCs w:val="30"/>
        </w:rPr>
        <w:t>Юнистрим</w:t>
      </w:r>
      <w:proofErr w:type="spellEnd"/>
      <w:r w:rsidRPr="00015E28">
        <w:rPr>
          <w:rFonts w:ascii="Calibri" w:hAnsi="Calibri" w:cs="Calibri"/>
          <w:sz w:val="30"/>
          <w:szCs w:val="30"/>
        </w:rPr>
        <w:t xml:space="preserve">, Блиц и </w:t>
      </w:r>
      <w:proofErr w:type="spellStart"/>
      <w:r w:rsidRPr="00015E28">
        <w:rPr>
          <w:rFonts w:ascii="Calibri" w:hAnsi="Calibri" w:cs="Calibri"/>
          <w:sz w:val="30"/>
          <w:szCs w:val="30"/>
        </w:rPr>
        <w:t>Faster</w:t>
      </w:r>
      <w:proofErr w:type="spellEnd"/>
      <w:r w:rsidRPr="00015E28">
        <w:rPr>
          <w:rFonts w:ascii="Calibri" w:hAnsi="Calibri" w:cs="Calibri"/>
          <w:sz w:val="30"/>
          <w:szCs w:val="30"/>
        </w:rPr>
        <w:t>.</w:t>
      </w:r>
    </w:p>
    <w:tbl>
      <w:tblPr>
        <w:tblW w:w="9679" w:type="dxa"/>
        <w:tblLayout w:type="fixed"/>
        <w:tblLook w:val="00A0" w:firstRow="1" w:lastRow="0" w:firstColumn="1" w:lastColumn="0" w:noHBand="0" w:noVBand="0"/>
      </w:tblPr>
      <w:tblGrid>
        <w:gridCol w:w="3524"/>
        <w:gridCol w:w="1624"/>
        <w:gridCol w:w="1409"/>
        <w:gridCol w:w="1478"/>
        <w:gridCol w:w="1433"/>
        <w:gridCol w:w="211"/>
      </w:tblGrid>
      <w:tr w:rsidR="00DD08FE" w:rsidRPr="00A86AE4" w:rsidTr="007E45C2">
        <w:trPr>
          <w:gridAfter w:val="1"/>
          <w:wAfter w:w="211" w:type="dxa"/>
          <w:trHeight w:val="4103"/>
        </w:trPr>
        <w:tc>
          <w:tcPr>
            <w:tcW w:w="5148" w:type="dxa"/>
            <w:gridSpan w:val="2"/>
          </w:tcPr>
          <w:p w:rsidR="006E2AC8" w:rsidRDefault="006E2AC8" w:rsidP="009E09D9">
            <w:pPr>
              <w:jc w:val="center"/>
              <w:rPr>
                <w:rFonts w:ascii="Calibri" w:hAnsi="Calibri" w:cs="Arial"/>
                <w:b/>
                <w:color w:val="0E4C28"/>
                <w:sz w:val="28"/>
                <w:szCs w:val="28"/>
              </w:rPr>
            </w:pPr>
          </w:p>
          <w:p w:rsidR="00DD08FE" w:rsidRPr="0073388E" w:rsidRDefault="00DD08FE" w:rsidP="009E09D9">
            <w:pPr>
              <w:jc w:val="center"/>
              <w:rPr>
                <w:rFonts w:ascii="Calibri" w:hAnsi="Calibri" w:cs="Arial"/>
                <w:b/>
                <w:color w:val="0E4C28"/>
                <w:sz w:val="28"/>
                <w:szCs w:val="28"/>
              </w:rPr>
            </w:pPr>
            <w:r w:rsidRPr="0073388E">
              <w:rPr>
                <w:rFonts w:ascii="Calibri" w:hAnsi="Calibri" w:cs="Arial"/>
                <w:b/>
                <w:color w:val="0E4C28"/>
                <w:sz w:val="28"/>
                <w:szCs w:val="28"/>
              </w:rPr>
              <w:t xml:space="preserve">Доля от общего количества отправленных </w:t>
            </w:r>
            <w:r w:rsidR="009E1B53">
              <w:rPr>
                <w:rFonts w:ascii="Calibri" w:hAnsi="Calibri" w:cs="Arial"/>
                <w:b/>
                <w:color w:val="0E4C28"/>
                <w:sz w:val="28"/>
                <w:szCs w:val="28"/>
              </w:rPr>
              <w:t xml:space="preserve">за рубеж </w:t>
            </w:r>
            <w:r w:rsidR="007E45C2">
              <w:rPr>
                <w:rFonts w:ascii="Calibri" w:hAnsi="Calibri" w:cs="Arial"/>
                <w:b/>
                <w:color w:val="0E4C28"/>
                <w:sz w:val="28"/>
                <w:szCs w:val="28"/>
              </w:rPr>
              <w:t>через СДП</w:t>
            </w:r>
            <w:r w:rsidR="007E45C2" w:rsidRPr="0073388E">
              <w:rPr>
                <w:rFonts w:ascii="Calibri" w:hAnsi="Calibri" w:cs="Arial"/>
                <w:b/>
                <w:color w:val="0E4C28"/>
                <w:sz w:val="28"/>
                <w:szCs w:val="28"/>
              </w:rPr>
              <w:t xml:space="preserve"> </w:t>
            </w:r>
            <w:r w:rsidRPr="0073388E">
              <w:rPr>
                <w:rFonts w:ascii="Calibri" w:hAnsi="Calibri" w:cs="Arial"/>
                <w:b/>
                <w:color w:val="0E4C28"/>
                <w:sz w:val="28"/>
                <w:szCs w:val="28"/>
              </w:rPr>
              <w:t>переводов денег</w:t>
            </w:r>
            <w:r w:rsidR="007E45C2">
              <w:rPr>
                <w:rFonts w:ascii="Calibri" w:hAnsi="Calibri" w:cs="Arial"/>
                <w:b/>
                <w:color w:val="0E4C28"/>
                <w:sz w:val="28"/>
                <w:szCs w:val="28"/>
              </w:rPr>
              <w:t xml:space="preserve"> </w:t>
            </w:r>
          </w:p>
          <w:p w:rsidR="00DD08FE" w:rsidRDefault="00B41594" w:rsidP="009E09D9">
            <w:pPr>
              <w:tabs>
                <w:tab w:val="num" w:pos="993"/>
              </w:tabs>
              <w:jc w:val="both"/>
            </w:pPr>
            <w:r>
              <w:rPr>
                <w:rFonts w:ascii="Calibri" w:hAnsi="Calibri" w:cs="Calibri"/>
                <w:noProof/>
                <w:szCs w:val="28"/>
              </w:rPr>
              <w:drawing>
                <wp:inline distT="0" distB="0" distL="0" distR="0" wp14:anchorId="093E9306" wp14:editId="409B08F9">
                  <wp:extent cx="3096895" cy="1957070"/>
                  <wp:effectExtent l="0" t="0" r="46355" b="5080"/>
                  <wp:docPr id="39" name="Диаграмма 4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2F5468" w:rsidRPr="00015E28" w:rsidRDefault="002F5468" w:rsidP="009E09D9">
            <w:pPr>
              <w:tabs>
                <w:tab w:val="num" w:pos="993"/>
              </w:tabs>
              <w:jc w:val="both"/>
              <w:rPr>
                <w:rFonts w:ascii="Calibri" w:hAnsi="Calibri" w:cs="Calibri"/>
                <w:szCs w:val="28"/>
              </w:rPr>
            </w:pPr>
          </w:p>
        </w:tc>
        <w:tc>
          <w:tcPr>
            <w:tcW w:w="4320" w:type="dxa"/>
            <w:gridSpan w:val="3"/>
          </w:tcPr>
          <w:p w:rsidR="006E2AC8" w:rsidRDefault="006E2AC8" w:rsidP="009E09D9">
            <w:pPr>
              <w:jc w:val="center"/>
              <w:rPr>
                <w:rFonts w:ascii="Calibri" w:hAnsi="Calibri" w:cs="Arial"/>
                <w:b/>
                <w:color w:val="0E4C28"/>
                <w:sz w:val="28"/>
                <w:szCs w:val="28"/>
              </w:rPr>
            </w:pPr>
          </w:p>
          <w:p w:rsidR="00DD08FE" w:rsidRPr="0073388E" w:rsidRDefault="00DD08FE" w:rsidP="009E09D9">
            <w:pPr>
              <w:jc w:val="center"/>
              <w:rPr>
                <w:rFonts w:ascii="Calibri" w:hAnsi="Calibri" w:cs="Arial"/>
                <w:b/>
                <w:color w:val="0E4C28"/>
                <w:sz w:val="28"/>
                <w:szCs w:val="28"/>
              </w:rPr>
            </w:pPr>
            <w:r w:rsidRPr="0073388E">
              <w:rPr>
                <w:rFonts w:ascii="Calibri" w:hAnsi="Calibri" w:cs="Arial"/>
                <w:b/>
                <w:color w:val="0E4C28"/>
                <w:sz w:val="28"/>
                <w:szCs w:val="28"/>
              </w:rPr>
              <w:t xml:space="preserve">Доля от общей </w:t>
            </w:r>
            <w:proofErr w:type="gramStart"/>
            <w:r w:rsidRPr="0073388E">
              <w:rPr>
                <w:rFonts w:ascii="Calibri" w:hAnsi="Calibri" w:cs="Arial"/>
                <w:b/>
                <w:color w:val="0E4C28"/>
                <w:sz w:val="28"/>
                <w:szCs w:val="28"/>
              </w:rPr>
              <w:t>суммы</w:t>
            </w:r>
            <w:proofErr w:type="gramEnd"/>
            <w:r w:rsidRPr="0073388E">
              <w:rPr>
                <w:rFonts w:ascii="Calibri" w:hAnsi="Calibri" w:cs="Arial"/>
                <w:b/>
                <w:color w:val="0E4C28"/>
                <w:sz w:val="28"/>
                <w:szCs w:val="28"/>
              </w:rPr>
              <w:t xml:space="preserve"> отправленных </w:t>
            </w:r>
            <w:r w:rsidR="009E1B53">
              <w:rPr>
                <w:rFonts w:ascii="Calibri" w:hAnsi="Calibri" w:cs="Arial"/>
                <w:b/>
                <w:color w:val="0E4C28"/>
                <w:sz w:val="28"/>
                <w:szCs w:val="28"/>
              </w:rPr>
              <w:t xml:space="preserve">за рубеж </w:t>
            </w:r>
            <w:r w:rsidR="007E45C2">
              <w:rPr>
                <w:rFonts w:ascii="Calibri" w:hAnsi="Calibri" w:cs="Arial"/>
                <w:b/>
                <w:color w:val="0E4C28"/>
                <w:sz w:val="28"/>
                <w:szCs w:val="28"/>
              </w:rPr>
              <w:t xml:space="preserve">через СДП </w:t>
            </w:r>
            <w:r w:rsidRPr="0073388E">
              <w:rPr>
                <w:rFonts w:ascii="Calibri" w:hAnsi="Calibri" w:cs="Arial"/>
                <w:b/>
                <w:color w:val="0E4C28"/>
                <w:sz w:val="28"/>
                <w:szCs w:val="28"/>
              </w:rPr>
              <w:t>переводов денег</w:t>
            </w:r>
            <w:r w:rsidR="007E45C2">
              <w:rPr>
                <w:rFonts w:ascii="Calibri" w:hAnsi="Calibri" w:cs="Arial"/>
                <w:b/>
                <w:color w:val="0E4C28"/>
                <w:sz w:val="28"/>
                <w:szCs w:val="28"/>
              </w:rPr>
              <w:t xml:space="preserve"> </w:t>
            </w:r>
          </w:p>
          <w:p w:rsidR="00DD08FE" w:rsidRPr="00015E28" w:rsidRDefault="00B41594" w:rsidP="009E09D9">
            <w:pPr>
              <w:tabs>
                <w:tab w:val="num" w:pos="993"/>
              </w:tabs>
              <w:jc w:val="center"/>
              <w:rPr>
                <w:rFonts w:ascii="Calibri" w:hAnsi="Calibri" w:cs="Calibri"/>
                <w:b/>
              </w:rPr>
            </w:pPr>
            <w:r>
              <w:rPr>
                <w:rFonts w:ascii="Calibri" w:hAnsi="Calibri" w:cs="Calibri"/>
                <w:b/>
                <w:noProof/>
              </w:rPr>
              <w:drawing>
                <wp:inline distT="0" distB="0" distL="0" distR="0" wp14:anchorId="16B4105A" wp14:editId="14E402A6">
                  <wp:extent cx="2895600" cy="1957070"/>
                  <wp:effectExtent l="0" t="0" r="38100" b="5080"/>
                  <wp:docPr id="40" name="Диаграмма 4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rPr>
              <w:tab/>
            </w:r>
            <w:r w:rsidRPr="00015E28">
              <w:rPr>
                <w:rFonts w:ascii="Calibri" w:hAnsi="Calibri" w:cs="Calibri"/>
                <w:b/>
              </w:rPr>
              <w:t>Система</w:t>
            </w:r>
          </w:p>
        </w:tc>
        <w:tc>
          <w:tcPr>
            <w:tcW w:w="1624"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 xml:space="preserve">Кол-во </w:t>
            </w:r>
          </w:p>
          <w:p w:rsidR="00DD08FE" w:rsidRPr="00015E28" w:rsidRDefault="00DD08FE" w:rsidP="009E09D9">
            <w:pPr>
              <w:jc w:val="center"/>
              <w:rPr>
                <w:rFonts w:ascii="Calibri" w:hAnsi="Calibri" w:cs="Calibri"/>
                <w:b/>
              </w:rPr>
            </w:pPr>
            <w:r w:rsidRPr="00015E28">
              <w:rPr>
                <w:rFonts w:ascii="Calibri" w:hAnsi="Calibri" w:cs="Calibri"/>
                <w:b/>
              </w:rPr>
              <w:t>(тыс. транзакций)</w:t>
            </w:r>
          </w:p>
        </w:tc>
        <w:tc>
          <w:tcPr>
            <w:tcW w:w="1409"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 xml:space="preserve">Доля от общего кол-ва, </w:t>
            </w:r>
            <w:proofErr w:type="gramStart"/>
            <w:r w:rsidRPr="00015E28">
              <w:rPr>
                <w:rFonts w:ascii="Calibri" w:hAnsi="Calibri" w:cs="Calibri"/>
                <w:b/>
                <w:i/>
              </w:rPr>
              <w:t>в</w:t>
            </w:r>
            <w:proofErr w:type="gramEnd"/>
            <w:r w:rsidRPr="00015E28">
              <w:rPr>
                <w:rFonts w:ascii="Calibri" w:hAnsi="Calibri" w:cs="Calibri"/>
                <w:b/>
                <w:i/>
              </w:rPr>
              <w:t xml:space="preserve"> %</w:t>
            </w:r>
          </w:p>
        </w:tc>
        <w:tc>
          <w:tcPr>
            <w:tcW w:w="1478"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 xml:space="preserve">Сумма </w:t>
            </w:r>
          </w:p>
          <w:p w:rsidR="00DD08FE" w:rsidRPr="00015E28" w:rsidRDefault="00DD08FE" w:rsidP="009E09D9">
            <w:pPr>
              <w:jc w:val="center"/>
              <w:rPr>
                <w:rFonts w:ascii="Calibri" w:hAnsi="Calibri" w:cs="Calibri"/>
                <w:b/>
              </w:rPr>
            </w:pPr>
            <w:r w:rsidRPr="00015E28">
              <w:rPr>
                <w:rFonts w:ascii="Calibri" w:hAnsi="Calibri" w:cs="Calibri"/>
                <w:b/>
              </w:rPr>
              <w:t>(млн. тенге)</w:t>
            </w:r>
          </w:p>
        </w:tc>
        <w:tc>
          <w:tcPr>
            <w:tcW w:w="1644" w:type="dxa"/>
            <w:gridSpan w:val="2"/>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 xml:space="preserve">Доля от общей  суммы, </w:t>
            </w:r>
            <w:proofErr w:type="gramStart"/>
            <w:r w:rsidRPr="00015E28">
              <w:rPr>
                <w:rFonts w:ascii="Calibri" w:hAnsi="Calibri" w:cs="Calibri"/>
                <w:b/>
                <w:i/>
              </w:rPr>
              <w:t>в</w:t>
            </w:r>
            <w:proofErr w:type="gramEnd"/>
            <w:r w:rsidRPr="00015E28">
              <w:rPr>
                <w:rFonts w:ascii="Calibri" w:hAnsi="Calibri" w:cs="Calibri"/>
                <w:b/>
                <w:i/>
              </w:rPr>
              <w:t xml:space="preserve"> %</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Золотая корона</w:t>
            </w:r>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911,0</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42,6%</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150 432,9</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39,4%</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Western</w:t>
            </w:r>
            <w:proofErr w:type="spellEnd"/>
            <w:r w:rsidRPr="00015E28">
              <w:rPr>
                <w:rFonts w:ascii="Calibri" w:hAnsi="Calibri" w:cs="Calibri"/>
              </w:rPr>
              <w:t xml:space="preserve"> </w:t>
            </w:r>
            <w:proofErr w:type="spellStart"/>
            <w:r w:rsidRPr="00015E28">
              <w:rPr>
                <w:rFonts w:ascii="Calibri" w:hAnsi="Calibri" w:cs="Calibri"/>
              </w:rPr>
              <w:t>Union</w:t>
            </w:r>
            <w:proofErr w:type="spellEnd"/>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262,8</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12,3%</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78 341,0</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20,5%</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Contact</w:t>
            </w:r>
            <w:proofErr w:type="spellEnd"/>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156,3</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7,3%</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44 941,4</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11,8%</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Юнистрим</w:t>
            </w:r>
            <w:proofErr w:type="spellEnd"/>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233,3</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10,9%</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41 147,9</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10,8%</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Блиц</w:t>
            </w:r>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278,6</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13,0%</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29 048,5</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7,6%</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Faster</w:t>
            </w:r>
            <w:proofErr w:type="spellEnd"/>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189,5</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8,9%</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23 792,9</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6,2%</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MoneyGram</w:t>
            </w:r>
            <w:proofErr w:type="spellEnd"/>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24,7</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1,2%</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7 036,4</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1,8%</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Система Всемирного почтового союза</w:t>
            </w:r>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73,2</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3,4%</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3 629,3</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0,9%</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Лидер</w:t>
            </w:r>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6,8</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0,3%</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3 295,2</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0,9%</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InterBanking</w:t>
            </w:r>
            <w:proofErr w:type="spellEnd"/>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0,4</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0,02%</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390,2</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0,1%</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Близко</w:t>
            </w:r>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0,1</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0,005%</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87,0</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0,02%</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Анелик</w:t>
            </w:r>
            <w:proofErr w:type="spellEnd"/>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0,1</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0,003%</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26,5</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0,01%</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Быстрая почта</w:t>
            </w:r>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0,0</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0,0002%</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2,5</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0,001%</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015E28" w:rsidRDefault="00DD08FE" w:rsidP="009E09D9">
            <w:pPr>
              <w:rPr>
                <w:rFonts w:ascii="Calibri" w:hAnsi="Calibri" w:cs="Calibri"/>
              </w:rPr>
            </w:pPr>
            <w:r w:rsidRPr="00015E28">
              <w:rPr>
                <w:rFonts w:ascii="Calibri" w:hAnsi="Calibri" w:cs="Calibri"/>
              </w:rPr>
              <w:t>Почтовые международные переводы</w:t>
            </w:r>
          </w:p>
        </w:tc>
        <w:tc>
          <w:tcPr>
            <w:tcW w:w="1624" w:type="dxa"/>
            <w:noWrap/>
            <w:vAlign w:val="center"/>
          </w:tcPr>
          <w:p w:rsidR="00DD08FE" w:rsidRPr="00015E28" w:rsidRDefault="00DD08FE" w:rsidP="009E09D9">
            <w:pPr>
              <w:jc w:val="center"/>
              <w:rPr>
                <w:rFonts w:ascii="Calibri" w:hAnsi="Calibri" w:cs="Calibri"/>
              </w:rPr>
            </w:pPr>
            <w:r w:rsidRPr="00015E28">
              <w:rPr>
                <w:rFonts w:ascii="Calibri" w:hAnsi="Calibri" w:cs="Calibri"/>
              </w:rPr>
              <w:t>0,0</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0,002%</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1,5</w:t>
            </w:r>
          </w:p>
        </w:tc>
        <w:tc>
          <w:tcPr>
            <w:tcW w:w="1644" w:type="dxa"/>
            <w:gridSpan w:val="2"/>
            <w:noWrap/>
            <w:vAlign w:val="center"/>
          </w:tcPr>
          <w:p w:rsidR="00DD08FE" w:rsidRPr="00015E28" w:rsidRDefault="00DD08FE" w:rsidP="009E09D9">
            <w:pPr>
              <w:jc w:val="center"/>
              <w:rPr>
                <w:rFonts w:ascii="Calibri" w:hAnsi="Calibri" w:cs="Calibri"/>
                <w:i/>
              </w:rPr>
            </w:pPr>
            <w:r w:rsidRPr="00015E28">
              <w:rPr>
                <w:rFonts w:ascii="Calibri" w:hAnsi="Calibri" w:cs="Calibri"/>
                <w:i/>
              </w:rPr>
              <w:t>0,0004%</w:t>
            </w:r>
          </w:p>
        </w:tc>
      </w:tr>
      <w:tr w:rsidR="00DD08FE" w:rsidRPr="00A86AE4"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shd w:val="clear" w:color="auto" w:fill="9BBB59"/>
            <w:noWrap/>
            <w:vAlign w:val="center"/>
          </w:tcPr>
          <w:p w:rsidR="00DD08FE" w:rsidRPr="00015E28" w:rsidRDefault="00DD08FE" w:rsidP="009E09D9">
            <w:pPr>
              <w:rPr>
                <w:rFonts w:ascii="Calibri" w:hAnsi="Calibri" w:cs="Calibri"/>
                <w:b/>
                <w:bCs/>
                <w:color w:val="000000"/>
              </w:rPr>
            </w:pPr>
            <w:r w:rsidRPr="00015E28">
              <w:rPr>
                <w:rFonts w:ascii="Calibri" w:hAnsi="Calibri" w:cs="Calibri"/>
                <w:b/>
                <w:bCs/>
                <w:color w:val="000000"/>
              </w:rPr>
              <w:t>Общий итог</w:t>
            </w:r>
          </w:p>
        </w:tc>
        <w:tc>
          <w:tcPr>
            <w:tcW w:w="1624"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2 136,8</w:t>
            </w:r>
          </w:p>
        </w:tc>
        <w:tc>
          <w:tcPr>
            <w:tcW w:w="1409"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100,0%</w:t>
            </w:r>
          </w:p>
        </w:tc>
        <w:tc>
          <w:tcPr>
            <w:tcW w:w="1478"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382 173,1</w:t>
            </w:r>
          </w:p>
        </w:tc>
        <w:tc>
          <w:tcPr>
            <w:tcW w:w="1644" w:type="dxa"/>
            <w:gridSpan w:val="2"/>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100,0%</w:t>
            </w:r>
          </w:p>
        </w:tc>
      </w:tr>
    </w:tbl>
    <w:p w:rsidR="00DD08FE" w:rsidRPr="007E45C2" w:rsidRDefault="00DD08FE" w:rsidP="00DD08FE">
      <w:pPr>
        <w:tabs>
          <w:tab w:val="num" w:pos="993"/>
        </w:tabs>
        <w:ind w:firstLine="709"/>
        <w:jc w:val="both"/>
        <w:rPr>
          <w:rFonts w:ascii="Calibri" w:hAnsi="Calibri" w:cs="Calibri"/>
          <w:sz w:val="30"/>
          <w:szCs w:val="30"/>
        </w:rPr>
      </w:pPr>
      <w:r w:rsidRPr="00015E28">
        <w:rPr>
          <w:rFonts w:ascii="Calibri" w:hAnsi="Calibri" w:cs="Calibri"/>
          <w:sz w:val="30"/>
          <w:szCs w:val="30"/>
        </w:rPr>
        <w:lastRenderedPageBreak/>
        <w:t>Основной поток платежей и переводов денег в Казахстан поступает через такие системы,</w:t>
      </w:r>
      <w:r w:rsidRPr="007E45C2">
        <w:rPr>
          <w:rFonts w:ascii="Calibri" w:hAnsi="Calibri" w:cs="Calibri"/>
          <w:sz w:val="30"/>
          <w:szCs w:val="30"/>
        </w:rPr>
        <w:t xml:space="preserve"> как Золотая корона, </w:t>
      </w:r>
      <w:proofErr w:type="spellStart"/>
      <w:r w:rsidRPr="007E45C2">
        <w:rPr>
          <w:rFonts w:ascii="Calibri" w:hAnsi="Calibri" w:cs="Calibri"/>
          <w:sz w:val="30"/>
          <w:szCs w:val="30"/>
        </w:rPr>
        <w:t>Western</w:t>
      </w:r>
      <w:proofErr w:type="spellEnd"/>
      <w:r w:rsidRPr="007E45C2">
        <w:rPr>
          <w:rFonts w:ascii="Calibri" w:hAnsi="Calibri" w:cs="Calibri"/>
          <w:sz w:val="30"/>
          <w:szCs w:val="30"/>
        </w:rPr>
        <w:t xml:space="preserve"> </w:t>
      </w:r>
      <w:proofErr w:type="spellStart"/>
      <w:r w:rsidRPr="007E45C2">
        <w:rPr>
          <w:rFonts w:ascii="Calibri" w:hAnsi="Calibri" w:cs="Calibri"/>
          <w:sz w:val="30"/>
          <w:szCs w:val="30"/>
        </w:rPr>
        <w:t>Union</w:t>
      </w:r>
      <w:proofErr w:type="spellEnd"/>
      <w:r w:rsidRPr="007E45C2">
        <w:rPr>
          <w:rFonts w:ascii="Calibri" w:hAnsi="Calibri" w:cs="Calibri"/>
          <w:sz w:val="30"/>
          <w:szCs w:val="30"/>
        </w:rPr>
        <w:t xml:space="preserve">, </w:t>
      </w:r>
      <w:proofErr w:type="spellStart"/>
      <w:r w:rsidRPr="007E45C2">
        <w:rPr>
          <w:rFonts w:ascii="Calibri" w:hAnsi="Calibri" w:cs="Calibri"/>
          <w:sz w:val="30"/>
          <w:szCs w:val="30"/>
        </w:rPr>
        <w:t>Юнистрим</w:t>
      </w:r>
      <w:proofErr w:type="spellEnd"/>
      <w:r w:rsidRPr="007E45C2">
        <w:rPr>
          <w:rFonts w:ascii="Calibri" w:hAnsi="Calibri" w:cs="Calibri"/>
          <w:sz w:val="30"/>
          <w:szCs w:val="30"/>
        </w:rPr>
        <w:t xml:space="preserve"> и </w:t>
      </w:r>
      <w:proofErr w:type="spellStart"/>
      <w:r w:rsidRPr="007E45C2">
        <w:rPr>
          <w:rFonts w:ascii="Calibri" w:hAnsi="Calibri" w:cs="Calibri"/>
          <w:sz w:val="30"/>
          <w:szCs w:val="30"/>
        </w:rPr>
        <w:t>Faster</w:t>
      </w:r>
      <w:proofErr w:type="spellEnd"/>
      <w:r w:rsidRPr="007E45C2">
        <w:rPr>
          <w:rFonts w:ascii="Calibri" w:hAnsi="Calibri" w:cs="Calibri"/>
          <w:sz w:val="30"/>
          <w:szCs w:val="30"/>
        </w:rPr>
        <w:t xml:space="preserve">. </w:t>
      </w:r>
    </w:p>
    <w:tbl>
      <w:tblPr>
        <w:tblW w:w="9778" w:type="dxa"/>
        <w:tblLayout w:type="fixed"/>
        <w:tblLook w:val="00A0" w:firstRow="1" w:lastRow="0" w:firstColumn="1" w:lastColumn="0" w:noHBand="0" w:noVBand="0"/>
      </w:tblPr>
      <w:tblGrid>
        <w:gridCol w:w="3168"/>
        <w:gridCol w:w="1444"/>
        <w:gridCol w:w="571"/>
        <w:gridCol w:w="1409"/>
        <w:gridCol w:w="1478"/>
        <w:gridCol w:w="1578"/>
        <w:gridCol w:w="130"/>
      </w:tblGrid>
      <w:tr w:rsidR="00DD08FE" w:rsidRPr="00A86AE4" w:rsidTr="002E5C2F">
        <w:trPr>
          <w:trHeight w:val="3341"/>
        </w:trPr>
        <w:tc>
          <w:tcPr>
            <w:tcW w:w="4612" w:type="dxa"/>
            <w:gridSpan w:val="2"/>
          </w:tcPr>
          <w:p w:rsidR="006E2AC8" w:rsidRDefault="006E2AC8" w:rsidP="009E09D9">
            <w:pPr>
              <w:jc w:val="center"/>
              <w:rPr>
                <w:rFonts w:ascii="Calibri" w:hAnsi="Calibri" w:cs="Arial"/>
                <w:b/>
                <w:color w:val="0E4C28"/>
                <w:sz w:val="28"/>
                <w:szCs w:val="28"/>
              </w:rPr>
            </w:pPr>
          </w:p>
          <w:p w:rsidR="00DD08FE" w:rsidRPr="0073388E" w:rsidRDefault="00DD08FE" w:rsidP="009E09D9">
            <w:pPr>
              <w:jc w:val="center"/>
              <w:rPr>
                <w:rFonts w:ascii="Calibri" w:hAnsi="Calibri" w:cs="Arial"/>
                <w:b/>
                <w:color w:val="0E4C28"/>
                <w:sz w:val="28"/>
                <w:szCs w:val="28"/>
              </w:rPr>
            </w:pPr>
            <w:r w:rsidRPr="0073388E">
              <w:rPr>
                <w:rFonts w:ascii="Calibri" w:hAnsi="Calibri" w:cs="Arial"/>
                <w:b/>
                <w:color w:val="0E4C28"/>
                <w:sz w:val="28"/>
                <w:szCs w:val="28"/>
              </w:rPr>
              <w:t>Доля от общего количества полученных</w:t>
            </w:r>
            <w:r w:rsidR="009E1B53">
              <w:rPr>
                <w:rFonts w:ascii="Calibri" w:hAnsi="Calibri" w:cs="Arial"/>
                <w:b/>
                <w:color w:val="0E4C28"/>
                <w:sz w:val="28"/>
                <w:szCs w:val="28"/>
              </w:rPr>
              <w:t xml:space="preserve"> из-за рубежа</w:t>
            </w:r>
            <w:r w:rsidRPr="0073388E">
              <w:rPr>
                <w:rFonts w:ascii="Calibri" w:hAnsi="Calibri" w:cs="Arial"/>
                <w:b/>
                <w:color w:val="0E4C28"/>
                <w:sz w:val="28"/>
                <w:szCs w:val="28"/>
              </w:rPr>
              <w:t xml:space="preserve">  через СДП переводов денег</w:t>
            </w:r>
          </w:p>
          <w:p w:rsidR="00DD08FE" w:rsidRPr="009E1B53" w:rsidRDefault="00B41594" w:rsidP="009E09D9">
            <w:pPr>
              <w:tabs>
                <w:tab w:val="num" w:pos="993"/>
              </w:tabs>
              <w:jc w:val="both"/>
              <w:rPr>
                <w:rFonts w:ascii="Calibri" w:hAnsi="Calibri" w:cs="Calibri"/>
                <w:sz w:val="20"/>
                <w:szCs w:val="20"/>
              </w:rPr>
            </w:pPr>
            <w:r w:rsidRPr="009E1B53">
              <w:rPr>
                <w:rFonts w:ascii="Calibri" w:hAnsi="Calibri" w:cs="Calibri"/>
                <w:noProof/>
                <w:sz w:val="20"/>
                <w:szCs w:val="20"/>
              </w:rPr>
              <w:drawing>
                <wp:inline distT="0" distB="0" distL="0" distR="0" wp14:anchorId="0A464564" wp14:editId="44E0D1D0">
                  <wp:extent cx="3169920" cy="1945005"/>
                  <wp:effectExtent l="0" t="0" r="0" b="0"/>
                  <wp:docPr id="41"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5166" w:type="dxa"/>
            <w:gridSpan w:val="5"/>
          </w:tcPr>
          <w:p w:rsidR="006E2AC8" w:rsidRDefault="006E2AC8" w:rsidP="009E09D9">
            <w:pPr>
              <w:jc w:val="center"/>
              <w:rPr>
                <w:rFonts w:ascii="Calibri" w:hAnsi="Calibri" w:cs="Arial"/>
                <w:b/>
                <w:color w:val="0E4C28"/>
                <w:sz w:val="28"/>
                <w:szCs w:val="28"/>
              </w:rPr>
            </w:pPr>
          </w:p>
          <w:p w:rsidR="00DD08FE" w:rsidRPr="0073388E" w:rsidRDefault="00DD08FE" w:rsidP="009E09D9">
            <w:pPr>
              <w:jc w:val="center"/>
              <w:rPr>
                <w:rFonts w:ascii="Calibri" w:hAnsi="Calibri" w:cs="Arial"/>
                <w:b/>
                <w:color w:val="0E4C28"/>
                <w:sz w:val="28"/>
                <w:szCs w:val="28"/>
              </w:rPr>
            </w:pPr>
            <w:r w:rsidRPr="0073388E">
              <w:rPr>
                <w:rFonts w:ascii="Calibri" w:hAnsi="Calibri" w:cs="Arial"/>
                <w:b/>
                <w:color w:val="0E4C28"/>
                <w:sz w:val="28"/>
                <w:szCs w:val="28"/>
              </w:rPr>
              <w:t xml:space="preserve">Доля от общей суммы </w:t>
            </w:r>
          </w:p>
          <w:p w:rsidR="00DD08FE" w:rsidRPr="0073388E" w:rsidRDefault="00DD08FE" w:rsidP="009E09D9">
            <w:pPr>
              <w:jc w:val="center"/>
              <w:rPr>
                <w:rFonts w:ascii="Calibri" w:hAnsi="Calibri" w:cs="Arial"/>
                <w:b/>
                <w:color w:val="0E4C28"/>
                <w:sz w:val="28"/>
                <w:szCs w:val="28"/>
              </w:rPr>
            </w:pPr>
            <w:r w:rsidRPr="0073388E">
              <w:rPr>
                <w:rFonts w:ascii="Calibri" w:hAnsi="Calibri" w:cs="Arial"/>
                <w:b/>
                <w:color w:val="0E4C28"/>
                <w:sz w:val="28"/>
                <w:szCs w:val="28"/>
              </w:rPr>
              <w:t xml:space="preserve">полученных </w:t>
            </w:r>
            <w:r w:rsidR="009E1B53">
              <w:rPr>
                <w:rFonts w:ascii="Calibri" w:hAnsi="Calibri" w:cs="Arial"/>
                <w:b/>
                <w:color w:val="0E4C28"/>
                <w:sz w:val="28"/>
                <w:szCs w:val="28"/>
              </w:rPr>
              <w:t>из-за рубежа</w:t>
            </w:r>
            <w:r w:rsidRPr="0073388E">
              <w:rPr>
                <w:rFonts w:ascii="Calibri" w:hAnsi="Calibri" w:cs="Arial"/>
                <w:b/>
                <w:color w:val="0E4C28"/>
                <w:sz w:val="28"/>
                <w:szCs w:val="28"/>
              </w:rPr>
              <w:t xml:space="preserve"> через СДП переводов денег</w:t>
            </w:r>
          </w:p>
          <w:p w:rsidR="00DD08FE" w:rsidRPr="00015E28" w:rsidRDefault="00B41594" w:rsidP="009E09D9">
            <w:pPr>
              <w:tabs>
                <w:tab w:val="num" w:pos="993"/>
              </w:tabs>
              <w:jc w:val="center"/>
              <w:rPr>
                <w:rFonts w:ascii="Calibri" w:hAnsi="Calibri" w:cs="Calibri"/>
                <w:b/>
              </w:rPr>
            </w:pPr>
            <w:r>
              <w:rPr>
                <w:rFonts w:ascii="Calibri" w:hAnsi="Calibri" w:cs="Calibri"/>
                <w:b/>
                <w:noProof/>
              </w:rPr>
              <w:drawing>
                <wp:inline distT="0" distB="0" distL="0" distR="0" wp14:anchorId="7FDDF326" wp14:editId="00C5E9CD">
                  <wp:extent cx="3115310" cy="1946910"/>
                  <wp:effectExtent l="0" t="0" r="0" b="0"/>
                  <wp:docPr id="42" name="Диаграмма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D08FE" w:rsidRPr="00015E28" w:rsidRDefault="00DD08FE" w:rsidP="009E09D9">
            <w:pPr>
              <w:tabs>
                <w:tab w:val="num" w:pos="993"/>
              </w:tabs>
              <w:jc w:val="center"/>
              <w:rPr>
                <w:rFonts w:ascii="Calibri" w:hAnsi="Calibri" w:cs="Calibri"/>
                <w:b/>
              </w:rPr>
            </w:pP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rPr>
              <w:tab/>
            </w:r>
            <w:r w:rsidRPr="00015E28">
              <w:rPr>
                <w:rFonts w:ascii="Calibri" w:hAnsi="Calibri" w:cs="Calibri"/>
                <w:b/>
              </w:rPr>
              <w:t>Система</w:t>
            </w:r>
          </w:p>
        </w:tc>
        <w:tc>
          <w:tcPr>
            <w:tcW w:w="2015" w:type="dxa"/>
            <w:gridSpan w:val="2"/>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 xml:space="preserve">Кол-во </w:t>
            </w:r>
          </w:p>
          <w:p w:rsidR="00DD08FE" w:rsidRPr="00015E28" w:rsidRDefault="00DD08FE" w:rsidP="009E09D9">
            <w:pPr>
              <w:jc w:val="center"/>
              <w:rPr>
                <w:rFonts w:ascii="Calibri" w:hAnsi="Calibri" w:cs="Calibri"/>
                <w:b/>
              </w:rPr>
            </w:pPr>
            <w:r w:rsidRPr="00015E28">
              <w:rPr>
                <w:rFonts w:ascii="Calibri" w:hAnsi="Calibri" w:cs="Calibri"/>
                <w:b/>
              </w:rPr>
              <w:t>(тыс. транзакций)</w:t>
            </w:r>
          </w:p>
        </w:tc>
        <w:tc>
          <w:tcPr>
            <w:tcW w:w="1409"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 xml:space="preserve">Доля от общего кол-ва, </w:t>
            </w:r>
            <w:proofErr w:type="gramStart"/>
            <w:r w:rsidRPr="00015E28">
              <w:rPr>
                <w:rFonts w:ascii="Calibri" w:hAnsi="Calibri" w:cs="Calibri"/>
                <w:b/>
                <w:i/>
              </w:rPr>
              <w:t>в</w:t>
            </w:r>
            <w:proofErr w:type="gramEnd"/>
            <w:r w:rsidRPr="00015E28">
              <w:rPr>
                <w:rFonts w:ascii="Calibri" w:hAnsi="Calibri" w:cs="Calibri"/>
                <w:b/>
                <w:i/>
              </w:rPr>
              <w:t xml:space="preserve"> %</w:t>
            </w:r>
          </w:p>
        </w:tc>
        <w:tc>
          <w:tcPr>
            <w:tcW w:w="1478"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 xml:space="preserve">Сумма </w:t>
            </w:r>
          </w:p>
          <w:p w:rsidR="00DD08FE" w:rsidRPr="00015E28" w:rsidRDefault="00DD08FE" w:rsidP="009E09D9">
            <w:pPr>
              <w:jc w:val="center"/>
              <w:rPr>
                <w:rFonts w:ascii="Calibri" w:hAnsi="Calibri" w:cs="Calibri"/>
                <w:b/>
              </w:rPr>
            </w:pPr>
            <w:r w:rsidRPr="00015E28">
              <w:rPr>
                <w:rFonts w:ascii="Calibri" w:hAnsi="Calibri" w:cs="Calibri"/>
                <w:b/>
              </w:rPr>
              <w:t>(млн. тенге)</w:t>
            </w:r>
          </w:p>
        </w:tc>
        <w:tc>
          <w:tcPr>
            <w:tcW w:w="1578"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 xml:space="preserve">Доля от общей  суммы, </w:t>
            </w:r>
            <w:proofErr w:type="gramStart"/>
            <w:r w:rsidRPr="00015E28">
              <w:rPr>
                <w:rFonts w:ascii="Calibri" w:hAnsi="Calibri" w:cs="Calibri"/>
                <w:b/>
                <w:i/>
              </w:rPr>
              <w:t>в</w:t>
            </w:r>
            <w:proofErr w:type="gramEnd"/>
            <w:r w:rsidRPr="00015E28">
              <w:rPr>
                <w:rFonts w:ascii="Calibri" w:hAnsi="Calibri" w:cs="Calibri"/>
                <w:b/>
                <w:i/>
              </w:rPr>
              <w:t xml:space="preserve"> %</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171"/>
        </w:trPr>
        <w:tc>
          <w:tcPr>
            <w:tcW w:w="3168" w:type="dxa"/>
            <w:noWrap/>
            <w:vAlign w:val="center"/>
          </w:tcPr>
          <w:p w:rsidR="00DD08FE" w:rsidRPr="00015E28" w:rsidRDefault="00DD08FE" w:rsidP="009E09D9">
            <w:pPr>
              <w:rPr>
                <w:rFonts w:ascii="Calibri" w:hAnsi="Calibri" w:cs="Calibri"/>
              </w:rPr>
            </w:pPr>
            <w:r w:rsidRPr="00015E28">
              <w:rPr>
                <w:rFonts w:ascii="Calibri" w:hAnsi="Calibri" w:cs="Calibri"/>
              </w:rPr>
              <w:t>Золотая корона</w:t>
            </w:r>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417,2</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34,7%</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117 600,7</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47,3%</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Western</w:t>
            </w:r>
            <w:proofErr w:type="spellEnd"/>
            <w:r w:rsidRPr="00015E28">
              <w:rPr>
                <w:rFonts w:ascii="Calibri" w:hAnsi="Calibri" w:cs="Calibri"/>
              </w:rPr>
              <w:t xml:space="preserve"> </w:t>
            </w:r>
            <w:proofErr w:type="spellStart"/>
            <w:r w:rsidRPr="00015E28">
              <w:rPr>
                <w:rFonts w:ascii="Calibri" w:hAnsi="Calibri" w:cs="Calibri"/>
              </w:rPr>
              <w:t>Union</w:t>
            </w:r>
            <w:proofErr w:type="spellEnd"/>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287,2</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23,9%</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49 419,0</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19,9%</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Юнистрим</w:t>
            </w:r>
            <w:proofErr w:type="spellEnd"/>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65,7</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5,5%</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25 518,6</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10,3%</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Faster</w:t>
            </w:r>
            <w:proofErr w:type="spellEnd"/>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94,2</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7,8%</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18 932,3</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7,6%</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015E28" w:rsidRDefault="00DD08FE" w:rsidP="009E09D9">
            <w:pPr>
              <w:rPr>
                <w:rFonts w:ascii="Calibri" w:hAnsi="Calibri" w:cs="Calibri"/>
              </w:rPr>
            </w:pPr>
            <w:r w:rsidRPr="00015E28">
              <w:rPr>
                <w:rFonts w:ascii="Calibri" w:hAnsi="Calibri" w:cs="Calibri"/>
              </w:rPr>
              <w:t>Блиц</w:t>
            </w:r>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135,2</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11,2%</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15 366,8</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6,2%</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MoneyGram</w:t>
            </w:r>
            <w:proofErr w:type="spellEnd"/>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56,6</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4,7%</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10 022,0</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4,0%</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Contact</w:t>
            </w:r>
            <w:proofErr w:type="spellEnd"/>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38,8</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3,2%</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6 970,4</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2,8%</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015E28" w:rsidRDefault="00DD08FE" w:rsidP="009E09D9">
            <w:pPr>
              <w:rPr>
                <w:rFonts w:ascii="Calibri" w:hAnsi="Calibri" w:cs="Calibri"/>
              </w:rPr>
            </w:pPr>
            <w:r w:rsidRPr="00015E28">
              <w:rPr>
                <w:rFonts w:ascii="Calibri" w:hAnsi="Calibri" w:cs="Calibri"/>
              </w:rPr>
              <w:t>Система Всемирного почтового союза</w:t>
            </w:r>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100,9</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8,4%</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2 972,9</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1,2%</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015E28" w:rsidRDefault="00DD08FE" w:rsidP="009E09D9">
            <w:pPr>
              <w:rPr>
                <w:rFonts w:ascii="Calibri" w:hAnsi="Calibri" w:cs="Calibri"/>
              </w:rPr>
            </w:pPr>
            <w:r w:rsidRPr="00015E28">
              <w:rPr>
                <w:rFonts w:ascii="Calibri" w:hAnsi="Calibri" w:cs="Calibri"/>
              </w:rPr>
              <w:t>Лидер</w:t>
            </w:r>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7,3</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0,6%</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1 575,4</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0,6%</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015E28" w:rsidRDefault="00DD08FE" w:rsidP="009E09D9">
            <w:pPr>
              <w:rPr>
                <w:rFonts w:ascii="Calibri" w:hAnsi="Calibri" w:cs="Calibri"/>
              </w:rPr>
            </w:pPr>
            <w:r w:rsidRPr="00015E28">
              <w:rPr>
                <w:rFonts w:ascii="Calibri" w:hAnsi="Calibri" w:cs="Calibri"/>
              </w:rPr>
              <w:t>Близко</w:t>
            </w:r>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0,4</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0,03%</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113,2</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0,05%</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015E28" w:rsidRDefault="00DD08FE" w:rsidP="009E09D9">
            <w:pPr>
              <w:rPr>
                <w:rFonts w:ascii="Calibri" w:hAnsi="Calibri" w:cs="Calibri"/>
              </w:rPr>
            </w:pPr>
            <w:proofErr w:type="spellStart"/>
            <w:r w:rsidRPr="00015E28">
              <w:rPr>
                <w:rFonts w:ascii="Calibri" w:hAnsi="Calibri" w:cs="Calibri"/>
              </w:rPr>
              <w:t>Анелик</w:t>
            </w:r>
            <w:proofErr w:type="spellEnd"/>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0,0</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0,002%</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18,4</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0,01%</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015E28" w:rsidRDefault="00DD08FE" w:rsidP="009E09D9">
            <w:pPr>
              <w:rPr>
                <w:rFonts w:ascii="Calibri" w:hAnsi="Calibri" w:cs="Calibri"/>
              </w:rPr>
            </w:pPr>
            <w:r w:rsidRPr="00015E28">
              <w:rPr>
                <w:rFonts w:ascii="Calibri" w:hAnsi="Calibri" w:cs="Calibri"/>
              </w:rPr>
              <w:t>Почтовые международные переводы</w:t>
            </w:r>
          </w:p>
        </w:tc>
        <w:tc>
          <w:tcPr>
            <w:tcW w:w="2015" w:type="dxa"/>
            <w:gridSpan w:val="2"/>
            <w:noWrap/>
            <w:vAlign w:val="center"/>
          </w:tcPr>
          <w:p w:rsidR="00DD08FE" w:rsidRPr="00015E28" w:rsidRDefault="00DD08FE" w:rsidP="009E09D9">
            <w:pPr>
              <w:jc w:val="center"/>
              <w:rPr>
                <w:rFonts w:ascii="Calibri" w:hAnsi="Calibri" w:cs="Calibri"/>
              </w:rPr>
            </w:pPr>
            <w:r w:rsidRPr="00015E28">
              <w:rPr>
                <w:rFonts w:ascii="Calibri" w:hAnsi="Calibri" w:cs="Calibri"/>
              </w:rPr>
              <w:t>0,1</w:t>
            </w:r>
          </w:p>
        </w:tc>
        <w:tc>
          <w:tcPr>
            <w:tcW w:w="1409"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0,01%</w:t>
            </w:r>
          </w:p>
        </w:tc>
        <w:tc>
          <w:tcPr>
            <w:tcW w:w="1478" w:type="dxa"/>
            <w:noWrap/>
            <w:vAlign w:val="center"/>
          </w:tcPr>
          <w:p w:rsidR="00DD08FE" w:rsidRPr="00015E28" w:rsidRDefault="00DD08FE" w:rsidP="009E09D9">
            <w:pPr>
              <w:jc w:val="center"/>
              <w:rPr>
                <w:rFonts w:ascii="Calibri" w:hAnsi="Calibri" w:cs="Calibri"/>
              </w:rPr>
            </w:pPr>
            <w:r w:rsidRPr="00015E28">
              <w:rPr>
                <w:rFonts w:ascii="Calibri" w:hAnsi="Calibri" w:cs="Calibri"/>
              </w:rPr>
              <w:t>7,1</w:t>
            </w:r>
          </w:p>
        </w:tc>
        <w:tc>
          <w:tcPr>
            <w:tcW w:w="1578"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0,003%</w:t>
            </w:r>
          </w:p>
        </w:tc>
      </w:tr>
      <w:tr w:rsidR="00DD08FE" w:rsidRPr="00A86AE4"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shd w:val="clear" w:color="auto" w:fill="9BBB59"/>
            <w:noWrap/>
            <w:vAlign w:val="center"/>
          </w:tcPr>
          <w:p w:rsidR="00DD08FE" w:rsidRPr="00015E28" w:rsidRDefault="00DD08FE" w:rsidP="009E09D9">
            <w:pPr>
              <w:rPr>
                <w:rFonts w:ascii="Calibri" w:hAnsi="Calibri" w:cs="Calibri"/>
                <w:b/>
              </w:rPr>
            </w:pPr>
            <w:r w:rsidRPr="00015E28">
              <w:rPr>
                <w:rFonts w:ascii="Calibri" w:hAnsi="Calibri" w:cs="Calibri"/>
                <w:b/>
              </w:rPr>
              <w:t>Общий итог</w:t>
            </w:r>
          </w:p>
        </w:tc>
        <w:tc>
          <w:tcPr>
            <w:tcW w:w="2015" w:type="dxa"/>
            <w:gridSpan w:val="2"/>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1 203,8</w:t>
            </w:r>
          </w:p>
        </w:tc>
        <w:tc>
          <w:tcPr>
            <w:tcW w:w="1409"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100,0%</w:t>
            </w:r>
          </w:p>
        </w:tc>
        <w:tc>
          <w:tcPr>
            <w:tcW w:w="1478"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248 516,9</w:t>
            </w:r>
          </w:p>
        </w:tc>
        <w:tc>
          <w:tcPr>
            <w:tcW w:w="1578"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100,0%</w:t>
            </w:r>
          </w:p>
        </w:tc>
      </w:tr>
    </w:tbl>
    <w:p w:rsidR="006E2AC8" w:rsidRDefault="006E2AC8" w:rsidP="00DD08FE">
      <w:pPr>
        <w:ind w:firstLine="709"/>
        <w:jc w:val="both"/>
        <w:rPr>
          <w:rFonts w:ascii="Calibri" w:hAnsi="Calibri" w:cs="Calibri"/>
          <w:sz w:val="30"/>
          <w:szCs w:val="30"/>
        </w:rPr>
      </w:pPr>
    </w:p>
    <w:p w:rsidR="000B33C3" w:rsidRPr="00015E28" w:rsidRDefault="00DD08FE" w:rsidP="00DD08FE">
      <w:pPr>
        <w:ind w:firstLine="709"/>
        <w:jc w:val="both"/>
        <w:rPr>
          <w:rFonts w:ascii="Calibri" w:hAnsi="Calibri" w:cs="Calibri"/>
          <w:sz w:val="30"/>
          <w:szCs w:val="30"/>
        </w:rPr>
      </w:pPr>
      <w:r w:rsidRPr="00015E28">
        <w:rPr>
          <w:rFonts w:ascii="Calibri" w:hAnsi="Calibri" w:cs="Calibri"/>
          <w:sz w:val="30"/>
          <w:szCs w:val="30"/>
        </w:rPr>
        <w:t xml:space="preserve">Основной поток переводов денег через системы денежных переводов был направлен в Российскую Федерацию, Республику Узбекистан, Китайскую Народную Республику, Кыргызскую Республику и Турецкую Республику. </w:t>
      </w:r>
    </w:p>
    <w:p w:rsidR="006E2AC8" w:rsidRDefault="006E2AC8" w:rsidP="0073388E">
      <w:pPr>
        <w:jc w:val="center"/>
        <w:rPr>
          <w:rFonts w:ascii="Calibri" w:hAnsi="Calibri" w:cs="Arial"/>
          <w:b/>
          <w:color w:val="0E4C28"/>
          <w:sz w:val="28"/>
          <w:szCs w:val="28"/>
        </w:rPr>
      </w:pPr>
    </w:p>
    <w:p w:rsidR="006E2AC8" w:rsidRDefault="006E2AC8" w:rsidP="0073388E">
      <w:pPr>
        <w:jc w:val="center"/>
        <w:rPr>
          <w:rFonts w:ascii="Calibri" w:hAnsi="Calibri" w:cs="Arial"/>
          <w:b/>
          <w:color w:val="0E4C28"/>
          <w:sz w:val="28"/>
          <w:szCs w:val="28"/>
        </w:rPr>
      </w:pPr>
    </w:p>
    <w:p w:rsidR="006E2AC8" w:rsidRDefault="006E2AC8" w:rsidP="0073388E">
      <w:pPr>
        <w:jc w:val="center"/>
        <w:rPr>
          <w:rFonts w:ascii="Calibri" w:hAnsi="Calibri" w:cs="Arial"/>
          <w:b/>
          <w:color w:val="0E4C28"/>
          <w:sz w:val="28"/>
          <w:szCs w:val="28"/>
        </w:rPr>
      </w:pPr>
    </w:p>
    <w:p w:rsidR="006E2AC8" w:rsidRDefault="006E2AC8" w:rsidP="0073388E">
      <w:pPr>
        <w:jc w:val="center"/>
        <w:rPr>
          <w:rFonts w:ascii="Calibri" w:hAnsi="Calibri" w:cs="Arial"/>
          <w:b/>
          <w:color w:val="0E4C28"/>
          <w:sz w:val="28"/>
          <w:szCs w:val="28"/>
        </w:rPr>
      </w:pPr>
    </w:p>
    <w:p w:rsidR="00DD08FE" w:rsidRPr="0073388E" w:rsidRDefault="00DD08FE" w:rsidP="0073388E">
      <w:pPr>
        <w:jc w:val="center"/>
        <w:rPr>
          <w:rFonts w:ascii="Calibri" w:hAnsi="Calibri" w:cs="Arial"/>
          <w:b/>
          <w:color w:val="0E4C28"/>
          <w:sz w:val="28"/>
          <w:szCs w:val="28"/>
        </w:rPr>
      </w:pPr>
      <w:r w:rsidRPr="0073388E">
        <w:rPr>
          <w:rFonts w:ascii="Calibri" w:hAnsi="Calibri" w:cs="Arial"/>
          <w:b/>
          <w:color w:val="0E4C28"/>
          <w:sz w:val="28"/>
          <w:szCs w:val="28"/>
        </w:rPr>
        <w:lastRenderedPageBreak/>
        <w:t>Страны, куда направлен перевод денег</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1620"/>
        <w:gridCol w:w="1440"/>
        <w:gridCol w:w="1620"/>
        <w:gridCol w:w="1620"/>
      </w:tblGrid>
      <w:tr w:rsidR="00DD08FE" w:rsidRPr="00A86AE4" w:rsidTr="002E5C2F">
        <w:trPr>
          <w:trHeight w:val="255"/>
        </w:trPr>
        <w:tc>
          <w:tcPr>
            <w:tcW w:w="3348"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rPr>
              <w:tab/>
            </w:r>
            <w:r w:rsidRPr="00015E28">
              <w:rPr>
                <w:rFonts w:ascii="Calibri" w:hAnsi="Calibri" w:cs="Calibri"/>
                <w:b/>
              </w:rPr>
              <w:t>Страна</w:t>
            </w:r>
          </w:p>
        </w:tc>
        <w:tc>
          <w:tcPr>
            <w:tcW w:w="1620"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 xml:space="preserve">Кол-во </w:t>
            </w:r>
          </w:p>
          <w:p w:rsidR="00DD08FE" w:rsidRPr="00015E28" w:rsidRDefault="00DD08FE" w:rsidP="009E09D9">
            <w:pPr>
              <w:jc w:val="center"/>
              <w:rPr>
                <w:rFonts w:ascii="Calibri" w:hAnsi="Calibri" w:cs="Calibri"/>
                <w:b/>
              </w:rPr>
            </w:pPr>
            <w:r w:rsidRPr="00015E28">
              <w:rPr>
                <w:rFonts w:ascii="Calibri" w:hAnsi="Calibri" w:cs="Calibri"/>
                <w:b/>
              </w:rPr>
              <w:t>(тыс. транзакций)</w:t>
            </w:r>
          </w:p>
        </w:tc>
        <w:tc>
          <w:tcPr>
            <w:tcW w:w="1440"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 xml:space="preserve">Доля от общего кол-ва, </w:t>
            </w:r>
            <w:proofErr w:type="gramStart"/>
            <w:r w:rsidRPr="00015E28">
              <w:rPr>
                <w:rFonts w:ascii="Calibri" w:hAnsi="Calibri" w:cs="Calibri"/>
                <w:b/>
                <w:i/>
              </w:rPr>
              <w:t>в</w:t>
            </w:r>
            <w:proofErr w:type="gramEnd"/>
            <w:r w:rsidRPr="00015E28">
              <w:rPr>
                <w:rFonts w:ascii="Calibri" w:hAnsi="Calibri" w:cs="Calibri"/>
                <w:b/>
                <w:i/>
              </w:rPr>
              <w:t xml:space="preserve"> %</w:t>
            </w:r>
          </w:p>
        </w:tc>
        <w:tc>
          <w:tcPr>
            <w:tcW w:w="1620"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 xml:space="preserve">Сумма </w:t>
            </w:r>
          </w:p>
          <w:p w:rsidR="00DD08FE" w:rsidRPr="00015E28" w:rsidRDefault="00DD08FE" w:rsidP="009E09D9">
            <w:pPr>
              <w:jc w:val="center"/>
              <w:rPr>
                <w:rFonts w:ascii="Calibri" w:hAnsi="Calibri" w:cs="Calibri"/>
                <w:b/>
              </w:rPr>
            </w:pPr>
            <w:r w:rsidRPr="00015E28">
              <w:rPr>
                <w:rFonts w:ascii="Calibri" w:hAnsi="Calibri" w:cs="Calibri"/>
                <w:b/>
              </w:rPr>
              <w:t>(млн. тенге)</w:t>
            </w:r>
          </w:p>
        </w:tc>
        <w:tc>
          <w:tcPr>
            <w:tcW w:w="1620"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 xml:space="preserve">Доля от общей  суммы, </w:t>
            </w:r>
            <w:proofErr w:type="gramStart"/>
            <w:r w:rsidRPr="00015E28">
              <w:rPr>
                <w:rFonts w:ascii="Calibri" w:hAnsi="Calibri" w:cs="Calibri"/>
                <w:b/>
                <w:i/>
              </w:rPr>
              <w:t>в</w:t>
            </w:r>
            <w:proofErr w:type="gramEnd"/>
            <w:r w:rsidRPr="00015E28">
              <w:rPr>
                <w:rFonts w:ascii="Calibri" w:hAnsi="Calibri" w:cs="Calibri"/>
                <w:b/>
                <w:i/>
              </w:rPr>
              <w:t xml:space="preserve"> %</w:t>
            </w:r>
          </w:p>
        </w:tc>
      </w:tr>
      <w:tr w:rsidR="00DD08FE" w:rsidRPr="00A86AE4" w:rsidTr="002E5C2F">
        <w:trPr>
          <w:trHeight w:val="171"/>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Российская Федерация</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1 058,5</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49,5%</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162 235,7</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42,5%</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Узбекистан</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426,4</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20,0%</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64 367,7</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16,8%</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Китай</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35,3</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1,7%</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29 408,1</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7,7%</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Кыргызстан</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149,1</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7,0%</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23 654,9</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6,2%</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Турция</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50,2</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2,4%</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20 141,4</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5,3%</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Украина</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68,0</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3,2%</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12 411,1</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3,2%</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Азербайджан</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33,8</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1,6%</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7 319,8</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1,9%</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Таджикистан</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62,8</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2,9%</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6 985,3</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1,8%</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Армения</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12,3</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0,6%</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3 857,1</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1,0%</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Грузия</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16,8</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0,8%</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3 232,2</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0,8%</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Объединенные Арабские Эмираты</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4,7</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0,2%</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2 905,9</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0,8%</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Соединенные Штаты</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6,0</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0,3%</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2 066,2</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0,5%</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Беларусь</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14,5</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0,7%</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2 025,8</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0,5%</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Прочие</w:t>
            </w:r>
          </w:p>
        </w:tc>
        <w:tc>
          <w:tcPr>
            <w:tcW w:w="1620" w:type="dxa"/>
            <w:noWrap/>
            <w:vAlign w:val="center"/>
          </w:tcPr>
          <w:p w:rsidR="00DD08FE" w:rsidRPr="00015E28" w:rsidRDefault="00DD08FE" w:rsidP="009E09D9">
            <w:pPr>
              <w:jc w:val="center"/>
              <w:rPr>
                <w:rFonts w:ascii="Calibri" w:hAnsi="Calibri" w:cs="Calibri"/>
              </w:rPr>
            </w:pPr>
            <w:r w:rsidRPr="00A86AE4">
              <w:rPr>
                <w:rFonts w:ascii="Arial" w:hAnsi="Arial" w:cs="Arial"/>
                <w:sz w:val="20"/>
              </w:rPr>
              <w:t>198,6</w:t>
            </w:r>
          </w:p>
        </w:tc>
        <w:tc>
          <w:tcPr>
            <w:tcW w:w="1440"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9,3%</w:t>
            </w:r>
          </w:p>
        </w:tc>
        <w:tc>
          <w:tcPr>
            <w:tcW w:w="1620" w:type="dxa"/>
            <w:noWrap/>
            <w:vAlign w:val="center"/>
          </w:tcPr>
          <w:p w:rsidR="00DD08FE" w:rsidRPr="00A86AE4" w:rsidRDefault="00DD08FE" w:rsidP="009E09D9">
            <w:pPr>
              <w:jc w:val="center"/>
              <w:rPr>
                <w:rFonts w:ascii="Arial" w:hAnsi="Arial" w:cs="Arial"/>
                <w:sz w:val="20"/>
              </w:rPr>
            </w:pPr>
            <w:r w:rsidRPr="00A86AE4">
              <w:rPr>
                <w:rFonts w:ascii="Arial" w:hAnsi="Arial" w:cs="Arial"/>
                <w:sz w:val="20"/>
              </w:rPr>
              <w:t>41 561,8</w:t>
            </w:r>
          </w:p>
        </w:tc>
        <w:tc>
          <w:tcPr>
            <w:tcW w:w="1620"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10,9%</w:t>
            </w:r>
          </w:p>
        </w:tc>
      </w:tr>
      <w:tr w:rsidR="00DD08FE" w:rsidRPr="00A86AE4" w:rsidTr="002E5C2F">
        <w:trPr>
          <w:trHeight w:val="255"/>
        </w:trPr>
        <w:tc>
          <w:tcPr>
            <w:tcW w:w="3348" w:type="dxa"/>
            <w:shd w:val="clear" w:color="auto" w:fill="9BBB59"/>
            <w:noWrap/>
            <w:vAlign w:val="center"/>
          </w:tcPr>
          <w:p w:rsidR="00DD08FE" w:rsidRPr="00015E28" w:rsidRDefault="00DD08FE" w:rsidP="009E09D9">
            <w:pPr>
              <w:rPr>
                <w:rFonts w:ascii="Calibri" w:hAnsi="Calibri" w:cs="Calibri"/>
                <w:b/>
              </w:rPr>
            </w:pPr>
            <w:r w:rsidRPr="00015E28">
              <w:rPr>
                <w:rFonts w:ascii="Calibri" w:hAnsi="Calibri" w:cs="Calibri"/>
                <w:b/>
              </w:rPr>
              <w:t>Общий итог</w:t>
            </w:r>
          </w:p>
        </w:tc>
        <w:tc>
          <w:tcPr>
            <w:tcW w:w="1620"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2 136,8</w:t>
            </w:r>
          </w:p>
        </w:tc>
        <w:tc>
          <w:tcPr>
            <w:tcW w:w="1440"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100,0%</w:t>
            </w:r>
          </w:p>
        </w:tc>
        <w:tc>
          <w:tcPr>
            <w:tcW w:w="1620"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382 173,1</w:t>
            </w:r>
          </w:p>
        </w:tc>
        <w:tc>
          <w:tcPr>
            <w:tcW w:w="1620"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100,0%</w:t>
            </w:r>
          </w:p>
        </w:tc>
      </w:tr>
    </w:tbl>
    <w:p w:rsidR="000B33C3" w:rsidRPr="00015E28" w:rsidRDefault="00DD08FE" w:rsidP="00DD08FE">
      <w:pPr>
        <w:ind w:firstLine="709"/>
        <w:jc w:val="both"/>
        <w:rPr>
          <w:rFonts w:ascii="Calibri" w:hAnsi="Calibri" w:cs="Calibri"/>
          <w:sz w:val="30"/>
          <w:szCs w:val="30"/>
        </w:rPr>
      </w:pPr>
      <w:r w:rsidRPr="00015E28">
        <w:rPr>
          <w:rFonts w:ascii="Calibri" w:hAnsi="Calibri" w:cs="Calibri"/>
          <w:sz w:val="30"/>
          <w:szCs w:val="30"/>
        </w:rPr>
        <w:t xml:space="preserve">Основным источником переводов денег в Казахстан </w:t>
      </w:r>
      <w:r w:rsidR="009E1B53" w:rsidRPr="00015E28">
        <w:rPr>
          <w:rFonts w:ascii="Calibri" w:hAnsi="Calibri" w:cs="Calibri"/>
          <w:sz w:val="30"/>
          <w:szCs w:val="30"/>
        </w:rPr>
        <w:t>является</w:t>
      </w:r>
      <w:r w:rsidRPr="00015E28">
        <w:rPr>
          <w:rFonts w:ascii="Calibri" w:hAnsi="Calibri" w:cs="Calibri"/>
          <w:sz w:val="30"/>
          <w:szCs w:val="30"/>
        </w:rPr>
        <w:t xml:space="preserve"> Российская Федерация.</w:t>
      </w:r>
    </w:p>
    <w:p w:rsidR="006E2AC8" w:rsidRDefault="006E2AC8" w:rsidP="0073388E">
      <w:pPr>
        <w:jc w:val="center"/>
        <w:rPr>
          <w:rFonts w:ascii="Calibri" w:hAnsi="Calibri" w:cs="Arial"/>
          <w:b/>
          <w:color w:val="0E4C28"/>
          <w:sz w:val="28"/>
          <w:szCs w:val="28"/>
        </w:rPr>
      </w:pPr>
    </w:p>
    <w:p w:rsidR="00DD08FE" w:rsidRPr="0073388E" w:rsidRDefault="00DD08FE" w:rsidP="0073388E">
      <w:pPr>
        <w:jc w:val="center"/>
        <w:rPr>
          <w:rFonts w:ascii="Calibri" w:hAnsi="Calibri" w:cs="Arial"/>
          <w:b/>
          <w:color w:val="0E4C28"/>
          <w:sz w:val="28"/>
          <w:szCs w:val="28"/>
        </w:rPr>
      </w:pPr>
      <w:r w:rsidRPr="0073388E">
        <w:rPr>
          <w:rFonts w:ascii="Calibri" w:hAnsi="Calibri" w:cs="Arial"/>
          <w:b/>
          <w:color w:val="0E4C28"/>
          <w:sz w:val="28"/>
          <w:szCs w:val="28"/>
        </w:rPr>
        <w:t>Страны, откуда отправлен перевод денег</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1620"/>
        <w:gridCol w:w="1440"/>
        <w:gridCol w:w="1620"/>
        <w:gridCol w:w="1620"/>
      </w:tblGrid>
      <w:tr w:rsidR="00DD08FE" w:rsidRPr="00A86AE4" w:rsidTr="002E5C2F">
        <w:trPr>
          <w:trHeight w:val="255"/>
        </w:trPr>
        <w:tc>
          <w:tcPr>
            <w:tcW w:w="3348"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rPr>
              <w:tab/>
            </w:r>
            <w:r w:rsidRPr="00015E28">
              <w:rPr>
                <w:rFonts w:ascii="Calibri" w:hAnsi="Calibri" w:cs="Calibri"/>
                <w:b/>
              </w:rPr>
              <w:t>Страна</w:t>
            </w:r>
          </w:p>
        </w:tc>
        <w:tc>
          <w:tcPr>
            <w:tcW w:w="1620"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 xml:space="preserve">Кол-во </w:t>
            </w:r>
          </w:p>
          <w:p w:rsidR="00DD08FE" w:rsidRPr="00015E28" w:rsidRDefault="00DD08FE" w:rsidP="009E09D9">
            <w:pPr>
              <w:jc w:val="center"/>
              <w:rPr>
                <w:rFonts w:ascii="Calibri" w:hAnsi="Calibri" w:cs="Calibri"/>
                <w:b/>
              </w:rPr>
            </w:pPr>
            <w:r w:rsidRPr="00015E28">
              <w:rPr>
                <w:rFonts w:ascii="Calibri" w:hAnsi="Calibri" w:cs="Calibri"/>
                <w:b/>
              </w:rPr>
              <w:t>(тыс. транзакций)</w:t>
            </w:r>
          </w:p>
        </w:tc>
        <w:tc>
          <w:tcPr>
            <w:tcW w:w="1440"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 xml:space="preserve">Доля от общего кол-ва, </w:t>
            </w:r>
            <w:proofErr w:type="gramStart"/>
            <w:r w:rsidRPr="00015E28">
              <w:rPr>
                <w:rFonts w:ascii="Calibri" w:hAnsi="Calibri" w:cs="Calibri"/>
                <w:b/>
                <w:i/>
              </w:rPr>
              <w:t>в</w:t>
            </w:r>
            <w:proofErr w:type="gramEnd"/>
            <w:r w:rsidRPr="00015E28">
              <w:rPr>
                <w:rFonts w:ascii="Calibri" w:hAnsi="Calibri" w:cs="Calibri"/>
                <w:b/>
                <w:i/>
              </w:rPr>
              <w:t xml:space="preserve"> %</w:t>
            </w:r>
          </w:p>
        </w:tc>
        <w:tc>
          <w:tcPr>
            <w:tcW w:w="1620"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 xml:space="preserve">Сумма </w:t>
            </w:r>
          </w:p>
          <w:p w:rsidR="00DD08FE" w:rsidRPr="00015E28" w:rsidRDefault="00DD08FE" w:rsidP="009E09D9">
            <w:pPr>
              <w:jc w:val="center"/>
              <w:rPr>
                <w:rFonts w:ascii="Calibri" w:hAnsi="Calibri" w:cs="Calibri"/>
                <w:b/>
              </w:rPr>
            </w:pPr>
            <w:r w:rsidRPr="00015E28">
              <w:rPr>
                <w:rFonts w:ascii="Calibri" w:hAnsi="Calibri" w:cs="Calibri"/>
                <w:b/>
              </w:rPr>
              <w:t>(млн. тенге)</w:t>
            </w:r>
          </w:p>
        </w:tc>
        <w:tc>
          <w:tcPr>
            <w:tcW w:w="1620"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 xml:space="preserve">Доля от общей  суммы, </w:t>
            </w:r>
            <w:proofErr w:type="gramStart"/>
            <w:r w:rsidRPr="00015E28">
              <w:rPr>
                <w:rFonts w:ascii="Calibri" w:hAnsi="Calibri" w:cs="Calibri"/>
                <w:b/>
                <w:i/>
              </w:rPr>
              <w:t>в</w:t>
            </w:r>
            <w:proofErr w:type="gramEnd"/>
            <w:r w:rsidRPr="00015E28">
              <w:rPr>
                <w:rFonts w:ascii="Calibri" w:hAnsi="Calibri" w:cs="Calibri"/>
                <w:b/>
                <w:i/>
              </w:rPr>
              <w:t xml:space="preserve"> %</w:t>
            </w:r>
          </w:p>
        </w:tc>
      </w:tr>
      <w:tr w:rsidR="00DD08FE" w:rsidRPr="00A86AE4" w:rsidTr="002E5C2F">
        <w:trPr>
          <w:trHeight w:val="171"/>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Российская Федерация</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701,4</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58,3%</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135 867,1</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54,7%</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Кыргызстан</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33,0</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2,7%</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16 255,0</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6,5%</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Узбекистан</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31,6</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2,6%</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11 518,7</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4,6%</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Корея, Республика</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30,1</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2,5%</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10 279,8</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4,1%</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Германия</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85,7</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7,1%</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8 430,1</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3,4%</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Соединенные Штаты</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53,6</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4,5%</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8 363,6</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3,4%</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Турция</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30,3</w:t>
            </w:r>
          </w:p>
        </w:tc>
        <w:tc>
          <w:tcPr>
            <w:tcW w:w="144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2,5%</w:t>
            </w:r>
          </w:p>
        </w:tc>
        <w:tc>
          <w:tcPr>
            <w:tcW w:w="1620" w:type="dxa"/>
            <w:noWrap/>
            <w:vAlign w:val="bottom"/>
          </w:tcPr>
          <w:p w:rsidR="00DD08FE" w:rsidRPr="00015E28" w:rsidRDefault="00DD08FE" w:rsidP="009E09D9">
            <w:pPr>
              <w:jc w:val="center"/>
              <w:rPr>
                <w:rFonts w:ascii="Calibri" w:hAnsi="Calibri" w:cs="Calibri"/>
              </w:rPr>
            </w:pPr>
            <w:r w:rsidRPr="00015E28">
              <w:rPr>
                <w:rFonts w:ascii="Calibri" w:hAnsi="Calibri" w:cs="Calibri"/>
              </w:rPr>
              <w:t>4 974,8</w:t>
            </w:r>
          </w:p>
        </w:tc>
        <w:tc>
          <w:tcPr>
            <w:tcW w:w="1620" w:type="dxa"/>
            <w:noWrap/>
            <w:vAlign w:val="bottom"/>
          </w:tcPr>
          <w:p w:rsidR="00DD08FE" w:rsidRPr="00015E28" w:rsidRDefault="00DD08FE" w:rsidP="009E09D9">
            <w:pPr>
              <w:jc w:val="center"/>
              <w:rPr>
                <w:rFonts w:ascii="Calibri" w:hAnsi="Calibri" w:cs="Calibri"/>
                <w:i/>
              </w:rPr>
            </w:pPr>
            <w:r w:rsidRPr="00015E28">
              <w:rPr>
                <w:rFonts w:ascii="Calibri" w:hAnsi="Calibri" w:cs="Calibri"/>
                <w:i/>
              </w:rPr>
              <w:t>2,0%</w:t>
            </w:r>
          </w:p>
        </w:tc>
      </w:tr>
      <w:tr w:rsidR="00DD08FE" w:rsidRPr="00A86AE4" w:rsidTr="002E5C2F">
        <w:trPr>
          <w:trHeight w:val="255"/>
        </w:trPr>
        <w:tc>
          <w:tcPr>
            <w:tcW w:w="3348" w:type="dxa"/>
            <w:noWrap/>
            <w:vAlign w:val="bottom"/>
          </w:tcPr>
          <w:p w:rsidR="00DD08FE" w:rsidRPr="00015E28" w:rsidRDefault="00DD08FE" w:rsidP="009E09D9">
            <w:pPr>
              <w:rPr>
                <w:rFonts w:ascii="Calibri" w:hAnsi="Calibri" w:cs="Calibri"/>
              </w:rPr>
            </w:pPr>
            <w:r w:rsidRPr="00015E28">
              <w:rPr>
                <w:rFonts w:ascii="Calibri" w:hAnsi="Calibri" w:cs="Calibri"/>
              </w:rPr>
              <w:t>Прочие</w:t>
            </w:r>
          </w:p>
        </w:tc>
        <w:tc>
          <w:tcPr>
            <w:tcW w:w="1620" w:type="dxa"/>
            <w:noWrap/>
            <w:vAlign w:val="center"/>
          </w:tcPr>
          <w:p w:rsidR="00DD08FE" w:rsidRPr="00015E28" w:rsidRDefault="00DD08FE" w:rsidP="009E09D9">
            <w:pPr>
              <w:jc w:val="center"/>
              <w:rPr>
                <w:rFonts w:ascii="Calibri" w:hAnsi="Calibri" w:cs="Calibri"/>
              </w:rPr>
            </w:pPr>
            <w:r w:rsidRPr="00015E28">
              <w:rPr>
                <w:rFonts w:ascii="Calibri" w:hAnsi="Calibri" w:cs="Calibri"/>
              </w:rPr>
              <w:t>238,3</w:t>
            </w:r>
          </w:p>
        </w:tc>
        <w:tc>
          <w:tcPr>
            <w:tcW w:w="1440"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19,8%</w:t>
            </w:r>
          </w:p>
        </w:tc>
        <w:tc>
          <w:tcPr>
            <w:tcW w:w="1620" w:type="dxa"/>
            <w:noWrap/>
            <w:vAlign w:val="center"/>
          </w:tcPr>
          <w:p w:rsidR="00DD08FE" w:rsidRPr="00015E28" w:rsidRDefault="00DD08FE" w:rsidP="009E09D9">
            <w:pPr>
              <w:jc w:val="center"/>
              <w:rPr>
                <w:rFonts w:ascii="Calibri" w:hAnsi="Calibri" w:cs="Calibri"/>
              </w:rPr>
            </w:pPr>
            <w:r w:rsidRPr="00015E28">
              <w:rPr>
                <w:rFonts w:ascii="Calibri" w:hAnsi="Calibri" w:cs="Calibri"/>
              </w:rPr>
              <w:t>52 827,8</w:t>
            </w:r>
          </w:p>
        </w:tc>
        <w:tc>
          <w:tcPr>
            <w:tcW w:w="1620" w:type="dxa"/>
            <w:noWrap/>
            <w:vAlign w:val="center"/>
          </w:tcPr>
          <w:p w:rsidR="00DD08FE" w:rsidRPr="00015E28" w:rsidRDefault="00DD08FE" w:rsidP="009E09D9">
            <w:pPr>
              <w:jc w:val="center"/>
              <w:rPr>
                <w:rFonts w:ascii="Calibri" w:hAnsi="Calibri" w:cs="Calibri"/>
                <w:i/>
              </w:rPr>
            </w:pPr>
            <w:r w:rsidRPr="00015E28">
              <w:rPr>
                <w:rFonts w:ascii="Calibri" w:hAnsi="Calibri" w:cs="Calibri"/>
                <w:i/>
              </w:rPr>
              <w:t>21,3%</w:t>
            </w:r>
          </w:p>
        </w:tc>
      </w:tr>
      <w:tr w:rsidR="00DD08FE" w:rsidRPr="00A86AE4" w:rsidTr="002E5C2F">
        <w:trPr>
          <w:trHeight w:val="255"/>
        </w:trPr>
        <w:tc>
          <w:tcPr>
            <w:tcW w:w="3348" w:type="dxa"/>
            <w:shd w:val="clear" w:color="auto" w:fill="9BBB59"/>
            <w:noWrap/>
            <w:vAlign w:val="center"/>
          </w:tcPr>
          <w:p w:rsidR="00DD08FE" w:rsidRPr="00015E28" w:rsidRDefault="00DD08FE" w:rsidP="009E09D9">
            <w:pPr>
              <w:rPr>
                <w:rFonts w:ascii="Calibri" w:hAnsi="Calibri" w:cs="Calibri"/>
                <w:b/>
              </w:rPr>
            </w:pPr>
            <w:r w:rsidRPr="00015E28">
              <w:rPr>
                <w:rFonts w:ascii="Calibri" w:hAnsi="Calibri" w:cs="Calibri"/>
                <w:b/>
              </w:rPr>
              <w:t>Общий итог</w:t>
            </w:r>
          </w:p>
        </w:tc>
        <w:tc>
          <w:tcPr>
            <w:tcW w:w="1620"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1 203,8</w:t>
            </w:r>
          </w:p>
        </w:tc>
        <w:tc>
          <w:tcPr>
            <w:tcW w:w="1440"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100,0%</w:t>
            </w:r>
          </w:p>
        </w:tc>
        <w:tc>
          <w:tcPr>
            <w:tcW w:w="1620" w:type="dxa"/>
            <w:shd w:val="clear" w:color="auto" w:fill="9BBB59"/>
            <w:noWrap/>
            <w:vAlign w:val="center"/>
          </w:tcPr>
          <w:p w:rsidR="00DD08FE" w:rsidRPr="00015E28" w:rsidRDefault="00DD08FE" w:rsidP="009E09D9">
            <w:pPr>
              <w:jc w:val="center"/>
              <w:rPr>
                <w:rFonts w:ascii="Calibri" w:hAnsi="Calibri" w:cs="Calibri"/>
                <w:b/>
              </w:rPr>
            </w:pPr>
            <w:r w:rsidRPr="00015E28">
              <w:rPr>
                <w:rFonts w:ascii="Calibri" w:hAnsi="Calibri" w:cs="Calibri"/>
                <w:b/>
              </w:rPr>
              <w:t>248 516,9</w:t>
            </w:r>
          </w:p>
        </w:tc>
        <w:tc>
          <w:tcPr>
            <w:tcW w:w="1620" w:type="dxa"/>
            <w:shd w:val="clear" w:color="auto" w:fill="9BBB59"/>
            <w:noWrap/>
            <w:vAlign w:val="center"/>
          </w:tcPr>
          <w:p w:rsidR="00DD08FE" w:rsidRPr="00015E28" w:rsidRDefault="00DD08FE" w:rsidP="009E09D9">
            <w:pPr>
              <w:jc w:val="center"/>
              <w:rPr>
                <w:rFonts w:ascii="Calibri" w:hAnsi="Calibri" w:cs="Calibri"/>
                <w:b/>
                <w:i/>
              </w:rPr>
            </w:pPr>
            <w:r w:rsidRPr="00015E28">
              <w:rPr>
                <w:rFonts w:ascii="Calibri" w:hAnsi="Calibri" w:cs="Calibri"/>
                <w:b/>
                <w:i/>
              </w:rPr>
              <w:t>100,0%</w:t>
            </w:r>
          </w:p>
        </w:tc>
      </w:tr>
    </w:tbl>
    <w:p w:rsidR="00C77E3B" w:rsidRPr="002E5C2F" w:rsidRDefault="00C77E3B" w:rsidP="000B33C3">
      <w:pPr>
        <w:pStyle w:val="1"/>
        <w:spacing w:before="0" w:after="0"/>
        <w:jc w:val="center"/>
        <w:rPr>
          <w:rFonts w:ascii="Calibri" w:hAnsi="Calibri"/>
          <w:bCs w:val="0"/>
          <w:snapToGrid w:val="0"/>
          <w:color w:val="0E4C28"/>
          <w:spacing w:val="-2"/>
          <w:kern w:val="0"/>
          <w:sz w:val="20"/>
          <w:szCs w:val="36"/>
        </w:rPr>
      </w:pPr>
    </w:p>
    <w:p w:rsidR="00C77E3B" w:rsidRPr="00015E28" w:rsidRDefault="002E5C2F" w:rsidP="002E5C2F">
      <w:pPr>
        <w:widowControl w:val="0"/>
        <w:autoSpaceDE w:val="0"/>
        <w:autoSpaceDN w:val="0"/>
        <w:adjustRightInd w:val="0"/>
        <w:jc w:val="both"/>
        <w:rPr>
          <w:rFonts w:ascii="Calibri" w:hAnsi="Calibri" w:cs="Arial"/>
          <w:spacing w:val="-4"/>
          <w:sz w:val="30"/>
          <w:szCs w:val="30"/>
        </w:rPr>
      </w:pPr>
      <w:bookmarkStart w:id="136" w:name="_Toc480825670"/>
      <w:bookmarkStart w:id="137" w:name="_Toc481139510"/>
      <w:r>
        <w:rPr>
          <w:rFonts w:ascii="Calibri" w:hAnsi="Calibri"/>
          <w:bCs/>
          <w:noProof/>
          <w:color w:val="0E4C28"/>
          <w:spacing w:val="-2"/>
          <w:sz w:val="36"/>
          <w:szCs w:val="36"/>
        </w:rPr>
        <mc:AlternateContent>
          <mc:Choice Requires="wps">
            <w:drawing>
              <wp:inline distT="0" distB="0" distL="0" distR="0" wp14:anchorId="43A70DA7" wp14:editId="7AC391A3">
                <wp:extent cx="5943485" cy="3698266"/>
                <wp:effectExtent l="0" t="0" r="19685" b="20320"/>
                <wp:docPr id="459"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485" cy="3698266"/>
                        </a:xfrm>
                        <a:prstGeom prst="roundRect">
                          <a:avLst>
                            <a:gd name="adj" fmla="val 3079"/>
                          </a:avLst>
                        </a:prstGeom>
                        <a:solidFill>
                          <a:srgbClr val="CCFFCC">
                            <a:alpha val="27000"/>
                          </a:srgbClr>
                        </a:solidFill>
                        <a:ln w="9525">
                          <a:solidFill>
                            <a:srgbClr val="000000"/>
                          </a:solidFill>
                          <a:round/>
                          <a:headEnd/>
                          <a:tailEnd/>
                        </a:ln>
                      </wps:spPr>
                      <wps:txbx>
                        <w:txbxContent>
                          <w:p w:rsidR="00A3494E" w:rsidRPr="006726F2" w:rsidRDefault="00A3494E" w:rsidP="002E5C2F">
                            <w:pPr>
                              <w:widowControl w:val="0"/>
                              <w:ind w:firstLine="709"/>
                              <w:jc w:val="both"/>
                              <w:rPr>
                                <w:rFonts w:ascii="Calibri" w:hAnsi="Calibri"/>
                                <w:sz w:val="30"/>
                                <w:szCs w:val="30"/>
                              </w:rPr>
                            </w:pPr>
                            <w:r>
                              <w:rPr>
                                <w:rFonts w:ascii="Calibri" w:hAnsi="Calibri"/>
                                <w:sz w:val="30"/>
                                <w:szCs w:val="30"/>
                              </w:rPr>
                              <w:t>Дл</w:t>
                            </w:r>
                            <w:r w:rsidRPr="000B33C3">
                              <w:rPr>
                                <w:rFonts w:ascii="Calibri" w:hAnsi="Calibri"/>
                                <w:sz w:val="30"/>
                                <w:szCs w:val="30"/>
                              </w:rPr>
                              <w:t xml:space="preserve">я совершения быстрых переводов можно воспользоваться услугами систем денежных переводов, таких как Золотая корона, </w:t>
                            </w:r>
                            <w:proofErr w:type="spellStart"/>
                            <w:r w:rsidRPr="000B33C3">
                              <w:rPr>
                                <w:rFonts w:ascii="Calibri" w:hAnsi="Calibri"/>
                                <w:sz w:val="30"/>
                                <w:szCs w:val="30"/>
                              </w:rPr>
                              <w:t>Western</w:t>
                            </w:r>
                            <w:proofErr w:type="spellEnd"/>
                            <w:r w:rsidRPr="000B33C3">
                              <w:rPr>
                                <w:rFonts w:ascii="Calibri" w:hAnsi="Calibri"/>
                                <w:sz w:val="30"/>
                                <w:szCs w:val="30"/>
                              </w:rPr>
                              <w:t xml:space="preserve"> </w:t>
                            </w:r>
                            <w:proofErr w:type="spellStart"/>
                            <w:r w:rsidRPr="000B33C3">
                              <w:rPr>
                                <w:rFonts w:ascii="Calibri" w:hAnsi="Calibri"/>
                                <w:sz w:val="30"/>
                                <w:szCs w:val="30"/>
                              </w:rPr>
                              <w:t>Union</w:t>
                            </w:r>
                            <w:proofErr w:type="spellEnd"/>
                            <w:r w:rsidRPr="000B33C3">
                              <w:rPr>
                                <w:rFonts w:ascii="Calibri" w:hAnsi="Calibri"/>
                                <w:sz w:val="30"/>
                                <w:szCs w:val="30"/>
                              </w:rPr>
                              <w:t xml:space="preserve">, </w:t>
                            </w:r>
                            <w:proofErr w:type="spellStart"/>
                            <w:r w:rsidRPr="000B33C3">
                              <w:rPr>
                                <w:rFonts w:ascii="Calibri" w:hAnsi="Calibri"/>
                                <w:sz w:val="30"/>
                                <w:szCs w:val="30"/>
                              </w:rPr>
                              <w:t>Unistream</w:t>
                            </w:r>
                            <w:proofErr w:type="spellEnd"/>
                            <w:r w:rsidRPr="000B33C3">
                              <w:rPr>
                                <w:rFonts w:ascii="Calibri" w:hAnsi="Calibri"/>
                                <w:sz w:val="30"/>
                                <w:szCs w:val="30"/>
                              </w:rPr>
                              <w:t xml:space="preserve">, </w:t>
                            </w:r>
                            <w:proofErr w:type="spellStart"/>
                            <w:r w:rsidRPr="000B33C3">
                              <w:rPr>
                                <w:rFonts w:ascii="Calibri" w:hAnsi="Calibri"/>
                                <w:sz w:val="30"/>
                                <w:szCs w:val="30"/>
                              </w:rPr>
                              <w:t>Contact</w:t>
                            </w:r>
                            <w:proofErr w:type="spellEnd"/>
                            <w:r w:rsidRPr="000B33C3">
                              <w:rPr>
                                <w:rFonts w:ascii="Calibri" w:hAnsi="Calibri"/>
                                <w:sz w:val="30"/>
                                <w:szCs w:val="30"/>
                              </w:rPr>
                              <w:t xml:space="preserve">, Лидер, </w:t>
                            </w:r>
                            <w:proofErr w:type="spellStart"/>
                            <w:r w:rsidRPr="000B33C3">
                              <w:rPr>
                                <w:rFonts w:ascii="Calibri" w:hAnsi="Calibri"/>
                                <w:sz w:val="30"/>
                                <w:szCs w:val="30"/>
                              </w:rPr>
                              <w:t>Анелик</w:t>
                            </w:r>
                            <w:proofErr w:type="spellEnd"/>
                            <w:r w:rsidRPr="000B33C3">
                              <w:rPr>
                                <w:rFonts w:ascii="Calibri" w:hAnsi="Calibri"/>
                                <w:sz w:val="30"/>
                                <w:szCs w:val="30"/>
                              </w:rPr>
                              <w:t>, Система Всем</w:t>
                            </w:r>
                            <w:r w:rsidRPr="00176F0A">
                              <w:rPr>
                                <w:rFonts w:ascii="Calibri" w:hAnsi="Calibri"/>
                                <w:sz w:val="30"/>
                                <w:szCs w:val="30"/>
                              </w:rPr>
                              <w:t xml:space="preserve">ирного почтового союза, Быстрая Почта, </w:t>
                            </w:r>
                            <w:proofErr w:type="spellStart"/>
                            <w:r w:rsidRPr="00176F0A">
                              <w:rPr>
                                <w:rFonts w:ascii="Calibri" w:hAnsi="Calibri"/>
                                <w:sz w:val="30"/>
                                <w:szCs w:val="30"/>
                              </w:rPr>
                              <w:t>MoneyGram</w:t>
                            </w:r>
                            <w:proofErr w:type="spellEnd"/>
                            <w:r w:rsidRPr="00176F0A">
                              <w:rPr>
                                <w:rFonts w:ascii="Calibri" w:hAnsi="Calibri"/>
                                <w:sz w:val="30"/>
                                <w:szCs w:val="30"/>
                              </w:rPr>
                              <w:t xml:space="preserve">, </w:t>
                            </w:r>
                            <w:proofErr w:type="spellStart"/>
                            <w:r w:rsidRPr="00176F0A">
                              <w:rPr>
                                <w:rFonts w:ascii="Calibri" w:hAnsi="Calibri"/>
                                <w:sz w:val="30"/>
                                <w:szCs w:val="30"/>
                              </w:rPr>
                              <w:t>Faster</w:t>
                            </w:r>
                            <w:proofErr w:type="spellEnd"/>
                            <w:r w:rsidRPr="00176F0A">
                              <w:rPr>
                                <w:rFonts w:ascii="Calibri" w:hAnsi="Calibri"/>
                                <w:sz w:val="30"/>
                                <w:szCs w:val="30"/>
                              </w:rPr>
                              <w:t xml:space="preserve"> и иные. Через данные системы проводятся, как правило, безвозмездные переводы физических лиц. При этом в большинстве случаев  системы денежных переводов используются населением страны для отправки переводов  денег за рубеж (доля отправленных за рубеж переводов денег через указанные системы составила 94,3% от общей </w:t>
                            </w:r>
                            <w:proofErr w:type="gramStart"/>
                            <w:r w:rsidRPr="00176F0A">
                              <w:rPr>
                                <w:rFonts w:ascii="Calibri" w:hAnsi="Calibri"/>
                                <w:sz w:val="30"/>
                                <w:szCs w:val="30"/>
                              </w:rPr>
                              <w:t>суммы</w:t>
                            </w:r>
                            <w:proofErr w:type="gramEnd"/>
                            <w:r w:rsidRPr="00176F0A">
                              <w:rPr>
                                <w:rFonts w:ascii="Calibri" w:hAnsi="Calibri"/>
                                <w:sz w:val="30"/>
                                <w:szCs w:val="30"/>
                              </w:rPr>
                              <w:t xml:space="preserve"> отправленных через системы транзакций). При этом переводы денег из Казахстана по системам денежных переводов значительно превышают поступления (</w:t>
                            </w:r>
                            <w:r>
                              <w:rPr>
                                <w:rFonts w:ascii="Calibri" w:hAnsi="Calibri"/>
                                <w:sz w:val="30"/>
                                <w:szCs w:val="30"/>
                              </w:rPr>
                              <w:t>отрицательная нетто-позиция</w:t>
                            </w:r>
                            <w:r w:rsidRPr="000B33C3">
                              <w:rPr>
                                <w:rFonts w:ascii="Calibri" w:hAnsi="Calibri"/>
                                <w:sz w:val="30"/>
                                <w:szCs w:val="30"/>
                              </w:rPr>
                              <w:t xml:space="preserve"> составил</w:t>
                            </w:r>
                            <w:r>
                              <w:rPr>
                                <w:rFonts w:ascii="Calibri" w:hAnsi="Calibri"/>
                                <w:sz w:val="30"/>
                                <w:szCs w:val="30"/>
                              </w:rPr>
                              <w:t>а</w:t>
                            </w:r>
                            <w:r w:rsidRPr="000B33C3">
                              <w:rPr>
                                <w:rFonts w:ascii="Calibri" w:hAnsi="Calibri"/>
                                <w:sz w:val="30"/>
                                <w:szCs w:val="30"/>
                              </w:rPr>
                              <w:t xml:space="preserve"> 133,7 млрд. тенге).</w:t>
                            </w:r>
                            <w:r w:rsidRPr="006726F2">
                              <w:rPr>
                                <w:rFonts w:ascii="Calibri" w:hAnsi="Calibri"/>
                                <w:sz w:val="30"/>
                                <w:szCs w:val="30"/>
                              </w:rPr>
                              <w:t xml:space="preserve"> </w:t>
                            </w:r>
                          </w:p>
                        </w:txbxContent>
                      </wps:txbx>
                      <wps:bodyPr rot="0" vert="horz" wrap="square" lIns="91440" tIns="45720" rIns="91440" bIns="45720" anchor="t" anchorCtr="0" upright="1">
                        <a:spAutoFit/>
                      </wps:bodyPr>
                    </wps:wsp>
                  </a:graphicData>
                </a:graphic>
              </wp:inline>
            </w:drawing>
          </mc:Choice>
          <mc:Fallback>
            <w:pict>
              <v:roundrect id="AutoShape 158" o:spid="_x0000_s1053" style="width:468pt;height:291.2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" fillcolor="#cfc">
                <v:fill opacity="17733f"/>
                <v:textbox style="mso-fit-shape-to-text:t">
                  <w:txbxContent>
                    <w:p w:rsidR="00A3494E" w:rsidRPr="006726F2" w:rsidRDefault="00A3494E" w:rsidP="002E5C2F">
                      <w:pPr>
                        <w:widowControl w:val="0"/>
                        <w:ind w:firstLine="709"/>
                        <w:jc w:val="both"/>
                        <w:rPr>
                          <w:rFonts w:ascii="Calibri" w:hAnsi="Calibri"/>
                          <w:sz w:val="30"/>
                          <w:szCs w:val="30"/>
                        </w:rPr>
                      </w:pPr>
                      <w:r>
                        <w:rPr>
                          <w:rFonts w:ascii="Calibri" w:hAnsi="Calibri"/>
                          <w:sz w:val="30"/>
                          <w:szCs w:val="30"/>
                        </w:rPr>
                        <w:t>Дл</w:t>
                      </w:r>
                      <w:r w:rsidRPr="000B33C3">
                        <w:rPr>
                          <w:rFonts w:ascii="Calibri" w:hAnsi="Calibri"/>
                          <w:sz w:val="30"/>
                          <w:szCs w:val="30"/>
                        </w:rPr>
                        <w:t xml:space="preserve">я совершения быстрых переводов можно воспользоваться услугами систем денежных переводов, таких как Золотая корона, </w:t>
                      </w:r>
                      <w:proofErr w:type="spellStart"/>
                      <w:r w:rsidRPr="000B33C3">
                        <w:rPr>
                          <w:rFonts w:ascii="Calibri" w:hAnsi="Calibri"/>
                          <w:sz w:val="30"/>
                          <w:szCs w:val="30"/>
                        </w:rPr>
                        <w:t>Western</w:t>
                      </w:r>
                      <w:proofErr w:type="spellEnd"/>
                      <w:r w:rsidRPr="000B33C3">
                        <w:rPr>
                          <w:rFonts w:ascii="Calibri" w:hAnsi="Calibri"/>
                          <w:sz w:val="30"/>
                          <w:szCs w:val="30"/>
                        </w:rPr>
                        <w:t xml:space="preserve"> </w:t>
                      </w:r>
                      <w:proofErr w:type="spellStart"/>
                      <w:r w:rsidRPr="000B33C3">
                        <w:rPr>
                          <w:rFonts w:ascii="Calibri" w:hAnsi="Calibri"/>
                          <w:sz w:val="30"/>
                          <w:szCs w:val="30"/>
                        </w:rPr>
                        <w:t>Union</w:t>
                      </w:r>
                      <w:proofErr w:type="spellEnd"/>
                      <w:r w:rsidRPr="000B33C3">
                        <w:rPr>
                          <w:rFonts w:ascii="Calibri" w:hAnsi="Calibri"/>
                          <w:sz w:val="30"/>
                          <w:szCs w:val="30"/>
                        </w:rPr>
                        <w:t xml:space="preserve">, </w:t>
                      </w:r>
                      <w:proofErr w:type="spellStart"/>
                      <w:r w:rsidRPr="000B33C3">
                        <w:rPr>
                          <w:rFonts w:ascii="Calibri" w:hAnsi="Calibri"/>
                          <w:sz w:val="30"/>
                          <w:szCs w:val="30"/>
                        </w:rPr>
                        <w:t>Unistream</w:t>
                      </w:r>
                      <w:proofErr w:type="spellEnd"/>
                      <w:r w:rsidRPr="000B33C3">
                        <w:rPr>
                          <w:rFonts w:ascii="Calibri" w:hAnsi="Calibri"/>
                          <w:sz w:val="30"/>
                          <w:szCs w:val="30"/>
                        </w:rPr>
                        <w:t xml:space="preserve">, </w:t>
                      </w:r>
                      <w:proofErr w:type="spellStart"/>
                      <w:r w:rsidRPr="000B33C3">
                        <w:rPr>
                          <w:rFonts w:ascii="Calibri" w:hAnsi="Calibri"/>
                          <w:sz w:val="30"/>
                          <w:szCs w:val="30"/>
                        </w:rPr>
                        <w:t>Contact</w:t>
                      </w:r>
                      <w:proofErr w:type="spellEnd"/>
                      <w:r w:rsidRPr="000B33C3">
                        <w:rPr>
                          <w:rFonts w:ascii="Calibri" w:hAnsi="Calibri"/>
                          <w:sz w:val="30"/>
                          <w:szCs w:val="30"/>
                        </w:rPr>
                        <w:t xml:space="preserve">, Лидер, </w:t>
                      </w:r>
                      <w:proofErr w:type="spellStart"/>
                      <w:r w:rsidRPr="000B33C3">
                        <w:rPr>
                          <w:rFonts w:ascii="Calibri" w:hAnsi="Calibri"/>
                          <w:sz w:val="30"/>
                          <w:szCs w:val="30"/>
                        </w:rPr>
                        <w:t>Анелик</w:t>
                      </w:r>
                      <w:proofErr w:type="spellEnd"/>
                      <w:r w:rsidRPr="000B33C3">
                        <w:rPr>
                          <w:rFonts w:ascii="Calibri" w:hAnsi="Calibri"/>
                          <w:sz w:val="30"/>
                          <w:szCs w:val="30"/>
                        </w:rPr>
                        <w:t>, Система Всем</w:t>
                      </w:r>
                      <w:r w:rsidRPr="00176F0A">
                        <w:rPr>
                          <w:rFonts w:ascii="Calibri" w:hAnsi="Calibri"/>
                          <w:sz w:val="30"/>
                          <w:szCs w:val="30"/>
                        </w:rPr>
                        <w:t xml:space="preserve">ирного почтового союза, Быстрая Почта, </w:t>
                      </w:r>
                      <w:proofErr w:type="spellStart"/>
                      <w:r w:rsidRPr="00176F0A">
                        <w:rPr>
                          <w:rFonts w:ascii="Calibri" w:hAnsi="Calibri"/>
                          <w:sz w:val="30"/>
                          <w:szCs w:val="30"/>
                        </w:rPr>
                        <w:t>MoneyGram</w:t>
                      </w:r>
                      <w:proofErr w:type="spellEnd"/>
                      <w:r w:rsidRPr="00176F0A">
                        <w:rPr>
                          <w:rFonts w:ascii="Calibri" w:hAnsi="Calibri"/>
                          <w:sz w:val="30"/>
                          <w:szCs w:val="30"/>
                        </w:rPr>
                        <w:t xml:space="preserve">, </w:t>
                      </w:r>
                      <w:proofErr w:type="spellStart"/>
                      <w:r w:rsidRPr="00176F0A">
                        <w:rPr>
                          <w:rFonts w:ascii="Calibri" w:hAnsi="Calibri"/>
                          <w:sz w:val="30"/>
                          <w:szCs w:val="30"/>
                        </w:rPr>
                        <w:t>Faster</w:t>
                      </w:r>
                      <w:proofErr w:type="spellEnd"/>
                      <w:r w:rsidRPr="00176F0A">
                        <w:rPr>
                          <w:rFonts w:ascii="Calibri" w:hAnsi="Calibri"/>
                          <w:sz w:val="30"/>
                          <w:szCs w:val="30"/>
                        </w:rPr>
                        <w:t xml:space="preserve"> и иные. Через данные системы проводятся, как правило, безвозмездные переводы физических лиц. При этом в большинстве случаев  системы денежных переводов используются населением страны для отправки переводов  денег за рубеж (доля отправленных за рубеж переводов денег через указанные системы составила 94,3% от общей </w:t>
                      </w:r>
                      <w:proofErr w:type="gramStart"/>
                      <w:r w:rsidRPr="00176F0A">
                        <w:rPr>
                          <w:rFonts w:ascii="Calibri" w:hAnsi="Calibri"/>
                          <w:sz w:val="30"/>
                          <w:szCs w:val="30"/>
                        </w:rPr>
                        <w:t>суммы</w:t>
                      </w:r>
                      <w:proofErr w:type="gramEnd"/>
                      <w:r w:rsidRPr="00176F0A">
                        <w:rPr>
                          <w:rFonts w:ascii="Calibri" w:hAnsi="Calibri"/>
                          <w:sz w:val="30"/>
                          <w:szCs w:val="30"/>
                        </w:rPr>
                        <w:t xml:space="preserve"> отправленных через системы транзакций). При этом переводы денег из Казахстана по системам денежных переводов значительно превышают поступления (</w:t>
                      </w:r>
                      <w:r>
                        <w:rPr>
                          <w:rFonts w:ascii="Calibri" w:hAnsi="Calibri"/>
                          <w:sz w:val="30"/>
                          <w:szCs w:val="30"/>
                        </w:rPr>
                        <w:t>отрицательная нетто-позиция</w:t>
                      </w:r>
                      <w:r w:rsidRPr="000B33C3">
                        <w:rPr>
                          <w:rFonts w:ascii="Calibri" w:hAnsi="Calibri"/>
                          <w:sz w:val="30"/>
                          <w:szCs w:val="30"/>
                        </w:rPr>
                        <w:t xml:space="preserve"> составил</w:t>
                      </w:r>
                      <w:r>
                        <w:rPr>
                          <w:rFonts w:ascii="Calibri" w:hAnsi="Calibri"/>
                          <w:sz w:val="30"/>
                          <w:szCs w:val="30"/>
                        </w:rPr>
                        <w:t>а</w:t>
                      </w:r>
                      <w:r w:rsidRPr="000B33C3">
                        <w:rPr>
                          <w:rFonts w:ascii="Calibri" w:hAnsi="Calibri"/>
                          <w:sz w:val="30"/>
                          <w:szCs w:val="30"/>
                        </w:rPr>
                        <w:t xml:space="preserve"> 133,7 млрд. тенге).</w:t>
                      </w:r>
                      <w:r w:rsidRPr="006726F2">
                        <w:rPr>
                          <w:rFonts w:ascii="Calibri" w:hAnsi="Calibri"/>
                          <w:sz w:val="30"/>
                          <w:szCs w:val="30"/>
                        </w:rPr>
                        <w:t xml:space="preserve"> </w:t>
                      </w:r>
                    </w:p>
                  </w:txbxContent>
                </v:textbox>
                <w10:anchorlock/>
              </v:roundrect>
            </w:pict>
          </mc:Fallback>
        </mc:AlternateContent>
      </w:r>
      <w:bookmarkEnd w:id="136"/>
      <w:bookmarkEnd w:id="137"/>
    </w:p>
    <w:p w:rsidR="004E7C3A" w:rsidRDefault="004E7C3A" w:rsidP="00C77E3B">
      <w:pPr>
        <w:pStyle w:val="1"/>
        <w:widowControl w:val="0"/>
        <w:tabs>
          <w:tab w:val="left" w:pos="561"/>
        </w:tabs>
        <w:spacing w:before="0" w:after="0" w:line="233" w:lineRule="auto"/>
        <w:ind w:firstLine="720"/>
        <w:jc w:val="center"/>
        <w:rPr>
          <w:rFonts w:ascii="Calibri" w:hAnsi="Calibri"/>
          <w:bCs w:val="0"/>
          <w:snapToGrid w:val="0"/>
          <w:color w:val="0E4C28"/>
          <w:spacing w:val="-2"/>
          <w:kern w:val="0"/>
          <w:sz w:val="36"/>
          <w:szCs w:val="36"/>
        </w:rPr>
        <w:sectPr w:rsidR="004E7C3A" w:rsidSect="0035454E">
          <w:pgSz w:w="11906" w:h="16838"/>
          <w:pgMar w:top="1134" w:right="851" w:bottom="1134" w:left="1701" w:header="709" w:footer="709" w:gutter="0"/>
          <w:cols w:space="708"/>
          <w:docGrid w:linePitch="360"/>
        </w:sectPr>
      </w:pPr>
    </w:p>
    <w:p w:rsidR="00C77E3B" w:rsidRPr="00650980" w:rsidRDefault="00650980" w:rsidP="00650980">
      <w:pPr>
        <w:pStyle w:val="1"/>
        <w:widowControl w:val="0"/>
        <w:tabs>
          <w:tab w:val="left" w:pos="561"/>
        </w:tabs>
        <w:spacing w:before="0" w:after="0" w:line="233" w:lineRule="auto"/>
        <w:jc w:val="center"/>
        <w:rPr>
          <w:rFonts w:ascii="Calibri" w:hAnsi="Calibri"/>
          <w:bCs w:val="0"/>
          <w:snapToGrid w:val="0"/>
          <w:color w:val="0E4C28"/>
          <w:spacing w:val="-2"/>
          <w:kern w:val="0"/>
          <w:sz w:val="36"/>
          <w:szCs w:val="36"/>
        </w:rPr>
      </w:pPr>
      <w:bookmarkStart w:id="138" w:name="_Toc481418209"/>
      <w:r>
        <w:rPr>
          <w:rFonts w:ascii="Calibri" w:hAnsi="Calibri"/>
          <w:bCs w:val="0"/>
          <w:snapToGrid w:val="0"/>
          <w:color w:val="0E4C28"/>
          <w:spacing w:val="-2"/>
          <w:kern w:val="0"/>
          <w:sz w:val="36"/>
          <w:szCs w:val="36"/>
        </w:rPr>
        <w:lastRenderedPageBreak/>
        <w:t xml:space="preserve">РАЗДЕЛ </w:t>
      </w:r>
      <w:r w:rsidR="002E1073">
        <w:rPr>
          <w:rFonts w:ascii="Calibri" w:hAnsi="Calibri"/>
          <w:bCs w:val="0"/>
          <w:snapToGrid w:val="0"/>
          <w:color w:val="0E4C28"/>
          <w:spacing w:val="-2"/>
          <w:kern w:val="0"/>
          <w:sz w:val="36"/>
          <w:szCs w:val="36"/>
        </w:rPr>
        <w:t>5</w:t>
      </w:r>
      <w:r w:rsidR="00C77E3B" w:rsidRPr="00650980">
        <w:rPr>
          <w:rFonts w:ascii="Calibri" w:hAnsi="Calibri"/>
          <w:bCs w:val="0"/>
          <w:snapToGrid w:val="0"/>
          <w:color w:val="0E4C28"/>
          <w:spacing w:val="-2"/>
          <w:kern w:val="0"/>
          <w:sz w:val="36"/>
          <w:szCs w:val="36"/>
        </w:rPr>
        <w:t>. ПЛАТЕЖИ ПО ПРЯМЫМ</w:t>
      </w:r>
      <w:r w:rsidR="00C77E3B" w:rsidRPr="00650980">
        <w:rPr>
          <w:rFonts w:ascii="Calibri" w:hAnsi="Calibri"/>
          <w:bCs w:val="0"/>
          <w:snapToGrid w:val="0"/>
          <w:color w:val="0E4C28"/>
          <w:spacing w:val="-2"/>
          <w:kern w:val="0"/>
          <w:sz w:val="36"/>
          <w:szCs w:val="36"/>
        </w:rPr>
        <w:br/>
        <w:t xml:space="preserve"> КОРРЕСПОНДЕНТСКИМ СЧЕТАМ</w:t>
      </w:r>
      <w:bookmarkEnd w:id="138"/>
    </w:p>
    <w:p w:rsidR="00C77E3B" w:rsidRPr="009B3B2D" w:rsidRDefault="00C77E3B" w:rsidP="00C77E3B">
      <w:pPr>
        <w:ind w:firstLine="709"/>
        <w:jc w:val="both"/>
        <w:rPr>
          <w:rFonts w:ascii="Calibri" w:hAnsi="Calibri" w:cs="Arial"/>
          <w:sz w:val="10"/>
          <w:szCs w:val="30"/>
        </w:rPr>
      </w:pPr>
    </w:p>
    <w:p w:rsidR="00C77E3B" w:rsidRPr="00176F0A" w:rsidRDefault="00C77E3B" w:rsidP="00C77E3B">
      <w:pPr>
        <w:ind w:firstLine="709"/>
        <w:jc w:val="both"/>
        <w:rPr>
          <w:rFonts w:ascii="Calibri" w:hAnsi="Calibri" w:cs="Calibri"/>
          <w:sz w:val="30"/>
          <w:szCs w:val="30"/>
        </w:rPr>
      </w:pPr>
      <w:r w:rsidRPr="00015E28">
        <w:rPr>
          <w:rFonts w:ascii="Calibri" w:hAnsi="Calibri" w:cs="Calibri"/>
          <w:sz w:val="30"/>
          <w:szCs w:val="30"/>
        </w:rPr>
        <w:t xml:space="preserve">Банки и организации, осуществляющие отдельные виды банковских операций, также могут проводить платежи и через прямые корреспондентские счета, открытые между ними. </w:t>
      </w:r>
      <w:r w:rsidR="00B85DB3">
        <w:rPr>
          <w:rFonts w:ascii="Calibri" w:hAnsi="Calibri" w:cs="Calibri"/>
          <w:sz w:val="30"/>
          <w:szCs w:val="30"/>
        </w:rPr>
        <w:t xml:space="preserve"> </w:t>
      </w:r>
      <w:hyperlink r:id="rId61" w:anchor="YANDEX_81" w:history="1"/>
      <w:proofErr w:type="gramStart"/>
      <w:r w:rsidRPr="00015E28">
        <w:rPr>
          <w:rFonts w:ascii="Calibri" w:hAnsi="Calibri" w:cs="Calibri"/>
          <w:sz w:val="30"/>
          <w:szCs w:val="30"/>
        </w:rPr>
        <w:t xml:space="preserve">Прямые </w:t>
      </w:r>
      <w:hyperlink r:id="rId62" w:anchor="YANDEX_83" w:history="1"/>
      <w:bookmarkStart w:id="139" w:name="YANDEX_83"/>
      <w:bookmarkEnd w:id="139"/>
      <w:r w:rsidRPr="00015E28">
        <w:rPr>
          <w:rFonts w:ascii="Calibri" w:hAnsi="Calibri" w:cs="Calibri"/>
          <w:sz w:val="30"/>
          <w:szCs w:val="30"/>
        </w:rPr>
        <w:fldChar w:fldCharType="begin"/>
      </w:r>
      <w:r w:rsidRPr="00015E28">
        <w:rPr>
          <w:rFonts w:ascii="Calibri" w:hAnsi="Calibri" w:cs="Calibri"/>
          <w:sz w:val="30"/>
          <w:szCs w:val="30"/>
        </w:rPr>
        <w:instrText xml:space="preserve"> HYPERLINK "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 \l "YANDEX_82" </w:instrText>
      </w:r>
      <w:r w:rsidRPr="00015E28">
        <w:rPr>
          <w:rFonts w:ascii="Calibri" w:hAnsi="Calibri" w:cs="Calibri"/>
          <w:sz w:val="30"/>
          <w:szCs w:val="30"/>
        </w:rPr>
        <w:fldChar w:fldCharType="end"/>
      </w:r>
      <w:r w:rsidRPr="00015E28">
        <w:rPr>
          <w:rFonts w:ascii="Calibri" w:hAnsi="Calibri" w:cs="Calibri"/>
          <w:sz w:val="30"/>
          <w:szCs w:val="30"/>
        </w:rPr>
        <w:t xml:space="preserve">корреспондентские </w:t>
      </w:r>
      <w:hyperlink r:id="rId63" w:anchor="YANDEX_84" w:history="1"/>
      <w:bookmarkStart w:id="140" w:name="YANDEX_84"/>
      <w:bookmarkEnd w:id="140"/>
      <w:r w:rsidRPr="00015E28">
        <w:rPr>
          <w:rFonts w:ascii="Calibri" w:hAnsi="Calibri" w:cs="Calibri"/>
          <w:sz w:val="30"/>
          <w:szCs w:val="30"/>
        </w:rPr>
        <w:fldChar w:fldCharType="begin"/>
      </w:r>
      <w:r w:rsidRPr="00015E28">
        <w:rPr>
          <w:rFonts w:ascii="Calibri" w:hAnsi="Calibri" w:cs="Calibri"/>
          <w:sz w:val="30"/>
          <w:szCs w:val="30"/>
        </w:rPr>
        <w:instrText xml:space="preserve"> HYPERLINK "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 \l "YANDEX_83" </w:instrText>
      </w:r>
      <w:r w:rsidRPr="00015E28">
        <w:rPr>
          <w:rFonts w:ascii="Calibri" w:hAnsi="Calibri" w:cs="Calibri"/>
          <w:sz w:val="30"/>
          <w:szCs w:val="30"/>
        </w:rPr>
        <w:fldChar w:fldCharType="end"/>
      </w:r>
      <w:r w:rsidRPr="00015E28">
        <w:rPr>
          <w:rFonts w:ascii="Calibri" w:hAnsi="Calibri" w:cs="Calibri"/>
          <w:sz w:val="30"/>
          <w:szCs w:val="30"/>
        </w:rPr>
        <w:t>отношения</w:t>
      </w:r>
      <w:proofErr w:type="gramEnd"/>
      <w:r w:rsidRPr="005D2373">
        <w:rPr>
          <w:rFonts w:ascii="Calibri" w:hAnsi="Calibri" w:cs="Calibri"/>
          <w:sz w:val="30"/>
          <w:szCs w:val="30"/>
        </w:rPr>
        <w:fldChar w:fldCharType="begin"/>
      </w:r>
      <w:r w:rsidRPr="005D2373">
        <w:rPr>
          <w:rFonts w:ascii="Calibri" w:hAnsi="Calibri" w:cs="Calibri"/>
          <w:sz w:val="30"/>
          <w:szCs w:val="30"/>
        </w:rPr>
        <w:instrText xml:space="preserve"> HYPERLINK "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 \l "YANDEX_85" </w:instrText>
      </w:r>
      <w:r w:rsidRPr="005D2373">
        <w:rPr>
          <w:rFonts w:ascii="Calibri" w:hAnsi="Calibri" w:cs="Calibri"/>
          <w:sz w:val="30"/>
          <w:szCs w:val="30"/>
        </w:rPr>
        <w:fldChar w:fldCharType="end"/>
      </w:r>
      <w:r w:rsidRPr="00015E28">
        <w:rPr>
          <w:rFonts w:ascii="Calibri" w:hAnsi="Calibri" w:cs="Calibri"/>
          <w:sz w:val="30"/>
          <w:szCs w:val="30"/>
        </w:rPr>
        <w:t xml:space="preserve"> представляют собой договорные отношения между банками, а также между банками и небанковскими организациями, возникающие при открытии корреспондентских счетов между ними с целью совершения операций, связанных с осуществле</w:t>
      </w:r>
      <w:r w:rsidRPr="00176F0A">
        <w:rPr>
          <w:rFonts w:ascii="Calibri" w:hAnsi="Calibri" w:cs="Calibri"/>
          <w:sz w:val="30"/>
          <w:szCs w:val="30"/>
        </w:rPr>
        <w:t xml:space="preserve">нием банковского обслуживания, предусмотренного договором корреспондентского счета и законодательством Республики Казахстан. </w:t>
      </w:r>
    </w:p>
    <w:p w:rsidR="00C77E3B" w:rsidRPr="00015E28" w:rsidRDefault="00C77E3B" w:rsidP="00C77E3B">
      <w:pPr>
        <w:ind w:firstLine="561"/>
        <w:jc w:val="both"/>
        <w:rPr>
          <w:rFonts w:ascii="Calibri" w:hAnsi="Calibri" w:cs="Calibri"/>
          <w:sz w:val="30"/>
          <w:szCs w:val="30"/>
        </w:rPr>
      </w:pPr>
      <w:bookmarkStart w:id="141" w:name="YANDEX_82"/>
      <w:bookmarkEnd w:id="141"/>
      <w:r w:rsidRPr="00176F0A">
        <w:rPr>
          <w:rFonts w:ascii="Calibri" w:hAnsi="Calibri" w:cs="Calibri"/>
          <w:sz w:val="30"/>
          <w:szCs w:val="30"/>
        </w:rPr>
        <w:t xml:space="preserve">Общий объем </w:t>
      </w:r>
      <w:r w:rsidR="009B3B2D" w:rsidRPr="00176F0A">
        <w:rPr>
          <w:rFonts w:ascii="Calibri" w:hAnsi="Calibri" w:cs="Calibri"/>
          <w:sz w:val="30"/>
          <w:szCs w:val="30"/>
        </w:rPr>
        <w:t xml:space="preserve">платежей и </w:t>
      </w:r>
      <w:r w:rsidRPr="00176F0A">
        <w:rPr>
          <w:rFonts w:ascii="Calibri" w:hAnsi="Calibri" w:cs="Calibri"/>
          <w:sz w:val="30"/>
          <w:szCs w:val="30"/>
        </w:rPr>
        <w:t xml:space="preserve">переводов денег по корреспондентским счетам банков (отправленные как по Казахстану, так и за рубеж) составил </w:t>
      </w:r>
      <w:r w:rsidRPr="00176F0A">
        <w:rPr>
          <w:rFonts w:ascii="Calibri" w:hAnsi="Calibri" w:cs="Calibri"/>
          <w:b/>
          <w:sz w:val="30"/>
          <w:szCs w:val="30"/>
        </w:rPr>
        <w:t>в 2016 году 9</w:t>
      </w:r>
      <w:r w:rsidR="0093063F" w:rsidRPr="00176F0A">
        <w:rPr>
          <w:rFonts w:ascii="Calibri" w:hAnsi="Calibri" w:cs="Calibri"/>
          <w:b/>
          <w:sz w:val="30"/>
          <w:szCs w:val="30"/>
        </w:rPr>
        <w:t> 200,6</w:t>
      </w:r>
      <w:r w:rsidRPr="00176F0A">
        <w:rPr>
          <w:rFonts w:ascii="Calibri" w:hAnsi="Calibri" w:cs="Calibri"/>
          <w:b/>
          <w:sz w:val="30"/>
          <w:szCs w:val="30"/>
        </w:rPr>
        <w:t xml:space="preserve"> тыс. транзакций на сумму 2</w:t>
      </w:r>
      <w:r w:rsidR="0093063F" w:rsidRPr="00176F0A">
        <w:rPr>
          <w:rFonts w:ascii="Calibri" w:hAnsi="Calibri" w:cs="Calibri"/>
          <w:b/>
          <w:sz w:val="30"/>
          <w:szCs w:val="30"/>
        </w:rPr>
        <w:t>29,9</w:t>
      </w:r>
      <w:r w:rsidRPr="00176F0A">
        <w:rPr>
          <w:rFonts w:ascii="Calibri" w:hAnsi="Calibri" w:cs="Calibri"/>
          <w:b/>
          <w:sz w:val="30"/>
          <w:szCs w:val="30"/>
        </w:rPr>
        <w:t xml:space="preserve"> </w:t>
      </w:r>
      <w:r w:rsidR="002E5C2F" w:rsidRPr="00176F0A">
        <w:rPr>
          <w:rFonts w:ascii="Calibri" w:hAnsi="Calibri" w:cs="Calibri"/>
          <w:b/>
          <w:sz w:val="30"/>
          <w:szCs w:val="30"/>
        </w:rPr>
        <w:t>трлн</w:t>
      </w:r>
      <w:r w:rsidRPr="00176F0A">
        <w:rPr>
          <w:rFonts w:ascii="Calibri" w:hAnsi="Calibri" w:cs="Calibri"/>
          <w:b/>
          <w:sz w:val="30"/>
          <w:szCs w:val="30"/>
        </w:rPr>
        <w:t>. тенге</w:t>
      </w:r>
      <w:r w:rsidRPr="00176F0A">
        <w:rPr>
          <w:rFonts w:ascii="Calibri" w:hAnsi="Calibri" w:cs="Calibri"/>
          <w:sz w:val="30"/>
          <w:szCs w:val="30"/>
        </w:rPr>
        <w:t>.</w:t>
      </w:r>
      <w:r w:rsidRPr="00015E28">
        <w:rPr>
          <w:rFonts w:ascii="Calibri" w:hAnsi="Calibri" w:cs="Calibri"/>
          <w:sz w:val="30"/>
          <w:szCs w:val="30"/>
        </w:rPr>
        <w:t xml:space="preserve"> </w:t>
      </w:r>
    </w:p>
    <w:p w:rsidR="006E2AC8" w:rsidRDefault="006E2AC8" w:rsidP="00C77E3B">
      <w:pPr>
        <w:widowControl w:val="0"/>
        <w:jc w:val="center"/>
        <w:rPr>
          <w:rFonts w:ascii="Calibri" w:hAnsi="Calibri" w:cs="Calibri"/>
          <w:b/>
          <w:color w:val="0E4C28"/>
          <w:sz w:val="30"/>
          <w:szCs w:val="30"/>
        </w:rPr>
      </w:pPr>
    </w:p>
    <w:p w:rsidR="00C77E3B" w:rsidRDefault="00C77E3B" w:rsidP="00C77E3B">
      <w:pPr>
        <w:widowControl w:val="0"/>
        <w:jc w:val="center"/>
        <w:rPr>
          <w:rFonts w:ascii="Calibri" w:hAnsi="Calibri" w:cs="Calibri"/>
          <w:b/>
          <w:color w:val="0E4C28"/>
          <w:sz w:val="30"/>
          <w:szCs w:val="30"/>
        </w:rPr>
      </w:pPr>
      <w:r w:rsidRPr="00015E28">
        <w:rPr>
          <w:rFonts w:ascii="Calibri" w:hAnsi="Calibri" w:cs="Calibri"/>
          <w:b/>
          <w:color w:val="0E4C28"/>
          <w:sz w:val="30"/>
          <w:szCs w:val="30"/>
        </w:rPr>
        <w:t xml:space="preserve">Объемы платежей </w:t>
      </w:r>
      <w:r w:rsidR="009B3B2D">
        <w:rPr>
          <w:rFonts w:ascii="Calibri" w:hAnsi="Calibri" w:cs="Calibri"/>
          <w:b/>
          <w:color w:val="0E4C28"/>
          <w:sz w:val="30"/>
          <w:szCs w:val="30"/>
        </w:rPr>
        <w:t xml:space="preserve">и переводов денег </w:t>
      </w:r>
      <w:r w:rsidRPr="00015E28">
        <w:rPr>
          <w:rFonts w:ascii="Calibri" w:hAnsi="Calibri" w:cs="Calibri"/>
          <w:b/>
          <w:color w:val="0E4C28"/>
          <w:sz w:val="30"/>
          <w:szCs w:val="30"/>
        </w:rPr>
        <w:t>через системы</w:t>
      </w:r>
    </w:p>
    <w:p w:rsidR="00C77E3B" w:rsidRDefault="00C77E3B" w:rsidP="00C77E3B">
      <w:pPr>
        <w:widowControl w:val="0"/>
        <w:jc w:val="center"/>
        <w:rPr>
          <w:rFonts w:ascii="Calibri" w:hAnsi="Calibri" w:cs="Calibri"/>
          <w:b/>
          <w:color w:val="0E4C28"/>
          <w:sz w:val="30"/>
          <w:szCs w:val="30"/>
        </w:rPr>
      </w:pPr>
      <w:r w:rsidRPr="00015E28">
        <w:rPr>
          <w:rFonts w:ascii="Calibri" w:hAnsi="Calibri" w:cs="Calibri"/>
          <w:b/>
          <w:color w:val="0E4C28"/>
          <w:sz w:val="30"/>
          <w:szCs w:val="30"/>
        </w:rPr>
        <w:t xml:space="preserve"> корреспондентских отношений между банками</w:t>
      </w:r>
    </w:p>
    <w:p w:rsidR="00C77E3B" w:rsidRPr="00015E28" w:rsidRDefault="00B41594" w:rsidP="00C77E3B">
      <w:pPr>
        <w:autoSpaceDE w:val="0"/>
        <w:autoSpaceDN w:val="0"/>
        <w:adjustRightInd w:val="0"/>
        <w:jc w:val="both"/>
        <w:rPr>
          <w:rFonts w:ascii="Calibri" w:hAnsi="Calibri" w:cs="Arial"/>
          <w:sz w:val="30"/>
          <w:szCs w:val="30"/>
        </w:rPr>
      </w:pPr>
      <w:r>
        <w:rPr>
          <w:rFonts w:ascii="Calibri" w:hAnsi="Calibri"/>
          <w:noProof/>
          <w:color w:val="0E4C28"/>
          <w:sz w:val="28"/>
          <w:szCs w:val="28"/>
        </w:rPr>
        <w:drawing>
          <wp:inline distT="0" distB="0" distL="0" distR="0" wp14:anchorId="3BB71AF1" wp14:editId="7A916BA2">
            <wp:extent cx="2941320" cy="1893570"/>
            <wp:effectExtent l="0" t="0" r="0" b="0"/>
            <wp:docPr id="45" name="Объект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5E3FFC">
        <w:rPr>
          <w:rFonts w:ascii="Calibri" w:hAnsi="Calibri"/>
          <w:noProof/>
          <w:color w:val="0E4C28"/>
          <w:sz w:val="20"/>
          <w:szCs w:val="20"/>
        </w:rPr>
        <w:drawing>
          <wp:inline distT="0" distB="0" distL="0" distR="0" wp14:anchorId="37DB2F1F" wp14:editId="6EAB891B">
            <wp:extent cx="2994660" cy="1889760"/>
            <wp:effectExtent l="0" t="0" r="0" b="0"/>
            <wp:docPr id="46" name="Объект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bl>
      <w:tblPr>
        <w:tblW w:w="9997" w:type="dxa"/>
        <w:tblLook w:val="04A0" w:firstRow="1" w:lastRow="0" w:firstColumn="1" w:lastColumn="0" w:noHBand="0" w:noVBand="1"/>
      </w:tblPr>
      <w:tblGrid>
        <w:gridCol w:w="4968"/>
        <w:gridCol w:w="5029"/>
      </w:tblGrid>
      <w:tr w:rsidR="00C77E3B" w:rsidRPr="005B7922" w:rsidTr="005E3FFC">
        <w:tc>
          <w:tcPr>
            <w:tcW w:w="4968" w:type="dxa"/>
            <w:shd w:val="clear" w:color="auto" w:fill="auto"/>
          </w:tcPr>
          <w:p w:rsidR="005E3FFC" w:rsidRDefault="00C77E3B" w:rsidP="005E3FFC">
            <w:pPr>
              <w:ind w:firstLine="720"/>
              <w:jc w:val="both"/>
              <w:rPr>
                <w:rFonts w:ascii="Calibri" w:hAnsi="Calibri" w:cs="Calibri"/>
                <w:sz w:val="30"/>
                <w:szCs w:val="30"/>
              </w:rPr>
            </w:pPr>
            <w:r w:rsidRPr="005B7922">
              <w:rPr>
                <w:rFonts w:ascii="Calibri" w:hAnsi="Calibri" w:cs="Calibri"/>
                <w:sz w:val="30"/>
                <w:szCs w:val="30"/>
              </w:rPr>
              <w:t xml:space="preserve">При этом объем платежей и переводов денег, проведенных через корреспондентские счета </w:t>
            </w:r>
            <w:r w:rsidRPr="005B7922">
              <w:rPr>
                <w:rFonts w:ascii="Calibri" w:hAnsi="Calibri" w:cs="Calibri"/>
                <w:b/>
                <w:sz w:val="30"/>
                <w:szCs w:val="30"/>
              </w:rPr>
              <w:t>на территории Казахстана, составил 6,</w:t>
            </w:r>
            <w:r w:rsidR="0093063F">
              <w:rPr>
                <w:rFonts w:ascii="Calibri" w:hAnsi="Calibri" w:cs="Calibri"/>
                <w:b/>
                <w:sz w:val="30"/>
                <w:szCs w:val="30"/>
              </w:rPr>
              <w:t>5</w:t>
            </w:r>
            <w:r w:rsidRPr="005B7922">
              <w:rPr>
                <w:rFonts w:ascii="Calibri" w:hAnsi="Calibri" w:cs="Calibri"/>
                <w:b/>
                <w:sz w:val="30"/>
                <w:szCs w:val="30"/>
              </w:rPr>
              <w:t xml:space="preserve"> млн. транзакций на сумму 18,</w:t>
            </w:r>
            <w:r w:rsidR="0093063F">
              <w:rPr>
                <w:rFonts w:ascii="Calibri" w:hAnsi="Calibri" w:cs="Calibri"/>
                <w:b/>
                <w:sz w:val="30"/>
                <w:szCs w:val="30"/>
              </w:rPr>
              <w:t>3</w:t>
            </w:r>
            <w:r w:rsidRPr="005B7922">
              <w:rPr>
                <w:rFonts w:ascii="Calibri" w:hAnsi="Calibri" w:cs="Calibri"/>
                <w:b/>
                <w:sz w:val="30"/>
                <w:szCs w:val="30"/>
              </w:rPr>
              <w:t xml:space="preserve"> трлн. тенге</w:t>
            </w:r>
            <w:r w:rsidRPr="005B7922">
              <w:rPr>
                <w:rFonts w:ascii="Calibri" w:hAnsi="Calibri" w:cs="Calibri"/>
                <w:sz w:val="30"/>
                <w:szCs w:val="30"/>
              </w:rPr>
              <w:t xml:space="preserve">. </w:t>
            </w:r>
            <w:r w:rsidR="005E3FFC">
              <w:rPr>
                <w:rFonts w:ascii="Calibri" w:hAnsi="Calibri" w:cs="Calibri"/>
                <w:sz w:val="30"/>
                <w:szCs w:val="30"/>
              </w:rPr>
              <w:t xml:space="preserve"> </w:t>
            </w:r>
          </w:p>
          <w:p w:rsidR="00C77E3B" w:rsidRPr="005B7922" w:rsidRDefault="00C77E3B" w:rsidP="005E3FFC">
            <w:pPr>
              <w:ind w:firstLine="720"/>
              <w:jc w:val="both"/>
              <w:rPr>
                <w:rFonts w:ascii="Calibri" w:hAnsi="Calibri" w:cs="Calibri"/>
                <w:sz w:val="30"/>
                <w:szCs w:val="30"/>
              </w:rPr>
            </w:pPr>
            <w:r w:rsidRPr="005B7922">
              <w:rPr>
                <w:rFonts w:ascii="Calibri" w:hAnsi="Calibri" w:cs="Calibri"/>
                <w:sz w:val="30"/>
                <w:szCs w:val="30"/>
              </w:rPr>
              <w:t>Основная доля платежей</w:t>
            </w:r>
            <w:r w:rsidR="009B3B2D">
              <w:rPr>
                <w:rFonts w:ascii="Calibri" w:hAnsi="Calibri" w:cs="Calibri"/>
                <w:sz w:val="30"/>
                <w:szCs w:val="30"/>
              </w:rPr>
              <w:t xml:space="preserve"> и переводов денег</w:t>
            </w:r>
            <w:r w:rsidRPr="005B7922">
              <w:rPr>
                <w:rFonts w:ascii="Calibri" w:hAnsi="Calibri" w:cs="Calibri"/>
                <w:sz w:val="30"/>
                <w:szCs w:val="30"/>
              </w:rPr>
              <w:t>, проводимых через корреспондентские счета по Казахстану, приходится на доллары США (</w:t>
            </w:r>
            <w:r w:rsidR="0093063F">
              <w:rPr>
                <w:rFonts w:ascii="Calibri" w:hAnsi="Calibri" w:cs="Calibri"/>
                <w:sz w:val="30"/>
                <w:szCs w:val="30"/>
              </w:rPr>
              <w:t>62</w:t>
            </w:r>
            <w:r w:rsidRPr="005B7922">
              <w:rPr>
                <w:rFonts w:ascii="Calibri" w:hAnsi="Calibri" w:cs="Calibri"/>
                <w:sz w:val="30"/>
                <w:szCs w:val="30"/>
              </w:rPr>
              <w:t>%) и тенге (</w:t>
            </w:r>
            <w:r w:rsidR="0093063F">
              <w:rPr>
                <w:rFonts w:ascii="Calibri" w:hAnsi="Calibri" w:cs="Calibri"/>
                <w:sz w:val="30"/>
                <w:szCs w:val="30"/>
              </w:rPr>
              <w:t>33,6</w:t>
            </w:r>
            <w:r w:rsidRPr="005B7922">
              <w:rPr>
                <w:rFonts w:ascii="Calibri" w:hAnsi="Calibri" w:cs="Calibri"/>
                <w:sz w:val="30"/>
                <w:szCs w:val="30"/>
              </w:rPr>
              <w:t>%).</w:t>
            </w:r>
          </w:p>
        </w:tc>
        <w:tc>
          <w:tcPr>
            <w:tcW w:w="5029" w:type="dxa"/>
            <w:shd w:val="clear" w:color="auto" w:fill="auto"/>
          </w:tcPr>
          <w:p w:rsidR="00C77E3B" w:rsidRPr="00650980" w:rsidRDefault="00C77E3B" w:rsidP="00BC1404">
            <w:pPr>
              <w:jc w:val="center"/>
              <w:rPr>
                <w:rFonts w:ascii="Calibri" w:hAnsi="Calibri" w:cs="Arial"/>
                <w:b/>
                <w:color w:val="0E4C28"/>
                <w:sz w:val="28"/>
                <w:szCs w:val="28"/>
              </w:rPr>
            </w:pPr>
            <w:r w:rsidRPr="00650980">
              <w:rPr>
                <w:rFonts w:ascii="Calibri" w:hAnsi="Calibri" w:cs="Arial"/>
                <w:b/>
                <w:color w:val="0E4C28"/>
                <w:sz w:val="28"/>
                <w:szCs w:val="28"/>
              </w:rPr>
              <w:t xml:space="preserve">Доля от общей суммы </w:t>
            </w:r>
          </w:p>
          <w:p w:rsidR="00C77E3B" w:rsidRPr="00650980" w:rsidRDefault="00C77E3B" w:rsidP="00BC1404">
            <w:pPr>
              <w:jc w:val="center"/>
              <w:rPr>
                <w:rFonts w:ascii="Calibri" w:hAnsi="Calibri" w:cs="Arial"/>
                <w:b/>
                <w:color w:val="0E4C28"/>
                <w:sz w:val="28"/>
                <w:szCs w:val="28"/>
              </w:rPr>
            </w:pPr>
            <w:r w:rsidRPr="00650980">
              <w:rPr>
                <w:rFonts w:ascii="Calibri" w:hAnsi="Calibri" w:cs="Arial"/>
                <w:b/>
                <w:color w:val="0E4C28"/>
                <w:sz w:val="28"/>
                <w:szCs w:val="28"/>
              </w:rPr>
              <w:t>отправленных по Казахстану платежей</w:t>
            </w:r>
            <w:r w:rsidR="009B3B2D">
              <w:rPr>
                <w:rFonts w:ascii="Calibri" w:hAnsi="Calibri" w:cs="Arial"/>
                <w:b/>
                <w:color w:val="0E4C28"/>
                <w:sz w:val="28"/>
                <w:szCs w:val="28"/>
              </w:rPr>
              <w:t xml:space="preserve"> и переводов денег </w:t>
            </w:r>
            <w:r w:rsidRPr="00650980">
              <w:rPr>
                <w:rFonts w:ascii="Calibri" w:hAnsi="Calibri" w:cs="Arial"/>
                <w:b/>
                <w:color w:val="0E4C28"/>
                <w:sz w:val="28"/>
                <w:szCs w:val="28"/>
              </w:rPr>
              <w:t xml:space="preserve"> </w:t>
            </w:r>
          </w:p>
          <w:p w:rsidR="00C77E3B" w:rsidRPr="005B7922" w:rsidRDefault="00B41594" w:rsidP="00BC1404">
            <w:pPr>
              <w:jc w:val="both"/>
              <w:rPr>
                <w:rFonts w:ascii="Calibri" w:hAnsi="Calibri" w:cs="Calibri"/>
                <w:sz w:val="30"/>
                <w:szCs w:val="30"/>
              </w:rPr>
            </w:pPr>
            <w:r>
              <w:rPr>
                <w:rFonts w:ascii="Calibri" w:hAnsi="Calibri" w:cs="Calibri"/>
                <w:b/>
                <w:noProof/>
              </w:rPr>
              <w:drawing>
                <wp:inline distT="0" distB="0" distL="0" distR="0" wp14:anchorId="45B7D0A3" wp14:editId="37CBD269">
                  <wp:extent cx="2735580" cy="1985010"/>
                  <wp:effectExtent l="0" t="0" r="45720" b="0"/>
                  <wp:docPr id="47" name="Объект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r>
    </w:tbl>
    <w:p w:rsidR="00C77E3B" w:rsidRPr="009B3B2D" w:rsidRDefault="009B3B2D" w:rsidP="00C77E3B">
      <w:pPr>
        <w:ind w:firstLine="709"/>
        <w:jc w:val="both"/>
        <w:rPr>
          <w:rFonts w:ascii="Calibri" w:hAnsi="Calibri" w:cs="Calibri"/>
          <w:spacing w:val="-2"/>
          <w:sz w:val="30"/>
          <w:szCs w:val="30"/>
        </w:rPr>
      </w:pPr>
      <w:r w:rsidRPr="009B3B2D">
        <w:rPr>
          <w:rFonts w:ascii="Calibri" w:hAnsi="Calibri" w:cs="Calibri"/>
          <w:spacing w:val="-2"/>
          <w:sz w:val="30"/>
          <w:szCs w:val="30"/>
        </w:rPr>
        <w:lastRenderedPageBreak/>
        <w:t>П</w:t>
      </w:r>
      <w:r w:rsidR="00C77E3B" w:rsidRPr="009B3B2D">
        <w:rPr>
          <w:rFonts w:ascii="Calibri" w:hAnsi="Calibri" w:cs="Calibri"/>
          <w:spacing w:val="-2"/>
          <w:sz w:val="30"/>
          <w:szCs w:val="30"/>
        </w:rPr>
        <w:t xml:space="preserve">о Казахстану через прямые корреспондентские счета проводятся в основном платежи </w:t>
      </w:r>
      <w:r w:rsidRPr="009B3B2D">
        <w:rPr>
          <w:rFonts w:ascii="Calibri" w:hAnsi="Calibri" w:cs="Calibri"/>
          <w:spacing w:val="-2"/>
          <w:sz w:val="30"/>
          <w:szCs w:val="30"/>
        </w:rPr>
        <w:t xml:space="preserve">по операциям </w:t>
      </w:r>
      <w:r w:rsidR="00C77E3B" w:rsidRPr="009B3B2D">
        <w:rPr>
          <w:rFonts w:ascii="Calibri" w:hAnsi="Calibri" w:cs="Calibri"/>
          <w:spacing w:val="-2"/>
          <w:sz w:val="30"/>
          <w:szCs w:val="30"/>
        </w:rPr>
        <w:t>с депозитами и перевод</w:t>
      </w:r>
      <w:r w:rsidRPr="009B3B2D">
        <w:rPr>
          <w:rFonts w:ascii="Calibri" w:hAnsi="Calibri" w:cs="Calibri"/>
          <w:spacing w:val="-2"/>
          <w:sz w:val="30"/>
          <w:szCs w:val="30"/>
        </w:rPr>
        <w:t>ы</w:t>
      </w:r>
      <w:r w:rsidR="00C77E3B" w:rsidRPr="009B3B2D">
        <w:rPr>
          <w:rFonts w:ascii="Calibri" w:hAnsi="Calibri" w:cs="Calibri"/>
          <w:spacing w:val="-2"/>
          <w:sz w:val="30"/>
          <w:szCs w:val="30"/>
        </w:rPr>
        <w:t xml:space="preserve"> собственных средств банков и их клиентов (доля 4</w:t>
      </w:r>
      <w:r w:rsidR="007009F7" w:rsidRPr="009B3B2D">
        <w:rPr>
          <w:rFonts w:ascii="Calibri" w:hAnsi="Calibri" w:cs="Calibri"/>
          <w:spacing w:val="-2"/>
          <w:sz w:val="30"/>
          <w:szCs w:val="30"/>
        </w:rPr>
        <w:t>4,1</w:t>
      </w:r>
      <w:r w:rsidR="00C77E3B" w:rsidRPr="009B3B2D">
        <w:rPr>
          <w:rFonts w:ascii="Calibri" w:hAnsi="Calibri" w:cs="Calibri"/>
          <w:spacing w:val="-2"/>
          <w:sz w:val="30"/>
          <w:szCs w:val="30"/>
        </w:rPr>
        <w:t xml:space="preserve">%), </w:t>
      </w:r>
      <w:r w:rsidRPr="009B3B2D">
        <w:rPr>
          <w:rFonts w:ascii="Calibri" w:hAnsi="Calibri" w:cs="Calibri"/>
          <w:spacing w:val="-2"/>
          <w:sz w:val="30"/>
          <w:szCs w:val="30"/>
        </w:rPr>
        <w:t xml:space="preserve">платежи по операциям </w:t>
      </w:r>
      <w:r w:rsidR="00C77E3B" w:rsidRPr="009B3B2D">
        <w:rPr>
          <w:rFonts w:ascii="Calibri" w:hAnsi="Calibri" w:cs="Calibri"/>
          <w:spacing w:val="-2"/>
          <w:sz w:val="30"/>
          <w:szCs w:val="30"/>
        </w:rPr>
        <w:t>с иностранной валютой и драгоценными металлами (доля 22</w:t>
      </w:r>
      <w:r w:rsidR="007009F7" w:rsidRPr="009B3B2D">
        <w:rPr>
          <w:rFonts w:ascii="Calibri" w:hAnsi="Calibri" w:cs="Calibri"/>
          <w:spacing w:val="-2"/>
          <w:sz w:val="30"/>
          <w:szCs w:val="30"/>
        </w:rPr>
        <w:t>,2</w:t>
      </w:r>
      <w:r w:rsidR="00C77E3B" w:rsidRPr="009B3B2D">
        <w:rPr>
          <w:rFonts w:ascii="Calibri" w:hAnsi="Calibri" w:cs="Calibri"/>
          <w:spacing w:val="-2"/>
          <w:sz w:val="30"/>
          <w:szCs w:val="30"/>
        </w:rPr>
        <w:t xml:space="preserve">%). </w:t>
      </w:r>
    </w:p>
    <w:p w:rsidR="006E2AC8" w:rsidRDefault="006E2AC8" w:rsidP="009B3B2D">
      <w:pPr>
        <w:ind w:firstLine="709"/>
        <w:jc w:val="center"/>
        <w:rPr>
          <w:rFonts w:ascii="Calibri" w:hAnsi="Calibri" w:cs="Calibri"/>
          <w:b/>
          <w:color w:val="0E4C28"/>
          <w:sz w:val="30"/>
          <w:szCs w:val="30"/>
        </w:rPr>
      </w:pPr>
    </w:p>
    <w:p w:rsidR="00C77E3B" w:rsidRPr="00F07056" w:rsidRDefault="00C77E3B" w:rsidP="009B3B2D">
      <w:pPr>
        <w:ind w:firstLine="709"/>
        <w:jc w:val="center"/>
        <w:rPr>
          <w:rFonts w:ascii="Calibri" w:hAnsi="Calibri" w:cs="Calibri"/>
          <w:b/>
          <w:color w:val="0E4C28"/>
          <w:sz w:val="30"/>
          <w:szCs w:val="30"/>
        </w:rPr>
      </w:pPr>
      <w:r w:rsidRPr="00F07056">
        <w:rPr>
          <w:rFonts w:ascii="Calibri" w:hAnsi="Calibri" w:cs="Calibri"/>
          <w:b/>
          <w:color w:val="0E4C28"/>
          <w:sz w:val="30"/>
          <w:szCs w:val="30"/>
        </w:rPr>
        <w:t>Объемы платежей</w:t>
      </w:r>
      <w:r w:rsidR="009B3B2D">
        <w:rPr>
          <w:rFonts w:ascii="Calibri" w:hAnsi="Calibri" w:cs="Calibri"/>
          <w:b/>
          <w:color w:val="0E4C28"/>
          <w:sz w:val="30"/>
          <w:szCs w:val="30"/>
        </w:rPr>
        <w:t xml:space="preserve"> и переводов денег </w:t>
      </w:r>
      <w:r w:rsidRPr="00F07056">
        <w:rPr>
          <w:rFonts w:ascii="Calibri" w:hAnsi="Calibri" w:cs="Calibri"/>
          <w:b/>
          <w:color w:val="0E4C28"/>
          <w:sz w:val="30"/>
          <w:szCs w:val="30"/>
        </w:rPr>
        <w:t>в разрезе видов назначения платежей</w:t>
      </w:r>
      <w:r w:rsidR="009B3B2D">
        <w:rPr>
          <w:rFonts w:ascii="Calibri" w:hAnsi="Calibri" w:cs="Calibri"/>
          <w:b/>
          <w:color w:val="0E4C28"/>
          <w:sz w:val="30"/>
          <w:szCs w:val="30"/>
        </w:rPr>
        <w:t xml:space="preserve"> </w:t>
      </w:r>
      <w:r w:rsidRPr="00F07056">
        <w:rPr>
          <w:rFonts w:ascii="Calibri" w:hAnsi="Calibri" w:cs="Calibri"/>
          <w:b/>
          <w:color w:val="0E4C28"/>
          <w:sz w:val="30"/>
          <w:szCs w:val="30"/>
        </w:rPr>
        <w:t>по корреспондентским счетам</w:t>
      </w:r>
    </w:p>
    <w:p w:rsidR="00C77E3B" w:rsidRPr="00176F0A" w:rsidRDefault="00B41594" w:rsidP="009B3B2D">
      <w:pPr>
        <w:spacing w:line="238" w:lineRule="auto"/>
        <w:jc w:val="both"/>
        <w:rPr>
          <w:rFonts w:ascii="Calibri" w:hAnsi="Calibri" w:cs="Calibri"/>
          <w:sz w:val="30"/>
          <w:szCs w:val="30"/>
        </w:rPr>
      </w:pPr>
      <w:r>
        <w:rPr>
          <w:rFonts w:ascii="Calibri" w:hAnsi="Calibri" w:cs="Calibri"/>
          <w:b/>
          <w:i/>
          <w:noProof/>
          <w:color w:val="00B050"/>
          <w:sz w:val="30"/>
          <w:szCs w:val="30"/>
        </w:rPr>
        <w:drawing>
          <wp:inline distT="0" distB="0" distL="0" distR="0" wp14:anchorId="2153CDC7" wp14:editId="270A17A6">
            <wp:extent cx="6066692" cy="1915844"/>
            <wp:effectExtent l="0" t="0" r="0" b="0"/>
            <wp:docPr id="48" name="Объект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00C77E3B">
        <w:tab/>
      </w:r>
      <w:r w:rsidR="00C77E3B" w:rsidRPr="00176F0A">
        <w:rPr>
          <w:rFonts w:ascii="Calibri" w:hAnsi="Calibri" w:cs="Calibri"/>
          <w:sz w:val="30"/>
          <w:szCs w:val="30"/>
        </w:rPr>
        <w:t xml:space="preserve">Вместе с тем, система корреспондентских отношений связана с рисками финансовой надежности контрагентов. В этой связи, в целях управления рисками Национальным Банком </w:t>
      </w:r>
      <w:r w:rsidR="00D0608D" w:rsidRPr="00176F0A">
        <w:rPr>
          <w:rFonts w:ascii="Calibri" w:hAnsi="Calibri" w:cs="Calibri"/>
          <w:sz w:val="30"/>
          <w:szCs w:val="30"/>
        </w:rPr>
        <w:t>Казахстан</w:t>
      </w:r>
      <w:r w:rsidR="00842C3A" w:rsidRPr="00176F0A">
        <w:rPr>
          <w:rFonts w:ascii="Calibri" w:hAnsi="Calibri" w:cs="Calibri"/>
          <w:sz w:val="30"/>
          <w:szCs w:val="30"/>
        </w:rPr>
        <w:t>а</w:t>
      </w:r>
      <w:r w:rsidR="00D0608D" w:rsidRPr="00176F0A">
        <w:rPr>
          <w:rFonts w:ascii="Calibri" w:hAnsi="Calibri" w:cs="Calibri"/>
          <w:sz w:val="30"/>
          <w:szCs w:val="30"/>
        </w:rPr>
        <w:t xml:space="preserve"> </w:t>
      </w:r>
      <w:r w:rsidR="00C77E3B" w:rsidRPr="00176F0A">
        <w:rPr>
          <w:rFonts w:ascii="Calibri" w:hAnsi="Calibri" w:cs="Calibri"/>
          <w:sz w:val="30"/>
          <w:szCs w:val="30"/>
        </w:rPr>
        <w:t xml:space="preserve">установлен лимит для банков и небанковских организаций на ежемесячный объем платежей, проводимых между </w:t>
      </w:r>
      <w:r w:rsidR="00C77E3B" w:rsidRPr="00176F0A">
        <w:rPr>
          <w:rFonts w:ascii="Calibri" w:hAnsi="Calibri" w:cs="Calibri"/>
          <w:b/>
          <w:sz w:val="30"/>
          <w:szCs w:val="30"/>
        </w:rPr>
        <w:t>финансовыми организациями-резидентами</w:t>
      </w:r>
      <w:r w:rsidR="00C77E3B" w:rsidRPr="00176F0A">
        <w:rPr>
          <w:rFonts w:ascii="Calibri" w:hAnsi="Calibri" w:cs="Calibri"/>
          <w:sz w:val="30"/>
          <w:szCs w:val="30"/>
        </w:rPr>
        <w:t xml:space="preserve"> </w:t>
      </w:r>
      <w:r w:rsidR="00C77E3B" w:rsidRPr="00176F0A">
        <w:rPr>
          <w:rFonts w:ascii="Calibri" w:hAnsi="Calibri" w:cs="Calibri"/>
          <w:b/>
          <w:sz w:val="30"/>
          <w:szCs w:val="30"/>
        </w:rPr>
        <w:t>в национальной валюте</w:t>
      </w:r>
      <w:r w:rsidR="00C77E3B" w:rsidRPr="00176F0A">
        <w:rPr>
          <w:rFonts w:ascii="Calibri" w:hAnsi="Calibri" w:cs="Calibri"/>
          <w:sz w:val="30"/>
          <w:szCs w:val="30"/>
        </w:rPr>
        <w:t xml:space="preserve">. Размер данного лимита составляет 5% от общего объема платежей банка или небанковской организации через платежные системы Национального Банка </w:t>
      </w:r>
      <w:r w:rsidR="00AB2BFD" w:rsidRPr="00176F0A">
        <w:rPr>
          <w:rFonts w:ascii="Calibri" w:hAnsi="Calibri" w:cs="Calibri"/>
          <w:sz w:val="30"/>
          <w:szCs w:val="30"/>
        </w:rPr>
        <w:t xml:space="preserve">Казахстана </w:t>
      </w:r>
      <w:r w:rsidR="00C77E3B" w:rsidRPr="00176F0A">
        <w:rPr>
          <w:rFonts w:ascii="Calibri" w:hAnsi="Calibri" w:cs="Calibri"/>
          <w:sz w:val="30"/>
          <w:szCs w:val="30"/>
        </w:rPr>
        <w:t xml:space="preserve">за предыдущий месяц. </w:t>
      </w:r>
    </w:p>
    <w:p w:rsidR="00C77E3B" w:rsidRPr="00F07056" w:rsidRDefault="00C77E3B" w:rsidP="009B3B2D">
      <w:pPr>
        <w:spacing w:line="238" w:lineRule="auto"/>
        <w:ind w:firstLine="561"/>
        <w:jc w:val="both"/>
        <w:rPr>
          <w:rFonts w:ascii="Calibri" w:hAnsi="Calibri" w:cs="Calibri"/>
          <w:sz w:val="30"/>
          <w:szCs w:val="30"/>
        </w:rPr>
      </w:pPr>
      <w:r w:rsidRPr="00176F0A">
        <w:rPr>
          <w:rFonts w:ascii="Calibri" w:hAnsi="Calibri" w:cs="Calibri"/>
          <w:sz w:val="30"/>
          <w:szCs w:val="30"/>
        </w:rPr>
        <w:t>Объем платежей и переводов денег, осуществленных банками через прямые корреспондентские счета в тенге, открытые между банками-резидентами, составил в 2016 году – 2,8 трлн. тенге. При этом коэффициент использования лимита банками-участниками корреспондентских отношений составил в 2016 году только 25,5%  (в 2015 году данный показатель составил 36,7%).</w:t>
      </w:r>
      <w:r>
        <w:rPr>
          <w:rFonts w:ascii="Calibri" w:hAnsi="Calibri" w:cs="Calibri"/>
          <w:sz w:val="30"/>
          <w:szCs w:val="30"/>
        </w:rPr>
        <w:t xml:space="preserve"> </w:t>
      </w:r>
    </w:p>
    <w:p w:rsidR="006E2AC8" w:rsidRDefault="006E2AC8" w:rsidP="00C77E3B">
      <w:pPr>
        <w:ind w:firstLine="709"/>
        <w:jc w:val="center"/>
        <w:rPr>
          <w:rFonts w:ascii="Calibri" w:hAnsi="Calibri" w:cs="Calibri"/>
          <w:b/>
          <w:color w:val="0E4C28"/>
          <w:sz w:val="30"/>
          <w:szCs w:val="30"/>
        </w:rPr>
      </w:pPr>
    </w:p>
    <w:p w:rsidR="00C77E3B" w:rsidRPr="00015E28" w:rsidRDefault="00C77E3B" w:rsidP="00C77E3B">
      <w:pPr>
        <w:ind w:firstLine="709"/>
        <w:jc w:val="center"/>
        <w:rPr>
          <w:rFonts w:ascii="Calibri" w:hAnsi="Calibri" w:cs="Calibri"/>
          <w:b/>
          <w:color w:val="0E4C28"/>
          <w:sz w:val="30"/>
          <w:szCs w:val="30"/>
        </w:rPr>
      </w:pPr>
      <w:r w:rsidRPr="00015E28">
        <w:rPr>
          <w:rFonts w:ascii="Calibri" w:hAnsi="Calibri" w:cs="Calibri"/>
          <w:b/>
          <w:color w:val="0E4C28"/>
          <w:sz w:val="30"/>
          <w:szCs w:val="30"/>
        </w:rPr>
        <w:t>Таблица использования лимита</w:t>
      </w:r>
    </w:p>
    <w:tbl>
      <w:tblPr>
        <w:tblW w:w="97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6"/>
        <w:gridCol w:w="1926"/>
        <w:gridCol w:w="1260"/>
        <w:gridCol w:w="1115"/>
        <w:gridCol w:w="1945"/>
        <w:gridCol w:w="1080"/>
        <w:gridCol w:w="1186"/>
      </w:tblGrid>
      <w:tr w:rsidR="00C77E3B" w:rsidRPr="005B7457" w:rsidTr="00BC1404">
        <w:trPr>
          <w:cantSplit/>
        </w:trPr>
        <w:tc>
          <w:tcPr>
            <w:tcW w:w="1196" w:type="dxa"/>
            <w:vMerge w:val="restart"/>
            <w:shd w:val="clear" w:color="auto" w:fill="9BBB59"/>
            <w:vAlign w:val="center"/>
          </w:tcPr>
          <w:p w:rsidR="00C77E3B" w:rsidRPr="009B3B2D" w:rsidRDefault="00C77E3B" w:rsidP="009B3B2D">
            <w:pPr>
              <w:tabs>
                <w:tab w:val="left" w:pos="1212"/>
              </w:tabs>
              <w:spacing w:line="235" w:lineRule="auto"/>
              <w:jc w:val="center"/>
              <w:rPr>
                <w:rFonts w:ascii="Calibri" w:hAnsi="Calibri" w:cs="Calibri"/>
                <w:b/>
              </w:rPr>
            </w:pPr>
            <w:r w:rsidRPr="009B3B2D">
              <w:rPr>
                <w:rFonts w:ascii="Calibri" w:hAnsi="Calibri" w:cs="Calibri"/>
                <w:b/>
                <w:snapToGrid w:val="0"/>
              </w:rPr>
              <w:t>Квартал</w:t>
            </w:r>
          </w:p>
        </w:tc>
        <w:tc>
          <w:tcPr>
            <w:tcW w:w="4301" w:type="dxa"/>
            <w:gridSpan w:val="3"/>
            <w:shd w:val="clear" w:color="auto" w:fill="9BBB59"/>
          </w:tcPr>
          <w:p w:rsidR="00C77E3B" w:rsidRPr="009B3B2D" w:rsidRDefault="00C77E3B" w:rsidP="009B3B2D">
            <w:pPr>
              <w:tabs>
                <w:tab w:val="left" w:pos="1212"/>
              </w:tabs>
              <w:spacing w:line="235" w:lineRule="auto"/>
              <w:jc w:val="center"/>
              <w:rPr>
                <w:rFonts w:ascii="Calibri" w:hAnsi="Calibri" w:cs="Calibri"/>
                <w:b/>
                <w:lang w:val="kk-KZ"/>
              </w:rPr>
            </w:pPr>
            <w:r w:rsidRPr="009B3B2D">
              <w:rPr>
                <w:rFonts w:ascii="Calibri" w:hAnsi="Calibri" w:cs="Calibri"/>
                <w:b/>
                <w:lang w:val="kk-KZ"/>
              </w:rPr>
              <w:t xml:space="preserve">2015 </w:t>
            </w:r>
            <w:r w:rsidRPr="009B3B2D">
              <w:rPr>
                <w:rFonts w:ascii="Calibri" w:hAnsi="Calibri" w:cs="Calibri"/>
                <w:b/>
              </w:rPr>
              <w:t>год</w:t>
            </w:r>
          </w:p>
        </w:tc>
        <w:tc>
          <w:tcPr>
            <w:tcW w:w="4211" w:type="dxa"/>
            <w:gridSpan w:val="3"/>
            <w:shd w:val="clear" w:color="auto" w:fill="9BBB59"/>
          </w:tcPr>
          <w:p w:rsidR="00C77E3B" w:rsidRPr="009B3B2D" w:rsidRDefault="00C77E3B" w:rsidP="009B3B2D">
            <w:pPr>
              <w:tabs>
                <w:tab w:val="left" w:pos="1212"/>
              </w:tabs>
              <w:spacing w:line="235" w:lineRule="auto"/>
              <w:jc w:val="center"/>
              <w:rPr>
                <w:rFonts w:ascii="Calibri" w:hAnsi="Calibri" w:cs="Calibri"/>
                <w:b/>
                <w:lang w:val="kk-KZ"/>
              </w:rPr>
            </w:pPr>
            <w:r w:rsidRPr="009B3B2D">
              <w:rPr>
                <w:rFonts w:ascii="Calibri" w:hAnsi="Calibri" w:cs="Calibri"/>
                <w:b/>
                <w:lang w:val="kk-KZ"/>
              </w:rPr>
              <w:t xml:space="preserve">2016 </w:t>
            </w:r>
            <w:r w:rsidRPr="009B3B2D">
              <w:rPr>
                <w:rFonts w:ascii="Calibri" w:hAnsi="Calibri" w:cs="Calibri"/>
                <w:b/>
              </w:rPr>
              <w:t>год</w:t>
            </w:r>
          </w:p>
        </w:tc>
      </w:tr>
      <w:tr w:rsidR="00C77E3B" w:rsidRPr="005B7457" w:rsidTr="009B3B2D">
        <w:trPr>
          <w:cantSplit/>
          <w:trHeight w:val="1190"/>
        </w:trPr>
        <w:tc>
          <w:tcPr>
            <w:tcW w:w="1196" w:type="dxa"/>
            <w:vMerge/>
            <w:shd w:val="clear" w:color="auto" w:fill="9BBB59"/>
          </w:tcPr>
          <w:p w:rsidR="00C77E3B" w:rsidRPr="009B3B2D" w:rsidRDefault="00C77E3B" w:rsidP="009B3B2D">
            <w:pPr>
              <w:tabs>
                <w:tab w:val="left" w:pos="1212"/>
              </w:tabs>
              <w:spacing w:line="235" w:lineRule="auto"/>
              <w:rPr>
                <w:rFonts w:ascii="Calibri" w:hAnsi="Calibri" w:cs="Calibri"/>
                <w:b/>
                <w:snapToGrid w:val="0"/>
              </w:rPr>
            </w:pPr>
          </w:p>
        </w:tc>
        <w:tc>
          <w:tcPr>
            <w:tcW w:w="1926" w:type="dxa"/>
            <w:shd w:val="clear" w:color="auto" w:fill="9BBB59"/>
            <w:vAlign w:val="center"/>
          </w:tcPr>
          <w:p w:rsidR="00C77E3B" w:rsidRPr="009B3B2D" w:rsidRDefault="00C77E3B" w:rsidP="009B3B2D">
            <w:pPr>
              <w:tabs>
                <w:tab w:val="left" w:pos="1212"/>
              </w:tabs>
              <w:spacing w:line="235" w:lineRule="auto"/>
              <w:jc w:val="center"/>
              <w:rPr>
                <w:rFonts w:ascii="Calibri" w:hAnsi="Calibri" w:cs="Calibri"/>
                <w:b/>
                <w:snapToGrid w:val="0"/>
              </w:rPr>
            </w:pPr>
            <w:r w:rsidRPr="009B3B2D">
              <w:rPr>
                <w:rFonts w:ascii="Calibri" w:hAnsi="Calibri" w:cs="Calibri"/>
                <w:b/>
                <w:snapToGrid w:val="0"/>
              </w:rPr>
              <w:t>Сумма платежей через ПКС между резидентами в тенге</w:t>
            </w:r>
          </w:p>
          <w:p w:rsidR="00C77E3B" w:rsidRPr="009B3B2D" w:rsidRDefault="00C77E3B" w:rsidP="009B3B2D">
            <w:pPr>
              <w:tabs>
                <w:tab w:val="left" w:pos="1212"/>
              </w:tabs>
              <w:spacing w:line="235" w:lineRule="auto"/>
              <w:jc w:val="center"/>
              <w:rPr>
                <w:rFonts w:ascii="Calibri" w:hAnsi="Calibri" w:cs="Calibri"/>
                <w:b/>
                <w:snapToGrid w:val="0"/>
              </w:rPr>
            </w:pPr>
            <w:r w:rsidRPr="009B3B2D">
              <w:rPr>
                <w:rFonts w:ascii="Calibri" w:hAnsi="Calibri" w:cs="Calibri"/>
                <w:b/>
                <w:snapToGrid w:val="0"/>
              </w:rPr>
              <w:t>(в млрд. тенге)</w:t>
            </w:r>
          </w:p>
        </w:tc>
        <w:tc>
          <w:tcPr>
            <w:tcW w:w="1260" w:type="dxa"/>
            <w:shd w:val="clear" w:color="auto" w:fill="9BBB59"/>
            <w:vAlign w:val="center"/>
          </w:tcPr>
          <w:p w:rsidR="00C77E3B" w:rsidRPr="009B3B2D" w:rsidRDefault="00C77E3B" w:rsidP="009B3B2D">
            <w:pPr>
              <w:tabs>
                <w:tab w:val="left" w:pos="1212"/>
              </w:tabs>
              <w:spacing w:line="235" w:lineRule="auto"/>
              <w:jc w:val="center"/>
              <w:rPr>
                <w:rFonts w:ascii="Calibri" w:hAnsi="Calibri" w:cs="Calibri"/>
                <w:b/>
                <w:snapToGrid w:val="0"/>
              </w:rPr>
            </w:pPr>
            <w:r w:rsidRPr="009B3B2D">
              <w:rPr>
                <w:rFonts w:ascii="Calibri" w:hAnsi="Calibri" w:cs="Calibri"/>
                <w:b/>
                <w:snapToGrid w:val="0"/>
              </w:rPr>
              <w:t>Сумма лимита</w:t>
            </w:r>
          </w:p>
          <w:p w:rsidR="00C77E3B" w:rsidRPr="009B3B2D" w:rsidRDefault="00C77E3B" w:rsidP="009B3B2D">
            <w:pPr>
              <w:tabs>
                <w:tab w:val="left" w:pos="1212"/>
              </w:tabs>
              <w:spacing w:line="235" w:lineRule="auto"/>
              <w:jc w:val="center"/>
              <w:rPr>
                <w:rFonts w:ascii="Calibri" w:hAnsi="Calibri" w:cs="Calibri"/>
                <w:b/>
                <w:snapToGrid w:val="0"/>
              </w:rPr>
            </w:pPr>
            <w:r w:rsidRPr="009B3B2D">
              <w:rPr>
                <w:rFonts w:ascii="Calibri" w:hAnsi="Calibri" w:cs="Calibri"/>
                <w:b/>
                <w:snapToGrid w:val="0"/>
              </w:rPr>
              <w:t>(в млрд. тенге)</w:t>
            </w:r>
          </w:p>
        </w:tc>
        <w:tc>
          <w:tcPr>
            <w:tcW w:w="1115" w:type="dxa"/>
            <w:shd w:val="clear" w:color="auto" w:fill="9BBB59"/>
            <w:vAlign w:val="center"/>
          </w:tcPr>
          <w:p w:rsidR="00C77E3B" w:rsidRPr="009B3B2D" w:rsidRDefault="00C77E3B" w:rsidP="009B3B2D">
            <w:pPr>
              <w:tabs>
                <w:tab w:val="left" w:pos="1212"/>
              </w:tabs>
              <w:spacing w:line="235" w:lineRule="auto"/>
              <w:jc w:val="center"/>
              <w:rPr>
                <w:rFonts w:ascii="Calibri" w:hAnsi="Calibri" w:cs="Calibri"/>
                <w:b/>
                <w:i/>
                <w:snapToGrid w:val="0"/>
              </w:rPr>
            </w:pPr>
            <w:r w:rsidRPr="009B3B2D">
              <w:rPr>
                <w:rFonts w:ascii="Calibri" w:hAnsi="Calibri" w:cs="Calibri"/>
                <w:b/>
                <w:i/>
                <w:snapToGrid w:val="0"/>
              </w:rPr>
              <w:t>Коэффициент использования лимита</w:t>
            </w:r>
          </w:p>
        </w:tc>
        <w:tc>
          <w:tcPr>
            <w:tcW w:w="1945" w:type="dxa"/>
            <w:shd w:val="clear" w:color="auto" w:fill="9BBB59"/>
            <w:vAlign w:val="center"/>
          </w:tcPr>
          <w:p w:rsidR="00C77E3B" w:rsidRPr="009B3B2D" w:rsidRDefault="00C77E3B" w:rsidP="009B3B2D">
            <w:pPr>
              <w:tabs>
                <w:tab w:val="left" w:pos="1212"/>
              </w:tabs>
              <w:spacing w:line="235" w:lineRule="auto"/>
              <w:jc w:val="center"/>
              <w:rPr>
                <w:rFonts w:ascii="Calibri" w:hAnsi="Calibri" w:cs="Calibri"/>
                <w:b/>
                <w:snapToGrid w:val="0"/>
              </w:rPr>
            </w:pPr>
            <w:r w:rsidRPr="009B3B2D">
              <w:rPr>
                <w:rFonts w:ascii="Calibri" w:hAnsi="Calibri" w:cs="Calibri"/>
                <w:b/>
                <w:snapToGrid w:val="0"/>
              </w:rPr>
              <w:t>Сумма платежей через ПКС между резидентами в тенге</w:t>
            </w:r>
          </w:p>
          <w:p w:rsidR="00C77E3B" w:rsidRPr="009B3B2D" w:rsidRDefault="00C77E3B" w:rsidP="009B3B2D">
            <w:pPr>
              <w:tabs>
                <w:tab w:val="left" w:pos="1212"/>
              </w:tabs>
              <w:spacing w:line="235" w:lineRule="auto"/>
              <w:jc w:val="center"/>
              <w:rPr>
                <w:rFonts w:ascii="Calibri" w:hAnsi="Calibri" w:cs="Calibri"/>
                <w:b/>
                <w:snapToGrid w:val="0"/>
              </w:rPr>
            </w:pPr>
            <w:r w:rsidRPr="009B3B2D">
              <w:rPr>
                <w:rFonts w:ascii="Calibri" w:hAnsi="Calibri" w:cs="Calibri"/>
                <w:b/>
                <w:snapToGrid w:val="0"/>
              </w:rPr>
              <w:t>(в млрд. тенге)</w:t>
            </w:r>
          </w:p>
        </w:tc>
        <w:tc>
          <w:tcPr>
            <w:tcW w:w="1080" w:type="dxa"/>
            <w:shd w:val="clear" w:color="auto" w:fill="9BBB59"/>
            <w:vAlign w:val="center"/>
          </w:tcPr>
          <w:p w:rsidR="00C77E3B" w:rsidRPr="009B3B2D" w:rsidRDefault="00C77E3B" w:rsidP="009B3B2D">
            <w:pPr>
              <w:tabs>
                <w:tab w:val="left" w:pos="1212"/>
              </w:tabs>
              <w:spacing w:line="235" w:lineRule="auto"/>
              <w:jc w:val="center"/>
              <w:rPr>
                <w:rFonts w:ascii="Calibri" w:hAnsi="Calibri" w:cs="Calibri"/>
                <w:b/>
                <w:snapToGrid w:val="0"/>
              </w:rPr>
            </w:pPr>
            <w:r w:rsidRPr="009B3B2D">
              <w:rPr>
                <w:rFonts w:ascii="Calibri" w:hAnsi="Calibri" w:cs="Calibri"/>
                <w:b/>
                <w:snapToGrid w:val="0"/>
              </w:rPr>
              <w:t>Сумма лимита</w:t>
            </w:r>
          </w:p>
          <w:p w:rsidR="00C77E3B" w:rsidRPr="009B3B2D" w:rsidRDefault="00C77E3B" w:rsidP="009B3B2D">
            <w:pPr>
              <w:tabs>
                <w:tab w:val="left" w:pos="1212"/>
              </w:tabs>
              <w:spacing w:line="235" w:lineRule="auto"/>
              <w:jc w:val="center"/>
              <w:rPr>
                <w:rFonts w:ascii="Calibri" w:hAnsi="Calibri" w:cs="Calibri"/>
                <w:b/>
                <w:snapToGrid w:val="0"/>
              </w:rPr>
            </w:pPr>
            <w:r w:rsidRPr="009B3B2D">
              <w:rPr>
                <w:rFonts w:ascii="Calibri" w:hAnsi="Calibri" w:cs="Calibri"/>
                <w:b/>
                <w:snapToGrid w:val="0"/>
              </w:rPr>
              <w:t>(в млрд. тенге)</w:t>
            </w:r>
          </w:p>
        </w:tc>
        <w:tc>
          <w:tcPr>
            <w:tcW w:w="1186" w:type="dxa"/>
            <w:shd w:val="clear" w:color="auto" w:fill="9BBB59"/>
            <w:vAlign w:val="center"/>
          </w:tcPr>
          <w:p w:rsidR="00C77E3B" w:rsidRPr="009B3B2D" w:rsidRDefault="00C77E3B" w:rsidP="009B3B2D">
            <w:pPr>
              <w:tabs>
                <w:tab w:val="left" w:pos="1212"/>
              </w:tabs>
              <w:spacing w:line="235" w:lineRule="auto"/>
              <w:jc w:val="center"/>
              <w:rPr>
                <w:rFonts w:ascii="Calibri" w:hAnsi="Calibri" w:cs="Calibri"/>
                <w:b/>
                <w:i/>
                <w:snapToGrid w:val="0"/>
              </w:rPr>
            </w:pPr>
            <w:r w:rsidRPr="009B3B2D">
              <w:rPr>
                <w:rFonts w:ascii="Calibri" w:hAnsi="Calibri" w:cs="Calibri"/>
                <w:b/>
                <w:i/>
                <w:snapToGrid w:val="0"/>
              </w:rPr>
              <w:t>Коэффициент использования лимита</w:t>
            </w:r>
          </w:p>
        </w:tc>
      </w:tr>
      <w:tr w:rsidR="00C77E3B" w:rsidRPr="005B7457" w:rsidTr="00650980">
        <w:trPr>
          <w:trHeight w:val="280"/>
        </w:trPr>
        <w:tc>
          <w:tcPr>
            <w:tcW w:w="1196" w:type="dxa"/>
            <w:vAlign w:val="center"/>
          </w:tcPr>
          <w:p w:rsidR="00C77E3B" w:rsidRPr="00015E28" w:rsidRDefault="00C77E3B" w:rsidP="009B3B2D">
            <w:pPr>
              <w:spacing w:line="235" w:lineRule="auto"/>
              <w:rPr>
                <w:rFonts w:ascii="Calibri" w:hAnsi="Calibri" w:cs="Calibri"/>
              </w:rPr>
            </w:pPr>
            <w:r w:rsidRPr="00015E28">
              <w:rPr>
                <w:rFonts w:ascii="Calibri" w:hAnsi="Calibri" w:cs="Calibri"/>
              </w:rPr>
              <w:t>I квартал</w:t>
            </w:r>
          </w:p>
        </w:tc>
        <w:tc>
          <w:tcPr>
            <w:tcW w:w="1926" w:type="dxa"/>
            <w:vAlign w:val="center"/>
          </w:tcPr>
          <w:p w:rsidR="00C77E3B" w:rsidRPr="00015E28" w:rsidRDefault="00C77E3B" w:rsidP="009B3B2D">
            <w:pPr>
              <w:spacing w:line="235" w:lineRule="auto"/>
              <w:jc w:val="center"/>
              <w:rPr>
                <w:rFonts w:ascii="Calibri" w:hAnsi="Calibri" w:cs="Calibri"/>
              </w:rPr>
            </w:pPr>
            <w:r w:rsidRPr="00015E28">
              <w:rPr>
                <w:rFonts w:ascii="Calibri" w:hAnsi="Calibri" w:cs="Calibri"/>
              </w:rPr>
              <w:t>507,3</w:t>
            </w:r>
          </w:p>
        </w:tc>
        <w:tc>
          <w:tcPr>
            <w:tcW w:w="1260" w:type="dxa"/>
            <w:vAlign w:val="center"/>
          </w:tcPr>
          <w:p w:rsidR="00C77E3B" w:rsidRPr="00015E28" w:rsidRDefault="00C77E3B" w:rsidP="009B3B2D">
            <w:pPr>
              <w:tabs>
                <w:tab w:val="left" w:pos="1066"/>
              </w:tabs>
              <w:spacing w:line="235" w:lineRule="auto"/>
              <w:jc w:val="center"/>
              <w:rPr>
                <w:rFonts w:ascii="Calibri" w:hAnsi="Calibri" w:cs="Calibri"/>
              </w:rPr>
            </w:pPr>
            <w:r w:rsidRPr="00015E28">
              <w:rPr>
                <w:rFonts w:ascii="Calibri" w:hAnsi="Calibri" w:cs="Calibri"/>
              </w:rPr>
              <w:t>1 340,3</w:t>
            </w:r>
          </w:p>
        </w:tc>
        <w:tc>
          <w:tcPr>
            <w:tcW w:w="1115" w:type="dxa"/>
            <w:vAlign w:val="center"/>
          </w:tcPr>
          <w:p w:rsidR="00C77E3B" w:rsidRPr="00015E28" w:rsidRDefault="00C77E3B" w:rsidP="009B3B2D">
            <w:pPr>
              <w:spacing w:line="235" w:lineRule="auto"/>
              <w:jc w:val="center"/>
              <w:rPr>
                <w:rFonts w:ascii="Calibri" w:hAnsi="Calibri" w:cs="Calibri"/>
                <w:i/>
                <w:iCs/>
              </w:rPr>
            </w:pPr>
            <w:r w:rsidRPr="00015E28">
              <w:rPr>
                <w:rFonts w:ascii="Calibri" w:hAnsi="Calibri" w:cs="Calibri"/>
              </w:rPr>
              <w:t>39,1%</w:t>
            </w:r>
          </w:p>
        </w:tc>
        <w:tc>
          <w:tcPr>
            <w:tcW w:w="1945" w:type="dxa"/>
            <w:vAlign w:val="center"/>
          </w:tcPr>
          <w:p w:rsidR="00C77E3B" w:rsidRPr="00015E28" w:rsidRDefault="00C77E3B" w:rsidP="009B3B2D">
            <w:pPr>
              <w:spacing w:line="235" w:lineRule="auto"/>
              <w:ind w:right="-28"/>
              <w:jc w:val="center"/>
              <w:rPr>
                <w:rFonts w:ascii="Calibri" w:hAnsi="Calibri" w:cs="Calibri"/>
              </w:rPr>
            </w:pPr>
            <w:r w:rsidRPr="00015E28">
              <w:rPr>
                <w:rFonts w:ascii="Calibri" w:hAnsi="Calibri" w:cs="Calibri"/>
              </w:rPr>
              <w:t>423,9</w:t>
            </w:r>
          </w:p>
        </w:tc>
        <w:tc>
          <w:tcPr>
            <w:tcW w:w="1080" w:type="dxa"/>
            <w:vAlign w:val="center"/>
          </w:tcPr>
          <w:p w:rsidR="00C77E3B" w:rsidRPr="00015E28" w:rsidRDefault="00C77E3B" w:rsidP="009B3B2D">
            <w:pPr>
              <w:spacing w:line="235" w:lineRule="auto"/>
              <w:ind w:right="-8"/>
              <w:jc w:val="center"/>
              <w:rPr>
                <w:rFonts w:ascii="Calibri" w:hAnsi="Calibri" w:cs="Calibri"/>
              </w:rPr>
            </w:pPr>
            <w:r w:rsidRPr="00015E28">
              <w:rPr>
                <w:rFonts w:ascii="Calibri" w:hAnsi="Calibri" w:cs="Calibri"/>
              </w:rPr>
              <w:t>2 605,9</w:t>
            </w:r>
          </w:p>
        </w:tc>
        <w:tc>
          <w:tcPr>
            <w:tcW w:w="1186" w:type="dxa"/>
            <w:vAlign w:val="center"/>
          </w:tcPr>
          <w:p w:rsidR="00C77E3B" w:rsidRPr="00015E28" w:rsidRDefault="00C77E3B" w:rsidP="009B3B2D">
            <w:pPr>
              <w:tabs>
                <w:tab w:val="left" w:pos="1392"/>
              </w:tabs>
              <w:spacing w:line="235" w:lineRule="auto"/>
              <w:jc w:val="center"/>
              <w:rPr>
                <w:rFonts w:ascii="Calibri" w:hAnsi="Calibri" w:cs="Calibri"/>
                <w:i/>
                <w:iCs/>
              </w:rPr>
            </w:pPr>
            <w:r w:rsidRPr="00015E28">
              <w:rPr>
                <w:rFonts w:ascii="Calibri" w:hAnsi="Calibri" w:cs="Calibri"/>
              </w:rPr>
              <w:t>17,4%</w:t>
            </w:r>
          </w:p>
        </w:tc>
      </w:tr>
      <w:tr w:rsidR="00C77E3B" w:rsidRPr="005B7457" w:rsidTr="00650980">
        <w:trPr>
          <w:trHeight w:val="280"/>
        </w:trPr>
        <w:tc>
          <w:tcPr>
            <w:tcW w:w="1196" w:type="dxa"/>
            <w:vAlign w:val="center"/>
          </w:tcPr>
          <w:p w:rsidR="00C77E3B" w:rsidRPr="00015E28" w:rsidRDefault="00C77E3B" w:rsidP="009B3B2D">
            <w:pPr>
              <w:spacing w:line="235" w:lineRule="auto"/>
              <w:rPr>
                <w:rFonts w:ascii="Calibri" w:hAnsi="Calibri" w:cs="Calibri"/>
              </w:rPr>
            </w:pPr>
            <w:r w:rsidRPr="00015E28">
              <w:rPr>
                <w:rFonts w:ascii="Calibri" w:hAnsi="Calibri" w:cs="Calibri"/>
              </w:rPr>
              <w:t>II квартал</w:t>
            </w:r>
          </w:p>
        </w:tc>
        <w:tc>
          <w:tcPr>
            <w:tcW w:w="1926" w:type="dxa"/>
            <w:vAlign w:val="center"/>
          </w:tcPr>
          <w:p w:rsidR="00C77E3B" w:rsidRPr="00015E28" w:rsidRDefault="00C77E3B" w:rsidP="009B3B2D">
            <w:pPr>
              <w:spacing w:line="235" w:lineRule="auto"/>
              <w:jc w:val="center"/>
              <w:rPr>
                <w:rFonts w:ascii="Calibri" w:hAnsi="Calibri" w:cs="Calibri"/>
              </w:rPr>
            </w:pPr>
            <w:r w:rsidRPr="00015E28">
              <w:rPr>
                <w:rFonts w:ascii="Calibri" w:hAnsi="Calibri" w:cs="Calibri"/>
              </w:rPr>
              <w:t>766,9</w:t>
            </w:r>
          </w:p>
        </w:tc>
        <w:tc>
          <w:tcPr>
            <w:tcW w:w="1260" w:type="dxa"/>
            <w:vAlign w:val="center"/>
          </w:tcPr>
          <w:p w:rsidR="00C77E3B" w:rsidRPr="00015E28" w:rsidRDefault="00C77E3B" w:rsidP="009B3B2D">
            <w:pPr>
              <w:tabs>
                <w:tab w:val="left" w:pos="1066"/>
              </w:tabs>
              <w:spacing w:line="235" w:lineRule="auto"/>
              <w:jc w:val="center"/>
              <w:rPr>
                <w:rFonts w:ascii="Calibri" w:hAnsi="Calibri" w:cs="Calibri"/>
              </w:rPr>
            </w:pPr>
            <w:r w:rsidRPr="00015E28">
              <w:rPr>
                <w:rFonts w:ascii="Calibri" w:hAnsi="Calibri" w:cs="Calibri"/>
              </w:rPr>
              <w:t>1 024,7</w:t>
            </w:r>
          </w:p>
        </w:tc>
        <w:tc>
          <w:tcPr>
            <w:tcW w:w="1115" w:type="dxa"/>
            <w:vAlign w:val="center"/>
          </w:tcPr>
          <w:p w:rsidR="00C77E3B" w:rsidRPr="00015E28" w:rsidRDefault="00C77E3B" w:rsidP="009B3B2D">
            <w:pPr>
              <w:spacing w:line="235" w:lineRule="auto"/>
              <w:jc w:val="center"/>
              <w:rPr>
                <w:rFonts w:ascii="Calibri" w:hAnsi="Calibri" w:cs="Calibri"/>
                <w:i/>
                <w:iCs/>
              </w:rPr>
            </w:pPr>
            <w:r w:rsidRPr="00015E28">
              <w:rPr>
                <w:rFonts w:ascii="Calibri" w:hAnsi="Calibri" w:cs="Calibri"/>
              </w:rPr>
              <w:t>74,1%</w:t>
            </w:r>
          </w:p>
        </w:tc>
        <w:tc>
          <w:tcPr>
            <w:tcW w:w="1945" w:type="dxa"/>
            <w:vAlign w:val="center"/>
          </w:tcPr>
          <w:p w:rsidR="00C77E3B" w:rsidRPr="00015E28" w:rsidRDefault="00C77E3B" w:rsidP="009B3B2D">
            <w:pPr>
              <w:spacing w:line="235" w:lineRule="auto"/>
              <w:ind w:right="-28"/>
              <w:jc w:val="center"/>
              <w:rPr>
                <w:rFonts w:ascii="Calibri" w:hAnsi="Calibri" w:cs="Calibri"/>
              </w:rPr>
            </w:pPr>
            <w:r w:rsidRPr="00015E28">
              <w:rPr>
                <w:rFonts w:ascii="Calibri" w:hAnsi="Calibri" w:cs="Calibri"/>
              </w:rPr>
              <w:t>628,4</w:t>
            </w:r>
          </w:p>
        </w:tc>
        <w:tc>
          <w:tcPr>
            <w:tcW w:w="1080" w:type="dxa"/>
            <w:vAlign w:val="center"/>
          </w:tcPr>
          <w:p w:rsidR="00C77E3B" w:rsidRPr="00015E28" w:rsidRDefault="00C77E3B" w:rsidP="009B3B2D">
            <w:pPr>
              <w:spacing w:line="235" w:lineRule="auto"/>
              <w:ind w:right="-8"/>
              <w:jc w:val="center"/>
              <w:rPr>
                <w:rFonts w:ascii="Calibri" w:hAnsi="Calibri" w:cs="Calibri"/>
              </w:rPr>
            </w:pPr>
            <w:r w:rsidRPr="00015E28">
              <w:rPr>
                <w:rFonts w:ascii="Calibri" w:hAnsi="Calibri" w:cs="Calibri"/>
              </w:rPr>
              <w:t>2 900,4</w:t>
            </w:r>
          </w:p>
        </w:tc>
        <w:tc>
          <w:tcPr>
            <w:tcW w:w="1186" w:type="dxa"/>
            <w:vAlign w:val="center"/>
          </w:tcPr>
          <w:p w:rsidR="00C77E3B" w:rsidRPr="00015E28" w:rsidRDefault="00C77E3B" w:rsidP="009B3B2D">
            <w:pPr>
              <w:tabs>
                <w:tab w:val="left" w:pos="1392"/>
              </w:tabs>
              <w:spacing w:line="235" w:lineRule="auto"/>
              <w:jc w:val="center"/>
              <w:rPr>
                <w:rFonts w:ascii="Calibri" w:hAnsi="Calibri" w:cs="Calibri"/>
                <w:i/>
                <w:iCs/>
              </w:rPr>
            </w:pPr>
            <w:r w:rsidRPr="00015E28">
              <w:rPr>
                <w:rFonts w:ascii="Calibri" w:hAnsi="Calibri" w:cs="Calibri"/>
              </w:rPr>
              <w:t>23,0%</w:t>
            </w:r>
          </w:p>
        </w:tc>
      </w:tr>
      <w:tr w:rsidR="00C77E3B" w:rsidRPr="005B7457" w:rsidTr="00650980">
        <w:trPr>
          <w:trHeight w:val="280"/>
        </w:trPr>
        <w:tc>
          <w:tcPr>
            <w:tcW w:w="1196" w:type="dxa"/>
            <w:vAlign w:val="center"/>
          </w:tcPr>
          <w:p w:rsidR="00C77E3B" w:rsidRPr="00015E28" w:rsidRDefault="00C77E3B" w:rsidP="009B3B2D">
            <w:pPr>
              <w:spacing w:line="235" w:lineRule="auto"/>
              <w:rPr>
                <w:rFonts w:ascii="Calibri" w:hAnsi="Calibri" w:cs="Calibri"/>
              </w:rPr>
            </w:pPr>
            <w:r w:rsidRPr="00015E28">
              <w:rPr>
                <w:rFonts w:ascii="Calibri" w:hAnsi="Calibri" w:cs="Calibri"/>
              </w:rPr>
              <w:t>III квартал</w:t>
            </w:r>
          </w:p>
        </w:tc>
        <w:tc>
          <w:tcPr>
            <w:tcW w:w="1926" w:type="dxa"/>
            <w:vAlign w:val="center"/>
          </w:tcPr>
          <w:p w:rsidR="00C77E3B" w:rsidRPr="00015E28" w:rsidRDefault="00C77E3B" w:rsidP="009B3B2D">
            <w:pPr>
              <w:spacing w:line="235" w:lineRule="auto"/>
              <w:jc w:val="center"/>
              <w:rPr>
                <w:rFonts w:ascii="Calibri" w:hAnsi="Calibri" w:cs="Calibri"/>
              </w:rPr>
            </w:pPr>
            <w:r w:rsidRPr="00015E28">
              <w:rPr>
                <w:rFonts w:ascii="Calibri" w:hAnsi="Calibri" w:cs="Calibri"/>
              </w:rPr>
              <w:t>369,8</w:t>
            </w:r>
          </w:p>
        </w:tc>
        <w:tc>
          <w:tcPr>
            <w:tcW w:w="1260" w:type="dxa"/>
            <w:vAlign w:val="center"/>
          </w:tcPr>
          <w:p w:rsidR="00C77E3B" w:rsidRPr="00015E28" w:rsidRDefault="00C77E3B" w:rsidP="009B3B2D">
            <w:pPr>
              <w:tabs>
                <w:tab w:val="left" w:pos="1066"/>
              </w:tabs>
              <w:spacing w:line="235" w:lineRule="auto"/>
              <w:jc w:val="center"/>
              <w:rPr>
                <w:rFonts w:ascii="Calibri" w:hAnsi="Calibri" w:cs="Calibri"/>
              </w:rPr>
            </w:pPr>
            <w:r w:rsidRPr="00015E28">
              <w:rPr>
                <w:rFonts w:ascii="Calibri" w:hAnsi="Calibri" w:cs="Calibri"/>
              </w:rPr>
              <w:t>2 362,2</w:t>
            </w:r>
          </w:p>
        </w:tc>
        <w:tc>
          <w:tcPr>
            <w:tcW w:w="1115" w:type="dxa"/>
            <w:vAlign w:val="center"/>
          </w:tcPr>
          <w:p w:rsidR="00C77E3B" w:rsidRPr="00015E28" w:rsidRDefault="00C77E3B" w:rsidP="009B3B2D">
            <w:pPr>
              <w:spacing w:line="235" w:lineRule="auto"/>
              <w:jc w:val="center"/>
              <w:rPr>
                <w:rFonts w:ascii="Calibri" w:hAnsi="Calibri" w:cs="Calibri"/>
                <w:i/>
                <w:iCs/>
              </w:rPr>
            </w:pPr>
            <w:r w:rsidRPr="00015E28">
              <w:rPr>
                <w:rFonts w:ascii="Calibri" w:hAnsi="Calibri" w:cs="Calibri"/>
              </w:rPr>
              <w:t>15,8%</w:t>
            </w:r>
          </w:p>
        </w:tc>
        <w:tc>
          <w:tcPr>
            <w:tcW w:w="1945" w:type="dxa"/>
            <w:vAlign w:val="center"/>
          </w:tcPr>
          <w:p w:rsidR="00C77E3B" w:rsidRPr="00015E28" w:rsidRDefault="00C77E3B" w:rsidP="009B3B2D">
            <w:pPr>
              <w:spacing w:line="235" w:lineRule="auto"/>
              <w:ind w:right="-28"/>
              <w:jc w:val="center"/>
              <w:rPr>
                <w:rFonts w:ascii="Calibri" w:hAnsi="Calibri" w:cs="Calibri"/>
              </w:rPr>
            </w:pPr>
            <w:r w:rsidRPr="00015E28">
              <w:rPr>
                <w:rFonts w:ascii="Calibri" w:hAnsi="Calibri" w:cs="Calibri"/>
              </w:rPr>
              <w:t>780,6</w:t>
            </w:r>
          </w:p>
        </w:tc>
        <w:tc>
          <w:tcPr>
            <w:tcW w:w="1080" w:type="dxa"/>
            <w:vAlign w:val="center"/>
          </w:tcPr>
          <w:p w:rsidR="00C77E3B" w:rsidRPr="00015E28" w:rsidRDefault="00C77E3B" w:rsidP="009B3B2D">
            <w:pPr>
              <w:spacing w:line="235" w:lineRule="auto"/>
              <w:ind w:right="-8"/>
              <w:jc w:val="center"/>
              <w:rPr>
                <w:rFonts w:ascii="Calibri" w:hAnsi="Calibri" w:cs="Calibri"/>
              </w:rPr>
            </w:pPr>
            <w:r w:rsidRPr="00015E28">
              <w:rPr>
                <w:rFonts w:ascii="Calibri" w:hAnsi="Calibri" w:cs="Calibri"/>
              </w:rPr>
              <w:t>4 763,2</w:t>
            </w:r>
          </w:p>
        </w:tc>
        <w:tc>
          <w:tcPr>
            <w:tcW w:w="1186" w:type="dxa"/>
            <w:vAlign w:val="center"/>
          </w:tcPr>
          <w:p w:rsidR="00C77E3B" w:rsidRPr="00015E28" w:rsidRDefault="00C77E3B" w:rsidP="009B3B2D">
            <w:pPr>
              <w:tabs>
                <w:tab w:val="left" w:pos="1392"/>
              </w:tabs>
              <w:spacing w:line="235" w:lineRule="auto"/>
              <w:jc w:val="center"/>
              <w:rPr>
                <w:rFonts w:ascii="Calibri" w:hAnsi="Calibri" w:cs="Calibri"/>
                <w:i/>
                <w:iCs/>
              </w:rPr>
            </w:pPr>
            <w:r w:rsidRPr="00015E28">
              <w:rPr>
                <w:rFonts w:ascii="Calibri" w:hAnsi="Calibri" w:cs="Calibri"/>
              </w:rPr>
              <w:t>22,6%</w:t>
            </w:r>
          </w:p>
        </w:tc>
      </w:tr>
      <w:tr w:rsidR="00C77E3B" w:rsidRPr="005B7457" w:rsidTr="00650980">
        <w:trPr>
          <w:trHeight w:val="280"/>
        </w:trPr>
        <w:tc>
          <w:tcPr>
            <w:tcW w:w="1196" w:type="dxa"/>
            <w:vAlign w:val="center"/>
          </w:tcPr>
          <w:p w:rsidR="00C77E3B" w:rsidRPr="00015E28" w:rsidRDefault="00C77E3B" w:rsidP="009B3B2D">
            <w:pPr>
              <w:spacing w:line="235" w:lineRule="auto"/>
              <w:rPr>
                <w:rFonts w:ascii="Calibri" w:hAnsi="Calibri" w:cs="Calibri"/>
              </w:rPr>
            </w:pPr>
            <w:r w:rsidRPr="00015E28">
              <w:rPr>
                <w:rFonts w:ascii="Calibri" w:hAnsi="Calibri" w:cs="Calibri"/>
              </w:rPr>
              <w:lastRenderedPageBreak/>
              <w:t>IV квартал</w:t>
            </w:r>
          </w:p>
        </w:tc>
        <w:tc>
          <w:tcPr>
            <w:tcW w:w="1926" w:type="dxa"/>
            <w:vAlign w:val="center"/>
          </w:tcPr>
          <w:p w:rsidR="00C77E3B" w:rsidRPr="00015E28" w:rsidRDefault="00C77E3B" w:rsidP="009B3B2D">
            <w:pPr>
              <w:spacing w:line="235" w:lineRule="auto"/>
              <w:jc w:val="center"/>
              <w:rPr>
                <w:rFonts w:ascii="Calibri" w:hAnsi="Calibri" w:cs="Calibri"/>
              </w:rPr>
            </w:pPr>
            <w:r w:rsidRPr="00015E28">
              <w:rPr>
                <w:rFonts w:ascii="Calibri" w:hAnsi="Calibri" w:cs="Calibri"/>
              </w:rPr>
              <w:t>560,8</w:t>
            </w:r>
          </w:p>
        </w:tc>
        <w:tc>
          <w:tcPr>
            <w:tcW w:w="1260" w:type="dxa"/>
            <w:vAlign w:val="center"/>
          </w:tcPr>
          <w:p w:rsidR="00C77E3B" w:rsidRPr="00015E28" w:rsidRDefault="00C77E3B" w:rsidP="009B3B2D">
            <w:pPr>
              <w:tabs>
                <w:tab w:val="left" w:pos="1066"/>
              </w:tabs>
              <w:spacing w:line="235" w:lineRule="auto"/>
              <w:jc w:val="center"/>
              <w:rPr>
                <w:rFonts w:ascii="Calibri" w:hAnsi="Calibri" w:cs="Calibri"/>
              </w:rPr>
            </w:pPr>
            <w:r w:rsidRPr="00015E28">
              <w:rPr>
                <w:rFonts w:ascii="Calibri" w:hAnsi="Calibri" w:cs="Calibri"/>
              </w:rPr>
              <w:t>3 165,9</w:t>
            </w:r>
          </w:p>
        </w:tc>
        <w:tc>
          <w:tcPr>
            <w:tcW w:w="1115" w:type="dxa"/>
            <w:vAlign w:val="center"/>
          </w:tcPr>
          <w:p w:rsidR="00C77E3B" w:rsidRPr="00015E28" w:rsidRDefault="00C77E3B" w:rsidP="009B3B2D">
            <w:pPr>
              <w:spacing w:line="235" w:lineRule="auto"/>
              <w:jc w:val="center"/>
              <w:rPr>
                <w:rFonts w:ascii="Calibri" w:hAnsi="Calibri" w:cs="Calibri"/>
                <w:i/>
                <w:iCs/>
              </w:rPr>
            </w:pPr>
            <w:r w:rsidRPr="00015E28">
              <w:rPr>
                <w:rFonts w:ascii="Calibri" w:hAnsi="Calibri" w:cs="Calibri"/>
              </w:rPr>
              <w:t>17,9%</w:t>
            </w:r>
          </w:p>
        </w:tc>
        <w:tc>
          <w:tcPr>
            <w:tcW w:w="1945" w:type="dxa"/>
            <w:vAlign w:val="center"/>
          </w:tcPr>
          <w:p w:rsidR="00C77E3B" w:rsidRPr="00015E28" w:rsidRDefault="00C77E3B" w:rsidP="009B3B2D">
            <w:pPr>
              <w:spacing w:line="235" w:lineRule="auto"/>
              <w:ind w:right="-28"/>
              <w:jc w:val="center"/>
              <w:rPr>
                <w:rFonts w:ascii="Calibri" w:hAnsi="Calibri" w:cs="Calibri"/>
              </w:rPr>
            </w:pPr>
            <w:r w:rsidRPr="00015E28">
              <w:rPr>
                <w:rFonts w:ascii="Calibri" w:hAnsi="Calibri" w:cs="Calibri"/>
              </w:rPr>
              <w:t>948,9</w:t>
            </w:r>
          </w:p>
        </w:tc>
        <w:tc>
          <w:tcPr>
            <w:tcW w:w="1080" w:type="dxa"/>
            <w:vAlign w:val="center"/>
          </w:tcPr>
          <w:p w:rsidR="00C77E3B" w:rsidRPr="00015E28" w:rsidRDefault="00C77E3B" w:rsidP="009B3B2D">
            <w:pPr>
              <w:spacing w:line="235" w:lineRule="auto"/>
              <w:ind w:right="-8"/>
              <w:jc w:val="center"/>
              <w:rPr>
                <w:rFonts w:ascii="Calibri" w:hAnsi="Calibri" w:cs="Calibri"/>
              </w:rPr>
            </w:pPr>
            <w:r w:rsidRPr="00015E28">
              <w:rPr>
                <w:rFonts w:ascii="Calibri" w:hAnsi="Calibri" w:cs="Calibri"/>
              </w:rPr>
              <w:t>2 427,0</w:t>
            </w:r>
          </w:p>
        </w:tc>
        <w:tc>
          <w:tcPr>
            <w:tcW w:w="1186" w:type="dxa"/>
            <w:vAlign w:val="center"/>
          </w:tcPr>
          <w:p w:rsidR="00C77E3B" w:rsidRPr="00015E28" w:rsidRDefault="00C77E3B" w:rsidP="009B3B2D">
            <w:pPr>
              <w:tabs>
                <w:tab w:val="left" w:pos="1392"/>
              </w:tabs>
              <w:spacing w:line="235" w:lineRule="auto"/>
              <w:jc w:val="center"/>
              <w:rPr>
                <w:rFonts w:ascii="Calibri" w:hAnsi="Calibri" w:cs="Calibri"/>
                <w:i/>
                <w:iCs/>
              </w:rPr>
            </w:pPr>
            <w:r w:rsidRPr="00015E28">
              <w:rPr>
                <w:rFonts w:ascii="Calibri" w:hAnsi="Calibri" w:cs="Calibri"/>
              </w:rPr>
              <w:t>39,1%</w:t>
            </w:r>
          </w:p>
        </w:tc>
      </w:tr>
      <w:tr w:rsidR="00C77E3B" w:rsidRPr="005B7457" w:rsidTr="00650980">
        <w:trPr>
          <w:trHeight w:val="280"/>
        </w:trPr>
        <w:tc>
          <w:tcPr>
            <w:tcW w:w="1196" w:type="dxa"/>
            <w:vAlign w:val="center"/>
          </w:tcPr>
          <w:p w:rsidR="00C77E3B" w:rsidRPr="00015E28" w:rsidRDefault="00C77E3B" w:rsidP="009B3B2D">
            <w:pPr>
              <w:spacing w:line="235" w:lineRule="auto"/>
              <w:rPr>
                <w:rFonts w:ascii="Calibri" w:hAnsi="Calibri" w:cs="Calibri"/>
                <w:b/>
                <w:bCs/>
              </w:rPr>
            </w:pPr>
            <w:r w:rsidRPr="00015E28">
              <w:rPr>
                <w:rFonts w:ascii="Calibri" w:hAnsi="Calibri" w:cs="Calibri"/>
                <w:b/>
                <w:bCs/>
              </w:rPr>
              <w:t>Общий итог</w:t>
            </w:r>
          </w:p>
        </w:tc>
        <w:tc>
          <w:tcPr>
            <w:tcW w:w="1926" w:type="dxa"/>
            <w:vAlign w:val="center"/>
          </w:tcPr>
          <w:p w:rsidR="00C77E3B" w:rsidRPr="00015E28" w:rsidRDefault="00C77E3B" w:rsidP="009B3B2D">
            <w:pPr>
              <w:spacing w:line="235" w:lineRule="auto"/>
              <w:jc w:val="center"/>
              <w:rPr>
                <w:rFonts w:ascii="Calibri" w:hAnsi="Calibri" w:cs="Calibri"/>
                <w:b/>
              </w:rPr>
            </w:pPr>
            <w:r w:rsidRPr="00015E28">
              <w:rPr>
                <w:rFonts w:ascii="Calibri" w:hAnsi="Calibri" w:cs="Calibri"/>
                <w:b/>
              </w:rPr>
              <w:t>2 204,9</w:t>
            </w:r>
          </w:p>
        </w:tc>
        <w:tc>
          <w:tcPr>
            <w:tcW w:w="1260" w:type="dxa"/>
            <w:vAlign w:val="center"/>
          </w:tcPr>
          <w:p w:rsidR="00C77E3B" w:rsidRPr="00015E28" w:rsidRDefault="00C77E3B" w:rsidP="009B3B2D">
            <w:pPr>
              <w:tabs>
                <w:tab w:val="left" w:pos="1066"/>
              </w:tabs>
              <w:spacing w:line="235" w:lineRule="auto"/>
              <w:jc w:val="center"/>
              <w:rPr>
                <w:rFonts w:ascii="Calibri" w:hAnsi="Calibri" w:cs="Calibri"/>
                <w:b/>
              </w:rPr>
            </w:pPr>
            <w:r w:rsidRPr="00015E28">
              <w:rPr>
                <w:rFonts w:ascii="Calibri" w:hAnsi="Calibri" w:cs="Calibri"/>
                <w:b/>
              </w:rPr>
              <w:t>7 893,3</w:t>
            </w:r>
          </w:p>
        </w:tc>
        <w:tc>
          <w:tcPr>
            <w:tcW w:w="1115" w:type="dxa"/>
            <w:vAlign w:val="center"/>
          </w:tcPr>
          <w:p w:rsidR="00C77E3B" w:rsidRPr="00015E28" w:rsidRDefault="00C77E3B" w:rsidP="009B3B2D">
            <w:pPr>
              <w:spacing w:line="235" w:lineRule="auto"/>
              <w:jc w:val="center"/>
              <w:rPr>
                <w:rFonts w:ascii="Calibri" w:hAnsi="Calibri" w:cs="Calibri"/>
                <w:b/>
                <w:i/>
                <w:iCs/>
              </w:rPr>
            </w:pPr>
            <w:r w:rsidRPr="00015E28">
              <w:rPr>
                <w:rFonts w:ascii="Calibri" w:hAnsi="Calibri" w:cs="Calibri"/>
                <w:b/>
              </w:rPr>
              <w:t>36,7%</w:t>
            </w:r>
          </w:p>
        </w:tc>
        <w:tc>
          <w:tcPr>
            <w:tcW w:w="1945" w:type="dxa"/>
            <w:vAlign w:val="center"/>
          </w:tcPr>
          <w:p w:rsidR="00C77E3B" w:rsidRPr="00015E28" w:rsidRDefault="00C77E3B" w:rsidP="009B3B2D">
            <w:pPr>
              <w:spacing w:line="235" w:lineRule="auto"/>
              <w:ind w:right="-28"/>
              <w:jc w:val="center"/>
              <w:rPr>
                <w:rFonts w:ascii="Calibri" w:hAnsi="Calibri" w:cs="Calibri"/>
                <w:b/>
                <w:bCs/>
              </w:rPr>
            </w:pPr>
            <w:r w:rsidRPr="00015E28">
              <w:rPr>
                <w:rFonts w:ascii="Calibri" w:hAnsi="Calibri" w:cs="Calibri"/>
                <w:b/>
              </w:rPr>
              <w:t>2 781,9</w:t>
            </w:r>
          </w:p>
        </w:tc>
        <w:tc>
          <w:tcPr>
            <w:tcW w:w="1080" w:type="dxa"/>
            <w:vAlign w:val="center"/>
          </w:tcPr>
          <w:p w:rsidR="00C77E3B" w:rsidRPr="00015E28" w:rsidRDefault="00C77E3B" w:rsidP="009B3B2D">
            <w:pPr>
              <w:spacing w:line="235" w:lineRule="auto"/>
              <w:ind w:right="-8"/>
              <w:jc w:val="center"/>
              <w:rPr>
                <w:rFonts w:ascii="Calibri" w:hAnsi="Calibri" w:cs="Calibri"/>
                <w:b/>
                <w:bCs/>
              </w:rPr>
            </w:pPr>
            <w:r w:rsidRPr="00015E28">
              <w:rPr>
                <w:rFonts w:ascii="Calibri" w:hAnsi="Calibri" w:cs="Calibri"/>
                <w:b/>
              </w:rPr>
              <w:t>12 539,2</w:t>
            </w:r>
          </w:p>
        </w:tc>
        <w:tc>
          <w:tcPr>
            <w:tcW w:w="1186" w:type="dxa"/>
            <w:vAlign w:val="center"/>
          </w:tcPr>
          <w:p w:rsidR="00C77E3B" w:rsidRPr="00015E28" w:rsidRDefault="00C77E3B" w:rsidP="009B3B2D">
            <w:pPr>
              <w:tabs>
                <w:tab w:val="left" w:pos="1392"/>
              </w:tabs>
              <w:spacing w:line="235" w:lineRule="auto"/>
              <w:jc w:val="center"/>
              <w:rPr>
                <w:rFonts w:ascii="Calibri" w:hAnsi="Calibri" w:cs="Calibri"/>
                <w:b/>
                <w:i/>
                <w:iCs/>
              </w:rPr>
            </w:pPr>
            <w:r w:rsidRPr="00015E28">
              <w:rPr>
                <w:rFonts w:ascii="Calibri" w:hAnsi="Calibri" w:cs="Calibri"/>
                <w:b/>
              </w:rPr>
              <w:t>25,5%</w:t>
            </w:r>
          </w:p>
        </w:tc>
      </w:tr>
    </w:tbl>
    <w:p w:rsidR="00C77E3B" w:rsidRPr="005B7922" w:rsidRDefault="00C77E3B" w:rsidP="00C77E3B">
      <w:pPr>
        <w:rPr>
          <w:vanish/>
        </w:rPr>
      </w:pPr>
    </w:p>
    <w:tbl>
      <w:tblPr>
        <w:tblW w:w="9853" w:type="dxa"/>
        <w:tblLook w:val="04A0" w:firstRow="1" w:lastRow="0" w:firstColumn="1" w:lastColumn="0" w:noHBand="0" w:noVBand="1"/>
      </w:tblPr>
      <w:tblGrid>
        <w:gridCol w:w="4657"/>
        <w:gridCol w:w="5196"/>
      </w:tblGrid>
      <w:tr w:rsidR="00C77E3B" w:rsidRPr="005B7922" w:rsidTr="0070273A">
        <w:trPr>
          <w:trHeight w:val="3606"/>
        </w:trPr>
        <w:tc>
          <w:tcPr>
            <w:tcW w:w="4784" w:type="dxa"/>
            <w:shd w:val="clear" w:color="auto" w:fill="auto"/>
          </w:tcPr>
          <w:p w:rsidR="006E2AC8" w:rsidRDefault="006E2AC8" w:rsidP="009B3B2D">
            <w:pPr>
              <w:spacing w:line="235" w:lineRule="auto"/>
              <w:ind w:firstLine="708"/>
              <w:jc w:val="both"/>
              <w:rPr>
                <w:rFonts w:ascii="Calibri" w:hAnsi="Calibri" w:cs="Calibri"/>
                <w:sz w:val="30"/>
                <w:szCs w:val="30"/>
              </w:rPr>
            </w:pPr>
            <w:bookmarkStart w:id="142" w:name="OLE_LINK22"/>
            <w:bookmarkStart w:id="143" w:name="OLE_LINK23"/>
          </w:p>
          <w:p w:rsidR="00C77E3B" w:rsidRPr="005B7922" w:rsidRDefault="00C77E3B" w:rsidP="009B3B2D">
            <w:pPr>
              <w:spacing w:line="235" w:lineRule="auto"/>
              <w:ind w:firstLine="708"/>
              <w:jc w:val="both"/>
              <w:rPr>
                <w:rFonts w:ascii="Calibri" w:hAnsi="Calibri" w:cs="Calibri"/>
                <w:sz w:val="30"/>
                <w:szCs w:val="30"/>
              </w:rPr>
            </w:pPr>
            <w:r w:rsidRPr="005B7922">
              <w:rPr>
                <w:rFonts w:ascii="Calibri" w:hAnsi="Calibri" w:cs="Calibri"/>
                <w:sz w:val="30"/>
                <w:szCs w:val="30"/>
              </w:rPr>
              <w:t xml:space="preserve">За рубеж через корреспондентские счета </w:t>
            </w:r>
            <w:r w:rsidRPr="005B7922">
              <w:rPr>
                <w:rFonts w:ascii="Calibri" w:hAnsi="Calibri" w:cs="Calibri"/>
                <w:b/>
                <w:sz w:val="30"/>
                <w:szCs w:val="30"/>
              </w:rPr>
              <w:t xml:space="preserve">было отправлено 2,7 млн. транзакций на сумму </w:t>
            </w:r>
            <w:r w:rsidR="0093063F">
              <w:rPr>
                <w:rFonts w:ascii="Calibri" w:hAnsi="Calibri" w:cs="Calibri"/>
                <w:b/>
                <w:sz w:val="30"/>
                <w:szCs w:val="30"/>
              </w:rPr>
              <w:t>211,</w:t>
            </w:r>
            <w:r w:rsidR="00CC43D9">
              <w:rPr>
                <w:rFonts w:ascii="Calibri" w:hAnsi="Calibri" w:cs="Calibri"/>
                <w:b/>
                <w:sz w:val="30"/>
                <w:szCs w:val="30"/>
              </w:rPr>
              <w:t>6</w:t>
            </w:r>
            <w:r w:rsidRPr="005B7922">
              <w:rPr>
                <w:rFonts w:ascii="Calibri" w:hAnsi="Calibri" w:cs="Calibri"/>
                <w:b/>
                <w:sz w:val="30"/>
                <w:szCs w:val="30"/>
              </w:rPr>
              <w:t xml:space="preserve"> трлн. тенге</w:t>
            </w:r>
            <w:bookmarkEnd w:id="142"/>
            <w:bookmarkEnd w:id="143"/>
            <w:r w:rsidRPr="005B7922">
              <w:rPr>
                <w:rFonts w:ascii="Calibri" w:hAnsi="Calibri" w:cs="Calibri"/>
                <w:sz w:val="30"/>
                <w:szCs w:val="30"/>
              </w:rPr>
              <w:t>. Основная доля платежей</w:t>
            </w:r>
            <w:r w:rsidR="009B3B2D">
              <w:rPr>
                <w:rFonts w:ascii="Calibri" w:hAnsi="Calibri" w:cs="Calibri"/>
                <w:sz w:val="30"/>
                <w:szCs w:val="30"/>
              </w:rPr>
              <w:t xml:space="preserve"> и переводов денег</w:t>
            </w:r>
            <w:r w:rsidRPr="005B7922">
              <w:rPr>
                <w:rFonts w:ascii="Calibri" w:hAnsi="Calibri" w:cs="Calibri"/>
                <w:sz w:val="30"/>
                <w:szCs w:val="30"/>
              </w:rPr>
              <w:t xml:space="preserve">, </w:t>
            </w:r>
            <w:r w:rsidR="009B3B2D">
              <w:rPr>
                <w:rFonts w:ascii="Calibri" w:hAnsi="Calibri" w:cs="Calibri"/>
                <w:sz w:val="30"/>
                <w:szCs w:val="30"/>
              </w:rPr>
              <w:t xml:space="preserve">отправленных за рубеж </w:t>
            </w:r>
            <w:r w:rsidRPr="005B7922">
              <w:rPr>
                <w:rFonts w:ascii="Calibri" w:hAnsi="Calibri" w:cs="Calibri"/>
                <w:sz w:val="30"/>
                <w:szCs w:val="30"/>
              </w:rPr>
              <w:t>через корреспондентские счета, приходится на доллары США (</w:t>
            </w:r>
            <w:r w:rsidR="00546122">
              <w:rPr>
                <w:rFonts w:ascii="Calibri" w:hAnsi="Calibri" w:cs="Calibri"/>
                <w:sz w:val="30"/>
                <w:szCs w:val="30"/>
              </w:rPr>
              <w:t>76,2</w:t>
            </w:r>
            <w:r w:rsidRPr="005B7922">
              <w:rPr>
                <w:rFonts w:ascii="Calibri" w:hAnsi="Calibri" w:cs="Calibri"/>
                <w:sz w:val="30"/>
                <w:szCs w:val="30"/>
              </w:rPr>
              <w:t>%).</w:t>
            </w:r>
          </w:p>
        </w:tc>
        <w:tc>
          <w:tcPr>
            <w:tcW w:w="5069" w:type="dxa"/>
            <w:shd w:val="clear" w:color="auto" w:fill="auto"/>
          </w:tcPr>
          <w:p w:rsidR="006E2AC8" w:rsidRDefault="006E2AC8" w:rsidP="00E363C5">
            <w:pPr>
              <w:spacing w:line="235" w:lineRule="auto"/>
              <w:jc w:val="center"/>
              <w:rPr>
                <w:rFonts w:ascii="Calibri" w:hAnsi="Calibri" w:cs="Arial"/>
                <w:b/>
                <w:color w:val="0E4C28"/>
                <w:sz w:val="28"/>
                <w:szCs w:val="28"/>
              </w:rPr>
            </w:pPr>
          </w:p>
          <w:p w:rsidR="00C77E3B" w:rsidRPr="00650980" w:rsidRDefault="00C77E3B" w:rsidP="00E363C5">
            <w:pPr>
              <w:spacing w:line="235" w:lineRule="auto"/>
              <w:jc w:val="center"/>
              <w:rPr>
                <w:rFonts w:ascii="Calibri" w:hAnsi="Calibri" w:cs="Arial"/>
                <w:b/>
                <w:color w:val="0E4C28"/>
                <w:sz w:val="28"/>
                <w:szCs w:val="28"/>
              </w:rPr>
            </w:pPr>
            <w:r w:rsidRPr="00650980">
              <w:rPr>
                <w:rFonts w:ascii="Calibri" w:hAnsi="Calibri" w:cs="Arial"/>
                <w:b/>
                <w:color w:val="0E4C28"/>
                <w:sz w:val="28"/>
                <w:szCs w:val="28"/>
              </w:rPr>
              <w:t xml:space="preserve">Доля от общей суммы </w:t>
            </w:r>
          </w:p>
          <w:p w:rsidR="00C77E3B" w:rsidRPr="00650980" w:rsidRDefault="00C77E3B" w:rsidP="00E363C5">
            <w:pPr>
              <w:spacing w:line="235" w:lineRule="auto"/>
              <w:jc w:val="center"/>
              <w:rPr>
                <w:rFonts w:ascii="Calibri" w:hAnsi="Calibri" w:cs="Arial"/>
                <w:b/>
                <w:color w:val="0E4C28"/>
                <w:sz w:val="28"/>
                <w:szCs w:val="28"/>
              </w:rPr>
            </w:pPr>
            <w:r w:rsidRPr="00650980">
              <w:rPr>
                <w:rFonts w:ascii="Calibri" w:hAnsi="Calibri" w:cs="Arial"/>
                <w:b/>
                <w:color w:val="0E4C28"/>
                <w:sz w:val="28"/>
                <w:szCs w:val="28"/>
              </w:rPr>
              <w:t>отправленных за рубеж платежей</w:t>
            </w:r>
            <w:r w:rsidR="009B3B2D">
              <w:rPr>
                <w:rFonts w:ascii="Calibri" w:hAnsi="Calibri" w:cs="Arial"/>
                <w:b/>
                <w:color w:val="0E4C28"/>
                <w:sz w:val="28"/>
                <w:szCs w:val="28"/>
              </w:rPr>
              <w:t xml:space="preserve"> и переводов денег</w:t>
            </w:r>
            <w:r w:rsidRPr="00650980">
              <w:rPr>
                <w:rFonts w:ascii="Calibri" w:hAnsi="Calibri" w:cs="Arial"/>
                <w:b/>
                <w:color w:val="0E4C28"/>
                <w:sz w:val="28"/>
                <w:szCs w:val="28"/>
              </w:rPr>
              <w:t xml:space="preserve"> </w:t>
            </w:r>
          </w:p>
          <w:p w:rsidR="00C77E3B" w:rsidRPr="005B7922" w:rsidRDefault="00B41594" w:rsidP="00E363C5">
            <w:pPr>
              <w:spacing w:line="235" w:lineRule="auto"/>
              <w:jc w:val="both"/>
              <w:rPr>
                <w:rFonts w:ascii="Calibri" w:hAnsi="Calibri" w:cs="Calibri"/>
                <w:sz w:val="30"/>
                <w:szCs w:val="30"/>
              </w:rPr>
            </w:pPr>
            <w:r>
              <w:rPr>
                <w:rFonts w:ascii="Calibri" w:hAnsi="Calibri" w:cs="Calibri"/>
                <w:b/>
                <w:noProof/>
              </w:rPr>
              <w:drawing>
                <wp:inline distT="0" distB="0" distL="0" distR="0" wp14:anchorId="4939F24D" wp14:editId="4F115A40">
                  <wp:extent cx="3078480" cy="1649730"/>
                  <wp:effectExtent l="38100" t="0" r="45720" b="7620"/>
                  <wp:docPr id="49" name="Объект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bl>
    <w:p w:rsidR="00C77E3B" w:rsidRPr="00015E28" w:rsidRDefault="009B3B2D" w:rsidP="00E363C5">
      <w:pPr>
        <w:spacing w:line="233" w:lineRule="auto"/>
        <w:ind w:firstLine="709"/>
        <w:jc w:val="both"/>
        <w:rPr>
          <w:rFonts w:ascii="Calibri" w:hAnsi="Calibri" w:cs="Calibri"/>
          <w:sz w:val="30"/>
          <w:szCs w:val="30"/>
        </w:rPr>
      </w:pPr>
      <w:r>
        <w:rPr>
          <w:rFonts w:ascii="Calibri" w:hAnsi="Calibri" w:cs="Calibri"/>
          <w:sz w:val="30"/>
          <w:szCs w:val="30"/>
        </w:rPr>
        <w:t>О</w:t>
      </w:r>
      <w:r w:rsidR="00C77E3B" w:rsidRPr="00015E28">
        <w:rPr>
          <w:rFonts w:ascii="Calibri" w:hAnsi="Calibri" w:cs="Calibri"/>
          <w:sz w:val="30"/>
          <w:szCs w:val="30"/>
        </w:rPr>
        <w:t xml:space="preserve">сновной поток переводов денег через </w:t>
      </w:r>
      <w:r w:rsidR="00C77E3B">
        <w:rPr>
          <w:rFonts w:ascii="Calibri" w:hAnsi="Calibri" w:cs="Calibri"/>
          <w:sz w:val="30"/>
          <w:szCs w:val="30"/>
        </w:rPr>
        <w:t>корреспондентские счета</w:t>
      </w:r>
      <w:r w:rsidR="00C77E3B" w:rsidRPr="00015E28">
        <w:rPr>
          <w:rFonts w:ascii="Calibri" w:hAnsi="Calibri" w:cs="Calibri"/>
          <w:sz w:val="30"/>
          <w:szCs w:val="30"/>
        </w:rPr>
        <w:t xml:space="preserve"> был направлен в </w:t>
      </w:r>
      <w:r w:rsidR="00C77E3B">
        <w:rPr>
          <w:rFonts w:ascii="Calibri" w:hAnsi="Calibri" w:cs="Calibri"/>
          <w:sz w:val="30"/>
          <w:szCs w:val="30"/>
        </w:rPr>
        <w:t>США (5</w:t>
      </w:r>
      <w:r w:rsidR="00CC43D9">
        <w:rPr>
          <w:rFonts w:ascii="Calibri" w:hAnsi="Calibri" w:cs="Calibri"/>
          <w:sz w:val="30"/>
          <w:szCs w:val="30"/>
        </w:rPr>
        <w:t>6</w:t>
      </w:r>
      <w:r w:rsidR="00C77E3B">
        <w:rPr>
          <w:rFonts w:ascii="Calibri" w:hAnsi="Calibri" w:cs="Calibri"/>
          <w:sz w:val="30"/>
          <w:szCs w:val="30"/>
        </w:rPr>
        <w:t>,5%)</w:t>
      </w:r>
      <w:r w:rsidR="00C77E3B" w:rsidRPr="00015E28">
        <w:rPr>
          <w:rFonts w:ascii="Calibri" w:hAnsi="Calibri" w:cs="Calibri"/>
          <w:sz w:val="30"/>
          <w:szCs w:val="30"/>
        </w:rPr>
        <w:t xml:space="preserve">. </w:t>
      </w:r>
    </w:p>
    <w:p w:rsidR="006E2AC8" w:rsidRDefault="006E2AC8" w:rsidP="00E363C5">
      <w:pPr>
        <w:spacing w:line="233" w:lineRule="auto"/>
        <w:jc w:val="center"/>
        <w:rPr>
          <w:rFonts w:ascii="Calibri" w:hAnsi="Calibri" w:cs="Arial"/>
          <w:b/>
          <w:color w:val="0E4C28"/>
          <w:sz w:val="28"/>
          <w:szCs w:val="28"/>
        </w:rPr>
      </w:pPr>
    </w:p>
    <w:p w:rsidR="00C77E3B" w:rsidRPr="00650980" w:rsidRDefault="00C77E3B" w:rsidP="00E363C5">
      <w:pPr>
        <w:spacing w:line="233" w:lineRule="auto"/>
        <w:jc w:val="center"/>
        <w:rPr>
          <w:rFonts w:ascii="Calibri" w:hAnsi="Calibri" w:cs="Arial"/>
          <w:b/>
          <w:color w:val="0E4C28"/>
          <w:sz w:val="28"/>
          <w:szCs w:val="28"/>
        </w:rPr>
      </w:pPr>
      <w:r w:rsidRPr="00650980">
        <w:rPr>
          <w:rFonts w:ascii="Calibri" w:hAnsi="Calibri" w:cs="Arial"/>
          <w:b/>
          <w:color w:val="0E4C28"/>
          <w:sz w:val="28"/>
          <w:szCs w:val="28"/>
        </w:rPr>
        <w:t>Страны, куда направлен перевод денег</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4"/>
        <w:gridCol w:w="1655"/>
        <w:gridCol w:w="1409"/>
        <w:gridCol w:w="1478"/>
        <w:gridCol w:w="1829"/>
      </w:tblGrid>
      <w:tr w:rsidR="00C77E3B" w:rsidRPr="00A86AE4" w:rsidTr="00BC1404">
        <w:trPr>
          <w:trHeight w:val="255"/>
        </w:trPr>
        <w:tc>
          <w:tcPr>
            <w:tcW w:w="3524" w:type="dxa"/>
            <w:shd w:val="clear" w:color="auto" w:fill="9BBB59"/>
            <w:noWrap/>
            <w:vAlign w:val="center"/>
          </w:tcPr>
          <w:p w:rsidR="00C77E3B" w:rsidRPr="00015E28" w:rsidRDefault="00C77E3B" w:rsidP="00E363C5">
            <w:pPr>
              <w:spacing w:line="233" w:lineRule="auto"/>
              <w:jc w:val="center"/>
              <w:rPr>
                <w:rFonts w:ascii="Calibri" w:hAnsi="Calibri" w:cs="Calibri"/>
                <w:b/>
              </w:rPr>
            </w:pPr>
            <w:r w:rsidRPr="00015E28">
              <w:rPr>
                <w:rFonts w:ascii="Calibri" w:hAnsi="Calibri" w:cs="Calibri"/>
              </w:rPr>
              <w:tab/>
            </w:r>
            <w:r w:rsidRPr="00015E28">
              <w:rPr>
                <w:rFonts w:ascii="Calibri" w:hAnsi="Calibri" w:cs="Calibri"/>
                <w:b/>
              </w:rPr>
              <w:t>Страна</w:t>
            </w:r>
          </w:p>
        </w:tc>
        <w:tc>
          <w:tcPr>
            <w:tcW w:w="1655" w:type="dxa"/>
            <w:shd w:val="clear" w:color="auto" w:fill="9BBB59"/>
            <w:noWrap/>
            <w:vAlign w:val="center"/>
          </w:tcPr>
          <w:p w:rsidR="00C77E3B" w:rsidRPr="00015E28" w:rsidRDefault="00C77E3B" w:rsidP="00E363C5">
            <w:pPr>
              <w:spacing w:line="233" w:lineRule="auto"/>
              <w:jc w:val="center"/>
              <w:rPr>
                <w:rFonts w:ascii="Calibri" w:hAnsi="Calibri" w:cs="Calibri"/>
                <w:b/>
              </w:rPr>
            </w:pPr>
            <w:r w:rsidRPr="00015E28">
              <w:rPr>
                <w:rFonts w:ascii="Calibri" w:hAnsi="Calibri" w:cs="Calibri"/>
                <w:b/>
              </w:rPr>
              <w:t xml:space="preserve">Кол-во </w:t>
            </w:r>
          </w:p>
          <w:p w:rsidR="00C77E3B" w:rsidRPr="00015E28" w:rsidRDefault="00C77E3B" w:rsidP="00E363C5">
            <w:pPr>
              <w:spacing w:line="233" w:lineRule="auto"/>
              <w:jc w:val="center"/>
              <w:rPr>
                <w:rFonts w:ascii="Calibri" w:hAnsi="Calibri" w:cs="Calibri"/>
                <w:b/>
              </w:rPr>
            </w:pPr>
            <w:r w:rsidRPr="00015E28">
              <w:rPr>
                <w:rFonts w:ascii="Calibri" w:hAnsi="Calibri" w:cs="Calibri"/>
                <w:b/>
              </w:rPr>
              <w:t>(тыс. транзакций)</w:t>
            </w:r>
          </w:p>
        </w:tc>
        <w:tc>
          <w:tcPr>
            <w:tcW w:w="1409" w:type="dxa"/>
            <w:shd w:val="clear" w:color="auto" w:fill="9BBB59"/>
            <w:noWrap/>
            <w:vAlign w:val="center"/>
          </w:tcPr>
          <w:p w:rsidR="00C77E3B" w:rsidRPr="00015E28" w:rsidRDefault="00C77E3B" w:rsidP="00E363C5">
            <w:pPr>
              <w:spacing w:line="233" w:lineRule="auto"/>
              <w:jc w:val="center"/>
              <w:rPr>
                <w:rFonts w:ascii="Calibri" w:hAnsi="Calibri" w:cs="Calibri"/>
                <w:b/>
                <w:i/>
              </w:rPr>
            </w:pPr>
            <w:r w:rsidRPr="00015E28">
              <w:rPr>
                <w:rFonts w:ascii="Calibri" w:hAnsi="Calibri" w:cs="Calibri"/>
                <w:b/>
                <w:i/>
              </w:rPr>
              <w:t xml:space="preserve">Доля от общего кол-ва, </w:t>
            </w:r>
            <w:proofErr w:type="gramStart"/>
            <w:r w:rsidRPr="00015E28">
              <w:rPr>
                <w:rFonts w:ascii="Calibri" w:hAnsi="Calibri" w:cs="Calibri"/>
                <w:b/>
                <w:i/>
              </w:rPr>
              <w:t>в</w:t>
            </w:r>
            <w:proofErr w:type="gramEnd"/>
            <w:r w:rsidRPr="00015E28">
              <w:rPr>
                <w:rFonts w:ascii="Calibri" w:hAnsi="Calibri" w:cs="Calibri"/>
                <w:b/>
                <w:i/>
              </w:rPr>
              <w:t xml:space="preserve"> %</w:t>
            </w:r>
          </w:p>
        </w:tc>
        <w:tc>
          <w:tcPr>
            <w:tcW w:w="1478" w:type="dxa"/>
            <w:shd w:val="clear" w:color="auto" w:fill="9BBB59"/>
            <w:noWrap/>
            <w:vAlign w:val="center"/>
          </w:tcPr>
          <w:p w:rsidR="00C77E3B" w:rsidRPr="00015E28" w:rsidRDefault="00C77E3B" w:rsidP="00E363C5">
            <w:pPr>
              <w:spacing w:line="233" w:lineRule="auto"/>
              <w:jc w:val="center"/>
              <w:rPr>
                <w:rFonts w:ascii="Calibri" w:hAnsi="Calibri" w:cs="Calibri"/>
                <w:b/>
              </w:rPr>
            </w:pPr>
            <w:r w:rsidRPr="00015E28">
              <w:rPr>
                <w:rFonts w:ascii="Calibri" w:hAnsi="Calibri" w:cs="Calibri"/>
                <w:b/>
              </w:rPr>
              <w:t xml:space="preserve">Сумма </w:t>
            </w:r>
          </w:p>
          <w:p w:rsidR="00C77E3B" w:rsidRPr="00015E28" w:rsidRDefault="00C77E3B" w:rsidP="00CC43D9">
            <w:pPr>
              <w:spacing w:line="233" w:lineRule="auto"/>
              <w:jc w:val="center"/>
              <w:rPr>
                <w:rFonts w:ascii="Calibri" w:hAnsi="Calibri" w:cs="Calibri"/>
                <w:b/>
              </w:rPr>
            </w:pPr>
            <w:r w:rsidRPr="00015E28">
              <w:rPr>
                <w:rFonts w:ascii="Calibri" w:hAnsi="Calibri" w:cs="Calibri"/>
                <w:b/>
              </w:rPr>
              <w:t>(мл</w:t>
            </w:r>
            <w:r w:rsidR="00CC43D9">
              <w:rPr>
                <w:rFonts w:ascii="Calibri" w:hAnsi="Calibri" w:cs="Calibri"/>
                <w:b/>
              </w:rPr>
              <w:t>рд</w:t>
            </w:r>
            <w:r w:rsidRPr="00015E28">
              <w:rPr>
                <w:rFonts w:ascii="Calibri" w:hAnsi="Calibri" w:cs="Calibri"/>
                <w:b/>
              </w:rPr>
              <w:t>. тенге)</w:t>
            </w:r>
          </w:p>
        </w:tc>
        <w:tc>
          <w:tcPr>
            <w:tcW w:w="1829" w:type="dxa"/>
            <w:shd w:val="clear" w:color="auto" w:fill="9BBB59"/>
            <w:noWrap/>
            <w:vAlign w:val="center"/>
          </w:tcPr>
          <w:p w:rsidR="00C77E3B" w:rsidRPr="00015E28" w:rsidRDefault="00C77E3B" w:rsidP="00E363C5">
            <w:pPr>
              <w:spacing w:line="233" w:lineRule="auto"/>
              <w:jc w:val="center"/>
              <w:rPr>
                <w:rFonts w:ascii="Calibri" w:hAnsi="Calibri" w:cs="Calibri"/>
                <w:b/>
                <w:i/>
              </w:rPr>
            </w:pPr>
            <w:r w:rsidRPr="00015E28">
              <w:rPr>
                <w:rFonts w:ascii="Calibri" w:hAnsi="Calibri" w:cs="Calibri"/>
                <w:b/>
                <w:i/>
              </w:rPr>
              <w:t xml:space="preserve">Доля от общей  суммы, </w:t>
            </w:r>
            <w:proofErr w:type="gramStart"/>
            <w:r w:rsidRPr="00015E28">
              <w:rPr>
                <w:rFonts w:ascii="Calibri" w:hAnsi="Calibri" w:cs="Calibri"/>
                <w:b/>
                <w:i/>
              </w:rPr>
              <w:t>в</w:t>
            </w:r>
            <w:proofErr w:type="gramEnd"/>
            <w:r w:rsidRPr="00015E28">
              <w:rPr>
                <w:rFonts w:ascii="Calibri" w:hAnsi="Calibri" w:cs="Calibri"/>
                <w:b/>
                <w:i/>
              </w:rPr>
              <w:t xml:space="preserve"> %</w:t>
            </w:r>
          </w:p>
        </w:tc>
      </w:tr>
      <w:tr w:rsidR="00C77E3B" w:rsidRPr="00A86AE4" w:rsidTr="00CC43D9">
        <w:trPr>
          <w:trHeight w:val="171"/>
        </w:trPr>
        <w:tc>
          <w:tcPr>
            <w:tcW w:w="3524" w:type="dxa"/>
            <w:noWrap/>
            <w:vAlign w:val="bottom"/>
          </w:tcPr>
          <w:p w:rsidR="00C77E3B" w:rsidRPr="008B08BC" w:rsidRDefault="00C77E3B" w:rsidP="00E363C5">
            <w:pPr>
              <w:spacing w:line="233" w:lineRule="auto"/>
              <w:rPr>
                <w:rFonts w:ascii="Calibri" w:hAnsi="Calibri" w:cs="Calibri"/>
              </w:rPr>
            </w:pPr>
            <w:r w:rsidRPr="008B08BC">
              <w:rPr>
                <w:rFonts w:ascii="Calibri" w:hAnsi="Calibri" w:cs="Calibri"/>
              </w:rPr>
              <w:t xml:space="preserve"> Соединенные Штаты </w:t>
            </w:r>
          </w:p>
        </w:tc>
        <w:tc>
          <w:tcPr>
            <w:tcW w:w="1655" w:type="dxa"/>
            <w:noWrap/>
            <w:vAlign w:val="center"/>
          </w:tcPr>
          <w:p w:rsidR="00C77E3B" w:rsidRPr="008B08BC" w:rsidRDefault="00C77E3B" w:rsidP="00CC43D9">
            <w:pPr>
              <w:spacing w:line="233" w:lineRule="auto"/>
              <w:jc w:val="center"/>
              <w:rPr>
                <w:rFonts w:ascii="Calibri" w:hAnsi="Calibri" w:cs="Calibri"/>
              </w:rPr>
            </w:pPr>
            <w:r>
              <w:rPr>
                <w:rFonts w:ascii="Calibri" w:hAnsi="Calibri" w:cs="Calibri"/>
              </w:rPr>
              <w:t>124,</w:t>
            </w:r>
            <w:r w:rsidR="00CC43D9">
              <w:rPr>
                <w:rFonts w:ascii="Calibri" w:hAnsi="Calibri" w:cs="Calibri"/>
              </w:rPr>
              <w:t>3</w:t>
            </w:r>
          </w:p>
        </w:tc>
        <w:tc>
          <w:tcPr>
            <w:tcW w:w="1409" w:type="dxa"/>
            <w:noWrap/>
            <w:vAlign w:val="center"/>
          </w:tcPr>
          <w:p w:rsidR="00C77E3B" w:rsidRPr="00CC43D9" w:rsidRDefault="00CC43D9" w:rsidP="00CC43D9">
            <w:pPr>
              <w:spacing w:line="233" w:lineRule="auto"/>
              <w:jc w:val="center"/>
              <w:rPr>
                <w:rFonts w:ascii="Calibri" w:hAnsi="Calibri" w:cs="Calibri"/>
                <w:i/>
              </w:rPr>
            </w:pPr>
            <w:r w:rsidRPr="00CC43D9">
              <w:rPr>
                <w:rFonts w:ascii="Calibri" w:hAnsi="Calibri" w:cs="Calibri"/>
                <w:i/>
              </w:rPr>
              <w:t>4,5</w:t>
            </w:r>
            <w:r w:rsidR="00C77E3B" w:rsidRPr="00CC43D9">
              <w:rPr>
                <w:rFonts w:ascii="Calibri" w:hAnsi="Calibri" w:cs="Calibri"/>
                <w:i/>
              </w:rPr>
              <w:t>%</w:t>
            </w:r>
          </w:p>
        </w:tc>
        <w:tc>
          <w:tcPr>
            <w:tcW w:w="1478" w:type="dxa"/>
            <w:noWrap/>
            <w:vAlign w:val="center"/>
          </w:tcPr>
          <w:p w:rsidR="00C77E3B" w:rsidRPr="008B08BC" w:rsidRDefault="00CC43D9" w:rsidP="00CC43D9">
            <w:pPr>
              <w:spacing w:line="233" w:lineRule="auto"/>
              <w:jc w:val="center"/>
              <w:rPr>
                <w:rFonts w:ascii="Calibri" w:hAnsi="Calibri" w:cs="Calibri"/>
              </w:rPr>
            </w:pPr>
            <w:r>
              <w:rPr>
                <w:rFonts w:ascii="Calibri" w:hAnsi="Calibri" w:cs="Calibri"/>
              </w:rPr>
              <w:t>119 609,2</w:t>
            </w:r>
          </w:p>
        </w:tc>
        <w:tc>
          <w:tcPr>
            <w:tcW w:w="1829" w:type="dxa"/>
            <w:noWrap/>
            <w:vAlign w:val="center"/>
          </w:tcPr>
          <w:p w:rsidR="00C77E3B" w:rsidRPr="00CC43D9" w:rsidRDefault="00CC43D9" w:rsidP="00CC43D9">
            <w:pPr>
              <w:spacing w:line="233" w:lineRule="auto"/>
              <w:jc w:val="center"/>
              <w:rPr>
                <w:rFonts w:ascii="Calibri" w:hAnsi="Calibri" w:cs="Calibri"/>
                <w:i/>
              </w:rPr>
            </w:pPr>
            <w:r w:rsidRPr="00CC43D9">
              <w:rPr>
                <w:rFonts w:ascii="Calibri" w:hAnsi="Calibri" w:cs="Calibri"/>
                <w:i/>
              </w:rPr>
              <w:t>56</w:t>
            </w:r>
            <w:r w:rsidR="00C77E3B" w:rsidRPr="00CC43D9">
              <w:rPr>
                <w:rFonts w:ascii="Calibri" w:hAnsi="Calibri" w:cs="Calibri"/>
                <w:i/>
              </w:rPr>
              <w:t>,5%</w:t>
            </w:r>
          </w:p>
        </w:tc>
      </w:tr>
      <w:tr w:rsidR="00C77E3B" w:rsidRPr="00A86AE4" w:rsidTr="00CC43D9">
        <w:trPr>
          <w:trHeight w:val="255"/>
        </w:trPr>
        <w:tc>
          <w:tcPr>
            <w:tcW w:w="3524" w:type="dxa"/>
            <w:noWrap/>
            <w:vAlign w:val="bottom"/>
          </w:tcPr>
          <w:p w:rsidR="00C77E3B" w:rsidRPr="008B08BC" w:rsidRDefault="00C77E3B" w:rsidP="00E363C5">
            <w:pPr>
              <w:spacing w:line="233" w:lineRule="auto"/>
              <w:rPr>
                <w:rFonts w:ascii="Calibri" w:hAnsi="Calibri" w:cs="Calibri"/>
              </w:rPr>
            </w:pPr>
            <w:r w:rsidRPr="008B08BC">
              <w:rPr>
                <w:rFonts w:ascii="Calibri" w:hAnsi="Calibri" w:cs="Calibri"/>
              </w:rPr>
              <w:t xml:space="preserve"> Российская Федерация </w:t>
            </w:r>
          </w:p>
        </w:tc>
        <w:tc>
          <w:tcPr>
            <w:tcW w:w="1655" w:type="dxa"/>
            <w:noWrap/>
            <w:vAlign w:val="center"/>
          </w:tcPr>
          <w:p w:rsidR="00C77E3B" w:rsidRPr="008B08BC" w:rsidRDefault="00CC43D9" w:rsidP="00CC43D9">
            <w:pPr>
              <w:spacing w:line="233" w:lineRule="auto"/>
              <w:jc w:val="center"/>
              <w:rPr>
                <w:rFonts w:ascii="Calibri" w:hAnsi="Calibri" w:cs="Calibri"/>
              </w:rPr>
            </w:pPr>
            <w:r w:rsidRPr="00CC43D9">
              <w:rPr>
                <w:rFonts w:ascii="Calibri" w:hAnsi="Calibri" w:cs="Calibri"/>
              </w:rPr>
              <w:t>1 262,5</w:t>
            </w:r>
          </w:p>
        </w:tc>
        <w:tc>
          <w:tcPr>
            <w:tcW w:w="1409" w:type="dxa"/>
            <w:noWrap/>
            <w:vAlign w:val="center"/>
          </w:tcPr>
          <w:p w:rsidR="00C77E3B" w:rsidRPr="00CC43D9" w:rsidRDefault="00CC43D9" w:rsidP="00CC43D9">
            <w:pPr>
              <w:spacing w:line="233" w:lineRule="auto"/>
              <w:jc w:val="center"/>
              <w:rPr>
                <w:rFonts w:ascii="Calibri" w:hAnsi="Calibri" w:cs="Calibri"/>
                <w:i/>
              </w:rPr>
            </w:pPr>
            <w:r w:rsidRPr="00CC43D9">
              <w:rPr>
                <w:rFonts w:ascii="Calibri" w:hAnsi="Calibri" w:cs="Calibri"/>
                <w:i/>
              </w:rPr>
              <w:t>46,0</w:t>
            </w:r>
            <w:r w:rsidR="00C77E3B" w:rsidRPr="00CC43D9">
              <w:rPr>
                <w:rFonts w:ascii="Calibri" w:hAnsi="Calibri" w:cs="Calibri"/>
                <w:i/>
              </w:rPr>
              <w:t>%</w:t>
            </w:r>
          </w:p>
        </w:tc>
        <w:tc>
          <w:tcPr>
            <w:tcW w:w="1478" w:type="dxa"/>
            <w:noWrap/>
            <w:vAlign w:val="center"/>
          </w:tcPr>
          <w:p w:rsidR="00C77E3B" w:rsidRPr="008B08BC" w:rsidRDefault="00CC43D9" w:rsidP="00CC43D9">
            <w:pPr>
              <w:spacing w:line="233" w:lineRule="auto"/>
              <w:jc w:val="center"/>
              <w:rPr>
                <w:rFonts w:ascii="Calibri" w:hAnsi="Calibri" w:cs="Calibri"/>
              </w:rPr>
            </w:pPr>
            <w:r w:rsidRPr="00CC43D9">
              <w:rPr>
                <w:rFonts w:ascii="Calibri" w:hAnsi="Calibri" w:cs="Calibri"/>
              </w:rPr>
              <w:t>17 563,0</w:t>
            </w:r>
          </w:p>
        </w:tc>
        <w:tc>
          <w:tcPr>
            <w:tcW w:w="1829" w:type="dxa"/>
            <w:noWrap/>
            <w:vAlign w:val="center"/>
          </w:tcPr>
          <w:p w:rsidR="00C77E3B" w:rsidRPr="00CC43D9" w:rsidRDefault="00CC43D9" w:rsidP="00CC43D9">
            <w:pPr>
              <w:spacing w:line="233" w:lineRule="auto"/>
              <w:jc w:val="center"/>
              <w:rPr>
                <w:rFonts w:ascii="Calibri" w:hAnsi="Calibri" w:cs="Calibri"/>
                <w:i/>
              </w:rPr>
            </w:pPr>
            <w:r w:rsidRPr="00CC43D9">
              <w:rPr>
                <w:rFonts w:ascii="Calibri" w:hAnsi="Calibri" w:cs="Calibri"/>
                <w:i/>
              </w:rPr>
              <w:t>8,3</w:t>
            </w:r>
            <w:r w:rsidR="00C77E3B" w:rsidRPr="00CC43D9">
              <w:rPr>
                <w:rFonts w:ascii="Calibri" w:hAnsi="Calibri" w:cs="Calibri"/>
                <w:i/>
              </w:rPr>
              <w:t>%</w:t>
            </w:r>
          </w:p>
        </w:tc>
      </w:tr>
      <w:tr w:rsidR="00C77E3B" w:rsidRPr="00A86AE4" w:rsidTr="00CC43D9">
        <w:trPr>
          <w:trHeight w:val="255"/>
        </w:trPr>
        <w:tc>
          <w:tcPr>
            <w:tcW w:w="3524" w:type="dxa"/>
            <w:noWrap/>
            <w:vAlign w:val="bottom"/>
          </w:tcPr>
          <w:p w:rsidR="00C77E3B" w:rsidRPr="008B08BC" w:rsidRDefault="00C77E3B" w:rsidP="00E363C5">
            <w:pPr>
              <w:spacing w:line="233" w:lineRule="auto"/>
              <w:rPr>
                <w:rFonts w:ascii="Calibri" w:hAnsi="Calibri" w:cs="Calibri"/>
              </w:rPr>
            </w:pPr>
            <w:r w:rsidRPr="008B08BC">
              <w:rPr>
                <w:rFonts w:ascii="Calibri" w:hAnsi="Calibri" w:cs="Calibri"/>
              </w:rPr>
              <w:t xml:space="preserve"> Германия </w:t>
            </w:r>
          </w:p>
        </w:tc>
        <w:tc>
          <w:tcPr>
            <w:tcW w:w="1655" w:type="dxa"/>
            <w:noWrap/>
            <w:vAlign w:val="center"/>
          </w:tcPr>
          <w:p w:rsidR="00C77E3B" w:rsidRPr="008B08BC" w:rsidRDefault="00CC43D9" w:rsidP="00CC43D9">
            <w:pPr>
              <w:spacing w:line="233" w:lineRule="auto"/>
              <w:jc w:val="center"/>
              <w:rPr>
                <w:rFonts w:ascii="Calibri" w:hAnsi="Calibri" w:cs="Calibri"/>
              </w:rPr>
            </w:pPr>
            <w:r w:rsidRPr="00CC43D9">
              <w:rPr>
                <w:rFonts w:ascii="Calibri" w:hAnsi="Calibri" w:cs="Calibri"/>
              </w:rPr>
              <w:t>106,6</w:t>
            </w:r>
          </w:p>
        </w:tc>
        <w:tc>
          <w:tcPr>
            <w:tcW w:w="1409" w:type="dxa"/>
            <w:noWrap/>
            <w:vAlign w:val="center"/>
          </w:tcPr>
          <w:p w:rsidR="00C77E3B" w:rsidRPr="00CC43D9" w:rsidRDefault="00C77E3B" w:rsidP="00CC43D9">
            <w:pPr>
              <w:spacing w:line="233" w:lineRule="auto"/>
              <w:jc w:val="center"/>
              <w:rPr>
                <w:rFonts w:ascii="Calibri" w:hAnsi="Calibri" w:cs="Calibri"/>
                <w:i/>
              </w:rPr>
            </w:pPr>
            <w:r w:rsidRPr="00CC43D9">
              <w:rPr>
                <w:rFonts w:ascii="Calibri" w:hAnsi="Calibri" w:cs="Calibri"/>
                <w:i/>
              </w:rPr>
              <w:t>3,9%</w:t>
            </w:r>
          </w:p>
        </w:tc>
        <w:tc>
          <w:tcPr>
            <w:tcW w:w="1478" w:type="dxa"/>
            <w:noWrap/>
            <w:vAlign w:val="center"/>
          </w:tcPr>
          <w:p w:rsidR="00C77E3B" w:rsidRPr="008B08BC" w:rsidRDefault="00CC43D9" w:rsidP="00CC43D9">
            <w:pPr>
              <w:spacing w:line="233" w:lineRule="auto"/>
              <w:jc w:val="center"/>
              <w:rPr>
                <w:rFonts w:ascii="Calibri" w:hAnsi="Calibri" w:cs="Calibri"/>
              </w:rPr>
            </w:pPr>
            <w:r w:rsidRPr="00CC43D9">
              <w:rPr>
                <w:rFonts w:ascii="Calibri" w:hAnsi="Calibri" w:cs="Calibri"/>
              </w:rPr>
              <w:t>6 758,2</w:t>
            </w:r>
          </w:p>
        </w:tc>
        <w:tc>
          <w:tcPr>
            <w:tcW w:w="1829" w:type="dxa"/>
            <w:noWrap/>
            <w:vAlign w:val="center"/>
          </w:tcPr>
          <w:p w:rsidR="00C77E3B" w:rsidRPr="00CC43D9" w:rsidRDefault="00C77E3B" w:rsidP="00CC43D9">
            <w:pPr>
              <w:spacing w:line="233" w:lineRule="auto"/>
              <w:jc w:val="center"/>
              <w:rPr>
                <w:rFonts w:ascii="Calibri" w:hAnsi="Calibri" w:cs="Calibri"/>
                <w:i/>
              </w:rPr>
            </w:pPr>
            <w:r w:rsidRPr="00CC43D9">
              <w:rPr>
                <w:rFonts w:ascii="Calibri" w:hAnsi="Calibri" w:cs="Calibri"/>
                <w:i/>
              </w:rPr>
              <w:t>3,</w:t>
            </w:r>
            <w:r w:rsidR="00CC43D9" w:rsidRPr="00CC43D9">
              <w:rPr>
                <w:rFonts w:ascii="Calibri" w:hAnsi="Calibri" w:cs="Calibri"/>
                <w:i/>
              </w:rPr>
              <w:t>2</w:t>
            </w:r>
            <w:r w:rsidRPr="00CC43D9">
              <w:rPr>
                <w:rFonts w:ascii="Calibri" w:hAnsi="Calibri" w:cs="Calibri"/>
                <w:i/>
              </w:rPr>
              <w:t>%</w:t>
            </w:r>
          </w:p>
        </w:tc>
      </w:tr>
      <w:tr w:rsidR="00C77E3B" w:rsidRPr="00A86AE4" w:rsidTr="00CC43D9">
        <w:trPr>
          <w:trHeight w:val="255"/>
        </w:trPr>
        <w:tc>
          <w:tcPr>
            <w:tcW w:w="3524" w:type="dxa"/>
            <w:noWrap/>
            <w:vAlign w:val="bottom"/>
          </w:tcPr>
          <w:p w:rsidR="00C77E3B" w:rsidRPr="008B08BC" w:rsidRDefault="00C77E3B" w:rsidP="00E363C5">
            <w:pPr>
              <w:spacing w:line="233" w:lineRule="auto"/>
              <w:rPr>
                <w:rFonts w:ascii="Calibri" w:hAnsi="Calibri" w:cs="Calibri"/>
              </w:rPr>
            </w:pPr>
            <w:r w:rsidRPr="008B08BC">
              <w:rPr>
                <w:rFonts w:ascii="Calibri" w:hAnsi="Calibri" w:cs="Calibri"/>
              </w:rPr>
              <w:t xml:space="preserve"> </w:t>
            </w:r>
            <w:r w:rsidR="007009F7" w:rsidRPr="008B08BC">
              <w:rPr>
                <w:rFonts w:ascii="Calibri" w:hAnsi="Calibri" w:cs="Calibri"/>
              </w:rPr>
              <w:t>Соединенное</w:t>
            </w:r>
            <w:r w:rsidRPr="008B08BC">
              <w:rPr>
                <w:rFonts w:ascii="Calibri" w:hAnsi="Calibri" w:cs="Calibri"/>
              </w:rPr>
              <w:t xml:space="preserve"> Королевство </w:t>
            </w:r>
          </w:p>
        </w:tc>
        <w:tc>
          <w:tcPr>
            <w:tcW w:w="1655" w:type="dxa"/>
            <w:noWrap/>
            <w:vAlign w:val="center"/>
          </w:tcPr>
          <w:p w:rsidR="00C77E3B" w:rsidRPr="008B08BC" w:rsidRDefault="00CC43D9" w:rsidP="00CC43D9">
            <w:pPr>
              <w:spacing w:line="233" w:lineRule="auto"/>
              <w:jc w:val="center"/>
              <w:rPr>
                <w:rFonts w:ascii="Calibri" w:hAnsi="Calibri" w:cs="Calibri"/>
              </w:rPr>
            </w:pPr>
            <w:r w:rsidRPr="00CC43D9">
              <w:rPr>
                <w:rFonts w:ascii="Calibri" w:hAnsi="Calibri" w:cs="Calibri"/>
              </w:rPr>
              <w:t>57,7</w:t>
            </w:r>
          </w:p>
        </w:tc>
        <w:tc>
          <w:tcPr>
            <w:tcW w:w="1409" w:type="dxa"/>
            <w:noWrap/>
            <w:vAlign w:val="center"/>
          </w:tcPr>
          <w:p w:rsidR="00C77E3B" w:rsidRPr="00CC43D9" w:rsidRDefault="00C77E3B" w:rsidP="00CC43D9">
            <w:pPr>
              <w:spacing w:line="233" w:lineRule="auto"/>
              <w:jc w:val="center"/>
              <w:rPr>
                <w:rFonts w:ascii="Calibri" w:hAnsi="Calibri" w:cs="Calibri"/>
                <w:i/>
              </w:rPr>
            </w:pPr>
            <w:r w:rsidRPr="00CC43D9">
              <w:rPr>
                <w:rFonts w:ascii="Calibri" w:hAnsi="Calibri" w:cs="Calibri"/>
                <w:i/>
              </w:rPr>
              <w:t>2,1%</w:t>
            </w:r>
          </w:p>
        </w:tc>
        <w:tc>
          <w:tcPr>
            <w:tcW w:w="1478" w:type="dxa"/>
            <w:noWrap/>
            <w:vAlign w:val="center"/>
          </w:tcPr>
          <w:p w:rsidR="00C77E3B" w:rsidRPr="008B08BC" w:rsidRDefault="00CC43D9" w:rsidP="00CC43D9">
            <w:pPr>
              <w:spacing w:line="233" w:lineRule="auto"/>
              <w:jc w:val="center"/>
              <w:rPr>
                <w:rFonts w:ascii="Calibri" w:hAnsi="Calibri" w:cs="Calibri"/>
              </w:rPr>
            </w:pPr>
            <w:r w:rsidRPr="00CC43D9">
              <w:rPr>
                <w:rFonts w:ascii="Calibri" w:hAnsi="Calibri" w:cs="Calibri"/>
              </w:rPr>
              <w:t>6 251,2</w:t>
            </w:r>
          </w:p>
        </w:tc>
        <w:tc>
          <w:tcPr>
            <w:tcW w:w="1829" w:type="dxa"/>
            <w:noWrap/>
            <w:vAlign w:val="center"/>
          </w:tcPr>
          <w:p w:rsidR="00C77E3B" w:rsidRPr="00CC43D9" w:rsidRDefault="00CC43D9" w:rsidP="00CC43D9">
            <w:pPr>
              <w:spacing w:line="233" w:lineRule="auto"/>
              <w:jc w:val="center"/>
              <w:rPr>
                <w:rFonts w:ascii="Calibri" w:hAnsi="Calibri" w:cs="Calibri"/>
                <w:i/>
              </w:rPr>
            </w:pPr>
            <w:r w:rsidRPr="00CC43D9">
              <w:rPr>
                <w:rFonts w:ascii="Calibri" w:hAnsi="Calibri" w:cs="Calibri"/>
                <w:i/>
              </w:rPr>
              <w:t>3,0</w:t>
            </w:r>
            <w:r w:rsidR="00C77E3B" w:rsidRPr="00CC43D9">
              <w:rPr>
                <w:rFonts w:ascii="Calibri" w:hAnsi="Calibri" w:cs="Calibri"/>
                <w:i/>
              </w:rPr>
              <w:t>%</w:t>
            </w:r>
          </w:p>
        </w:tc>
      </w:tr>
      <w:tr w:rsidR="00C77E3B" w:rsidRPr="00A86AE4" w:rsidTr="00CC43D9">
        <w:trPr>
          <w:trHeight w:val="255"/>
        </w:trPr>
        <w:tc>
          <w:tcPr>
            <w:tcW w:w="3524" w:type="dxa"/>
            <w:noWrap/>
            <w:vAlign w:val="bottom"/>
          </w:tcPr>
          <w:p w:rsidR="00C77E3B" w:rsidRPr="008B08BC" w:rsidRDefault="00C77E3B" w:rsidP="00E363C5">
            <w:pPr>
              <w:spacing w:line="233" w:lineRule="auto"/>
              <w:rPr>
                <w:rFonts w:ascii="Calibri" w:hAnsi="Calibri" w:cs="Calibri"/>
              </w:rPr>
            </w:pPr>
            <w:r w:rsidRPr="008B08BC">
              <w:rPr>
                <w:rFonts w:ascii="Calibri" w:hAnsi="Calibri" w:cs="Calibri"/>
              </w:rPr>
              <w:t>Прочие</w:t>
            </w:r>
          </w:p>
        </w:tc>
        <w:tc>
          <w:tcPr>
            <w:tcW w:w="1655" w:type="dxa"/>
            <w:noWrap/>
            <w:vAlign w:val="center"/>
          </w:tcPr>
          <w:p w:rsidR="00C77E3B" w:rsidRPr="008B08BC" w:rsidRDefault="00CC43D9" w:rsidP="00CC43D9">
            <w:pPr>
              <w:spacing w:line="233" w:lineRule="auto"/>
              <w:jc w:val="center"/>
              <w:rPr>
                <w:rFonts w:ascii="Calibri" w:hAnsi="Calibri" w:cs="Calibri"/>
              </w:rPr>
            </w:pPr>
            <w:r w:rsidRPr="00CC43D9">
              <w:rPr>
                <w:rFonts w:ascii="Calibri" w:hAnsi="Calibri" w:cs="Calibri"/>
              </w:rPr>
              <w:t>1 194,7</w:t>
            </w:r>
          </w:p>
        </w:tc>
        <w:tc>
          <w:tcPr>
            <w:tcW w:w="1409" w:type="dxa"/>
            <w:noWrap/>
            <w:vAlign w:val="center"/>
          </w:tcPr>
          <w:p w:rsidR="00C77E3B" w:rsidRPr="00CC43D9" w:rsidRDefault="00CC43D9" w:rsidP="00CC43D9">
            <w:pPr>
              <w:spacing w:line="233" w:lineRule="auto"/>
              <w:jc w:val="center"/>
              <w:rPr>
                <w:rFonts w:ascii="Calibri" w:hAnsi="Calibri" w:cs="Calibri"/>
                <w:i/>
              </w:rPr>
            </w:pPr>
            <w:r w:rsidRPr="00CC43D9">
              <w:rPr>
                <w:rFonts w:ascii="Calibri" w:hAnsi="Calibri" w:cs="Calibri"/>
                <w:i/>
              </w:rPr>
              <w:t>43,5</w:t>
            </w:r>
            <w:r w:rsidR="00C77E3B" w:rsidRPr="00CC43D9">
              <w:rPr>
                <w:rFonts w:ascii="Calibri" w:hAnsi="Calibri" w:cs="Calibri"/>
                <w:i/>
              </w:rPr>
              <w:t>%</w:t>
            </w:r>
          </w:p>
        </w:tc>
        <w:tc>
          <w:tcPr>
            <w:tcW w:w="1478" w:type="dxa"/>
            <w:noWrap/>
            <w:vAlign w:val="center"/>
          </w:tcPr>
          <w:p w:rsidR="00C77E3B" w:rsidRPr="008B08BC" w:rsidRDefault="00CC43D9" w:rsidP="00CC43D9">
            <w:pPr>
              <w:spacing w:line="233" w:lineRule="auto"/>
              <w:jc w:val="center"/>
              <w:rPr>
                <w:rFonts w:ascii="Calibri" w:hAnsi="Calibri" w:cs="Calibri"/>
              </w:rPr>
            </w:pPr>
            <w:r w:rsidRPr="00CC43D9">
              <w:rPr>
                <w:rFonts w:ascii="Calibri" w:hAnsi="Calibri" w:cs="Calibri"/>
              </w:rPr>
              <w:t>61 446,0</w:t>
            </w:r>
          </w:p>
        </w:tc>
        <w:tc>
          <w:tcPr>
            <w:tcW w:w="1829" w:type="dxa"/>
            <w:noWrap/>
            <w:vAlign w:val="center"/>
          </w:tcPr>
          <w:p w:rsidR="00C77E3B" w:rsidRPr="00CC43D9" w:rsidRDefault="00CC43D9" w:rsidP="00CC43D9">
            <w:pPr>
              <w:spacing w:line="233" w:lineRule="auto"/>
              <w:jc w:val="center"/>
              <w:rPr>
                <w:rFonts w:ascii="Calibri" w:hAnsi="Calibri" w:cs="Calibri"/>
                <w:i/>
              </w:rPr>
            </w:pPr>
            <w:r w:rsidRPr="00CC43D9">
              <w:rPr>
                <w:rFonts w:ascii="Calibri" w:hAnsi="Calibri" w:cs="Calibri"/>
                <w:i/>
              </w:rPr>
              <w:t>29,0</w:t>
            </w:r>
            <w:r w:rsidR="00C77E3B" w:rsidRPr="00CC43D9">
              <w:rPr>
                <w:rFonts w:ascii="Calibri" w:hAnsi="Calibri" w:cs="Calibri"/>
                <w:i/>
              </w:rPr>
              <w:t>%</w:t>
            </w:r>
          </w:p>
        </w:tc>
      </w:tr>
      <w:tr w:rsidR="00C77E3B" w:rsidRPr="008B08BC" w:rsidTr="00CC43D9">
        <w:trPr>
          <w:trHeight w:val="255"/>
        </w:trPr>
        <w:tc>
          <w:tcPr>
            <w:tcW w:w="3524" w:type="dxa"/>
            <w:shd w:val="clear" w:color="auto" w:fill="9BBB59"/>
            <w:noWrap/>
            <w:vAlign w:val="bottom"/>
          </w:tcPr>
          <w:p w:rsidR="00C77E3B" w:rsidRPr="008B08BC" w:rsidRDefault="00C77E3B" w:rsidP="00E363C5">
            <w:pPr>
              <w:spacing w:line="233" w:lineRule="auto"/>
              <w:rPr>
                <w:rFonts w:ascii="Calibri" w:hAnsi="Calibri" w:cs="Calibri"/>
                <w:b/>
              </w:rPr>
            </w:pPr>
            <w:r w:rsidRPr="008B08BC">
              <w:rPr>
                <w:rFonts w:ascii="Calibri" w:hAnsi="Calibri" w:cs="Calibri"/>
                <w:b/>
              </w:rPr>
              <w:t xml:space="preserve">Итого  </w:t>
            </w:r>
          </w:p>
        </w:tc>
        <w:tc>
          <w:tcPr>
            <w:tcW w:w="1655" w:type="dxa"/>
            <w:shd w:val="clear" w:color="auto" w:fill="9BBB59"/>
            <w:noWrap/>
            <w:vAlign w:val="center"/>
          </w:tcPr>
          <w:p w:rsidR="00C77E3B" w:rsidRPr="00CC43D9" w:rsidRDefault="00CC43D9" w:rsidP="00CC43D9">
            <w:pPr>
              <w:spacing w:line="233" w:lineRule="auto"/>
              <w:jc w:val="center"/>
              <w:rPr>
                <w:rFonts w:ascii="Calibri" w:hAnsi="Calibri" w:cs="Calibri"/>
                <w:b/>
              </w:rPr>
            </w:pPr>
            <w:r w:rsidRPr="00CC43D9">
              <w:rPr>
                <w:rFonts w:ascii="Calibri" w:hAnsi="Calibri" w:cs="Calibri"/>
                <w:b/>
              </w:rPr>
              <w:t>2 745,9</w:t>
            </w:r>
          </w:p>
        </w:tc>
        <w:tc>
          <w:tcPr>
            <w:tcW w:w="1409" w:type="dxa"/>
            <w:shd w:val="clear" w:color="auto" w:fill="9BBB59"/>
            <w:noWrap/>
            <w:vAlign w:val="center"/>
          </w:tcPr>
          <w:p w:rsidR="00C77E3B" w:rsidRPr="00CC43D9" w:rsidRDefault="00C77E3B" w:rsidP="00CC43D9">
            <w:pPr>
              <w:spacing w:line="233" w:lineRule="auto"/>
              <w:jc w:val="center"/>
              <w:rPr>
                <w:rFonts w:ascii="Calibri" w:hAnsi="Calibri" w:cs="Calibri"/>
                <w:b/>
                <w:i/>
              </w:rPr>
            </w:pPr>
            <w:r w:rsidRPr="00CC43D9">
              <w:rPr>
                <w:rFonts w:ascii="Calibri" w:hAnsi="Calibri" w:cs="Calibri"/>
                <w:b/>
                <w:i/>
              </w:rPr>
              <w:t>100%</w:t>
            </w:r>
          </w:p>
        </w:tc>
        <w:tc>
          <w:tcPr>
            <w:tcW w:w="1478" w:type="dxa"/>
            <w:shd w:val="clear" w:color="auto" w:fill="9BBB59"/>
            <w:noWrap/>
            <w:vAlign w:val="center"/>
          </w:tcPr>
          <w:p w:rsidR="00C77E3B" w:rsidRPr="00CC43D9" w:rsidRDefault="00CC43D9" w:rsidP="00CC43D9">
            <w:pPr>
              <w:spacing w:line="233" w:lineRule="auto"/>
              <w:jc w:val="center"/>
              <w:rPr>
                <w:rFonts w:ascii="Calibri" w:hAnsi="Calibri" w:cs="Calibri"/>
                <w:b/>
              </w:rPr>
            </w:pPr>
            <w:r w:rsidRPr="00CC43D9">
              <w:rPr>
                <w:rFonts w:ascii="Calibri" w:hAnsi="Calibri" w:cs="Calibri"/>
                <w:b/>
              </w:rPr>
              <w:t>211 627,6</w:t>
            </w:r>
          </w:p>
        </w:tc>
        <w:tc>
          <w:tcPr>
            <w:tcW w:w="1829" w:type="dxa"/>
            <w:shd w:val="clear" w:color="auto" w:fill="9BBB59"/>
            <w:noWrap/>
            <w:vAlign w:val="center"/>
          </w:tcPr>
          <w:p w:rsidR="00C77E3B" w:rsidRPr="00CC43D9" w:rsidRDefault="00C77E3B" w:rsidP="00CC43D9">
            <w:pPr>
              <w:spacing w:line="233" w:lineRule="auto"/>
              <w:jc w:val="center"/>
              <w:rPr>
                <w:rFonts w:ascii="Calibri" w:hAnsi="Calibri" w:cs="Calibri"/>
                <w:b/>
                <w:i/>
              </w:rPr>
            </w:pPr>
            <w:r w:rsidRPr="00CC43D9">
              <w:rPr>
                <w:rFonts w:ascii="Calibri" w:hAnsi="Calibri" w:cs="Calibri"/>
                <w:b/>
                <w:i/>
              </w:rPr>
              <w:t>100%</w:t>
            </w:r>
          </w:p>
        </w:tc>
      </w:tr>
    </w:tbl>
    <w:p w:rsidR="006E2AC8" w:rsidRDefault="006E2AC8" w:rsidP="00E363C5">
      <w:pPr>
        <w:spacing w:line="233" w:lineRule="auto"/>
        <w:ind w:firstLine="709"/>
        <w:jc w:val="both"/>
        <w:rPr>
          <w:rFonts w:ascii="Calibri" w:hAnsi="Calibri" w:cs="Calibri"/>
          <w:sz w:val="30"/>
          <w:szCs w:val="30"/>
        </w:rPr>
      </w:pPr>
    </w:p>
    <w:p w:rsidR="00C77E3B" w:rsidRPr="00015E28" w:rsidRDefault="00C77E3B" w:rsidP="00E363C5">
      <w:pPr>
        <w:spacing w:line="233" w:lineRule="auto"/>
        <w:ind w:firstLine="709"/>
        <w:jc w:val="both"/>
        <w:rPr>
          <w:rFonts w:ascii="Calibri" w:hAnsi="Calibri" w:cs="Calibri"/>
          <w:sz w:val="30"/>
          <w:szCs w:val="30"/>
        </w:rPr>
      </w:pPr>
      <w:r>
        <w:rPr>
          <w:rFonts w:ascii="Calibri" w:hAnsi="Calibri" w:cs="Calibri"/>
          <w:sz w:val="30"/>
          <w:szCs w:val="30"/>
        </w:rPr>
        <w:t xml:space="preserve">При этом </w:t>
      </w:r>
      <w:r w:rsidR="00650980">
        <w:rPr>
          <w:rFonts w:ascii="Calibri" w:hAnsi="Calibri" w:cs="Calibri"/>
          <w:sz w:val="30"/>
          <w:szCs w:val="30"/>
        </w:rPr>
        <w:t>за рубеж</w:t>
      </w:r>
      <w:r>
        <w:rPr>
          <w:rFonts w:ascii="Calibri" w:hAnsi="Calibri" w:cs="Calibri"/>
          <w:sz w:val="30"/>
          <w:szCs w:val="30"/>
        </w:rPr>
        <w:t xml:space="preserve"> через прямые корреспондентские счета </w:t>
      </w:r>
      <w:r w:rsidR="009B3B2D">
        <w:rPr>
          <w:rFonts w:ascii="Calibri" w:hAnsi="Calibri" w:cs="Calibri"/>
          <w:sz w:val="30"/>
          <w:szCs w:val="30"/>
        </w:rPr>
        <w:t>направляются</w:t>
      </w:r>
      <w:r>
        <w:rPr>
          <w:rFonts w:ascii="Calibri" w:hAnsi="Calibri" w:cs="Calibri"/>
          <w:sz w:val="30"/>
          <w:szCs w:val="30"/>
        </w:rPr>
        <w:t xml:space="preserve"> </w:t>
      </w:r>
      <w:r w:rsidR="009B3B2D">
        <w:rPr>
          <w:rFonts w:ascii="Calibri" w:hAnsi="Calibri" w:cs="Calibri"/>
          <w:sz w:val="30"/>
          <w:szCs w:val="30"/>
        </w:rPr>
        <w:t xml:space="preserve">также </w:t>
      </w:r>
      <w:r>
        <w:rPr>
          <w:rFonts w:ascii="Calibri" w:hAnsi="Calibri" w:cs="Calibri"/>
          <w:sz w:val="30"/>
          <w:szCs w:val="30"/>
        </w:rPr>
        <w:t xml:space="preserve">в основном платежи </w:t>
      </w:r>
      <w:r w:rsidR="009B3B2D">
        <w:rPr>
          <w:rFonts w:ascii="Calibri" w:hAnsi="Calibri" w:cs="Calibri"/>
          <w:sz w:val="30"/>
          <w:szCs w:val="30"/>
        </w:rPr>
        <w:t xml:space="preserve">по операциям </w:t>
      </w:r>
      <w:r>
        <w:rPr>
          <w:rFonts w:ascii="Calibri" w:hAnsi="Calibri" w:cs="Calibri"/>
          <w:sz w:val="30"/>
          <w:szCs w:val="30"/>
        </w:rPr>
        <w:t>с депозитами и перевод</w:t>
      </w:r>
      <w:r w:rsidR="009B3B2D">
        <w:rPr>
          <w:rFonts w:ascii="Calibri" w:hAnsi="Calibri" w:cs="Calibri"/>
          <w:sz w:val="30"/>
          <w:szCs w:val="30"/>
        </w:rPr>
        <w:t>ы</w:t>
      </w:r>
      <w:r>
        <w:rPr>
          <w:rFonts w:ascii="Calibri" w:hAnsi="Calibri" w:cs="Calibri"/>
          <w:sz w:val="30"/>
          <w:szCs w:val="30"/>
        </w:rPr>
        <w:t xml:space="preserve"> собственных средств банков и их клиентов (доля </w:t>
      </w:r>
      <w:r w:rsidR="007009F7">
        <w:rPr>
          <w:rFonts w:ascii="Calibri" w:hAnsi="Calibri" w:cs="Calibri"/>
          <w:sz w:val="30"/>
          <w:szCs w:val="30"/>
        </w:rPr>
        <w:t>45,1</w:t>
      </w:r>
      <w:r>
        <w:rPr>
          <w:rFonts w:ascii="Calibri" w:hAnsi="Calibri" w:cs="Calibri"/>
          <w:sz w:val="30"/>
          <w:szCs w:val="30"/>
        </w:rPr>
        <w:t xml:space="preserve">%), </w:t>
      </w:r>
      <w:r w:rsidR="009B3B2D">
        <w:rPr>
          <w:rFonts w:ascii="Calibri" w:hAnsi="Calibri" w:cs="Calibri"/>
          <w:sz w:val="30"/>
          <w:szCs w:val="30"/>
        </w:rPr>
        <w:t xml:space="preserve">платежи по операциям </w:t>
      </w:r>
      <w:r>
        <w:rPr>
          <w:rFonts w:ascii="Calibri" w:hAnsi="Calibri" w:cs="Calibri"/>
          <w:sz w:val="30"/>
          <w:szCs w:val="30"/>
        </w:rPr>
        <w:t xml:space="preserve">с иностранной валютой и драгоценными металлами (доля </w:t>
      </w:r>
      <w:r w:rsidR="007009F7">
        <w:rPr>
          <w:rFonts w:ascii="Calibri" w:hAnsi="Calibri" w:cs="Calibri"/>
          <w:sz w:val="30"/>
          <w:szCs w:val="30"/>
        </w:rPr>
        <w:t>41,7</w:t>
      </w:r>
      <w:r>
        <w:rPr>
          <w:rFonts w:ascii="Calibri" w:hAnsi="Calibri" w:cs="Calibri"/>
          <w:sz w:val="30"/>
          <w:szCs w:val="30"/>
        </w:rPr>
        <w:t xml:space="preserve">%). </w:t>
      </w:r>
    </w:p>
    <w:p w:rsidR="006E2AC8" w:rsidRDefault="006E2AC8" w:rsidP="00E363C5">
      <w:pPr>
        <w:spacing w:line="233" w:lineRule="auto"/>
        <w:jc w:val="center"/>
        <w:rPr>
          <w:rFonts w:ascii="Calibri" w:hAnsi="Calibri" w:cs="Arial"/>
          <w:b/>
          <w:color w:val="0E4C28"/>
          <w:sz w:val="28"/>
          <w:szCs w:val="28"/>
        </w:rPr>
      </w:pPr>
    </w:p>
    <w:p w:rsidR="006E2AC8" w:rsidRDefault="006E2AC8" w:rsidP="00E363C5">
      <w:pPr>
        <w:spacing w:line="233" w:lineRule="auto"/>
        <w:jc w:val="center"/>
        <w:rPr>
          <w:rFonts w:ascii="Calibri" w:hAnsi="Calibri" w:cs="Arial"/>
          <w:b/>
          <w:color w:val="0E4C28"/>
          <w:sz w:val="28"/>
          <w:szCs w:val="28"/>
        </w:rPr>
      </w:pPr>
    </w:p>
    <w:p w:rsidR="006E2AC8" w:rsidRDefault="006E2AC8" w:rsidP="00E363C5">
      <w:pPr>
        <w:spacing w:line="233" w:lineRule="auto"/>
        <w:jc w:val="center"/>
        <w:rPr>
          <w:rFonts w:ascii="Calibri" w:hAnsi="Calibri" w:cs="Arial"/>
          <w:b/>
          <w:color w:val="0E4C28"/>
          <w:sz w:val="28"/>
          <w:szCs w:val="28"/>
        </w:rPr>
      </w:pPr>
    </w:p>
    <w:p w:rsidR="006E2AC8" w:rsidRDefault="006E2AC8" w:rsidP="00E363C5">
      <w:pPr>
        <w:spacing w:line="233" w:lineRule="auto"/>
        <w:jc w:val="center"/>
        <w:rPr>
          <w:rFonts w:ascii="Calibri" w:hAnsi="Calibri" w:cs="Arial"/>
          <w:b/>
          <w:color w:val="0E4C28"/>
          <w:sz w:val="28"/>
          <w:szCs w:val="28"/>
        </w:rPr>
      </w:pPr>
    </w:p>
    <w:p w:rsidR="006E2AC8" w:rsidRDefault="006E2AC8" w:rsidP="00E363C5">
      <w:pPr>
        <w:spacing w:line="233" w:lineRule="auto"/>
        <w:jc w:val="center"/>
        <w:rPr>
          <w:rFonts w:ascii="Calibri" w:hAnsi="Calibri" w:cs="Arial"/>
          <w:b/>
          <w:color w:val="0E4C28"/>
          <w:sz w:val="28"/>
          <w:szCs w:val="28"/>
        </w:rPr>
      </w:pPr>
    </w:p>
    <w:p w:rsidR="006E2AC8" w:rsidRDefault="006E2AC8" w:rsidP="00E363C5">
      <w:pPr>
        <w:spacing w:line="233" w:lineRule="auto"/>
        <w:jc w:val="center"/>
        <w:rPr>
          <w:rFonts w:ascii="Calibri" w:hAnsi="Calibri" w:cs="Arial"/>
          <w:b/>
          <w:color w:val="0E4C28"/>
          <w:sz w:val="28"/>
          <w:szCs w:val="28"/>
        </w:rPr>
      </w:pPr>
    </w:p>
    <w:p w:rsidR="006E2AC8" w:rsidRDefault="006E2AC8" w:rsidP="00E363C5">
      <w:pPr>
        <w:spacing w:line="233" w:lineRule="auto"/>
        <w:jc w:val="center"/>
        <w:rPr>
          <w:rFonts w:ascii="Calibri" w:hAnsi="Calibri" w:cs="Arial"/>
          <w:b/>
          <w:color w:val="0E4C28"/>
          <w:sz w:val="28"/>
          <w:szCs w:val="28"/>
        </w:rPr>
      </w:pPr>
    </w:p>
    <w:p w:rsidR="006E2AC8" w:rsidRDefault="006E2AC8" w:rsidP="00E363C5">
      <w:pPr>
        <w:spacing w:line="233" w:lineRule="auto"/>
        <w:jc w:val="center"/>
        <w:rPr>
          <w:rFonts w:ascii="Calibri" w:hAnsi="Calibri" w:cs="Arial"/>
          <w:b/>
          <w:color w:val="0E4C28"/>
          <w:sz w:val="28"/>
          <w:szCs w:val="28"/>
        </w:rPr>
      </w:pPr>
    </w:p>
    <w:p w:rsidR="006E2AC8" w:rsidRDefault="006E2AC8" w:rsidP="00E363C5">
      <w:pPr>
        <w:spacing w:line="233" w:lineRule="auto"/>
        <w:jc w:val="center"/>
        <w:rPr>
          <w:rFonts w:ascii="Calibri" w:hAnsi="Calibri" w:cs="Arial"/>
          <w:b/>
          <w:color w:val="0E4C28"/>
          <w:sz w:val="28"/>
          <w:szCs w:val="28"/>
        </w:rPr>
      </w:pPr>
    </w:p>
    <w:p w:rsidR="006E2AC8" w:rsidRDefault="006E2AC8" w:rsidP="00E363C5">
      <w:pPr>
        <w:spacing w:line="233" w:lineRule="auto"/>
        <w:jc w:val="center"/>
        <w:rPr>
          <w:rFonts w:ascii="Calibri" w:hAnsi="Calibri" w:cs="Arial"/>
          <w:b/>
          <w:color w:val="0E4C28"/>
          <w:sz w:val="28"/>
          <w:szCs w:val="28"/>
        </w:rPr>
      </w:pPr>
    </w:p>
    <w:p w:rsidR="00C77E3B" w:rsidRPr="00650980" w:rsidRDefault="00C77E3B" w:rsidP="00E363C5">
      <w:pPr>
        <w:spacing w:line="233" w:lineRule="auto"/>
        <w:jc w:val="center"/>
        <w:rPr>
          <w:rFonts w:ascii="Calibri" w:hAnsi="Calibri" w:cs="Arial"/>
          <w:b/>
          <w:color w:val="0E4C28"/>
          <w:sz w:val="28"/>
          <w:szCs w:val="28"/>
        </w:rPr>
      </w:pPr>
      <w:r w:rsidRPr="00650980">
        <w:rPr>
          <w:rFonts w:ascii="Calibri" w:hAnsi="Calibri" w:cs="Arial"/>
          <w:b/>
          <w:color w:val="0E4C28"/>
          <w:sz w:val="28"/>
          <w:szCs w:val="28"/>
        </w:rPr>
        <w:lastRenderedPageBreak/>
        <w:t>Объемы платежей в разрезе видов назначения платежей</w:t>
      </w:r>
    </w:p>
    <w:p w:rsidR="00C77E3B" w:rsidRDefault="00C77E3B" w:rsidP="00E363C5">
      <w:pPr>
        <w:spacing w:line="233" w:lineRule="auto"/>
        <w:jc w:val="center"/>
        <w:rPr>
          <w:bCs/>
          <w:snapToGrid w:val="0"/>
          <w:spacing w:val="-2"/>
          <w:sz w:val="36"/>
          <w:szCs w:val="36"/>
        </w:rPr>
      </w:pPr>
      <w:r w:rsidRPr="00E363C5">
        <w:rPr>
          <w:rFonts w:ascii="Calibri" w:hAnsi="Calibri" w:cs="Arial"/>
          <w:b/>
          <w:color w:val="0E4C28"/>
          <w:sz w:val="28"/>
          <w:szCs w:val="28"/>
        </w:rPr>
        <w:t>по корреспондентским</w:t>
      </w:r>
      <w:r w:rsidR="00E363C5">
        <w:rPr>
          <w:rFonts w:ascii="Calibri" w:hAnsi="Calibri" w:cs="Arial"/>
          <w:b/>
          <w:color w:val="0E4C28"/>
          <w:sz w:val="28"/>
          <w:szCs w:val="28"/>
        </w:rPr>
        <w:t xml:space="preserve"> счетам</w:t>
      </w:r>
      <w:r w:rsidRPr="00E363C5">
        <w:rPr>
          <w:rFonts w:ascii="Calibri" w:hAnsi="Calibri" w:cs="Arial"/>
          <w:b/>
          <w:color w:val="0E4C28"/>
          <w:sz w:val="28"/>
          <w:szCs w:val="28"/>
        </w:rPr>
        <w:t xml:space="preserve"> </w:t>
      </w:r>
      <w:r w:rsidR="00B41594">
        <w:rPr>
          <w:rFonts w:cs="Calibri"/>
          <w:i/>
          <w:noProof/>
          <w:color w:val="00B050"/>
          <w:sz w:val="30"/>
          <w:szCs w:val="30"/>
        </w:rPr>
        <w:drawing>
          <wp:inline distT="0" distB="0" distL="0" distR="0" wp14:anchorId="67C020C4" wp14:editId="50B5DF09">
            <wp:extent cx="5943600" cy="2404110"/>
            <wp:effectExtent l="0" t="0" r="0" b="0"/>
            <wp:docPr id="50" name="Объект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C77E3B" w:rsidRDefault="00B41594" w:rsidP="005C7913">
      <w:pPr>
        <w:rPr>
          <w:rFonts w:ascii="Calibri" w:hAnsi="Calibri"/>
          <w:bCs/>
          <w:snapToGrid w:val="0"/>
          <w:color w:val="0E4C28"/>
          <w:spacing w:val="-2"/>
          <w:sz w:val="36"/>
          <w:szCs w:val="36"/>
        </w:rPr>
      </w:pPr>
      <w:bookmarkStart w:id="144" w:name="_Toc480825672"/>
      <w:bookmarkStart w:id="145" w:name="_Toc481139512"/>
      <w:r w:rsidRPr="008A5CA5">
        <w:rPr>
          <w:rFonts w:ascii="Calibri" w:hAnsi="Calibri"/>
          <w:bCs/>
          <w:noProof/>
          <w:color w:val="0E4C28"/>
          <w:spacing w:val="-2"/>
          <w:sz w:val="36"/>
          <w:szCs w:val="36"/>
        </w:rPr>
        <mc:AlternateContent>
          <mc:Choice Requires="wps">
            <w:drawing>
              <wp:inline distT="0" distB="0" distL="0" distR="0" wp14:anchorId="58875A77" wp14:editId="5BA66C4F">
                <wp:extent cx="6052820" cy="5555615"/>
                <wp:effectExtent l="9525" t="9525" r="5080" b="6985"/>
                <wp:docPr id="457"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5555615"/>
                        </a:xfrm>
                        <a:prstGeom prst="roundRect">
                          <a:avLst>
                            <a:gd name="adj" fmla="val 3079"/>
                          </a:avLst>
                        </a:prstGeom>
                        <a:solidFill>
                          <a:srgbClr val="CCFFCC">
                            <a:alpha val="27000"/>
                          </a:srgbClr>
                        </a:solidFill>
                        <a:ln w="9525">
                          <a:solidFill>
                            <a:srgbClr val="000000"/>
                          </a:solidFill>
                          <a:round/>
                          <a:headEnd/>
                          <a:tailEnd/>
                        </a:ln>
                      </wps:spPr>
                      <wps:txbx>
                        <w:txbxContent>
                          <w:p w:rsidR="00A3494E" w:rsidRPr="008A5CA5" w:rsidRDefault="00A3494E" w:rsidP="00C76684">
                            <w:pPr>
                              <w:ind w:firstLine="720"/>
                              <w:jc w:val="both"/>
                              <w:rPr>
                                <w:rFonts w:ascii="Calibri" w:hAnsi="Calibri" w:cs="Arial"/>
                                <w:sz w:val="30"/>
                                <w:szCs w:val="30"/>
                              </w:rPr>
                            </w:pPr>
                            <w:r>
                              <w:rPr>
                                <w:rFonts w:ascii="Calibri" w:hAnsi="Calibri" w:cs="Arial"/>
                                <w:sz w:val="30"/>
                                <w:szCs w:val="30"/>
                              </w:rPr>
                              <w:t xml:space="preserve">Одним из каналов расчетов межбанковских платежей выступают корреспондентские счета, открытые между банками. </w:t>
                            </w:r>
                            <w:r w:rsidRPr="00E363C5">
                              <w:rPr>
                                <w:rFonts w:ascii="Calibri" w:hAnsi="Calibri" w:cs="Arial"/>
                                <w:sz w:val="30"/>
                                <w:szCs w:val="30"/>
                              </w:rPr>
                              <w:t>Общи</w:t>
                            </w:r>
                            <w:r w:rsidRPr="008A5CA5">
                              <w:rPr>
                                <w:rFonts w:ascii="Calibri" w:hAnsi="Calibri" w:cs="Arial"/>
                                <w:sz w:val="30"/>
                                <w:szCs w:val="30"/>
                              </w:rPr>
                              <w:t xml:space="preserve">й объем переводов денег по корреспондентским счетам банков (отправленные как по Казахстану, так и за рубеж) составил в 2016 году 9 200,6 тыс. транзакций на сумму 229,9 трлн. тенге. </w:t>
                            </w:r>
                          </w:p>
                          <w:p w:rsidR="00A3494E" w:rsidRDefault="00A3494E" w:rsidP="00E363C5">
                            <w:pPr>
                              <w:ind w:firstLine="720"/>
                              <w:jc w:val="both"/>
                              <w:rPr>
                                <w:rFonts w:ascii="Calibri" w:hAnsi="Calibri" w:cs="Arial"/>
                                <w:sz w:val="30"/>
                                <w:szCs w:val="30"/>
                              </w:rPr>
                            </w:pPr>
                            <w:r w:rsidRPr="008A5CA5">
                              <w:rPr>
                                <w:rFonts w:ascii="Calibri" w:hAnsi="Calibri" w:cs="Arial"/>
                                <w:sz w:val="30"/>
                                <w:szCs w:val="30"/>
                              </w:rPr>
                              <w:t>Вместе с тем, расчеты через прямые корреспондентские счета могут быть подтверждены рискам, при которых банк-контрагент, где открыт счет, может оказаться неспособным обеспечить завершение расчетов. Поэтому международными стандартами в первую очередь отмечается эффективнос</w:t>
                            </w:r>
                            <w:r>
                              <w:rPr>
                                <w:rFonts w:ascii="Calibri" w:hAnsi="Calibri" w:cs="Arial"/>
                                <w:sz w:val="30"/>
                                <w:szCs w:val="30"/>
                              </w:rPr>
                              <w:t>ть</w:t>
                            </w:r>
                            <w:r w:rsidRPr="008A5CA5">
                              <w:rPr>
                                <w:rFonts w:ascii="Calibri" w:hAnsi="Calibri" w:cs="Arial"/>
                                <w:sz w:val="30"/>
                                <w:szCs w:val="30"/>
                              </w:rPr>
                              <w:t xml:space="preserve"> и надежност</w:t>
                            </w:r>
                            <w:r>
                              <w:rPr>
                                <w:rFonts w:ascii="Calibri" w:hAnsi="Calibri" w:cs="Arial"/>
                                <w:sz w:val="30"/>
                                <w:szCs w:val="30"/>
                              </w:rPr>
                              <w:t>ь</w:t>
                            </w:r>
                            <w:r w:rsidRPr="008A5CA5">
                              <w:rPr>
                                <w:rFonts w:ascii="Calibri" w:hAnsi="Calibri" w:cs="Arial"/>
                                <w:sz w:val="30"/>
                                <w:szCs w:val="30"/>
                              </w:rPr>
                              <w:t xml:space="preserve"> расчетов через национальные (центральные) банки. В связи с чем, в целях снижения рисков, связанных с расчетами через корреспондентские счета, открытые в коммерческих банках, Национальным Банком Казахстана был установлен лимит на ежемесячный объем платежей, проводимых между финансовыми организациями-резидентами в национальной валюте. Размер данного лимита составляет 5% от общего объема платежей банка или небанковской организации через платежные системы Национального Банка Казахстана за предыдущий месяц.  Коэффициент использования лимита </w:t>
                            </w:r>
                            <w:r w:rsidRPr="008A5CA5">
                              <w:rPr>
                                <w:rFonts w:ascii="Calibri" w:hAnsi="Calibri" w:cs="Calibri"/>
                                <w:sz w:val="30"/>
                                <w:szCs w:val="30"/>
                              </w:rPr>
                              <w:t>составил 25,5% из общей суммы лимита.</w:t>
                            </w:r>
                          </w:p>
                          <w:p w:rsidR="00A3494E" w:rsidRPr="00E363C5" w:rsidRDefault="00A3494E" w:rsidP="00E363C5">
                            <w:pPr>
                              <w:ind w:firstLine="720"/>
                              <w:jc w:val="both"/>
                              <w:rPr>
                                <w:rFonts w:ascii="Calibri" w:hAnsi="Calibri" w:cs="Arial"/>
                                <w:sz w:val="30"/>
                                <w:szCs w:val="30"/>
                              </w:rPr>
                            </w:pPr>
                            <w:r>
                              <w:rPr>
                                <w:rFonts w:ascii="Calibri" w:hAnsi="Calibri" w:cs="Arial"/>
                                <w:sz w:val="30"/>
                                <w:szCs w:val="30"/>
                              </w:rPr>
                              <w:t xml:space="preserve">При этом корреспондентские счета являются основным каналом проведения трансграничных платежей. Так, объем платежей, отправленных за рубеж через </w:t>
                            </w:r>
                            <w:r w:rsidRPr="00E363C5">
                              <w:rPr>
                                <w:rFonts w:ascii="Calibri" w:hAnsi="Calibri" w:cs="Arial"/>
                                <w:sz w:val="30"/>
                                <w:szCs w:val="30"/>
                              </w:rPr>
                              <w:t>корреспондентские счета</w:t>
                            </w:r>
                            <w:r>
                              <w:rPr>
                                <w:rFonts w:ascii="Calibri" w:hAnsi="Calibri" w:cs="Arial"/>
                                <w:sz w:val="30"/>
                                <w:szCs w:val="30"/>
                              </w:rPr>
                              <w:t>,</w:t>
                            </w:r>
                            <w:r w:rsidRPr="00E363C5">
                              <w:rPr>
                                <w:rFonts w:ascii="Calibri" w:hAnsi="Calibri" w:cs="Arial"/>
                                <w:sz w:val="30"/>
                                <w:szCs w:val="30"/>
                              </w:rPr>
                              <w:t xml:space="preserve"> составил в 2016 году 2,7 млн. транзакций на сумму </w:t>
                            </w:r>
                            <w:r>
                              <w:rPr>
                                <w:rFonts w:ascii="Calibri" w:hAnsi="Calibri" w:cs="Arial"/>
                                <w:sz w:val="30"/>
                                <w:szCs w:val="30"/>
                              </w:rPr>
                              <w:t>211,6</w:t>
                            </w:r>
                            <w:r w:rsidRPr="00E363C5">
                              <w:rPr>
                                <w:rFonts w:ascii="Calibri" w:hAnsi="Calibri" w:cs="Arial"/>
                                <w:sz w:val="30"/>
                                <w:szCs w:val="30"/>
                              </w:rPr>
                              <w:t xml:space="preserve"> трлн. тенге</w:t>
                            </w:r>
                            <w:r>
                              <w:rPr>
                                <w:rFonts w:ascii="Calibri" w:hAnsi="Calibri" w:cs="Arial"/>
                                <w:sz w:val="30"/>
                                <w:szCs w:val="30"/>
                              </w:rPr>
                              <w:t xml:space="preserve">. </w:t>
                            </w:r>
                          </w:p>
                          <w:p w:rsidR="00A3494E" w:rsidRPr="00E363C5" w:rsidRDefault="00A3494E" w:rsidP="00E363C5">
                            <w:pPr>
                              <w:ind w:firstLine="720"/>
                              <w:jc w:val="both"/>
                              <w:rPr>
                                <w:rFonts w:ascii="Calibri" w:hAnsi="Calibri" w:cs="Arial"/>
                                <w:sz w:val="30"/>
                                <w:szCs w:val="30"/>
                              </w:rPr>
                            </w:pPr>
                            <w:r w:rsidRPr="00E363C5">
                              <w:rPr>
                                <w:rFonts w:ascii="Calibri" w:hAnsi="Calibri" w:cs="Arial"/>
                                <w:sz w:val="30"/>
                                <w:szCs w:val="30"/>
                              </w:rPr>
                              <w:t xml:space="preserve"> </w:t>
                            </w:r>
                          </w:p>
                        </w:txbxContent>
                      </wps:txbx>
                      <wps:bodyPr rot="0" vert="horz" wrap="square" lIns="91440" tIns="45720" rIns="91440" bIns="45720" anchor="t" anchorCtr="0" upright="1">
                        <a:spAutoFit/>
                      </wps:bodyPr>
                    </wps:wsp>
                  </a:graphicData>
                </a:graphic>
              </wp:inline>
            </w:drawing>
          </mc:Choice>
          <mc:Fallback>
            <w:pict>
              <v:roundrect id="AutoShape 161" o:spid="_x0000_s1054" style="width:476.6pt;height:437.45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" fillcolor="#cfc">
                <v:fill opacity="17733f"/>
                <v:textbox style="mso-fit-shape-to-text:t">
                  <w:txbxContent>
                    <w:p w:rsidR="00A3494E" w:rsidRPr="008A5CA5" w:rsidRDefault="00A3494E" w:rsidP="00C76684">
                      <w:pPr>
                        <w:ind w:firstLine="720"/>
                        <w:jc w:val="both"/>
                        <w:rPr>
                          <w:rFonts w:ascii="Calibri" w:hAnsi="Calibri" w:cs="Arial"/>
                          <w:sz w:val="30"/>
                          <w:szCs w:val="30"/>
                        </w:rPr>
                      </w:pPr>
                      <w:r>
                        <w:rPr>
                          <w:rFonts w:ascii="Calibri" w:hAnsi="Calibri" w:cs="Arial"/>
                          <w:sz w:val="30"/>
                          <w:szCs w:val="30"/>
                        </w:rPr>
                        <w:t xml:space="preserve">Одним из каналов расчетов межбанковских платежей выступают корреспондентские счета, открытые между банками. </w:t>
                      </w:r>
                      <w:r w:rsidRPr="00E363C5">
                        <w:rPr>
                          <w:rFonts w:ascii="Calibri" w:hAnsi="Calibri" w:cs="Arial"/>
                          <w:sz w:val="30"/>
                          <w:szCs w:val="30"/>
                        </w:rPr>
                        <w:t>Общи</w:t>
                      </w:r>
                      <w:r w:rsidRPr="008A5CA5">
                        <w:rPr>
                          <w:rFonts w:ascii="Calibri" w:hAnsi="Calibri" w:cs="Arial"/>
                          <w:sz w:val="30"/>
                          <w:szCs w:val="30"/>
                        </w:rPr>
                        <w:t xml:space="preserve">й объем переводов денег по корреспондентским счетам банков (отправленные как по Казахстану, так и за рубеж) составил в 2016 году 9 200,6 тыс. транзакций на сумму 229,9 трлн. тенге. </w:t>
                      </w:r>
                    </w:p>
                    <w:p w:rsidR="00A3494E" w:rsidRDefault="00A3494E" w:rsidP="00E363C5">
                      <w:pPr>
                        <w:ind w:firstLine="720"/>
                        <w:jc w:val="both"/>
                        <w:rPr>
                          <w:rFonts w:ascii="Calibri" w:hAnsi="Calibri" w:cs="Arial"/>
                          <w:sz w:val="30"/>
                          <w:szCs w:val="30"/>
                        </w:rPr>
                      </w:pPr>
                      <w:r w:rsidRPr="008A5CA5">
                        <w:rPr>
                          <w:rFonts w:ascii="Calibri" w:hAnsi="Calibri" w:cs="Arial"/>
                          <w:sz w:val="30"/>
                          <w:szCs w:val="30"/>
                        </w:rPr>
                        <w:t>Вместе с тем, расчеты через прямые корреспондентские счета могут быть подтверждены рискам, при которых банк-контрагент, где открыт счет, может оказаться неспособным обеспечить завершение расчетов. Поэтому международными стандартами в первую очередь отмечается эффективнос</w:t>
                      </w:r>
                      <w:r>
                        <w:rPr>
                          <w:rFonts w:ascii="Calibri" w:hAnsi="Calibri" w:cs="Arial"/>
                          <w:sz w:val="30"/>
                          <w:szCs w:val="30"/>
                        </w:rPr>
                        <w:t>ть</w:t>
                      </w:r>
                      <w:r w:rsidRPr="008A5CA5">
                        <w:rPr>
                          <w:rFonts w:ascii="Calibri" w:hAnsi="Calibri" w:cs="Arial"/>
                          <w:sz w:val="30"/>
                          <w:szCs w:val="30"/>
                        </w:rPr>
                        <w:t xml:space="preserve"> и надежност</w:t>
                      </w:r>
                      <w:r>
                        <w:rPr>
                          <w:rFonts w:ascii="Calibri" w:hAnsi="Calibri" w:cs="Arial"/>
                          <w:sz w:val="30"/>
                          <w:szCs w:val="30"/>
                        </w:rPr>
                        <w:t>ь</w:t>
                      </w:r>
                      <w:r w:rsidRPr="008A5CA5">
                        <w:rPr>
                          <w:rFonts w:ascii="Calibri" w:hAnsi="Calibri" w:cs="Arial"/>
                          <w:sz w:val="30"/>
                          <w:szCs w:val="30"/>
                        </w:rPr>
                        <w:t xml:space="preserve"> расчетов через национальные (центральные) банки. В связи с чем, в целях снижения рисков, связанных с расчетами через корреспондентские счета, открытые в коммерческих банках, Национальным Банком Казахстана был установлен лимит на ежемесячный объем платежей, проводимых между финансовыми организациями-резидентами в национальной валюте. Размер данного лимита составляет 5% от общего объема платежей банка или небанковской организации через платежные системы Национального Банка Казахстана за предыдущий месяц.  Коэффициент использования лимита </w:t>
                      </w:r>
                      <w:r w:rsidRPr="008A5CA5">
                        <w:rPr>
                          <w:rFonts w:ascii="Calibri" w:hAnsi="Calibri" w:cs="Calibri"/>
                          <w:sz w:val="30"/>
                          <w:szCs w:val="30"/>
                        </w:rPr>
                        <w:t>составил 25,5% из общей суммы лимита.</w:t>
                      </w:r>
                    </w:p>
                    <w:p w:rsidR="00A3494E" w:rsidRPr="00E363C5" w:rsidRDefault="00A3494E" w:rsidP="00E363C5">
                      <w:pPr>
                        <w:ind w:firstLine="720"/>
                        <w:jc w:val="both"/>
                        <w:rPr>
                          <w:rFonts w:ascii="Calibri" w:hAnsi="Calibri" w:cs="Arial"/>
                          <w:sz w:val="30"/>
                          <w:szCs w:val="30"/>
                        </w:rPr>
                      </w:pPr>
                      <w:r>
                        <w:rPr>
                          <w:rFonts w:ascii="Calibri" w:hAnsi="Calibri" w:cs="Arial"/>
                          <w:sz w:val="30"/>
                          <w:szCs w:val="30"/>
                        </w:rPr>
                        <w:t xml:space="preserve">При этом корреспондентские счета являются основным каналом проведения трансграничных платежей. Так, объем платежей, отправленных за рубеж через </w:t>
                      </w:r>
                      <w:r w:rsidRPr="00E363C5">
                        <w:rPr>
                          <w:rFonts w:ascii="Calibri" w:hAnsi="Calibri" w:cs="Arial"/>
                          <w:sz w:val="30"/>
                          <w:szCs w:val="30"/>
                        </w:rPr>
                        <w:t>корреспондентские счета</w:t>
                      </w:r>
                      <w:r>
                        <w:rPr>
                          <w:rFonts w:ascii="Calibri" w:hAnsi="Calibri" w:cs="Arial"/>
                          <w:sz w:val="30"/>
                          <w:szCs w:val="30"/>
                        </w:rPr>
                        <w:t>,</w:t>
                      </w:r>
                      <w:r w:rsidRPr="00E363C5">
                        <w:rPr>
                          <w:rFonts w:ascii="Calibri" w:hAnsi="Calibri" w:cs="Arial"/>
                          <w:sz w:val="30"/>
                          <w:szCs w:val="30"/>
                        </w:rPr>
                        <w:t xml:space="preserve"> составил в 2016 году 2,7 млн. транзакций на сумму </w:t>
                      </w:r>
                      <w:r>
                        <w:rPr>
                          <w:rFonts w:ascii="Calibri" w:hAnsi="Calibri" w:cs="Arial"/>
                          <w:sz w:val="30"/>
                          <w:szCs w:val="30"/>
                        </w:rPr>
                        <w:t>211,6</w:t>
                      </w:r>
                      <w:r w:rsidRPr="00E363C5">
                        <w:rPr>
                          <w:rFonts w:ascii="Calibri" w:hAnsi="Calibri" w:cs="Arial"/>
                          <w:sz w:val="30"/>
                          <w:szCs w:val="30"/>
                        </w:rPr>
                        <w:t xml:space="preserve"> трлн. тенге</w:t>
                      </w:r>
                      <w:r>
                        <w:rPr>
                          <w:rFonts w:ascii="Calibri" w:hAnsi="Calibri" w:cs="Arial"/>
                          <w:sz w:val="30"/>
                          <w:szCs w:val="30"/>
                        </w:rPr>
                        <w:t xml:space="preserve">. </w:t>
                      </w:r>
                    </w:p>
                    <w:p w:rsidR="00A3494E" w:rsidRPr="00E363C5" w:rsidRDefault="00A3494E" w:rsidP="00E363C5">
                      <w:pPr>
                        <w:ind w:firstLine="720"/>
                        <w:jc w:val="both"/>
                        <w:rPr>
                          <w:rFonts w:ascii="Calibri" w:hAnsi="Calibri" w:cs="Arial"/>
                          <w:sz w:val="30"/>
                          <w:szCs w:val="30"/>
                        </w:rPr>
                      </w:pPr>
                      <w:r w:rsidRPr="00E363C5">
                        <w:rPr>
                          <w:rFonts w:ascii="Calibri" w:hAnsi="Calibri" w:cs="Arial"/>
                          <w:sz w:val="30"/>
                          <w:szCs w:val="30"/>
                        </w:rPr>
                        <w:t xml:space="preserve"> </w:t>
                      </w:r>
                    </w:p>
                  </w:txbxContent>
                </v:textbox>
                <w10:anchorlock/>
              </v:roundrect>
            </w:pict>
          </mc:Fallback>
        </mc:AlternateContent>
      </w:r>
      <w:bookmarkEnd w:id="144"/>
      <w:bookmarkEnd w:id="145"/>
    </w:p>
    <w:p w:rsidR="00E363C5" w:rsidRPr="00E363C5" w:rsidRDefault="00E363C5" w:rsidP="00E363C5"/>
    <w:p w:rsidR="00454A34" w:rsidRPr="00015E28" w:rsidRDefault="005C7913" w:rsidP="00454A34">
      <w:pPr>
        <w:pStyle w:val="1"/>
        <w:spacing w:before="0" w:after="0"/>
        <w:ind w:firstLine="709"/>
        <w:jc w:val="center"/>
        <w:rPr>
          <w:rFonts w:ascii="Calibri" w:hAnsi="Calibri"/>
          <w:bCs w:val="0"/>
          <w:snapToGrid w:val="0"/>
          <w:color w:val="0E4C28"/>
          <w:spacing w:val="-2"/>
          <w:kern w:val="0"/>
          <w:sz w:val="36"/>
          <w:szCs w:val="36"/>
        </w:rPr>
      </w:pPr>
      <w:bookmarkStart w:id="146" w:name="_Toc481418210"/>
      <w:r w:rsidRPr="00015E28">
        <w:rPr>
          <w:rFonts w:ascii="Calibri" w:hAnsi="Calibri"/>
          <w:bCs w:val="0"/>
          <w:snapToGrid w:val="0"/>
          <w:color w:val="0E4C28"/>
          <w:spacing w:val="-2"/>
          <w:kern w:val="0"/>
          <w:sz w:val="36"/>
          <w:szCs w:val="36"/>
        </w:rPr>
        <w:lastRenderedPageBreak/>
        <w:t xml:space="preserve">РАЗДЕЛ </w:t>
      </w:r>
      <w:r>
        <w:rPr>
          <w:rFonts w:ascii="Calibri" w:hAnsi="Calibri"/>
          <w:bCs w:val="0"/>
          <w:snapToGrid w:val="0"/>
          <w:color w:val="0E4C28"/>
          <w:spacing w:val="-2"/>
          <w:kern w:val="0"/>
          <w:sz w:val="36"/>
          <w:szCs w:val="36"/>
        </w:rPr>
        <w:t>6</w:t>
      </w:r>
      <w:r w:rsidR="005E5300" w:rsidRPr="00015E28">
        <w:rPr>
          <w:rFonts w:ascii="Calibri" w:hAnsi="Calibri"/>
          <w:bCs w:val="0"/>
          <w:snapToGrid w:val="0"/>
          <w:color w:val="0E4C28"/>
          <w:spacing w:val="-2"/>
          <w:kern w:val="0"/>
          <w:sz w:val="36"/>
          <w:szCs w:val="36"/>
        </w:rPr>
        <w:t xml:space="preserve">. </w:t>
      </w:r>
      <w:r w:rsidR="00454A34" w:rsidRPr="00015E28">
        <w:rPr>
          <w:rFonts w:ascii="Calibri" w:hAnsi="Calibri"/>
          <w:bCs w:val="0"/>
          <w:snapToGrid w:val="0"/>
          <w:color w:val="0E4C28"/>
          <w:spacing w:val="-2"/>
          <w:kern w:val="0"/>
          <w:sz w:val="36"/>
          <w:szCs w:val="36"/>
        </w:rPr>
        <w:t>ЭЛЕКТРОННЫЕ ДЕНЬГИ</w:t>
      </w:r>
      <w:bookmarkEnd w:id="146"/>
    </w:p>
    <w:p w:rsidR="00454A34" w:rsidRPr="00015E28" w:rsidRDefault="00454A34" w:rsidP="00454A34">
      <w:pPr>
        <w:jc w:val="both"/>
        <w:rPr>
          <w:rFonts w:ascii="Calibri" w:hAnsi="Calibri" w:cs="Arial"/>
          <w:sz w:val="30"/>
          <w:szCs w:val="30"/>
        </w:rPr>
      </w:pPr>
      <w:bookmarkStart w:id="147" w:name="_Toc412583014"/>
      <w:bookmarkStart w:id="148" w:name="Итоги"/>
      <w:r w:rsidRPr="00015E28">
        <w:rPr>
          <w:rFonts w:ascii="Calibri" w:hAnsi="Calibri" w:cs="Arial"/>
          <w:sz w:val="30"/>
          <w:szCs w:val="30"/>
        </w:rPr>
        <w:t xml:space="preserve"> </w:t>
      </w:r>
      <w:r w:rsidRPr="00015E28">
        <w:rPr>
          <w:rFonts w:ascii="Calibri" w:hAnsi="Calibri" w:cs="Arial"/>
          <w:sz w:val="30"/>
          <w:szCs w:val="30"/>
        </w:rPr>
        <w:tab/>
      </w:r>
    </w:p>
    <w:p w:rsidR="00454A34" w:rsidRPr="008A5CA5" w:rsidRDefault="00B85DB3" w:rsidP="00454A34">
      <w:pPr>
        <w:ind w:firstLine="708"/>
        <w:jc w:val="both"/>
        <w:rPr>
          <w:rFonts w:ascii="Calibri" w:hAnsi="Calibri" w:cs="Arial"/>
          <w:sz w:val="30"/>
          <w:szCs w:val="30"/>
        </w:rPr>
      </w:pPr>
      <w:r>
        <w:rPr>
          <w:rFonts w:ascii="Calibri" w:hAnsi="Calibri" w:cs="Arial"/>
          <w:noProof/>
          <w:sz w:val="30"/>
          <w:szCs w:val="30"/>
        </w:rPr>
        <mc:AlternateContent>
          <mc:Choice Requires="wps">
            <w:drawing>
              <wp:anchor distT="0" distB="0" distL="114300" distR="114300" simplePos="0" relativeHeight="251670528" behindDoc="0" locked="0" layoutInCell="1" allowOverlap="1" wp14:anchorId="6B35211C" wp14:editId="70441B11">
                <wp:simplePos x="0" y="0"/>
                <wp:positionH relativeFrom="column">
                  <wp:posOffset>3088005</wp:posOffset>
                </wp:positionH>
                <wp:positionV relativeFrom="paragraph">
                  <wp:posOffset>749300</wp:posOffset>
                </wp:positionV>
                <wp:extent cx="3074670" cy="3173730"/>
                <wp:effectExtent l="0" t="0" r="30480" b="64770"/>
                <wp:wrapSquare wrapText="bothSides"/>
                <wp:docPr id="456"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4670" cy="317373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A3494E" w:rsidRPr="0032693E" w:rsidRDefault="00A3494E" w:rsidP="0032693E">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р</w:t>
                            </w:r>
                            <w:r w:rsidRPr="0032693E">
                              <w:rPr>
                                <w:rFonts w:ascii="Calibri" w:hAnsi="Calibri" w:cs="Arial"/>
                                <w:sz w:val="30"/>
                                <w:szCs w:val="30"/>
                              </w:rPr>
                              <w:t>ынок электронных денег активно развивается с 2013 г</w:t>
                            </w:r>
                            <w:r>
                              <w:rPr>
                                <w:rFonts w:ascii="Calibri" w:hAnsi="Calibri" w:cs="Arial"/>
                                <w:sz w:val="30"/>
                                <w:szCs w:val="30"/>
                              </w:rPr>
                              <w:t>ода</w:t>
                            </w:r>
                            <w:r w:rsidRPr="0032693E">
                              <w:rPr>
                                <w:rFonts w:ascii="Calibri" w:hAnsi="Calibri" w:cs="Arial"/>
                                <w:sz w:val="30"/>
                                <w:szCs w:val="30"/>
                              </w:rPr>
                              <w:t>, в последние годы наблюдается увеличение темпов роста</w:t>
                            </w:r>
                            <w:r>
                              <w:rPr>
                                <w:rFonts w:ascii="Calibri" w:hAnsi="Calibri" w:cs="Arial"/>
                                <w:sz w:val="30"/>
                                <w:szCs w:val="30"/>
                              </w:rPr>
                              <w:t>;</w:t>
                            </w:r>
                          </w:p>
                          <w:p w:rsidR="00A3494E" w:rsidRPr="00B85DB3" w:rsidRDefault="00A3494E" w:rsidP="0032693E">
                            <w:pPr>
                              <w:numPr>
                                <w:ilvl w:val="0"/>
                                <w:numId w:val="28"/>
                              </w:numPr>
                              <w:tabs>
                                <w:tab w:val="left" w:pos="360"/>
                              </w:tabs>
                              <w:autoSpaceDE w:val="0"/>
                              <w:autoSpaceDN w:val="0"/>
                              <w:adjustRightInd w:val="0"/>
                              <w:ind w:left="0" w:firstLine="0"/>
                              <w:jc w:val="both"/>
                              <w:rPr>
                                <w:szCs w:val="30"/>
                              </w:rPr>
                            </w:pPr>
                            <w:r w:rsidRPr="00B85DB3">
                              <w:rPr>
                                <w:rFonts w:ascii="Calibri" w:hAnsi="Calibri" w:cs="Arial"/>
                                <w:sz w:val="30"/>
                                <w:szCs w:val="30"/>
                              </w:rPr>
                              <w:t>драйверы развития рынка электронных денег включают рост проникновения Интернета, развитие электронной коммерции, развитие инновационных технологий.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2" o:spid="_x0000_s1055" style="position:absolute;left:0;text-align:left;margin-left:243.15pt;margin-top:59pt;width:242.1pt;height:24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" fillcolor="#cf9" strokecolor="#cf9" strokeweight="1pt">
                <v:shadow on="t" color="#205867" opacity=".5" offset="1pt"/>
                <v:textbox>
                  <w:txbxContent>
                    <w:p w:rsidR="00A3494E" w:rsidRPr="0032693E" w:rsidRDefault="00A3494E" w:rsidP="0032693E">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р</w:t>
                      </w:r>
                      <w:r w:rsidRPr="0032693E">
                        <w:rPr>
                          <w:rFonts w:ascii="Calibri" w:hAnsi="Calibri" w:cs="Arial"/>
                          <w:sz w:val="30"/>
                          <w:szCs w:val="30"/>
                        </w:rPr>
                        <w:t>ынок электронных денег активно развивается с 2013 г</w:t>
                      </w:r>
                      <w:r>
                        <w:rPr>
                          <w:rFonts w:ascii="Calibri" w:hAnsi="Calibri" w:cs="Arial"/>
                          <w:sz w:val="30"/>
                          <w:szCs w:val="30"/>
                        </w:rPr>
                        <w:t>ода</w:t>
                      </w:r>
                      <w:r w:rsidRPr="0032693E">
                        <w:rPr>
                          <w:rFonts w:ascii="Calibri" w:hAnsi="Calibri" w:cs="Arial"/>
                          <w:sz w:val="30"/>
                          <w:szCs w:val="30"/>
                        </w:rPr>
                        <w:t>, в последние годы наблюдается увеличение темпов роста</w:t>
                      </w:r>
                      <w:r>
                        <w:rPr>
                          <w:rFonts w:ascii="Calibri" w:hAnsi="Calibri" w:cs="Arial"/>
                          <w:sz w:val="30"/>
                          <w:szCs w:val="30"/>
                        </w:rPr>
                        <w:t>;</w:t>
                      </w:r>
                    </w:p>
                    <w:p w:rsidR="00A3494E" w:rsidRPr="00B85DB3" w:rsidRDefault="00A3494E" w:rsidP="0032693E">
                      <w:pPr>
                        <w:numPr>
                          <w:ilvl w:val="0"/>
                          <w:numId w:val="28"/>
                        </w:numPr>
                        <w:tabs>
                          <w:tab w:val="left" w:pos="360"/>
                        </w:tabs>
                        <w:autoSpaceDE w:val="0"/>
                        <w:autoSpaceDN w:val="0"/>
                        <w:adjustRightInd w:val="0"/>
                        <w:ind w:left="0" w:firstLine="0"/>
                        <w:jc w:val="both"/>
                        <w:rPr>
                          <w:szCs w:val="30"/>
                        </w:rPr>
                      </w:pPr>
                      <w:r w:rsidRPr="00B85DB3">
                        <w:rPr>
                          <w:rFonts w:ascii="Calibri" w:hAnsi="Calibri" w:cs="Arial"/>
                          <w:sz w:val="30"/>
                          <w:szCs w:val="30"/>
                        </w:rPr>
                        <w:t>драйверы развития рынка электронных денег включают рост проникновения Интернета, развитие электронной коммерции, развитие инновационных технологий.</w:t>
                      </w:r>
                    </w:p>
                  </w:txbxContent>
                </v:textbox>
                <w10:wrap type="square"/>
              </v:roundrect>
            </w:pict>
          </mc:Fallback>
        </mc:AlternateContent>
      </w:r>
      <w:r w:rsidR="00454A34" w:rsidRPr="00015E28">
        <w:rPr>
          <w:rFonts w:ascii="Calibri" w:hAnsi="Calibri" w:cs="Arial"/>
          <w:sz w:val="30"/>
          <w:szCs w:val="30"/>
        </w:rPr>
        <w:t xml:space="preserve">Важнейшим толчком для </w:t>
      </w:r>
      <w:r w:rsidR="00FC1D65">
        <w:rPr>
          <w:rFonts w:ascii="Calibri" w:hAnsi="Calibri" w:cs="Arial"/>
          <w:sz w:val="30"/>
          <w:szCs w:val="30"/>
        </w:rPr>
        <w:t xml:space="preserve">развития </w:t>
      </w:r>
      <w:r w:rsidR="00454A34" w:rsidRPr="00015E28">
        <w:rPr>
          <w:rFonts w:ascii="Calibri" w:hAnsi="Calibri" w:cs="Arial"/>
          <w:sz w:val="30"/>
          <w:szCs w:val="30"/>
        </w:rPr>
        <w:t>рынка электронных денег стало при</w:t>
      </w:r>
      <w:r w:rsidR="00454A34" w:rsidRPr="008A5CA5">
        <w:rPr>
          <w:rFonts w:ascii="Calibri" w:hAnsi="Calibri" w:cs="Arial"/>
          <w:sz w:val="30"/>
          <w:szCs w:val="30"/>
        </w:rPr>
        <w:t xml:space="preserve">нятие Закона Республики Казахстан </w:t>
      </w:r>
      <w:r w:rsidRPr="008A5CA5">
        <w:rPr>
          <w:rFonts w:ascii="Calibri" w:hAnsi="Calibri" w:cs="Arial"/>
          <w:sz w:val="30"/>
          <w:szCs w:val="30"/>
        </w:rPr>
        <w:t xml:space="preserve">от 21 июля 2011 года </w:t>
      </w:r>
      <w:r w:rsidR="00454A34" w:rsidRPr="008A5CA5">
        <w:rPr>
          <w:rFonts w:ascii="Calibri" w:hAnsi="Calibri" w:cs="Arial"/>
          <w:sz w:val="30"/>
          <w:szCs w:val="30"/>
        </w:rPr>
        <w:t>«О внесении изменений и дополнений в некоторые законодательные акты РК по вопросам электронных денег».</w:t>
      </w:r>
      <w:r w:rsidRPr="008A5CA5">
        <w:rPr>
          <w:rFonts w:ascii="Calibri" w:hAnsi="Calibri" w:cs="Arial"/>
          <w:sz w:val="30"/>
          <w:szCs w:val="30"/>
        </w:rPr>
        <w:t xml:space="preserve"> </w:t>
      </w:r>
      <w:r w:rsidR="00F44CA1" w:rsidRPr="008A5CA5">
        <w:rPr>
          <w:rFonts w:ascii="Calibri" w:hAnsi="Calibri" w:cs="Arial"/>
          <w:sz w:val="30"/>
          <w:szCs w:val="30"/>
        </w:rPr>
        <w:t xml:space="preserve">Указанным </w:t>
      </w:r>
      <w:r w:rsidR="00454A34" w:rsidRPr="008A5CA5">
        <w:rPr>
          <w:rFonts w:ascii="Calibri" w:hAnsi="Calibri" w:cs="Arial"/>
          <w:sz w:val="30"/>
          <w:szCs w:val="30"/>
        </w:rPr>
        <w:t xml:space="preserve">Законом </w:t>
      </w:r>
      <w:r w:rsidR="00E363C5" w:rsidRPr="008A5CA5">
        <w:rPr>
          <w:rFonts w:ascii="Calibri" w:hAnsi="Calibri" w:cs="Arial"/>
          <w:sz w:val="30"/>
          <w:szCs w:val="30"/>
        </w:rPr>
        <w:t>было в</w:t>
      </w:r>
      <w:r w:rsidR="00454A34" w:rsidRPr="008A5CA5">
        <w:rPr>
          <w:rFonts w:ascii="Calibri" w:hAnsi="Calibri" w:cs="Arial"/>
          <w:sz w:val="30"/>
          <w:szCs w:val="30"/>
        </w:rPr>
        <w:t>ведено понятие электронных денег, поряд</w:t>
      </w:r>
      <w:r w:rsidR="00E363C5" w:rsidRPr="008A5CA5">
        <w:rPr>
          <w:rFonts w:ascii="Calibri" w:hAnsi="Calibri" w:cs="Arial"/>
          <w:sz w:val="30"/>
          <w:szCs w:val="30"/>
        </w:rPr>
        <w:t>ок</w:t>
      </w:r>
      <w:r w:rsidR="00454A34" w:rsidRPr="008A5CA5">
        <w:rPr>
          <w:rFonts w:ascii="Calibri" w:hAnsi="Calibri" w:cs="Arial"/>
          <w:sz w:val="30"/>
          <w:szCs w:val="30"/>
        </w:rPr>
        <w:t xml:space="preserve"> осуществления платежей с их использованием, а также </w:t>
      </w:r>
      <w:r w:rsidR="00E363C5" w:rsidRPr="008A5CA5">
        <w:rPr>
          <w:rFonts w:ascii="Calibri" w:hAnsi="Calibri" w:cs="Arial"/>
          <w:sz w:val="30"/>
          <w:szCs w:val="30"/>
        </w:rPr>
        <w:t xml:space="preserve">определены основные нормы в отношении </w:t>
      </w:r>
      <w:r w:rsidR="00454A34" w:rsidRPr="008A5CA5">
        <w:rPr>
          <w:rFonts w:ascii="Calibri" w:hAnsi="Calibri" w:cs="Arial"/>
          <w:sz w:val="30"/>
          <w:szCs w:val="30"/>
        </w:rPr>
        <w:t xml:space="preserve"> эмитентов, владельцев электронных денег и их участников при выпуске, использовании электронных денег.</w:t>
      </w:r>
    </w:p>
    <w:p w:rsidR="00454A34" w:rsidRPr="00015E28" w:rsidRDefault="00454A34" w:rsidP="00454A34">
      <w:pPr>
        <w:ind w:firstLine="708"/>
        <w:jc w:val="both"/>
        <w:rPr>
          <w:rFonts w:ascii="Calibri" w:hAnsi="Calibri" w:cs="Arial"/>
          <w:sz w:val="30"/>
          <w:szCs w:val="30"/>
        </w:rPr>
      </w:pPr>
      <w:r w:rsidRPr="008A5CA5">
        <w:rPr>
          <w:rFonts w:ascii="Calibri" w:hAnsi="Calibri" w:cs="Arial"/>
          <w:sz w:val="30"/>
          <w:szCs w:val="30"/>
        </w:rPr>
        <w:t xml:space="preserve">В соответствии с действующим </w:t>
      </w:r>
      <w:r w:rsidR="00B85DB3" w:rsidRPr="008A5CA5">
        <w:rPr>
          <w:rFonts w:ascii="Calibri" w:hAnsi="Calibri" w:cs="Arial"/>
          <w:sz w:val="30"/>
          <w:szCs w:val="30"/>
        </w:rPr>
        <w:t>з</w:t>
      </w:r>
      <w:r w:rsidRPr="008A5CA5">
        <w:rPr>
          <w:rFonts w:ascii="Calibri" w:hAnsi="Calibri" w:cs="Arial"/>
          <w:sz w:val="30"/>
          <w:szCs w:val="30"/>
        </w:rPr>
        <w:t>аконодательством Республики Казахстан право на выпуск электронных денег предусматривается за Национальным Банком Казахстан</w:t>
      </w:r>
      <w:r w:rsidR="00842C3A" w:rsidRPr="008A5CA5">
        <w:rPr>
          <w:rFonts w:ascii="Calibri" w:hAnsi="Calibri" w:cs="Arial"/>
          <w:sz w:val="30"/>
          <w:szCs w:val="30"/>
        </w:rPr>
        <w:t>а</w:t>
      </w:r>
      <w:r w:rsidRPr="008A5CA5">
        <w:rPr>
          <w:rFonts w:ascii="Calibri" w:hAnsi="Calibri" w:cs="Arial"/>
          <w:sz w:val="30"/>
          <w:szCs w:val="30"/>
        </w:rPr>
        <w:t>,</w:t>
      </w:r>
      <w:r w:rsidRPr="00015E28">
        <w:rPr>
          <w:rFonts w:ascii="Calibri" w:hAnsi="Calibri" w:cs="Arial"/>
          <w:sz w:val="30"/>
          <w:szCs w:val="30"/>
        </w:rPr>
        <w:t xml:space="preserve"> банками второго уровня и Национальным оператором почты. Это связано с тем, что деятельность по выпуску электронных денег связана с привлечением денег физических и юридических лиц.</w:t>
      </w:r>
    </w:p>
    <w:p w:rsidR="00454A34" w:rsidRPr="00015E28" w:rsidRDefault="00FC1D65" w:rsidP="00454A34">
      <w:pPr>
        <w:ind w:firstLine="708"/>
        <w:jc w:val="both"/>
        <w:rPr>
          <w:rFonts w:ascii="Calibri" w:hAnsi="Calibri" w:cs="Arial"/>
          <w:sz w:val="30"/>
          <w:szCs w:val="30"/>
        </w:rPr>
      </w:pPr>
      <w:r>
        <w:rPr>
          <w:rFonts w:ascii="Calibri" w:hAnsi="Calibri" w:cs="Arial"/>
          <w:sz w:val="30"/>
          <w:szCs w:val="30"/>
        </w:rPr>
        <w:t>Н</w:t>
      </w:r>
      <w:r w:rsidR="00454A34" w:rsidRPr="00015E28">
        <w:rPr>
          <w:rFonts w:ascii="Calibri" w:hAnsi="Calibri" w:cs="Arial"/>
          <w:sz w:val="30"/>
          <w:szCs w:val="30"/>
        </w:rPr>
        <w:t>аблюдается тенденция появления новых систем, которая связана со стремлением представить на рынке новый платежный продукт, а также желанием занять свою нишу на новом формирующемся рынке. Так, в 2015 году на казахстанском рынке работало восемь систем электронных денег, а в 2016 году насчитывалось 16 систем электронных денег: «E-KZT», «</w:t>
      </w:r>
      <w:proofErr w:type="spellStart"/>
      <w:r w:rsidR="00454A34" w:rsidRPr="00015E28">
        <w:rPr>
          <w:rFonts w:ascii="Calibri" w:hAnsi="Calibri" w:cs="Arial"/>
          <w:sz w:val="30"/>
          <w:szCs w:val="30"/>
        </w:rPr>
        <w:t>Wooppay</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Visa</w:t>
      </w:r>
      <w:proofErr w:type="spellEnd"/>
      <w:r w:rsidR="00454A34" w:rsidRPr="00015E28">
        <w:rPr>
          <w:rFonts w:ascii="Calibri" w:hAnsi="Calibri" w:cs="Arial"/>
          <w:sz w:val="30"/>
          <w:szCs w:val="30"/>
        </w:rPr>
        <w:t xml:space="preserve"> </w:t>
      </w:r>
      <w:proofErr w:type="spellStart"/>
      <w:r w:rsidR="00454A34" w:rsidRPr="00015E28">
        <w:rPr>
          <w:rFonts w:ascii="Calibri" w:hAnsi="Calibri" w:cs="Arial"/>
          <w:sz w:val="30"/>
          <w:szCs w:val="30"/>
        </w:rPr>
        <w:t>Qiwi</w:t>
      </w:r>
      <w:proofErr w:type="spellEnd"/>
      <w:r w:rsidR="00454A34" w:rsidRPr="00015E28">
        <w:rPr>
          <w:rFonts w:ascii="Calibri" w:hAnsi="Calibri" w:cs="Arial"/>
          <w:sz w:val="30"/>
          <w:szCs w:val="30"/>
        </w:rPr>
        <w:t xml:space="preserve"> </w:t>
      </w:r>
      <w:proofErr w:type="spellStart"/>
      <w:r w:rsidR="00454A34" w:rsidRPr="00015E28">
        <w:rPr>
          <w:rFonts w:ascii="Calibri" w:hAnsi="Calibri" w:cs="Arial"/>
          <w:sz w:val="30"/>
          <w:szCs w:val="30"/>
        </w:rPr>
        <w:t>Wallet</w:t>
      </w:r>
      <w:proofErr w:type="spellEnd"/>
      <w:r w:rsidR="00454A34" w:rsidRPr="00015E28">
        <w:rPr>
          <w:rFonts w:ascii="Calibri" w:hAnsi="Calibri" w:cs="Arial"/>
          <w:sz w:val="30"/>
          <w:szCs w:val="30"/>
        </w:rPr>
        <w:t>»; «Личная Касса»; «</w:t>
      </w:r>
      <w:proofErr w:type="spellStart"/>
      <w:r w:rsidR="00454A34" w:rsidRPr="00015E28">
        <w:rPr>
          <w:rFonts w:ascii="Calibri" w:hAnsi="Calibri" w:cs="Arial"/>
          <w:sz w:val="30"/>
          <w:szCs w:val="30"/>
        </w:rPr>
        <w:t>Tau</w:t>
      </w:r>
      <w:proofErr w:type="spellEnd"/>
      <w:r w:rsidR="00454A34" w:rsidRPr="00015E28">
        <w:rPr>
          <w:rFonts w:ascii="Calibri" w:hAnsi="Calibri" w:cs="Arial"/>
          <w:sz w:val="30"/>
          <w:szCs w:val="30"/>
        </w:rPr>
        <w:t xml:space="preserve"> - </w:t>
      </w:r>
      <w:proofErr w:type="spellStart"/>
      <w:r w:rsidR="00454A34" w:rsidRPr="00015E28">
        <w:rPr>
          <w:rFonts w:ascii="Calibri" w:hAnsi="Calibri" w:cs="Arial"/>
          <w:sz w:val="30"/>
          <w:szCs w:val="30"/>
        </w:rPr>
        <w:t>tenge</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Paypoint</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Dar</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Homepay</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Халык</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AllPay</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Wallet</w:t>
      </w:r>
      <w:proofErr w:type="spellEnd"/>
      <w:r w:rsidR="00454A34" w:rsidRPr="00015E28">
        <w:rPr>
          <w:rFonts w:ascii="Calibri" w:hAnsi="Calibri" w:cs="Arial"/>
          <w:sz w:val="30"/>
          <w:szCs w:val="30"/>
        </w:rPr>
        <w:t xml:space="preserve"> </w:t>
      </w:r>
      <w:proofErr w:type="spellStart"/>
      <w:r w:rsidR="00454A34" w:rsidRPr="00015E28">
        <w:rPr>
          <w:rFonts w:ascii="Calibri" w:hAnsi="Calibri" w:cs="Arial"/>
          <w:sz w:val="30"/>
          <w:szCs w:val="30"/>
        </w:rPr>
        <w:t>One</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Kaspi</w:t>
      </w:r>
      <w:proofErr w:type="spellEnd"/>
      <w:r w:rsidR="00454A34" w:rsidRPr="00015E28">
        <w:rPr>
          <w:rFonts w:ascii="Calibri" w:hAnsi="Calibri" w:cs="Arial"/>
          <w:sz w:val="30"/>
          <w:szCs w:val="30"/>
        </w:rPr>
        <w:t xml:space="preserve"> </w:t>
      </w:r>
      <w:proofErr w:type="spellStart"/>
      <w:r w:rsidR="00454A34" w:rsidRPr="00015E28">
        <w:rPr>
          <w:rFonts w:ascii="Calibri" w:hAnsi="Calibri" w:cs="Arial"/>
          <w:sz w:val="30"/>
          <w:szCs w:val="30"/>
        </w:rPr>
        <w:t>Bank</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AlemPAy</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Koin</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Altynpay</w:t>
      </w:r>
      <w:proofErr w:type="spellEnd"/>
      <w:r w:rsidR="00454A34" w:rsidRPr="00015E28">
        <w:rPr>
          <w:rFonts w:ascii="Calibri" w:hAnsi="Calibri" w:cs="Arial"/>
          <w:sz w:val="30"/>
          <w:szCs w:val="30"/>
        </w:rPr>
        <w:t>»; «</w:t>
      </w:r>
      <w:proofErr w:type="spellStart"/>
      <w:r w:rsidR="00454A34" w:rsidRPr="00015E28">
        <w:rPr>
          <w:rFonts w:ascii="Calibri" w:hAnsi="Calibri" w:cs="Arial"/>
          <w:sz w:val="30"/>
          <w:szCs w:val="30"/>
        </w:rPr>
        <w:t>MultiB@nk</w:t>
      </w:r>
      <w:proofErr w:type="spellEnd"/>
      <w:r w:rsidR="00454A34" w:rsidRPr="00015E28">
        <w:rPr>
          <w:rFonts w:ascii="Calibri" w:hAnsi="Calibri" w:cs="Arial"/>
          <w:sz w:val="30"/>
          <w:szCs w:val="30"/>
        </w:rPr>
        <w:t xml:space="preserve">». </w:t>
      </w:r>
    </w:p>
    <w:p w:rsidR="00454A34" w:rsidRPr="00015E28" w:rsidRDefault="00B85DB3" w:rsidP="00454A34">
      <w:pPr>
        <w:ind w:firstLine="708"/>
        <w:jc w:val="both"/>
        <w:rPr>
          <w:rFonts w:ascii="Calibri" w:hAnsi="Calibri" w:cs="Arial"/>
          <w:sz w:val="30"/>
          <w:szCs w:val="30"/>
        </w:rPr>
      </w:pPr>
      <w:r>
        <w:rPr>
          <w:rFonts w:ascii="Calibri" w:hAnsi="Calibri" w:cs="Arial"/>
          <w:sz w:val="30"/>
          <w:szCs w:val="30"/>
        </w:rPr>
        <w:t>Р</w:t>
      </w:r>
      <w:r w:rsidR="00454A34" w:rsidRPr="00015E28">
        <w:rPr>
          <w:rFonts w:ascii="Calibri" w:hAnsi="Calibri" w:cs="Arial"/>
          <w:sz w:val="30"/>
          <w:szCs w:val="30"/>
        </w:rPr>
        <w:t xml:space="preserve">ост популярности электронных денег связан с удобством их использования </w:t>
      </w:r>
      <w:r w:rsidR="00327BDD">
        <w:rPr>
          <w:rFonts w:ascii="Calibri" w:hAnsi="Calibri" w:cs="Arial"/>
          <w:sz w:val="30"/>
          <w:szCs w:val="30"/>
        </w:rPr>
        <w:t>и расширением инфраструктуры их обслуживания</w:t>
      </w:r>
      <w:r>
        <w:rPr>
          <w:rFonts w:ascii="Calibri" w:hAnsi="Calibri" w:cs="Arial"/>
          <w:sz w:val="30"/>
          <w:szCs w:val="30"/>
        </w:rPr>
        <w:t>.</w:t>
      </w:r>
      <w:r w:rsidR="00454A34" w:rsidRPr="00015E28">
        <w:rPr>
          <w:rFonts w:ascii="Calibri" w:hAnsi="Calibri" w:cs="Arial"/>
          <w:sz w:val="30"/>
          <w:szCs w:val="30"/>
        </w:rPr>
        <w:t xml:space="preserve"> </w:t>
      </w:r>
    </w:p>
    <w:p w:rsidR="00FC1D65" w:rsidRDefault="00FC1D65" w:rsidP="00FC1D65">
      <w:pPr>
        <w:ind w:firstLine="708"/>
        <w:jc w:val="both"/>
        <w:rPr>
          <w:rFonts w:ascii="Calibri" w:hAnsi="Calibri" w:cs="Arial"/>
          <w:sz w:val="30"/>
          <w:szCs w:val="30"/>
        </w:rPr>
      </w:pPr>
      <w:r w:rsidRPr="008A5CA5">
        <w:rPr>
          <w:rFonts w:ascii="Calibri" w:hAnsi="Calibri" w:cs="Arial"/>
          <w:sz w:val="30"/>
          <w:szCs w:val="30"/>
        </w:rPr>
        <w:t xml:space="preserve">Сумма электронных денег, находящихся в обращении, на 1 января 2017 года составила 3,3 млрд. тенге. За </w:t>
      </w:r>
      <w:r w:rsidR="00F44CA1" w:rsidRPr="008A5CA5">
        <w:rPr>
          <w:rFonts w:ascii="Calibri" w:hAnsi="Calibri" w:cs="Arial"/>
          <w:sz w:val="30"/>
          <w:szCs w:val="30"/>
        </w:rPr>
        <w:t>2016</w:t>
      </w:r>
      <w:r w:rsidRPr="008A5CA5">
        <w:rPr>
          <w:rFonts w:ascii="Calibri" w:hAnsi="Calibri" w:cs="Arial"/>
          <w:sz w:val="30"/>
          <w:szCs w:val="30"/>
        </w:rPr>
        <w:t xml:space="preserve"> год сумма эмитированных электронных денег </w:t>
      </w:r>
      <w:r w:rsidR="00F44CA1" w:rsidRPr="008A5CA5">
        <w:rPr>
          <w:rFonts w:ascii="Calibri" w:hAnsi="Calibri" w:cs="Arial"/>
          <w:sz w:val="30"/>
          <w:szCs w:val="30"/>
        </w:rPr>
        <w:t>составила</w:t>
      </w:r>
      <w:r w:rsidRPr="008A5CA5">
        <w:rPr>
          <w:rFonts w:ascii="Calibri" w:hAnsi="Calibri" w:cs="Arial"/>
          <w:sz w:val="30"/>
          <w:szCs w:val="30"/>
        </w:rPr>
        <w:t xml:space="preserve"> 129,7 млрд. тенге</w:t>
      </w:r>
      <w:r w:rsidR="00F44CA1" w:rsidRPr="008A5CA5">
        <w:rPr>
          <w:rFonts w:ascii="Calibri" w:hAnsi="Calibri" w:cs="Arial"/>
          <w:sz w:val="30"/>
          <w:szCs w:val="30"/>
        </w:rPr>
        <w:t>, погашено электронных денег на сумму 90,5 млрд. тенге.</w:t>
      </w:r>
    </w:p>
    <w:tbl>
      <w:tblPr>
        <w:tblStyle w:val="a3"/>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5040"/>
      </w:tblGrid>
      <w:tr w:rsidR="00B85DB3" w:rsidTr="00B85DB3">
        <w:trPr>
          <w:trHeight w:val="3707"/>
        </w:trPr>
        <w:tc>
          <w:tcPr>
            <w:tcW w:w="4608" w:type="dxa"/>
          </w:tcPr>
          <w:p w:rsidR="00B85DB3" w:rsidRDefault="009B3B2D" w:rsidP="009B3B2D">
            <w:pPr>
              <w:ind w:firstLine="708"/>
              <w:jc w:val="both"/>
              <w:rPr>
                <w:rFonts w:ascii="Calibri" w:hAnsi="Calibri" w:cs="Arial"/>
                <w:sz w:val="30"/>
                <w:szCs w:val="30"/>
              </w:rPr>
            </w:pPr>
            <w:r>
              <w:rPr>
                <w:rFonts w:ascii="Calibri" w:hAnsi="Calibri" w:cs="Arial"/>
                <w:sz w:val="30"/>
                <w:szCs w:val="30"/>
              </w:rPr>
              <w:lastRenderedPageBreak/>
              <w:t>За 2016 год объем про</w:t>
            </w:r>
            <w:r w:rsidR="00B85DB3" w:rsidRPr="0032693E">
              <w:rPr>
                <w:rFonts w:ascii="Calibri" w:hAnsi="Calibri" w:cs="Arial"/>
                <w:sz w:val="30"/>
                <w:szCs w:val="30"/>
              </w:rPr>
              <w:t xml:space="preserve">веденных операций с использованием электронных денег казахстанских эмитентов на территории Казахстана составил 43,3 млн. транзакций на сумму 154,2 млрд. тенге (по сравнению с 2015 годом количество операций выросло в 2,7 раз, сумма – в 3,5 раз). </w:t>
            </w:r>
          </w:p>
        </w:tc>
        <w:tc>
          <w:tcPr>
            <w:tcW w:w="5040" w:type="dxa"/>
          </w:tcPr>
          <w:p w:rsidR="00B85DB3" w:rsidRDefault="00B85DB3" w:rsidP="00B85DB3">
            <w:pPr>
              <w:spacing w:line="233" w:lineRule="auto"/>
              <w:jc w:val="center"/>
              <w:rPr>
                <w:rFonts w:ascii="Calibri" w:hAnsi="Calibri" w:cs="Arial"/>
                <w:b/>
                <w:color w:val="0E4C28"/>
                <w:sz w:val="28"/>
                <w:szCs w:val="28"/>
              </w:rPr>
            </w:pPr>
            <w:r w:rsidRPr="0032693E">
              <w:rPr>
                <w:rFonts w:ascii="Calibri" w:hAnsi="Calibri" w:cs="Arial"/>
                <w:b/>
                <w:color w:val="0E4C28"/>
                <w:sz w:val="28"/>
                <w:szCs w:val="28"/>
              </w:rPr>
              <w:t xml:space="preserve">Операции с использованием </w:t>
            </w:r>
          </w:p>
          <w:p w:rsidR="00B85DB3" w:rsidRDefault="00B85DB3" w:rsidP="00B85DB3">
            <w:pPr>
              <w:spacing w:line="233" w:lineRule="auto"/>
              <w:jc w:val="center"/>
              <w:rPr>
                <w:rFonts w:ascii="Calibri" w:hAnsi="Calibri" w:cs="Arial"/>
                <w:sz w:val="30"/>
                <w:szCs w:val="30"/>
              </w:rPr>
            </w:pPr>
            <w:r>
              <w:rPr>
                <w:rFonts w:ascii="Calibri" w:hAnsi="Calibri" w:cs="Arial"/>
                <w:b/>
                <w:noProof/>
                <w:color w:val="0E4C28"/>
                <w:sz w:val="28"/>
                <w:szCs w:val="28"/>
              </w:rPr>
              <w:drawing>
                <wp:anchor distT="0" distB="0" distL="114300" distR="114300" simplePos="0" relativeHeight="251694080" behindDoc="0" locked="0" layoutInCell="1" allowOverlap="1" wp14:anchorId="7FCF4A97" wp14:editId="4E6D86F4">
                  <wp:simplePos x="0" y="0"/>
                  <wp:positionH relativeFrom="column">
                    <wp:posOffset>-68580</wp:posOffset>
                  </wp:positionH>
                  <wp:positionV relativeFrom="paragraph">
                    <wp:posOffset>315595</wp:posOffset>
                  </wp:positionV>
                  <wp:extent cx="3086100" cy="1873250"/>
                  <wp:effectExtent l="0" t="0" r="0" b="0"/>
                  <wp:wrapSquare wrapText="bothSides"/>
                  <wp:docPr id="165" name="Объект 1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page">
                    <wp14:pctWidth>0</wp14:pctWidth>
                  </wp14:sizeRelH>
                  <wp14:sizeRelV relativeFrom="page">
                    <wp14:pctHeight>0</wp14:pctHeight>
                  </wp14:sizeRelV>
                </wp:anchor>
              </w:drawing>
            </w:r>
            <w:r w:rsidRPr="0032693E">
              <w:rPr>
                <w:rFonts w:ascii="Calibri" w:hAnsi="Calibri" w:cs="Arial"/>
                <w:b/>
                <w:color w:val="0E4C28"/>
                <w:sz w:val="28"/>
                <w:szCs w:val="28"/>
              </w:rPr>
              <w:t>электронных денег</w:t>
            </w:r>
          </w:p>
        </w:tc>
      </w:tr>
    </w:tbl>
    <w:p w:rsidR="00B85DB3" w:rsidRDefault="006A1A84" w:rsidP="00F44CA1">
      <w:pPr>
        <w:ind w:firstLine="708"/>
        <w:jc w:val="both"/>
        <w:rPr>
          <w:rFonts w:ascii="Calibri" w:hAnsi="Calibri" w:cs="Arial"/>
          <w:sz w:val="30"/>
          <w:szCs w:val="30"/>
        </w:rPr>
      </w:pPr>
      <w:bookmarkStart w:id="149" w:name="_Toc478762659"/>
      <w:bookmarkStart w:id="150" w:name="ПИ"/>
      <w:bookmarkEnd w:id="147"/>
      <w:bookmarkEnd w:id="148"/>
      <w:r w:rsidRPr="008A5CA5">
        <w:rPr>
          <w:rFonts w:ascii="Calibri" w:hAnsi="Calibri" w:cs="Arial"/>
          <w:sz w:val="30"/>
          <w:szCs w:val="30"/>
        </w:rPr>
        <w:t xml:space="preserve">При этом переводы </w:t>
      </w:r>
      <w:r w:rsidR="00F44CA1" w:rsidRPr="008A5CA5">
        <w:rPr>
          <w:rFonts w:ascii="Calibri" w:hAnsi="Calibri" w:cs="Arial"/>
          <w:sz w:val="30"/>
          <w:szCs w:val="30"/>
        </w:rPr>
        <w:t xml:space="preserve">электронных денег </w:t>
      </w:r>
      <w:r w:rsidRPr="008A5CA5">
        <w:rPr>
          <w:rFonts w:ascii="Calibri" w:hAnsi="Calibri" w:cs="Arial"/>
          <w:sz w:val="30"/>
          <w:szCs w:val="30"/>
        </w:rPr>
        <w:t xml:space="preserve">в пользу юридических лиц и индивидуальных предпринимателей составили в 2016 году 39,3 млн. транзакций на сумму 130,4 млрд. тенге (91% по количеству и 85% по сумму операций), увеличившись по сравнению с показателями 2015 года в 2,6 раз по количеству операций и 3,4 раза по сумме платежей. Переводы электронных денег в пользу физических лиц составили 4,0 млн. транзакций на сумму </w:t>
      </w:r>
      <w:r w:rsidR="00F44CA1" w:rsidRPr="008A5CA5">
        <w:rPr>
          <w:rFonts w:ascii="Calibri" w:hAnsi="Calibri" w:cs="Arial"/>
          <w:sz w:val="30"/>
          <w:szCs w:val="30"/>
        </w:rPr>
        <w:t>23,8</w:t>
      </w:r>
      <w:r w:rsidRPr="008A5CA5">
        <w:rPr>
          <w:rFonts w:ascii="Calibri" w:hAnsi="Calibri" w:cs="Arial"/>
          <w:sz w:val="30"/>
          <w:szCs w:val="30"/>
        </w:rPr>
        <w:t xml:space="preserve"> млрд.</w:t>
      </w:r>
      <w:r w:rsidR="00F44CA1" w:rsidRPr="008A5CA5">
        <w:rPr>
          <w:rFonts w:ascii="Calibri" w:hAnsi="Calibri" w:cs="Arial"/>
          <w:sz w:val="30"/>
          <w:szCs w:val="30"/>
        </w:rPr>
        <w:t xml:space="preserve"> </w:t>
      </w:r>
      <w:r w:rsidRPr="008A5CA5">
        <w:rPr>
          <w:rFonts w:ascii="Calibri" w:hAnsi="Calibri" w:cs="Arial"/>
          <w:sz w:val="30"/>
          <w:szCs w:val="30"/>
        </w:rPr>
        <w:t>тенге.</w:t>
      </w:r>
    </w:p>
    <w:p w:rsidR="00B85DB3" w:rsidRDefault="00B85DB3" w:rsidP="0032693E">
      <w:pPr>
        <w:rPr>
          <w:rFonts w:ascii="Calibri" w:hAnsi="Calibri" w:cs="Arial"/>
          <w:sz w:val="30"/>
          <w:szCs w:val="30"/>
        </w:rPr>
      </w:pPr>
      <w:r>
        <w:rPr>
          <w:rFonts w:ascii="Calibri" w:hAnsi="Calibri" w:cs="Arial"/>
          <w:noProof/>
          <w:sz w:val="30"/>
          <w:szCs w:val="30"/>
        </w:rPr>
        <mc:AlternateContent>
          <mc:Choice Requires="wps">
            <w:drawing>
              <wp:inline distT="0" distB="0" distL="0" distR="0" wp14:anchorId="5ADF2178" wp14:editId="3D13E8D6">
                <wp:extent cx="5939790" cy="2193460"/>
                <wp:effectExtent l="0" t="0" r="22860" b="13970"/>
                <wp:docPr id="454"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2193460"/>
                        </a:xfrm>
                        <a:prstGeom prst="roundRect">
                          <a:avLst>
                            <a:gd name="adj" fmla="val 3079"/>
                          </a:avLst>
                        </a:prstGeom>
                        <a:solidFill>
                          <a:srgbClr val="CCFFCC">
                            <a:alpha val="27000"/>
                          </a:srgbClr>
                        </a:solidFill>
                        <a:ln w="9525">
                          <a:solidFill>
                            <a:srgbClr val="000000"/>
                          </a:solidFill>
                          <a:round/>
                          <a:headEnd/>
                          <a:tailEnd/>
                        </a:ln>
                      </wps:spPr>
                      <wps:txbx>
                        <w:txbxContent>
                          <w:p w:rsidR="00A3494E" w:rsidRPr="00E363C5" w:rsidRDefault="00A3494E" w:rsidP="00B85DB3">
                            <w:pPr>
                              <w:ind w:firstLine="708"/>
                              <w:jc w:val="both"/>
                              <w:rPr>
                                <w:rFonts w:ascii="Calibri" w:hAnsi="Calibri" w:cs="Arial"/>
                                <w:sz w:val="30"/>
                                <w:szCs w:val="30"/>
                              </w:rPr>
                            </w:pPr>
                            <w:r w:rsidRPr="0032693E">
                              <w:rPr>
                                <w:rFonts w:ascii="Calibri" w:hAnsi="Calibri" w:cs="Arial"/>
                                <w:sz w:val="30"/>
                                <w:szCs w:val="30"/>
                              </w:rPr>
                              <w:t xml:space="preserve">С 2013 года активное развитие получил рынок электронных  денег. На 1 января 2017 года выпуск электронных денег осуществляли 11 банков Республики Казахстан, при этом для населения на рынке было представлено 16 систем электронных денег. Рост объемов операций с использованием данных инновационных инструментов по сравнению с 2015 годом составил 3,5  раза, достигнув уровня 154,2 млрд. тенге. </w:t>
                            </w:r>
                            <w:r>
                              <w:rPr>
                                <w:rFonts w:ascii="Calibri" w:hAnsi="Calibri" w:cs="Arial"/>
                                <w:sz w:val="30"/>
                                <w:szCs w:val="30"/>
                              </w:rPr>
                              <w:t>С</w:t>
                            </w:r>
                            <w:r w:rsidRPr="00015E28">
                              <w:rPr>
                                <w:rFonts w:ascii="Calibri" w:hAnsi="Calibri" w:cs="Arial"/>
                                <w:sz w:val="30"/>
                                <w:szCs w:val="30"/>
                              </w:rPr>
                              <w:t xml:space="preserve"> учетом общемировых тенденций </w:t>
                            </w:r>
                            <w:r>
                              <w:rPr>
                                <w:rFonts w:ascii="Calibri" w:hAnsi="Calibri" w:cs="Arial"/>
                                <w:sz w:val="30"/>
                                <w:szCs w:val="30"/>
                              </w:rPr>
                              <w:t xml:space="preserve">ожидается, что </w:t>
                            </w:r>
                            <w:r w:rsidRPr="00015E28">
                              <w:rPr>
                                <w:rFonts w:ascii="Calibri" w:hAnsi="Calibri" w:cs="Arial"/>
                                <w:sz w:val="30"/>
                                <w:szCs w:val="30"/>
                              </w:rPr>
                              <w:t>потребность в данном инструменте будет возрастать.</w:t>
                            </w:r>
                          </w:p>
                        </w:txbxContent>
                      </wps:txbx>
                      <wps:bodyPr rot="0" vert="horz" wrap="square" lIns="91440" tIns="45720" rIns="91440" bIns="45720" anchor="t" anchorCtr="0" upright="1">
                        <a:spAutoFit/>
                      </wps:bodyPr>
                    </wps:wsp>
                  </a:graphicData>
                </a:graphic>
              </wp:inline>
            </w:drawing>
          </mc:Choice>
          <mc:Fallback>
            <w:pict>
              <v:roundrect id="AutoShape 164" o:spid="_x0000_s1056" style="width:467.7pt;height:172.7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" fillcolor="#cfc">
                <v:fill opacity="17733f"/>
                <v:textbox style="mso-fit-shape-to-text:t">
                  <w:txbxContent>
                    <w:p w:rsidR="00A3494E" w:rsidRPr="00E363C5" w:rsidRDefault="00A3494E" w:rsidP="00B85DB3">
                      <w:pPr>
                        <w:ind w:firstLine="708"/>
                        <w:jc w:val="both"/>
                        <w:rPr>
                          <w:rFonts w:ascii="Calibri" w:hAnsi="Calibri" w:cs="Arial"/>
                          <w:sz w:val="30"/>
                          <w:szCs w:val="30"/>
                        </w:rPr>
                      </w:pPr>
                      <w:r w:rsidRPr="0032693E">
                        <w:rPr>
                          <w:rFonts w:ascii="Calibri" w:hAnsi="Calibri" w:cs="Arial"/>
                          <w:sz w:val="30"/>
                          <w:szCs w:val="30"/>
                        </w:rPr>
                        <w:t xml:space="preserve">С 2013 года активное развитие получил рынок электронных  денег. На 1 января 2017 года выпуск электронных денег осуществляли 11 банков Республики Казахстан, при этом для населения на рынке было представлено 16 систем электронных денег. Рост объемов операций с использованием данных инновационных инструментов по сравнению с 2015 годом составил 3,5  раза, достигнув уровня 154,2 млрд. тенге. </w:t>
                      </w:r>
                      <w:r>
                        <w:rPr>
                          <w:rFonts w:ascii="Calibri" w:hAnsi="Calibri" w:cs="Arial"/>
                          <w:sz w:val="30"/>
                          <w:szCs w:val="30"/>
                        </w:rPr>
                        <w:t>С</w:t>
                      </w:r>
                      <w:r w:rsidRPr="00015E28">
                        <w:rPr>
                          <w:rFonts w:ascii="Calibri" w:hAnsi="Calibri" w:cs="Arial"/>
                          <w:sz w:val="30"/>
                          <w:szCs w:val="30"/>
                        </w:rPr>
                        <w:t xml:space="preserve"> учетом общемировых тенденций </w:t>
                      </w:r>
                      <w:r>
                        <w:rPr>
                          <w:rFonts w:ascii="Calibri" w:hAnsi="Calibri" w:cs="Arial"/>
                          <w:sz w:val="30"/>
                          <w:szCs w:val="30"/>
                        </w:rPr>
                        <w:t xml:space="preserve">ожидается, что </w:t>
                      </w:r>
                      <w:r w:rsidRPr="00015E28">
                        <w:rPr>
                          <w:rFonts w:ascii="Calibri" w:hAnsi="Calibri" w:cs="Arial"/>
                          <w:sz w:val="30"/>
                          <w:szCs w:val="30"/>
                        </w:rPr>
                        <w:t>потребность в данном инструменте будет возрастать.</w:t>
                      </w:r>
                    </w:p>
                  </w:txbxContent>
                </v:textbox>
                <w10:anchorlock/>
              </v:roundrect>
            </w:pict>
          </mc:Fallback>
        </mc:AlternateContent>
      </w:r>
    </w:p>
    <w:p w:rsidR="00454A34" w:rsidRPr="00592C80" w:rsidRDefault="00454A34" w:rsidP="0032693E">
      <w:pPr>
        <w:rPr>
          <w:rFonts w:ascii="Calibri" w:hAnsi="Calibri"/>
          <w:b/>
          <w:snapToGrid w:val="0"/>
          <w:color w:val="0E4C28"/>
          <w:spacing w:val="-2"/>
          <w:sz w:val="16"/>
          <w:szCs w:val="16"/>
        </w:rPr>
      </w:pPr>
      <w:r w:rsidRPr="00015E28">
        <w:rPr>
          <w:rFonts w:ascii="Calibri" w:hAnsi="Calibri"/>
          <w:bCs/>
          <w:snapToGrid w:val="0"/>
          <w:color w:val="0E4C28"/>
          <w:spacing w:val="-2"/>
          <w:sz w:val="36"/>
          <w:szCs w:val="36"/>
        </w:rPr>
        <w:br w:type="page"/>
      </w:r>
    </w:p>
    <w:bookmarkEnd w:id="149"/>
    <w:bookmarkEnd w:id="150"/>
    <w:p w:rsidR="00A30B7D" w:rsidRPr="00015E28" w:rsidRDefault="00A30B7D" w:rsidP="00A30B7D">
      <w:pPr>
        <w:widowControl w:val="0"/>
        <w:ind w:firstLine="709"/>
        <w:jc w:val="both"/>
        <w:rPr>
          <w:rFonts w:ascii="Calibri" w:hAnsi="Calibri" w:cs="Arial"/>
          <w:sz w:val="12"/>
          <w:szCs w:val="12"/>
        </w:rPr>
      </w:pPr>
    </w:p>
    <w:p w:rsidR="00671D55" w:rsidRPr="00157779" w:rsidRDefault="00C425AE" w:rsidP="00671D55">
      <w:pPr>
        <w:pStyle w:val="1"/>
        <w:tabs>
          <w:tab w:val="left" w:pos="561"/>
        </w:tabs>
        <w:spacing w:before="0" w:after="0" w:line="233" w:lineRule="auto"/>
        <w:jc w:val="center"/>
        <w:rPr>
          <w:rFonts w:ascii="Calibri" w:hAnsi="Calibri"/>
          <w:bCs w:val="0"/>
          <w:snapToGrid w:val="0"/>
          <w:color w:val="0E4C28"/>
          <w:spacing w:val="-2"/>
          <w:kern w:val="0"/>
          <w:sz w:val="36"/>
          <w:szCs w:val="36"/>
        </w:rPr>
      </w:pPr>
      <w:bookmarkStart w:id="151" w:name="_Toc481418211"/>
      <w:r w:rsidRPr="00157779">
        <w:rPr>
          <w:rFonts w:ascii="Calibri" w:hAnsi="Calibri"/>
          <w:bCs w:val="0"/>
          <w:snapToGrid w:val="0"/>
          <w:color w:val="0E4C28"/>
          <w:spacing w:val="-2"/>
          <w:kern w:val="0"/>
          <w:sz w:val="36"/>
          <w:szCs w:val="36"/>
        </w:rPr>
        <w:t>З</w:t>
      </w:r>
      <w:r w:rsidR="00671D55" w:rsidRPr="00157779">
        <w:rPr>
          <w:rFonts w:ascii="Calibri" w:hAnsi="Calibri"/>
          <w:bCs w:val="0"/>
          <w:snapToGrid w:val="0"/>
          <w:color w:val="0E4C28"/>
          <w:spacing w:val="-2"/>
          <w:kern w:val="0"/>
          <w:sz w:val="36"/>
          <w:szCs w:val="36"/>
        </w:rPr>
        <w:t>АКЛЮЧЕНИЕ</w:t>
      </w:r>
      <w:bookmarkEnd w:id="151"/>
    </w:p>
    <w:p w:rsidR="00A30B7D" w:rsidRPr="00157779" w:rsidRDefault="00A30B7D" w:rsidP="002E1073">
      <w:pPr>
        <w:ind w:firstLine="709"/>
        <w:jc w:val="both"/>
        <w:rPr>
          <w:rFonts w:ascii="Calibri" w:hAnsi="Calibri" w:cs="Arial"/>
          <w:sz w:val="30"/>
          <w:szCs w:val="30"/>
        </w:rPr>
      </w:pPr>
    </w:p>
    <w:p w:rsidR="00AA174E" w:rsidRPr="00157779" w:rsidRDefault="00AA174E" w:rsidP="00AA174E">
      <w:pPr>
        <w:ind w:firstLine="709"/>
        <w:jc w:val="both"/>
        <w:rPr>
          <w:rFonts w:ascii="Calibri" w:hAnsi="Calibri" w:cs="Arial"/>
          <w:sz w:val="30"/>
          <w:szCs w:val="30"/>
        </w:rPr>
      </w:pPr>
      <w:r w:rsidRPr="00157779">
        <w:rPr>
          <w:rFonts w:ascii="Calibri" w:hAnsi="Calibri" w:cs="Arial"/>
          <w:sz w:val="30"/>
          <w:szCs w:val="30"/>
        </w:rPr>
        <w:t xml:space="preserve">Платежные системы играют ключевую роль в обеспечении эффективности и бесперебойности всех финансовых и хозяйственных процессов в экономике страны. Изменения, связанные с активным проникновением цифровых технологий во всех отраслях, оказывают влияние и на особенности функционирования платежных систем, появление новых платежных механизмов и инструментов, обеспечивая возможность их вывода на качественно новый уровень. </w:t>
      </w:r>
    </w:p>
    <w:p w:rsidR="00AA174E" w:rsidRPr="00157779" w:rsidRDefault="00AA174E" w:rsidP="00AA174E">
      <w:pPr>
        <w:ind w:firstLine="709"/>
        <w:jc w:val="both"/>
        <w:rPr>
          <w:rFonts w:ascii="Calibri" w:hAnsi="Calibri" w:cs="Arial"/>
          <w:sz w:val="30"/>
          <w:szCs w:val="30"/>
        </w:rPr>
      </w:pPr>
      <w:r w:rsidRPr="00157779">
        <w:rPr>
          <w:rFonts w:ascii="Calibri" w:hAnsi="Calibri" w:cs="Arial"/>
          <w:sz w:val="30"/>
          <w:szCs w:val="30"/>
        </w:rPr>
        <w:t>Кроме того, платежные сервисы сегодня являются неотъемлемой частью повседневной жизни граждан – получение заработной платы, пенсий, социальных выплат, оплата налогов, страховки, погашение займов и многое другое невозможно без доступа к платежным сервисам. Важность платежных услуг возводит их в категорию социально значимых, что накладывает новые требования по их регулированию, обеспечению их доступности и бесперебойности.</w:t>
      </w:r>
    </w:p>
    <w:p w:rsidR="00AA174E" w:rsidRPr="00157779" w:rsidRDefault="00AA174E" w:rsidP="00AA174E">
      <w:pPr>
        <w:ind w:firstLine="709"/>
        <w:jc w:val="both"/>
        <w:rPr>
          <w:rFonts w:ascii="Calibri" w:hAnsi="Calibri" w:cs="Arial"/>
          <w:sz w:val="30"/>
          <w:szCs w:val="30"/>
        </w:rPr>
      </w:pPr>
      <w:r w:rsidRPr="00157779">
        <w:rPr>
          <w:rFonts w:ascii="Calibri" w:hAnsi="Calibri" w:cs="Arial"/>
          <w:sz w:val="30"/>
          <w:szCs w:val="30"/>
        </w:rPr>
        <w:t>С принятием 26 июля 2016 года Закона Республики Казахстан «О платежах и платежных системах» был сделан важный шаг по определению субъектного состава платежной отрасли Казахстана, видов платежных услуг, признаков и категорий поставщиков платежных услуг, а также определены режимы и новые подходы в регулировании и надзоре (оверсайт) платежных систем и поставщиков платежных услуг. Таким образом, создана правовая основа для дальнейшего совершенствования платежных отношений, повышения прозрачности оказываемых услуг и защищенности потребителя с учетом современных требований.</w:t>
      </w:r>
    </w:p>
    <w:p w:rsidR="00AA174E" w:rsidRPr="00157779" w:rsidRDefault="00AA174E" w:rsidP="00AA174E">
      <w:pPr>
        <w:ind w:firstLine="709"/>
        <w:jc w:val="both"/>
        <w:rPr>
          <w:rFonts w:ascii="Calibri" w:hAnsi="Calibri" w:cs="Arial"/>
          <w:sz w:val="30"/>
          <w:szCs w:val="30"/>
        </w:rPr>
      </w:pPr>
      <w:r w:rsidRPr="00157779">
        <w:rPr>
          <w:rFonts w:ascii="Calibri" w:hAnsi="Calibri" w:cs="Arial"/>
          <w:sz w:val="30"/>
          <w:szCs w:val="30"/>
        </w:rPr>
        <w:t xml:space="preserve">Сегодня платежная индустрия Казахстана находится в активной стадии своего развития, основные качественные показатели рынка демонстрируют положительную динамику. В розничном </w:t>
      </w:r>
      <w:proofErr w:type="gramStart"/>
      <w:r w:rsidRPr="00157779">
        <w:rPr>
          <w:rFonts w:ascii="Calibri" w:hAnsi="Calibri" w:cs="Arial"/>
          <w:sz w:val="30"/>
          <w:szCs w:val="30"/>
        </w:rPr>
        <w:t>секторе</w:t>
      </w:r>
      <w:proofErr w:type="gramEnd"/>
      <w:r w:rsidRPr="00157779">
        <w:rPr>
          <w:rFonts w:ascii="Calibri" w:hAnsi="Calibri" w:cs="Arial"/>
          <w:sz w:val="30"/>
          <w:szCs w:val="30"/>
        </w:rPr>
        <w:t xml:space="preserve"> наряду с платежными карточками получают распространение электронные деньги и новые технологичные методы платежей с использованием бесконтактных технологий, </w:t>
      </w:r>
      <w:r w:rsidRPr="00157779">
        <w:rPr>
          <w:rFonts w:ascii="Calibri" w:hAnsi="Calibri" w:cs="Arial"/>
          <w:sz w:val="30"/>
          <w:szCs w:val="30"/>
          <w:lang w:val="en-US"/>
        </w:rPr>
        <w:t>QR</w:t>
      </w:r>
      <w:r w:rsidRPr="00157779">
        <w:rPr>
          <w:rFonts w:ascii="Calibri" w:hAnsi="Calibri" w:cs="Arial"/>
          <w:sz w:val="30"/>
          <w:szCs w:val="30"/>
        </w:rPr>
        <w:t>-кодов. Увеличивается количество участников, что способствует повышению конкуренции и разнообразию предоставляемых сервисов.</w:t>
      </w:r>
    </w:p>
    <w:p w:rsidR="00755AC0" w:rsidRPr="00755AC0" w:rsidRDefault="00755AC0" w:rsidP="00CB2E51">
      <w:pPr>
        <w:spacing w:line="400" w:lineRule="exact"/>
        <w:ind w:firstLine="709"/>
        <w:jc w:val="both"/>
        <w:rPr>
          <w:rFonts w:ascii="Calibri" w:hAnsi="Calibri" w:cs="Arial"/>
          <w:sz w:val="30"/>
          <w:szCs w:val="30"/>
        </w:rPr>
      </w:pPr>
      <w:r w:rsidRPr="00755AC0">
        <w:rPr>
          <w:rFonts w:ascii="Calibri" w:hAnsi="Calibri" w:cs="Arial"/>
          <w:sz w:val="30"/>
          <w:szCs w:val="30"/>
        </w:rPr>
        <w:t xml:space="preserve">Дальнейшие действия Национального Банка Казахстана по развитию платежной отрасли будут направлены на содействие и поддержку поставщиков услуг по расширению спектра платежных услуг </w:t>
      </w:r>
      <w:r w:rsidRPr="00755AC0">
        <w:rPr>
          <w:rFonts w:ascii="Calibri" w:hAnsi="Calibri" w:cs="Arial"/>
          <w:sz w:val="30"/>
          <w:szCs w:val="30"/>
        </w:rPr>
        <w:lastRenderedPageBreak/>
        <w:t>и повышению качества продуктов путем создания благоприятной правовой среды.</w:t>
      </w:r>
    </w:p>
    <w:p w:rsidR="00CB2E51" w:rsidRPr="00755AC0" w:rsidRDefault="00CB2E51" w:rsidP="00CB2E51">
      <w:pPr>
        <w:spacing w:line="400" w:lineRule="exact"/>
        <w:ind w:firstLine="709"/>
        <w:jc w:val="both"/>
        <w:rPr>
          <w:rFonts w:ascii="Calibri" w:hAnsi="Calibri" w:cs="Arial"/>
          <w:sz w:val="30"/>
          <w:szCs w:val="30"/>
        </w:rPr>
      </w:pPr>
      <w:r w:rsidRPr="00755AC0">
        <w:rPr>
          <w:rFonts w:ascii="Calibri" w:hAnsi="Calibri" w:cs="Arial"/>
          <w:sz w:val="30"/>
          <w:szCs w:val="30"/>
        </w:rPr>
        <w:t xml:space="preserve">В рамках развития действующих платежных систем также планируется рассмотреть вопрос внедрения международного стандарта платежных сообщений  ISO20022 «Финансовые услуги. Универсальная схема сообщений финансовой индустрии», </w:t>
      </w:r>
      <w:proofErr w:type="gramStart"/>
      <w:r w:rsidRPr="00755AC0">
        <w:rPr>
          <w:rFonts w:ascii="Calibri" w:hAnsi="Calibri" w:cs="Arial"/>
          <w:sz w:val="30"/>
          <w:szCs w:val="30"/>
        </w:rPr>
        <w:t>который</w:t>
      </w:r>
      <w:proofErr w:type="gramEnd"/>
      <w:r w:rsidRPr="00755AC0">
        <w:rPr>
          <w:rFonts w:ascii="Calibri" w:hAnsi="Calibri" w:cs="Arial"/>
          <w:sz w:val="30"/>
          <w:szCs w:val="30"/>
        </w:rPr>
        <w:t xml:space="preserve">  принято рассматривать в качестве «финансового эсперанто», универсального языка взаимодействия разных автоматизированных систем участников финансовых и торговых рынков. </w:t>
      </w:r>
    </w:p>
    <w:p w:rsidR="00327BDD" w:rsidRDefault="00AA174E" w:rsidP="00327BDD">
      <w:pPr>
        <w:ind w:firstLine="709"/>
        <w:jc w:val="both"/>
        <w:rPr>
          <w:rFonts w:ascii="Calibri" w:hAnsi="Calibri" w:cs="Arial"/>
          <w:sz w:val="30"/>
          <w:szCs w:val="30"/>
        </w:rPr>
      </w:pPr>
      <w:r w:rsidRPr="00755AC0">
        <w:rPr>
          <w:rFonts w:ascii="Calibri" w:hAnsi="Calibri" w:cs="Arial"/>
          <w:sz w:val="30"/>
          <w:szCs w:val="30"/>
        </w:rPr>
        <w:t xml:space="preserve">В целях создания условий для дальнейшего развития </w:t>
      </w:r>
      <w:r w:rsidR="00327BDD" w:rsidRPr="00755AC0">
        <w:rPr>
          <w:rFonts w:ascii="Calibri" w:hAnsi="Calibri" w:cs="Arial"/>
          <w:sz w:val="30"/>
          <w:szCs w:val="30"/>
        </w:rPr>
        <w:t xml:space="preserve">рынка платежных услуг, в том числе, дистанционных услуг, </w:t>
      </w:r>
      <w:r w:rsidRPr="00755AC0">
        <w:rPr>
          <w:rFonts w:ascii="Calibri" w:hAnsi="Calibri" w:cs="Arial"/>
          <w:sz w:val="30"/>
          <w:szCs w:val="30"/>
        </w:rPr>
        <w:t xml:space="preserve">Национальным </w:t>
      </w:r>
      <w:r w:rsidRPr="008A5CA5">
        <w:rPr>
          <w:rFonts w:ascii="Calibri" w:hAnsi="Calibri" w:cs="Arial"/>
          <w:sz w:val="30"/>
          <w:szCs w:val="30"/>
        </w:rPr>
        <w:t xml:space="preserve">Банком </w:t>
      </w:r>
      <w:r w:rsidR="00327BDD" w:rsidRPr="008A5CA5">
        <w:rPr>
          <w:rFonts w:ascii="Calibri" w:hAnsi="Calibri" w:cs="Arial"/>
          <w:sz w:val="30"/>
          <w:szCs w:val="30"/>
        </w:rPr>
        <w:t>Казахстан</w:t>
      </w:r>
      <w:r w:rsidR="00842C3A" w:rsidRPr="008A5CA5">
        <w:rPr>
          <w:rFonts w:ascii="Calibri" w:hAnsi="Calibri" w:cs="Arial"/>
          <w:sz w:val="30"/>
          <w:szCs w:val="30"/>
        </w:rPr>
        <w:t>а</w:t>
      </w:r>
      <w:r w:rsidRPr="008A5CA5">
        <w:rPr>
          <w:rFonts w:ascii="Calibri" w:hAnsi="Calibri" w:cs="Arial"/>
          <w:sz w:val="30"/>
          <w:szCs w:val="30"/>
        </w:rPr>
        <w:t xml:space="preserve"> совместно с банковским сообществом</w:t>
      </w:r>
      <w:r w:rsidR="00327BDD" w:rsidRPr="008A5CA5">
        <w:rPr>
          <w:rFonts w:ascii="Calibri" w:hAnsi="Calibri" w:cs="Arial"/>
          <w:sz w:val="30"/>
          <w:szCs w:val="30"/>
        </w:rPr>
        <w:t xml:space="preserve"> и институциональными институтами платежного рынка </w:t>
      </w:r>
      <w:r w:rsidRPr="008A5CA5">
        <w:rPr>
          <w:rFonts w:ascii="Calibri" w:hAnsi="Calibri" w:cs="Arial"/>
          <w:sz w:val="30"/>
          <w:szCs w:val="30"/>
        </w:rPr>
        <w:t xml:space="preserve">будут </w:t>
      </w:r>
      <w:r w:rsidR="00327BDD" w:rsidRPr="008A5CA5">
        <w:rPr>
          <w:rFonts w:ascii="Calibri" w:hAnsi="Calibri" w:cs="Arial"/>
          <w:sz w:val="30"/>
          <w:szCs w:val="30"/>
        </w:rPr>
        <w:t>приняты дополнительные меры, направленные на обеспечение эффективной расчетно-платежной инфраструктуры, увеличение прозрачности деятельности в данном сегменте и повышение доверия населения к платежной отрасли.</w:t>
      </w:r>
    </w:p>
    <w:p w:rsidR="00FE1DF9" w:rsidRDefault="00FE1DF9" w:rsidP="00FE1DF9">
      <w:pPr>
        <w:ind w:firstLine="709"/>
        <w:jc w:val="both"/>
        <w:rPr>
          <w:rFonts w:ascii="Calibri" w:hAnsi="Calibri" w:cs="Arial"/>
          <w:sz w:val="30"/>
          <w:szCs w:val="30"/>
        </w:rPr>
      </w:pPr>
    </w:p>
    <w:p w:rsidR="00264041" w:rsidRDefault="00264041"/>
    <w:p w:rsidR="00A30B7D" w:rsidRPr="002E1073" w:rsidRDefault="00A30B7D" w:rsidP="002E1073">
      <w:pPr>
        <w:ind w:firstLine="709"/>
        <w:jc w:val="both"/>
        <w:rPr>
          <w:rFonts w:ascii="Calibri" w:hAnsi="Calibri" w:cs="Arial"/>
          <w:sz w:val="30"/>
          <w:szCs w:val="30"/>
        </w:rPr>
      </w:pPr>
    </w:p>
    <w:sectPr w:rsidR="00A30B7D" w:rsidRPr="002E1073" w:rsidSect="004E7C3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9AC" w:rsidRDefault="007D19AC" w:rsidP="00560586">
      <w:r>
        <w:separator/>
      </w:r>
    </w:p>
  </w:endnote>
  <w:endnote w:type="continuationSeparator" w:id="0">
    <w:p w:rsidR="007D19AC" w:rsidRDefault="007D19AC" w:rsidP="0056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9AC" w:rsidRDefault="007D19AC" w:rsidP="00560586">
      <w:r>
        <w:separator/>
      </w:r>
    </w:p>
  </w:footnote>
  <w:footnote w:type="continuationSeparator" w:id="0">
    <w:p w:rsidR="007D19AC" w:rsidRDefault="007D19AC" w:rsidP="00560586">
      <w:r>
        <w:continuationSeparator/>
      </w:r>
    </w:p>
  </w:footnote>
  <w:footnote w:id="1">
    <w:p w:rsidR="00A3494E" w:rsidRPr="000426FA" w:rsidRDefault="00A3494E" w:rsidP="000426FA">
      <w:pPr>
        <w:pStyle w:val="a4"/>
      </w:pPr>
      <w:r w:rsidRPr="00860331">
        <w:rPr>
          <w:rStyle w:val="a6"/>
        </w:rPr>
        <w:footnoteRef/>
      </w:r>
      <w:r w:rsidRPr="00860331">
        <w:t xml:space="preserve"> </w:t>
      </w:r>
      <w:r w:rsidRPr="00860331">
        <w:rPr>
          <w:rFonts w:asciiTheme="minorHAnsi" w:hAnsiTheme="minorHAnsi" w:cstheme="minorHAnsi"/>
          <w:sz w:val="16"/>
          <w:szCs w:val="16"/>
        </w:rPr>
        <w:t xml:space="preserve">Национальный межбанковский клиринг по </w:t>
      </w:r>
      <w:proofErr w:type="spellStart"/>
      <w:r w:rsidRPr="00860331">
        <w:rPr>
          <w:rFonts w:asciiTheme="minorHAnsi" w:hAnsiTheme="minorHAnsi" w:cstheme="minorHAnsi"/>
          <w:sz w:val="16"/>
          <w:szCs w:val="16"/>
        </w:rPr>
        <w:t>внутристрановым</w:t>
      </w:r>
      <w:proofErr w:type="spellEnd"/>
      <w:r w:rsidRPr="00860331">
        <w:rPr>
          <w:rFonts w:asciiTheme="minorHAnsi" w:hAnsiTheme="minorHAnsi" w:cstheme="minorHAnsi"/>
          <w:sz w:val="16"/>
          <w:szCs w:val="16"/>
        </w:rPr>
        <w:t xml:space="preserve"> межбанковским операциям в национальной валюте с использованием платежных карточек </w:t>
      </w:r>
      <w:proofErr w:type="spellStart"/>
      <w:r w:rsidRPr="00860331">
        <w:rPr>
          <w:rFonts w:asciiTheme="minorHAnsi" w:hAnsiTheme="minorHAnsi" w:cstheme="minorHAnsi"/>
          <w:sz w:val="16"/>
          <w:szCs w:val="16"/>
        </w:rPr>
        <w:t>Visa</w:t>
      </w:r>
      <w:proofErr w:type="spellEnd"/>
      <w:r w:rsidRPr="00860331">
        <w:rPr>
          <w:rFonts w:asciiTheme="minorHAnsi" w:hAnsiTheme="minorHAnsi" w:cstheme="minorHAnsi"/>
          <w:sz w:val="16"/>
          <w:szCs w:val="16"/>
        </w:rPr>
        <w:t>/</w:t>
      </w:r>
      <w:r w:rsidRPr="00860331">
        <w:rPr>
          <w:rFonts w:asciiTheme="minorHAnsi" w:hAnsiTheme="minorHAnsi" w:cstheme="minorHAnsi"/>
          <w:sz w:val="16"/>
          <w:szCs w:val="16"/>
          <w:lang w:val="en-US"/>
        </w:rPr>
        <w:t>Master</w:t>
      </w:r>
      <w:r w:rsidRPr="00860331">
        <w:rPr>
          <w:rFonts w:asciiTheme="minorHAnsi" w:hAnsiTheme="minorHAnsi" w:cstheme="minorHAnsi"/>
          <w:sz w:val="16"/>
          <w:szCs w:val="16"/>
        </w:rPr>
        <w:t xml:space="preserve"> </w:t>
      </w:r>
      <w:r w:rsidRPr="00860331">
        <w:rPr>
          <w:rFonts w:asciiTheme="minorHAnsi" w:hAnsiTheme="minorHAnsi" w:cstheme="minorHAnsi"/>
          <w:sz w:val="16"/>
          <w:szCs w:val="16"/>
          <w:lang w:val="en-US"/>
        </w:rPr>
        <w:t>Card</w:t>
      </w:r>
      <w:r w:rsidRPr="00860331">
        <w:rPr>
          <w:rFonts w:asciiTheme="minorHAnsi" w:hAnsiTheme="minorHAnsi" w:cstheme="minorHAnsi"/>
          <w:sz w:val="16"/>
          <w:szCs w:val="16"/>
        </w:rPr>
        <w:t>.</w:t>
      </w:r>
    </w:p>
  </w:footnote>
  <w:footnote w:id="2">
    <w:p w:rsidR="00A3494E" w:rsidRDefault="00A3494E" w:rsidP="00C70E3B">
      <w:pPr>
        <w:pStyle w:val="a4"/>
      </w:pPr>
      <w:r>
        <w:rPr>
          <w:rStyle w:val="a6"/>
        </w:rPr>
        <w:footnoteRef/>
      </w:r>
      <w:r>
        <w:t xml:space="preserve"> </w:t>
      </w:r>
      <w:r w:rsidRPr="00015E28">
        <w:rPr>
          <w:rFonts w:ascii="Calibri" w:hAnsi="Calibri" w:cs="Arial"/>
          <w:sz w:val="16"/>
          <w:szCs w:val="16"/>
        </w:rPr>
        <w:t>http://www.stat.gov.kz – сайт Комитета по статистике Министерства национальной экономики Республики Казахстан.</w:t>
      </w:r>
    </w:p>
  </w:footnote>
  <w:footnote w:id="3">
    <w:p w:rsidR="00A3494E" w:rsidRPr="00CD7D51" w:rsidRDefault="00A3494E" w:rsidP="00EB0CE3">
      <w:pPr>
        <w:pStyle w:val="a4"/>
        <w:jc w:val="both"/>
        <w:rPr>
          <w:rFonts w:ascii="Calibri" w:hAnsi="Calibri" w:cs="Arial"/>
          <w:sz w:val="18"/>
          <w:szCs w:val="18"/>
        </w:rPr>
      </w:pPr>
      <w:r w:rsidRPr="00EB0CE3">
        <w:rPr>
          <w:rStyle w:val="a6"/>
          <w:rFonts w:ascii="Calibri" w:hAnsi="Calibri" w:cs="Arial"/>
          <w:sz w:val="16"/>
          <w:szCs w:val="16"/>
        </w:rPr>
        <w:footnoteRef/>
      </w:r>
      <w:r w:rsidRPr="00EB0CE3">
        <w:rPr>
          <w:rFonts w:ascii="Calibri" w:hAnsi="Calibri" w:cs="Arial"/>
          <w:sz w:val="16"/>
          <w:szCs w:val="16"/>
        </w:rPr>
        <w:t xml:space="preserve"> Сектор экономики «домашние хозяйства» означает институциональные единицы, состоящие из физических лиц, а также из небольших групп физических лиц (семьи), проживающих совместно, объединяющих (полностью или частично) свои доходы и имущество, и совместно потребляющие определенные виды товаров и услуг (жилье, продукты питания и другое).</w:t>
      </w:r>
    </w:p>
  </w:footnote>
  <w:footnote w:id="4">
    <w:p w:rsidR="00A3494E" w:rsidRPr="00223D1D" w:rsidRDefault="00A3494E" w:rsidP="00E909F9">
      <w:pPr>
        <w:pStyle w:val="a4"/>
        <w:jc w:val="both"/>
        <w:rPr>
          <w:sz w:val="18"/>
          <w:szCs w:val="18"/>
        </w:rPr>
      </w:pPr>
      <w:r w:rsidRPr="00223D1D">
        <w:rPr>
          <w:rStyle w:val="a6"/>
          <w:sz w:val="16"/>
          <w:szCs w:val="16"/>
        </w:rPr>
        <w:footnoteRef/>
      </w:r>
      <w:r w:rsidRPr="00223D1D">
        <w:rPr>
          <w:sz w:val="16"/>
          <w:szCs w:val="16"/>
        </w:rPr>
        <w:t xml:space="preserve"> Средняя сумма чистой дебетовой позиции пользователей соотносится к среднедневной сумме оборотов пользователей в МСПД, поскольку расчет чистых позиций пользователей клиринга осуществляется за счет имеющихся средств пользователей в МСПД.</w:t>
      </w:r>
    </w:p>
  </w:footnote>
  <w:footnote w:id="5">
    <w:p w:rsidR="00A3494E" w:rsidRPr="00605A42" w:rsidRDefault="00A3494E" w:rsidP="00586B57">
      <w:pPr>
        <w:pStyle w:val="a4"/>
        <w:jc w:val="both"/>
        <w:rPr>
          <w:rFonts w:asciiTheme="minorHAnsi" w:hAnsiTheme="minorHAnsi" w:cstheme="minorHAnsi"/>
          <w:sz w:val="16"/>
          <w:szCs w:val="16"/>
        </w:rPr>
      </w:pPr>
      <w:r w:rsidRPr="00605A42">
        <w:rPr>
          <w:rStyle w:val="a6"/>
          <w:rFonts w:asciiTheme="minorHAnsi" w:hAnsiTheme="minorHAnsi" w:cstheme="minorHAnsi"/>
          <w:sz w:val="16"/>
          <w:szCs w:val="16"/>
        </w:rPr>
        <w:footnoteRef/>
      </w:r>
      <w:r w:rsidRPr="00605A42">
        <w:rPr>
          <w:rFonts w:asciiTheme="minorHAnsi" w:hAnsiTheme="minorHAnsi" w:cstheme="minorHAnsi"/>
          <w:sz w:val="16"/>
          <w:szCs w:val="16"/>
        </w:rPr>
        <w:t xml:space="preserve"> </w:t>
      </w:r>
      <w:r w:rsidRPr="00605A42">
        <w:rPr>
          <w:rFonts w:asciiTheme="minorHAnsi" w:hAnsiTheme="minorHAnsi" w:cstheme="minorHAnsi"/>
          <w:spacing w:val="-4"/>
          <w:sz w:val="16"/>
          <w:szCs w:val="16"/>
        </w:rPr>
        <w:t>Согласно международным стандартам, показатель свыше 99% характеризует высокую эффективность функционирующих в стране систем.</w:t>
      </w:r>
    </w:p>
  </w:footnote>
  <w:footnote w:id="6">
    <w:p w:rsidR="00A3494E" w:rsidRPr="003D5BDF" w:rsidRDefault="00A3494E" w:rsidP="0082483E">
      <w:pPr>
        <w:pStyle w:val="a4"/>
        <w:spacing w:line="233" w:lineRule="auto"/>
        <w:jc w:val="both"/>
        <w:rPr>
          <w:rFonts w:asciiTheme="minorHAnsi" w:hAnsiTheme="minorHAnsi" w:cstheme="minorHAnsi"/>
          <w:sz w:val="16"/>
          <w:szCs w:val="16"/>
        </w:rPr>
      </w:pPr>
      <w:r w:rsidRPr="0082483E">
        <w:rPr>
          <w:rStyle w:val="a6"/>
          <w:rFonts w:asciiTheme="minorHAnsi" w:hAnsiTheme="minorHAnsi" w:cstheme="minorHAnsi"/>
          <w:sz w:val="16"/>
          <w:szCs w:val="16"/>
        </w:rPr>
        <w:footnoteRef/>
      </w:r>
      <w:r w:rsidRPr="0082483E">
        <w:rPr>
          <w:rFonts w:asciiTheme="minorHAnsi" w:hAnsiTheme="minorHAnsi" w:cstheme="minorHAnsi"/>
          <w:sz w:val="16"/>
          <w:szCs w:val="16"/>
        </w:rPr>
        <w:t xml:space="preserve"> </w:t>
      </w:r>
      <w:r w:rsidRPr="003D5BDF">
        <w:rPr>
          <w:rFonts w:asciiTheme="minorHAnsi" w:hAnsiTheme="minorHAnsi" w:cstheme="minorHAnsi"/>
          <w:sz w:val="16"/>
          <w:szCs w:val="16"/>
        </w:rPr>
        <w:t xml:space="preserve">К кредитовым инструментам отнесены платежные поручения, чеки, платежные извещения, почтовые переводы, уплата налогов и других обязательных платежей посредством банкоматов. </w:t>
      </w:r>
    </w:p>
  </w:footnote>
  <w:footnote w:id="7">
    <w:p w:rsidR="00A3494E" w:rsidRPr="003D5BDF" w:rsidRDefault="00A3494E" w:rsidP="0082483E">
      <w:pPr>
        <w:pStyle w:val="a4"/>
        <w:spacing w:line="233" w:lineRule="auto"/>
        <w:jc w:val="both"/>
        <w:rPr>
          <w:rFonts w:asciiTheme="minorHAnsi" w:hAnsiTheme="minorHAnsi" w:cstheme="minorHAnsi"/>
          <w:sz w:val="16"/>
          <w:szCs w:val="16"/>
        </w:rPr>
      </w:pPr>
      <w:r w:rsidRPr="003D5BDF">
        <w:rPr>
          <w:rStyle w:val="a6"/>
          <w:rFonts w:asciiTheme="minorHAnsi" w:hAnsiTheme="minorHAnsi" w:cstheme="minorHAnsi"/>
          <w:sz w:val="16"/>
          <w:szCs w:val="16"/>
        </w:rPr>
        <w:footnoteRef/>
      </w:r>
      <w:r w:rsidRPr="003D5BDF">
        <w:rPr>
          <w:rFonts w:asciiTheme="minorHAnsi" w:hAnsiTheme="minorHAnsi" w:cstheme="minorHAnsi"/>
          <w:sz w:val="16"/>
          <w:szCs w:val="16"/>
        </w:rPr>
        <w:t xml:space="preserve"> К дебетовым инструментам отнесены платежные требования-поручения, инкассовые распоряжения, </w:t>
      </w:r>
      <w:proofErr w:type="gramStart"/>
      <w:r w:rsidRPr="003D5BDF">
        <w:rPr>
          <w:rFonts w:asciiTheme="minorHAnsi" w:hAnsiTheme="minorHAnsi" w:cstheme="minorHAnsi"/>
          <w:sz w:val="16"/>
          <w:szCs w:val="16"/>
        </w:rPr>
        <w:t>прямое</w:t>
      </w:r>
      <w:proofErr w:type="gramEnd"/>
      <w:r w:rsidRPr="003D5BDF">
        <w:rPr>
          <w:rFonts w:asciiTheme="minorHAnsi" w:hAnsiTheme="minorHAnsi" w:cstheme="minorHAnsi"/>
          <w:sz w:val="16"/>
          <w:szCs w:val="16"/>
        </w:rPr>
        <w:t xml:space="preserve"> </w:t>
      </w:r>
      <w:proofErr w:type="spellStart"/>
      <w:r w:rsidRPr="003D5BDF">
        <w:rPr>
          <w:rFonts w:asciiTheme="minorHAnsi" w:hAnsiTheme="minorHAnsi" w:cstheme="minorHAnsi"/>
          <w:sz w:val="16"/>
          <w:szCs w:val="16"/>
        </w:rPr>
        <w:t>дебетование</w:t>
      </w:r>
      <w:proofErr w:type="spellEnd"/>
      <w:r w:rsidRPr="003D5BDF">
        <w:rPr>
          <w:rFonts w:asciiTheme="minorHAnsi" w:hAnsiTheme="minorHAnsi" w:cstheme="minorHAnsi"/>
          <w:sz w:val="16"/>
          <w:szCs w:val="16"/>
        </w:rPr>
        <w:t xml:space="preserve"> банковского счета.</w:t>
      </w:r>
    </w:p>
  </w:footnote>
  <w:footnote w:id="8">
    <w:p w:rsidR="00A3494E" w:rsidRPr="003D5BDF" w:rsidRDefault="00A3494E" w:rsidP="0082483E">
      <w:pPr>
        <w:pStyle w:val="a4"/>
        <w:spacing w:line="233" w:lineRule="auto"/>
        <w:jc w:val="both"/>
        <w:rPr>
          <w:rFonts w:asciiTheme="minorHAnsi" w:hAnsiTheme="minorHAnsi" w:cstheme="minorHAnsi"/>
          <w:sz w:val="16"/>
          <w:szCs w:val="16"/>
        </w:rPr>
      </w:pPr>
      <w:r w:rsidRPr="003D5BDF">
        <w:rPr>
          <w:rStyle w:val="a6"/>
          <w:rFonts w:asciiTheme="minorHAnsi" w:hAnsiTheme="minorHAnsi" w:cstheme="minorHAnsi"/>
          <w:sz w:val="16"/>
          <w:szCs w:val="16"/>
        </w:rPr>
        <w:footnoteRef/>
      </w:r>
      <w:r w:rsidRPr="003D5BDF">
        <w:rPr>
          <w:rFonts w:asciiTheme="minorHAnsi" w:hAnsiTheme="minorHAnsi" w:cstheme="minorHAnsi"/>
          <w:sz w:val="16"/>
          <w:szCs w:val="16"/>
        </w:rPr>
        <w:t xml:space="preserve"> К иным отнесены платежные карточки (операции по снятию наличных денег, безналичные платежи)  и платежные ордера, ввиду того, что с использованием указанных инструментов могут проводиться как кредитовые, так и дебетовые переводы, а также иные способы осуществления платежей.</w:t>
      </w:r>
    </w:p>
  </w:footnote>
  <w:footnote w:id="9">
    <w:p w:rsidR="00A3494E" w:rsidRPr="003D5BDF" w:rsidRDefault="00A3494E" w:rsidP="0082483E">
      <w:pPr>
        <w:spacing w:line="233" w:lineRule="auto"/>
        <w:jc w:val="both"/>
        <w:rPr>
          <w:rFonts w:asciiTheme="minorHAnsi" w:hAnsiTheme="minorHAnsi" w:cstheme="minorHAnsi"/>
          <w:sz w:val="16"/>
          <w:szCs w:val="16"/>
        </w:rPr>
      </w:pPr>
      <w:r w:rsidRPr="003D5BDF">
        <w:rPr>
          <w:rStyle w:val="a6"/>
          <w:rFonts w:asciiTheme="minorHAnsi" w:hAnsiTheme="minorHAnsi" w:cstheme="minorHAnsi"/>
          <w:sz w:val="16"/>
          <w:szCs w:val="16"/>
        </w:rPr>
        <w:footnoteRef/>
      </w:r>
      <w:r w:rsidRPr="003D5BDF">
        <w:rPr>
          <w:rFonts w:asciiTheme="minorHAnsi" w:hAnsiTheme="minorHAnsi" w:cstheme="minorHAnsi"/>
          <w:sz w:val="16"/>
          <w:szCs w:val="16"/>
        </w:rPr>
        <w:t xml:space="preserve"> Сектор экономики отправителя денег –  центральное правительство (1), региональные и местные органы управления (2), центральные (национальные) банки (3), другие депозитные организации (4), другие финансовые организации (5), государственные нефинансовые организации (6), негосударственные нефинансовые организации (7), некоммерческие организации, обслуживающие домашние хозяйства (8).</w:t>
      </w:r>
    </w:p>
  </w:footnote>
  <w:footnote w:id="10">
    <w:p w:rsidR="00A3494E" w:rsidRDefault="00A3494E" w:rsidP="0082483E">
      <w:pPr>
        <w:pStyle w:val="a4"/>
        <w:spacing w:line="233" w:lineRule="auto"/>
        <w:jc w:val="both"/>
      </w:pPr>
      <w:r w:rsidRPr="003D5BDF">
        <w:rPr>
          <w:rStyle w:val="a6"/>
          <w:rFonts w:asciiTheme="minorHAnsi" w:hAnsiTheme="minorHAnsi" w:cstheme="minorHAnsi"/>
          <w:sz w:val="16"/>
          <w:szCs w:val="16"/>
        </w:rPr>
        <w:footnoteRef/>
      </w:r>
      <w:r w:rsidRPr="003D5BDF">
        <w:rPr>
          <w:rFonts w:asciiTheme="minorHAnsi" w:hAnsiTheme="minorHAnsi" w:cstheme="minorHAnsi"/>
          <w:sz w:val="16"/>
          <w:szCs w:val="16"/>
        </w:rPr>
        <w:t xml:space="preserve"> За исключением </w:t>
      </w:r>
      <w:r w:rsidRPr="003D5BDF">
        <w:rPr>
          <w:rFonts w:asciiTheme="minorHAnsi" w:hAnsiTheme="minorHAnsi" w:cstheme="minorHAnsi"/>
          <w:sz w:val="16"/>
          <w:szCs w:val="16"/>
          <w:u w:val="single"/>
        </w:rPr>
        <w:t xml:space="preserve">трансграничных платежей и переводов денег </w:t>
      </w:r>
      <w:r w:rsidRPr="003D5BDF">
        <w:rPr>
          <w:rFonts w:asciiTheme="minorHAnsi" w:hAnsiTheme="minorHAnsi" w:cstheme="minorHAnsi"/>
          <w:sz w:val="16"/>
          <w:szCs w:val="16"/>
        </w:rPr>
        <w:t>через системы денежных переводов и корреспондентские счета, открытые между банками.</w:t>
      </w:r>
    </w:p>
  </w:footnote>
  <w:footnote w:id="11">
    <w:p w:rsidR="00A3494E" w:rsidRPr="003D5BDF" w:rsidRDefault="00A3494E" w:rsidP="008429CA">
      <w:pPr>
        <w:pStyle w:val="a4"/>
        <w:jc w:val="both"/>
        <w:rPr>
          <w:rFonts w:asciiTheme="minorHAnsi" w:hAnsiTheme="minorHAnsi" w:cstheme="minorHAnsi"/>
          <w:sz w:val="16"/>
          <w:szCs w:val="16"/>
        </w:rPr>
      </w:pPr>
      <w:r w:rsidRPr="003D5BDF">
        <w:rPr>
          <w:rStyle w:val="a6"/>
          <w:rFonts w:asciiTheme="minorHAnsi" w:hAnsiTheme="minorHAnsi" w:cstheme="minorHAnsi"/>
          <w:sz w:val="16"/>
          <w:szCs w:val="16"/>
        </w:rPr>
        <w:footnoteRef/>
      </w:r>
      <w:r w:rsidRPr="003D5BDF">
        <w:rPr>
          <w:rFonts w:asciiTheme="minorHAnsi" w:hAnsiTheme="minorHAnsi" w:cstheme="minorHAnsi"/>
          <w:sz w:val="16"/>
          <w:szCs w:val="16"/>
        </w:rPr>
        <w:t xml:space="preserve"> Сектор экономики отправителя денег «домашние хозяйства - 9» - означает институциональные единицы, состоящие из физических лиц, а также из небольших групп физических лиц (семьи), проживающих совместно, объединяющих (полностью или частично) свои доходы и имущество, и совместно потребляющие определенные виды товаров и услуг (жилье, продукты питания и другое).</w:t>
      </w:r>
    </w:p>
  </w:footnote>
  <w:footnote w:id="12">
    <w:p w:rsidR="00A3494E" w:rsidRDefault="00A3494E" w:rsidP="008429CA">
      <w:pPr>
        <w:pStyle w:val="a4"/>
        <w:jc w:val="both"/>
      </w:pPr>
      <w:r w:rsidRPr="003D5BDF">
        <w:rPr>
          <w:rStyle w:val="a6"/>
          <w:rFonts w:asciiTheme="minorHAnsi" w:hAnsiTheme="minorHAnsi" w:cstheme="minorHAnsi"/>
          <w:sz w:val="16"/>
          <w:szCs w:val="16"/>
        </w:rPr>
        <w:footnoteRef/>
      </w:r>
      <w:r w:rsidRPr="003D5BDF">
        <w:rPr>
          <w:rFonts w:asciiTheme="minorHAnsi" w:hAnsiTheme="minorHAnsi" w:cstheme="minorHAnsi"/>
          <w:sz w:val="16"/>
          <w:szCs w:val="16"/>
        </w:rPr>
        <w:t xml:space="preserve"> За исключением </w:t>
      </w:r>
      <w:r w:rsidRPr="003D5BDF">
        <w:rPr>
          <w:rFonts w:asciiTheme="minorHAnsi" w:hAnsiTheme="minorHAnsi" w:cstheme="minorHAnsi"/>
          <w:sz w:val="16"/>
          <w:szCs w:val="16"/>
          <w:u w:val="single"/>
        </w:rPr>
        <w:t xml:space="preserve">трансграничных платежей и переводов денег </w:t>
      </w:r>
      <w:r w:rsidRPr="003D5BDF">
        <w:rPr>
          <w:rFonts w:asciiTheme="minorHAnsi" w:hAnsiTheme="minorHAnsi" w:cstheme="minorHAnsi"/>
          <w:sz w:val="16"/>
          <w:szCs w:val="16"/>
        </w:rPr>
        <w:t>через системы денежных переводов и корреспондентские счета, открытые между банками.</w:t>
      </w:r>
    </w:p>
  </w:footnote>
  <w:footnote w:id="13">
    <w:p w:rsidR="00A3494E" w:rsidRPr="007D0CC8" w:rsidRDefault="00A3494E" w:rsidP="00176F0A">
      <w:pPr>
        <w:spacing w:line="235" w:lineRule="auto"/>
        <w:jc w:val="both"/>
        <w:rPr>
          <w:rFonts w:asciiTheme="minorHAnsi" w:hAnsiTheme="minorHAnsi" w:cstheme="minorHAnsi"/>
          <w:sz w:val="16"/>
          <w:szCs w:val="16"/>
        </w:rPr>
      </w:pPr>
      <w:r w:rsidRPr="007D0CC8">
        <w:rPr>
          <w:rStyle w:val="a6"/>
          <w:rFonts w:asciiTheme="minorHAnsi" w:hAnsiTheme="minorHAnsi" w:cstheme="minorHAnsi"/>
          <w:sz w:val="16"/>
          <w:szCs w:val="16"/>
        </w:rPr>
        <w:footnoteRef/>
      </w:r>
      <w:r w:rsidRPr="007D0CC8">
        <w:rPr>
          <w:rFonts w:asciiTheme="minorHAnsi" w:hAnsiTheme="minorHAnsi" w:cstheme="minorHAnsi"/>
          <w:sz w:val="16"/>
          <w:szCs w:val="16"/>
        </w:rPr>
        <w:t xml:space="preserve"> </w:t>
      </w:r>
      <w:proofErr w:type="gramStart"/>
      <w:r w:rsidRPr="007D0CC8">
        <w:rPr>
          <w:rFonts w:asciiTheme="minorHAnsi" w:hAnsiTheme="minorHAnsi" w:cstheme="minorHAnsi"/>
          <w:sz w:val="16"/>
          <w:szCs w:val="16"/>
        </w:rPr>
        <w:t>Постановление Правительства Республики Казахстан от 21 октября 2016 года № 604 «Об утверждении перечня отдельных видов деятельности и применения оборудования (устройства), предназначенного для приема платежей с использованием платежных карточек, и признании утратившим силу постановления Правительства Республики Казахстан от 29 октября 2014 года № 1147 «Об утверждении перечня отдельных видов деятельности и применения оборудования (устройства), предназначенного для приема платежей с использованием платежных карточек».</w:t>
      </w:r>
      <w:proofErr w:type="gramEnd"/>
    </w:p>
  </w:footnote>
  <w:footnote w:id="14">
    <w:p w:rsidR="00A3494E" w:rsidRPr="00846DC9" w:rsidRDefault="00A3494E" w:rsidP="00176F0A">
      <w:pPr>
        <w:spacing w:line="235" w:lineRule="auto"/>
        <w:jc w:val="both"/>
        <w:rPr>
          <w:rFonts w:asciiTheme="minorHAnsi" w:hAnsiTheme="minorHAnsi" w:cstheme="minorHAnsi"/>
          <w:sz w:val="16"/>
          <w:szCs w:val="16"/>
        </w:rPr>
      </w:pPr>
      <w:r w:rsidRPr="00846DC9">
        <w:rPr>
          <w:rStyle w:val="a6"/>
          <w:rFonts w:asciiTheme="minorHAnsi" w:hAnsiTheme="minorHAnsi" w:cstheme="minorHAnsi"/>
          <w:sz w:val="16"/>
          <w:szCs w:val="16"/>
        </w:rPr>
        <w:footnoteRef/>
      </w:r>
      <w:r w:rsidRPr="00846DC9">
        <w:rPr>
          <w:rFonts w:asciiTheme="minorHAnsi" w:hAnsiTheme="minorHAnsi" w:cstheme="minorHAnsi"/>
          <w:sz w:val="16"/>
          <w:szCs w:val="16"/>
        </w:rPr>
        <w:t xml:space="preserve"> Компактное устройство, представляющее собой подключенный к смартфону или планшетному компьютеру торговый терминал, позволяющий проводить безналичный расчет с помощью платежной карточки.</w:t>
      </w:r>
    </w:p>
  </w:footnote>
  <w:footnote w:id="15">
    <w:p w:rsidR="00A3494E" w:rsidRPr="00504B23" w:rsidRDefault="00A3494E" w:rsidP="00551431">
      <w:pPr>
        <w:pStyle w:val="a4"/>
        <w:jc w:val="both"/>
        <w:rPr>
          <w:rFonts w:asciiTheme="minorHAnsi" w:hAnsiTheme="minorHAnsi" w:cstheme="minorHAnsi"/>
          <w:sz w:val="16"/>
          <w:szCs w:val="16"/>
        </w:rPr>
      </w:pPr>
      <w:r w:rsidRPr="00504B23">
        <w:rPr>
          <w:rStyle w:val="a6"/>
          <w:rFonts w:asciiTheme="minorHAnsi" w:hAnsiTheme="minorHAnsi" w:cstheme="minorHAnsi"/>
          <w:sz w:val="16"/>
          <w:szCs w:val="16"/>
        </w:rPr>
        <w:footnoteRef/>
      </w:r>
      <w:r w:rsidRPr="00504B23">
        <w:rPr>
          <w:rFonts w:asciiTheme="minorHAnsi" w:hAnsiTheme="minorHAnsi" w:cstheme="minorHAnsi"/>
          <w:sz w:val="16"/>
          <w:szCs w:val="16"/>
        </w:rPr>
        <w:t xml:space="preserve"> Операции, совершенные в сети одного банка с использованием платежных карточек других эмитентов.</w:t>
      </w:r>
    </w:p>
  </w:footnote>
  <w:footnote w:id="16">
    <w:p w:rsidR="00A3494E" w:rsidRPr="00846DC9" w:rsidRDefault="00A3494E" w:rsidP="00C11292">
      <w:pPr>
        <w:pStyle w:val="a4"/>
        <w:jc w:val="both"/>
        <w:rPr>
          <w:sz w:val="16"/>
          <w:szCs w:val="16"/>
        </w:rPr>
      </w:pPr>
      <w:r w:rsidRPr="00846DC9">
        <w:rPr>
          <w:rStyle w:val="a6"/>
          <w:sz w:val="16"/>
          <w:szCs w:val="16"/>
        </w:rPr>
        <w:footnoteRef/>
      </w:r>
      <w:r w:rsidRPr="00846DC9">
        <w:rPr>
          <w:sz w:val="16"/>
          <w:szCs w:val="16"/>
        </w:rPr>
        <w:t xml:space="preserve"> </w:t>
      </w:r>
      <w:r w:rsidRPr="00846DC9">
        <w:rPr>
          <w:rFonts w:ascii="Calibri" w:hAnsi="Calibri"/>
          <w:sz w:val="16"/>
          <w:szCs w:val="16"/>
        </w:rPr>
        <w:t>Под данным каналом понимается наличие между двумя банками (или их процессинговыми организациями) информационно-технологического соединения на основании заключенного между ними договора.</w:t>
      </w:r>
    </w:p>
  </w:footnote>
  <w:footnote w:id="17">
    <w:p w:rsidR="00A3494E" w:rsidRPr="007E45C2" w:rsidRDefault="00A3494E">
      <w:pPr>
        <w:pStyle w:val="a4"/>
        <w:rPr>
          <w:rFonts w:asciiTheme="minorHAnsi" w:hAnsiTheme="minorHAnsi" w:cstheme="minorHAnsi"/>
          <w:sz w:val="16"/>
          <w:szCs w:val="16"/>
        </w:rPr>
      </w:pPr>
      <w:r w:rsidRPr="007E45C2">
        <w:rPr>
          <w:rStyle w:val="a6"/>
          <w:rFonts w:asciiTheme="minorHAnsi" w:hAnsiTheme="minorHAnsi" w:cstheme="minorHAnsi"/>
          <w:sz w:val="16"/>
          <w:szCs w:val="16"/>
        </w:rPr>
        <w:footnoteRef/>
      </w:r>
      <w:r w:rsidRPr="007E45C2">
        <w:rPr>
          <w:rFonts w:asciiTheme="minorHAnsi" w:hAnsiTheme="minorHAnsi" w:cstheme="minorHAnsi"/>
          <w:sz w:val="16"/>
          <w:szCs w:val="16"/>
        </w:rPr>
        <w:t xml:space="preserve"> Системы денежных переводов.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94E" w:rsidRDefault="00A3494E">
    <w:pPr>
      <w:pStyle w:val="ab"/>
    </w:pPr>
    <w:r>
      <w:rPr>
        <w:noProof/>
      </w:rPr>
      <mc:AlternateContent>
        <mc:Choice Requires="wps">
          <w:drawing>
            <wp:anchor distT="0" distB="0" distL="114300" distR="114300" simplePos="0" relativeHeight="251657216" behindDoc="0" locked="0" layoutInCell="0" allowOverlap="1" wp14:anchorId="2A6B4AD1" wp14:editId="71220A2A">
              <wp:simplePos x="0" y="0"/>
              <wp:positionH relativeFrom="page">
                <wp:posOffset>7169727</wp:posOffset>
              </wp:positionH>
              <wp:positionV relativeFrom="page">
                <wp:posOffset>488374</wp:posOffset>
              </wp:positionV>
              <wp:extent cx="540385" cy="228600"/>
              <wp:effectExtent l="0" t="0" r="0" b="0"/>
              <wp:wrapNone/>
              <wp:docPr id="475" name="Надпись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28600"/>
                      </a:xfrm>
                      <a:prstGeom prst="rect">
                        <a:avLst/>
                      </a:prstGeom>
                      <a:solidFill>
                        <a:srgbClr val="0E4C28"/>
                      </a:solidFill>
                      <a:extLst/>
                    </wps:spPr>
                    <wps:txbx>
                      <w:txbxContent>
                        <w:p w:rsidR="00A3494E" w:rsidRDefault="00A3494E" w:rsidP="001128AB">
                          <w:r>
                            <w:rPr>
                              <w:rFonts w:ascii="Calibri" w:hAnsi="Calibri" w:cs="Calibri"/>
                              <w:b/>
                            </w:rPr>
                            <w:fldChar w:fldCharType="begin"/>
                          </w:r>
                          <w:r>
                            <w:rPr>
                              <w:rFonts w:ascii="Calibri" w:hAnsi="Calibri" w:cs="Calibri"/>
                              <w:b/>
                            </w:rPr>
                            <w:instrText xml:space="preserve"> PAGE \* MERGEFORMA \* Arabic </w:instrText>
                          </w:r>
                          <w:r>
                            <w:rPr>
                              <w:rFonts w:ascii="Calibri" w:hAnsi="Calibri" w:cs="Calibri"/>
                              <w:b/>
                            </w:rPr>
                            <w:fldChar w:fldCharType="separate"/>
                          </w:r>
                          <w:r w:rsidR="00503833">
                            <w:rPr>
                              <w:rFonts w:ascii="Calibri" w:hAnsi="Calibri" w:cs="Calibri"/>
                              <w:b/>
                              <w:noProof/>
                            </w:rPr>
                            <w:t>58</w:t>
                          </w:r>
                          <w:r>
                            <w:rPr>
                              <w:rFonts w:ascii="Calibri" w:hAnsi="Calibri" w:cs="Calibri"/>
                              <w:b/>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76" o:spid="_x0000_s1057" type="#_x0000_t202" style="position:absolute;margin-left:564.55pt;margin-top:38.45pt;width:42.55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" o:allowincell="f" fillcolor="#0e4c28" stroked="f">
              <v:textbox inset=",0,,0">
                <w:txbxContent>
                  <w:p w:rsidR="00A3494E" w:rsidRDefault="00A3494E" w:rsidP="001128AB">
                    <w:r>
                      <w:rPr>
                        <w:rFonts w:ascii="Calibri" w:hAnsi="Calibri" w:cs="Calibri"/>
                        <w:b/>
                      </w:rPr>
                      <w:fldChar w:fldCharType="begin"/>
                    </w:r>
                    <w:r>
                      <w:rPr>
                        <w:rFonts w:ascii="Calibri" w:hAnsi="Calibri" w:cs="Calibri"/>
                        <w:b/>
                      </w:rPr>
                      <w:instrText xml:space="preserve"> PAGE \* MERGEFORMA \* Arabic </w:instrText>
                    </w:r>
                    <w:r>
                      <w:rPr>
                        <w:rFonts w:ascii="Calibri" w:hAnsi="Calibri" w:cs="Calibri"/>
                        <w:b/>
                      </w:rPr>
                      <w:fldChar w:fldCharType="separate"/>
                    </w:r>
                    <w:r w:rsidR="00503833">
                      <w:rPr>
                        <w:rFonts w:ascii="Calibri" w:hAnsi="Calibri" w:cs="Calibri"/>
                        <w:b/>
                        <w:noProof/>
                      </w:rPr>
                      <w:t>58</w:t>
                    </w:r>
                    <w:r>
                      <w:rPr>
                        <w:rFonts w:ascii="Calibri" w:hAnsi="Calibri" w:cs="Calibri"/>
                        <w:b/>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05FD"/>
    <w:multiLevelType w:val="hybridMultilevel"/>
    <w:tmpl w:val="D3D66FC6"/>
    <w:lvl w:ilvl="0" w:tplc="44AAA0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D8D039B"/>
    <w:multiLevelType w:val="hybridMultilevel"/>
    <w:tmpl w:val="17E2B37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C8391B"/>
    <w:multiLevelType w:val="hybridMultilevel"/>
    <w:tmpl w:val="D6AE82F8"/>
    <w:lvl w:ilvl="0" w:tplc="13AE4836">
      <w:start w:val="1"/>
      <w:numFmt w:val="bullet"/>
      <w:suff w:val="space"/>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105CA9"/>
    <w:multiLevelType w:val="hybridMultilevel"/>
    <w:tmpl w:val="31C02244"/>
    <w:lvl w:ilvl="0" w:tplc="3CF28AFA">
      <w:start w:val="1"/>
      <w:numFmt w:val="decimal"/>
      <w:pStyle w:val="ParagraphNumbering"/>
      <w:lvlText w:val="%1.     "/>
      <w:lvlJc w:val="left"/>
      <w:pPr>
        <w:tabs>
          <w:tab w:val="num" w:pos="720"/>
        </w:tabs>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74C79F7"/>
    <w:multiLevelType w:val="hybridMultilevel"/>
    <w:tmpl w:val="8C46BC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DF5EFB"/>
    <w:multiLevelType w:val="hybridMultilevel"/>
    <w:tmpl w:val="1B04D3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DFD309B"/>
    <w:multiLevelType w:val="hybridMultilevel"/>
    <w:tmpl w:val="E9644158"/>
    <w:lvl w:ilvl="0" w:tplc="44AAA0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E1B3918"/>
    <w:multiLevelType w:val="hybridMultilevel"/>
    <w:tmpl w:val="131EAD0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09957C7"/>
    <w:multiLevelType w:val="hybridMultilevel"/>
    <w:tmpl w:val="81460198"/>
    <w:lvl w:ilvl="0" w:tplc="723844AC">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0D54F6C"/>
    <w:multiLevelType w:val="hybridMultilevel"/>
    <w:tmpl w:val="9B06AFB2"/>
    <w:lvl w:ilvl="0" w:tplc="A58A19CA">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1173378"/>
    <w:multiLevelType w:val="hybridMultilevel"/>
    <w:tmpl w:val="82AA5A96"/>
    <w:lvl w:ilvl="0" w:tplc="93360206">
      <w:start w:val="1"/>
      <w:numFmt w:val="bullet"/>
      <w:lvlText w:val="•"/>
      <w:lvlJc w:val="left"/>
      <w:pPr>
        <w:tabs>
          <w:tab w:val="num" w:pos="720"/>
        </w:tabs>
        <w:ind w:left="720" w:hanging="360"/>
      </w:pPr>
      <w:rPr>
        <w:rFonts w:ascii="Times New Roman" w:hAnsi="Times New Roman" w:hint="default"/>
      </w:rPr>
    </w:lvl>
    <w:lvl w:ilvl="1" w:tplc="23608BCE" w:tentative="1">
      <w:start w:val="1"/>
      <w:numFmt w:val="bullet"/>
      <w:lvlText w:val="•"/>
      <w:lvlJc w:val="left"/>
      <w:pPr>
        <w:tabs>
          <w:tab w:val="num" w:pos="1440"/>
        </w:tabs>
        <w:ind w:left="1440" w:hanging="360"/>
      </w:pPr>
      <w:rPr>
        <w:rFonts w:ascii="Times New Roman" w:hAnsi="Times New Roman" w:hint="default"/>
      </w:rPr>
    </w:lvl>
    <w:lvl w:ilvl="2" w:tplc="D89A4D5C" w:tentative="1">
      <w:start w:val="1"/>
      <w:numFmt w:val="bullet"/>
      <w:lvlText w:val="•"/>
      <w:lvlJc w:val="left"/>
      <w:pPr>
        <w:tabs>
          <w:tab w:val="num" w:pos="2160"/>
        </w:tabs>
        <w:ind w:left="2160" w:hanging="360"/>
      </w:pPr>
      <w:rPr>
        <w:rFonts w:ascii="Times New Roman" w:hAnsi="Times New Roman" w:hint="default"/>
      </w:rPr>
    </w:lvl>
    <w:lvl w:ilvl="3" w:tplc="20523E20" w:tentative="1">
      <w:start w:val="1"/>
      <w:numFmt w:val="bullet"/>
      <w:lvlText w:val="•"/>
      <w:lvlJc w:val="left"/>
      <w:pPr>
        <w:tabs>
          <w:tab w:val="num" w:pos="2880"/>
        </w:tabs>
        <w:ind w:left="2880" w:hanging="360"/>
      </w:pPr>
      <w:rPr>
        <w:rFonts w:ascii="Times New Roman" w:hAnsi="Times New Roman" w:hint="default"/>
      </w:rPr>
    </w:lvl>
    <w:lvl w:ilvl="4" w:tplc="AB3499CE" w:tentative="1">
      <w:start w:val="1"/>
      <w:numFmt w:val="bullet"/>
      <w:lvlText w:val="•"/>
      <w:lvlJc w:val="left"/>
      <w:pPr>
        <w:tabs>
          <w:tab w:val="num" w:pos="3600"/>
        </w:tabs>
        <w:ind w:left="3600" w:hanging="360"/>
      </w:pPr>
      <w:rPr>
        <w:rFonts w:ascii="Times New Roman" w:hAnsi="Times New Roman" w:hint="default"/>
      </w:rPr>
    </w:lvl>
    <w:lvl w:ilvl="5" w:tplc="DA1A954C" w:tentative="1">
      <w:start w:val="1"/>
      <w:numFmt w:val="bullet"/>
      <w:lvlText w:val="•"/>
      <w:lvlJc w:val="left"/>
      <w:pPr>
        <w:tabs>
          <w:tab w:val="num" w:pos="4320"/>
        </w:tabs>
        <w:ind w:left="4320" w:hanging="360"/>
      </w:pPr>
      <w:rPr>
        <w:rFonts w:ascii="Times New Roman" w:hAnsi="Times New Roman" w:hint="default"/>
      </w:rPr>
    </w:lvl>
    <w:lvl w:ilvl="6" w:tplc="2CD660F6" w:tentative="1">
      <w:start w:val="1"/>
      <w:numFmt w:val="bullet"/>
      <w:lvlText w:val="•"/>
      <w:lvlJc w:val="left"/>
      <w:pPr>
        <w:tabs>
          <w:tab w:val="num" w:pos="5040"/>
        </w:tabs>
        <w:ind w:left="5040" w:hanging="360"/>
      </w:pPr>
      <w:rPr>
        <w:rFonts w:ascii="Times New Roman" w:hAnsi="Times New Roman" w:hint="default"/>
      </w:rPr>
    </w:lvl>
    <w:lvl w:ilvl="7" w:tplc="22E6254C" w:tentative="1">
      <w:start w:val="1"/>
      <w:numFmt w:val="bullet"/>
      <w:lvlText w:val="•"/>
      <w:lvlJc w:val="left"/>
      <w:pPr>
        <w:tabs>
          <w:tab w:val="num" w:pos="5760"/>
        </w:tabs>
        <w:ind w:left="5760" w:hanging="360"/>
      </w:pPr>
      <w:rPr>
        <w:rFonts w:ascii="Times New Roman" w:hAnsi="Times New Roman" w:hint="default"/>
      </w:rPr>
    </w:lvl>
    <w:lvl w:ilvl="8" w:tplc="1868975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12538F0"/>
    <w:multiLevelType w:val="hybridMultilevel"/>
    <w:tmpl w:val="1D6885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B90B1C"/>
    <w:multiLevelType w:val="hybridMultilevel"/>
    <w:tmpl w:val="C016AE56"/>
    <w:lvl w:ilvl="0" w:tplc="C0B2F13A">
      <w:start w:val="1"/>
      <w:numFmt w:val="bullet"/>
      <w:lvlText w:val="•"/>
      <w:lvlJc w:val="left"/>
      <w:pPr>
        <w:tabs>
          <w:tab w:val="num" w:pos="720"/>
        </w:tabs>
        <w:ind w:left="720" w:hanging="360"/>
      </w:pPr>
      <w:rPr>
        <w:rFonts w:ascii="Times New Roman" w:hAnsi="Times New Roman" w:hint="default"/>
      </w:rPr>
    </w:lvl>
    <w:lvl w:ilvl="1" w:tplc="CAFEEAA2" w:tentative="1">
      <w:start w:val="1"/>
      <w:numFmt w:val="bullet"/>
      <w:lvlText w:val="•"/>
      <w:lvlJc w:val="left"/>
      <w:pPr>
        <w:tabs>
          <w:tab w:val="num" w:pos="1440"/>
        </w:tabs>
        <w:ind w:left="1440" w:hanging="360"/>
      </w:pPr>
      <w:rPr>
        <w:rFonts w:ascii="Times New Roman" w:hAnsi="Times New Roman" w:hint="default"/>
      </w:rPr>
    </w:lvl>
    <w:lvl w:ilvl="2" w:tplc="FC806D0E" w:tentative="1">
      <w:start w:val="1"/>
      <w:numFmt w:val="bullet"/>
      <w:lvlText w:val="•"/>
      <w:lvlJc w:val="left"/>
      <w:pPr>
        <w:tabs>
          <w:tab w:val="num" w:pos="2160"/>
        </w:tabs>
        <w:ind w:left="2160" w:hanging="360"/>
      </w:pPr>
      <w:rPr>
        <w:rFonts w:ascii="Times New Roman" w:hAnsi="Times New Roman" w:hint="default"/>
      </w:rPr>
    </w:lvl>
    <w:lvl w:ilvl="3" w:tplc="1D62C018" w:tentative="1">
      <w:start w:val="1"/>
      <w:numFmt w:val="bullet"/>
      <w:lvlText w:val="•"/>
      <w:lvlJc w:val="left"/>
      <w:pPr>
        <w:tabs>
          <w:tab w:val="num" w:pos="2880"/>
        </w:tabs>
        <w:ind w:left="2880" w:hanging="360"/>
      </w:pPr>
      <w:rPr>
        <w:rFonts w:ascii="Times New Roman" w:hAnsi="Times New Roman" w:hint="default"/>
      </w:rPr>
    </w:lvl>
    <w:lvl w:ilvl="4" w:tplc="1386382E" w:tentative="1">
      <w:start w:val="1"/>
      <w:numFmt w:val="bullet"/>
      <w:lvlText w:val="•"/>
      <w:lvlJc w:val="left"/>
      <w:pPr>
        <w:tabs>
          <w:tab w:val="num" w:pos="3600"/>
        </w:tabs>
        <w:ind w:left="3600" w:hanging="360"/>
      </w:pPr>
      <w:rPr>
        <w:rFonts w:ascii="Times New Roman" w:hAnsi="Times New Roman" w:hint="default"/>
      </w:rPr>
    </w:lvl>
    <w:lvl w:ilvl="5" w:tplc="A976B6C4" w:tentative="1">
      <w:start w:val="1"/>
      <w:numFmt w:val="bullet"/>
      <w:lvlText w:val="•"/>
      <w:lvlJc w:val="left"/>
      <w:pPr>
        <w:tabs>
          <w:tab w:val="num" w:pos="4320"/>
        </w:tabs>
        <w:ind w:left="4320" w:hanging="360"/>
      </w:pPr>
      <w:rPr>
        <w:rFonts w:ascii="Times New Roman" w:hAnsi="Times New Roman" w:hint="default"/>
      </w:rPr>
    </w:lvl>
    <w:lvl w:ilvl="6" w:tplc="2C5E9914" w:tentative="1">
      <w:start w:val="1"/>
      <w:numFmt w:val="bullet"/>
      <w:lvlText w:val="•"/>
      <w:lvlJc w:val="left"/>
      <w:pPr>
        <w:tabs>
          <w:tab w:val="num" w:pos="5040"/>
        </w:tabs>
        <w:ind w:left="5040" w:hanging="360"/>
      </w:pPr>
      <w:rPr>
        <w:rFonts w:ascii="Times New Roman" w:hAnsi="Times New Roman" w:hint="default"/>
      </w:rPr>
    </w:lvl>
    <w:lvl w:ilvl="7" w:tplc="2BE2D1A0" w:tentative="1">
      <w:start w:val="1"/>
      <w:numFmt w:val="bullet"/>
      <w:lvlText w:val="•"/>
      <w:lvlJc w:val="left"/>
      <w:pPr>
        <w:tabs>
          <w:tab w:val="num" w:pos="5760"/>
        </w:tabs>
        <w:ind w:left="5760" w:hanging="360"/>
      </w:pPr>
      <w:rPr>
        <w:rFonts w:ascii="Times New Roman" w:hAnsi="Times New Roman" w:hint="default"/>
      </w:rPr>
    </w:lvl>
    <w:lvl w:ilvl="8" w:tplc="8154067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2F5238F"/>
    <w:multiLevelType w:val="hybridMultilevel"/>
    <w:tmpl w:val="BE682F58"/>
    <w:lvl w:ilvl="0" w:tplc="71ECF32C">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48479E2"/>
    <w:multiLevelType w:val="hybridMultilevel"/>
    <w:tmpl w:val="5E4E4D9A"/>
    <w:lvl w:ilvl="0" w:tplc="44AAA0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8D927F7"/>
    <w:multiLevelType w:val="hybridMultilevel"/>
    <w:tmpl w:val="C1B49CEC"/>
    <w:lvl w:ilvl="0" w:tplc="0419000D">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06E07B1"/>
    <w:multiLevelType w:val="hybridMultilevel"/>
    <w:tmpl w:val="A3BA9ED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AA73C89"/>
    <w:multiLevelType w:val="hybridMultilevel"/>
    <w:tmpl w:val="26527DE8"/>
    <w:lvl w:ilvl="0" w:tplc="D466D7CA">
      <w:start w:val="1"/>
      <w:numFmt w:val="bullet"/>
      <w:lvlText w:val="•"/>
      <w:lvlJc w:val="left"/>
      <w:pPr>
        <w:tabs>
          <w:tab w:val="num" w:pos="720"/>
        </w:tabs>
        <w:ind w:left="720" w:hanging="360"/>
      </w:pPr>
      <w:rPr>
        <w:rFonts w:ascii="Times New Roman" w:hAnsi="Times New Roman" w:hint="default"/>
      </w:rPr>
    </w:lvl>
    <w:lvl w:ilvl="1" w:tplc="E9C4C304">
      <w:start w:val="1387"/>
      <w:numFmt w:val="bullet"/>
      <w:lvlText w:val="•"/>
      <w:lvlJc w:val="left"/>
      <w:pPr>
        <w:tabs>
          <w:tab w:val="num" w:pos="1440"/>
        </w:tabs>
        <w:ind w:left="1440" w:hanging="360"/>
      </w:pPr>
      <w:rPr>
        <w:rFonts w:ascii="Times New Roman" w:hAnsi="Times New Roman" w:hint="default"/>
      </w:rPr>
    </w:lvl>
    <w:lvl w:ilvl="2" w:tplc="E41A656C" w:tentative="1">
      <w:start w:val="1"/>
      <w:numFmt w:val="bullet"/>
      <w:lvlText w:val="•"/>
      <w:lvlJc w:val="left"/>
      <w:pPr>
        <w:tabs>
          <w:tab w:val="num" w:pos="2160"/>
        </w:tabs>
        <w:ind w:left="2160" w:hanging="360"/>
      </w:pPr>
      <w:rPr>
        <w:rFonts w:ascii="Times New Roman" w:hAnsi="Times New Roman" w:hint="default"/>
      </w:rPr>
    </w:lvl>
    <w:lvl w:ilvl="3" w:tplc="42120424" w:tentative="1">
      <w:start w:val="1"/>
      <w:numFmt w:val="bullet"/>
      <w:lvlText w:val="•"/>
      <w:lvlJc w:val="left"/>
      <w:pPr>
        <w:tabs>
          <w:tab w:val="num" w:pos="2880"/>
        </w:tabs>
        <w:ind w:left="2880" w:hanging="360"/>
      </w:pPr>
      <w:rPr>
        <w:rFonts w:ascii="Times New Roman" w:hAnsi="Times New Roman" w:hint="default"/>
      </w:rPr>
    </w:lvl>
    <w:lvl w:ilvl="4" w:tplc="34924DE6" w:tentative="1">
      <w:start w:val="1"/>
      <w:numFmt w:val="bullet"/>
      <w:lvlText w:val="•"/>
      <w:lvlJc w:val="left"/>
      <w:pPr>
        <w:tabs>
          <w:tab w:val="num" w:pos="3600"/>
        </w:tabs>
        <w:ind w:left="3600" w:hanging="360"/>
      </w:pPr>
      <w:rPr>
        <w:rFonts w:ascii="Times New Roman" w:hAnsi="Times New Roman" w:hint="default"/>
      </w:rPr>
    </w:lvl>
    <w:lvl w:ilvl="5" w:tplc="D7904602" w:tentative="1">
      <w:start w:val="1"/>
      <w:numFmt w:val="bullet"/>
      <w:lvlText w:val="•"/>
      <w:lvlJc w:val="left"/>
      <w:pPr>
        <w:tabs>
          <w:tab w:val="num" w:pos="4320"/>
        </w:tabs>
        <w:ind w:left="4320" w:hanging="360"/>
      </w:pPr>
      <w:rPr>
        <w:rFonts w:ascii="Times New Roman" w:hAnsi="Times New Roman" w:hint="default"/>
      </w:rPr>
    </w:lvl>
    <w:lvl w:ilvl="6" w:tplc="1DA6BDFE" w:tentative="1">
      <w:start w:val="1"/>
      <w:numFmt w:val="bullet"/>
      <w:lvlText w:val="•"/>
      <w:lvlJc w:val="left"/>
      <w:pPr>
        <w:tabs>
          <w:tab w:val="num" w:pos="5040"/>
        </w:tabs>
        <w:ind w:left="5040" w:hanging="360"/>
      </w:pPr>
      <w:rPr>
        <w:rFonts w:ascii="Times New Roman" w:hAnsi="Times New Roman" w:hint="default"/>
      </w:rPr>
    </w:lvl>
    <w:lvl w:ilvl="7" w:tplc="59FA53DC" w:tentative="1">
      <w:start w:val="1"/>
      <w:numFmt w:val="bullet"/>
      <w:lvlText w:val="•"/>
      <w:lvlJc w:val="left"/>
      <w:pPr>
        <w:tabs>
          <w:tab w:val="num" w:pos="5760"/>
        </w:tabs>
        <w:ind w:left="5760" w:hanging="360"/>
      </w:pPr>
      <w:rPr>
        <w:rFonts w:ascii="Times New Roman" w:hAnsi="Times New Roman" w:hint="default"/>
      </w:rPr>
    </w:lvl>
    <w:lvl w:ilvl="8" w:tplc="936E59E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B802C68"/>
    <w:multiLevelType w:val="hybridMultilevel"/>
    <w:tmpl w:val="BD18E836"/>
    <w:lvl w:ilvl="0" w:tplc="DFE87264">
      <w:start w:val="1"/>
      <w:numFmt w:val="bullet"/>
      <w:lvlText w:val="•"/>
      <w:lvlJc w:val="left"/>
      <w:pPr>
        <w:tabs>
          <w:tab w:val="num" w:pos="720"/>
        </w:tabs>
        <w:ind w:left="720" w:hanging="360"/>
      </w:pPr>
      <w:rPr>
        <w:rFonts w:ascii="Times New Roman" w:hAnsi="Times New Roman" w:hint="default"/>
      </w:rPr>
    </w:lvl>
    <w:lvl w:ilvl="1" w:tplc="007AAECC" w:tentative="1">
      <w:start w:val="1"/>
      <w:numFmt w:val="bullet"/>
      <w:lvlText w:val="•"/>
      <w:lvlJc w:val="left"/>
      <w:pPr>
        <w:tabs>
          <w:tab w:val="num" w:pos="1440"/>
        </w:tabs>
        <w:ind w:left="1440" w:hanging="360"/>
      </w:pPr>
      <w:rPr>
        <w:rFonts w:ascii="Times New Roman" w:hAnsi="Times New Roman" w:hint="default"/>
      </w:rPr>
    </w:lvl>
    <w:lvl w:ilvl="2" w:tplc="6BCC135A" w:tentative="1">
      <w:start w:val="1"/>
      <w:numFmt w:val="bullet"/>
      <w:lvlText w:val="•"/>
      <w:lvlJc w:val="left"/>
      <w:pPr>
        <w:tabs>
          <w:tab w:val="num" w:pos="2160"/>
        </w:tabs>
        <w:ind w:left="2160" w:hanging="360"/>
      </w:pPr>
      <w:rPr>
        <w:rFonts w:ascii="Times New Roman" w:hAnsi="Times New Roman" w:hint="default"/>
      </w:rPr>
    </w:lvl>
    <w:lvl w:ilvl="3" w:tplc="BC521762" w:tentative="1">
      <w:start w:val="1"/>
      <w:numFmt w:val="bullet"/>
      <w:lvlText w:val="•"/>
      <w:lvlJc w:val="left"/>
      <w:pPr>
        <w:tabs>
          <w:tab w:val="num" w:pos="2880"/>
        </w:tabs>
        <w:ind w:left="2880" w:hanging="360"/>
      </w:pPr>
      <w:rPr>
        <w:rFonts w:ascii="Times New Roman" w:hAnsi="Times New Roman" w:hint="default"/>
      </w:rPr>
    </w:lvl>
    <w:lvl w:ilvl="4" w:tplc="5336C3A2" w:tentative="1">
      <w:start w:val="1"/>
      <w:numFmt w:val="bullet"/>
      <w:lvlText w:val="•"/>
      <w:lvlJc w:val="left"/>
      <w:pPr>
        <w:tabs>
          <w:tab w:val="num" w:pos="3600"/>
        </w:tabs>
        <w:ind w:left="3600" w:hanging="360"/>
      </w:pPr>
      <w:rPr>
        <w:rFonts w:ascii="Times New Roman" w:hAnsi="Times New Roman" w:hint="default"/>
      </w:rPr>
    </w:lvl>
    <w:lvl w:ilvl="5" w:tplc="B05E92F4" w:tentative="1">
      <w:start w:val="1"/>
      <w:numFmt w:val="bullet"/>
      <w:lvlText w:val="•"/>
      <w:lvlJc w:val="left"/>
      <w:pPr>
        <w:tabs>
          <w:tab w:val="num" w:pos="4320"/>
        </w:tabs>
        <w:ind w:left="4320" w:hanging="360"/>
      </w:pPr>
      <w:rPr>
        <w:rFonts w:ascii="Times New Roman" w:hAnsi="Times New Roman" w:hint="default"/>
      </w:rPr>
    </w:lvl>
    <w:lvl w:ilvl="6" w:tplc="13029BC6" w:tentative="1">
      <w:start w:val="1"/>
      <w:numFmt w:val="bullet"/>
      <w:lvlText w:val="•"/>
      <w:lvlJc w:val="left"/>
      <w:pPr>
        <w:tabs>
          <w:tab w:val="num" w:pos="5040"/>
        </w:tabs>
        <w:ind w:left="5040" w:hanging="360"/>
      </w:pPr>
      <w:rPr>
        <w:rFonts w:ascii="Times New Roman" w:hAnsi="Times New Roman" w:hint="default"/>
      </w:rPr>
    </w:lvl>
    <w:lvl w:ilvl="7" w:tplc="985CA108" w:tentative="1">
      <w:start w:val="1"/>
      <w:numFmt w:val="bullet"/>
      <w:lvlText w:val="•"/>
      <w:lvlJc w:val="left"/>
      <w:pPr>
        <w:tabs>
          <w:tab w:val="num" w:pos="5760"/>
        </w:tabs>
        <w:ind w:left="5760" w:hanging="360"/>
      </w:pPr>
      <w:rPr>
        <w:rFonts w:ascii="Times New Roman" w:hAnsi="Times New Roman" w:hint="default"/>
      </w:rPr>
    </w:lvl>
    <w:lvl w:ilvl="8" w:tplc="1DA6E5E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0CD1CC2"/>
    <w:multiLevelType w:val="hybridMultilevel"/>
    <w:tmpl w:val="CDA4B4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9FB3752"/>
    <w:multiLevelType w:val="hybridMultilevel"/>
    <w:tmpl w:val="063462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5BDD0883"/>
    <w:multiLevelType w:val="hybridMultilevel"/>
    <w:tmpl w:val="8A86BAE2"/>
    <w:lvl w:ilvl="0" w:tplc="EE9EB638">
      <w:start w:val="1"/>
      <w:numFmt w:val="bullet"/>
      <w:lvlText w:val="•"/>
      <w:lvlJc w:val="left"/>
      <w:pPr>
        <w:tabs>
          <w:tab w:val="num" w:pos="720"/>
        </w:tabs>
        <w:ind w:left="720" w:hanging="360"/>
      </w:pPr>
      <w:rPr>
        <w:rFonts w:ascii="Times New Roman" w:hAnsi="Times New Roman" w:hint="default"/>
      </w:rPr>
    </w:lvl>
    <w:lvl w:ilvl="1" w:tplc="FD98685C" w:tentative="1">
      <w:start w:val="1"/>
      <w:numFmt w:val="bullet"/>
      <w:lvlText w:val="•"/>
      <w:lvlJc w:val="left"/>
      <w:pPr>
        <w:tabs>
          <w:tab w:val="num" w:pos="1440"/>
        </w:tabs>
        <w:ind w:left="1440" w:hanging="360"/>
      </w:pPr>
      <w:rPr>
        <w:rFonts w:ascii="Times New Roman" w:hAnsi="Times New Roman" w:hint="default"/>
      </w:rPr>
    </w:lvl>
    <w:lvl w:ilvl="2" w:tplc="1FFA0766" w:tentative="1">
      <w:start w:val="1"/>
      <w:numFmt w:val="bullet"/>
      <w:lvlText w:val="•"/>
      <w:lvlJc w:val="left"/>
      <w:pPr>
        <w:tabs>
          <w:tab w:val="num" w:pos="2160"/>
        </w:tabs>
        <w:ind w:left="2160" w:hanging="360"/>
      </w:pPr>
      <w:rPr>
        <w:rFonts w:ascii="Times New Roman" w:hAnsi="Times New Roman" w:hint="default"/>
      </w:rPr>
    </w:lvl>
    <w:lvl w:ilvl="3" w:tplc="263667BA" w:tentative="1">
      <w:start w:val="1"/>
      <w:numFmt w:val="bullet"/>
      <w:lvlText w:val="•"/>
      <w:lvlJc w:val="left"/>
      <w:pPr>
        <w:tabs>
          <w:tab w:val="num" w:pos="2880"/>
        </w:tabs>
        <w:ind w:left="2880" w:hanging="360"/>
      </w:pPr>
      <w:rPr>
        <w:rFonts w:ascii="Times New Roman" w:hAnsi="Times New Roman" w:hint="default"/>
      </w:rPr>
    </w:lvl>
    <w:lvl w:ilvl="4" w:tplc="AEFEB4F0" w:tentative="1">
      <w:start w:val="1"/>
      <w:numFmt w:val="bullet"/>
      <w:lvlText w:val="•"/>
      <w:lvlJc w:val="left"/>
      <w:pPr>
        <w:tabs>
          <w:tab w:val="num" w:pos="3600"/>
        </w:tabs>
        <w:ind w:left="3600" w:hanging="360"/>
      </w:pPr>
      <w:rPr>
        <w:rFonts w:ascii="Times New Roman" w:hAnsi="Times New Roman" w:hint="default"/>
      </w:rPr>
    </w:lvl>
    <w:lvl w:ilvl="5" w:tplc="FDC61EC0" w:tentative="1">
      <w:start w:val="1"/>
      <w:numFmt w:val="bullet"/>
      <w:lvlText w:val="•"/>
      <w:lvlJc w:val="left"/>
      <w:pPr>
        <w:tabs>
          <w:tab w:val="num" w:pos="4320"/>
        </w:tabs>
        <w:ind w:left="4320" w:hanging="360"/>
      </w:pPr>
      <w:rPr>
        <w:rFonts w:ascii="Times New Roman" w:hAnsi="Times New Roman" w:hint="default"/>
      </w:rPr>
    </w:lvl>
    <w:lvl w:ilvl="6" w:tplc="1FE27042" w:tentative="1">
      <w:start w:val="1"/>
      <w:numFmt w:val="bullet"/>
      <w:lvlText w:val="•"/>
      <w:lvlJc w:val="left"/>
      <w:pPr>
        <w:tabs>
          <w:tab w:val="num" w:pos="5040"/>
        </w:tabs>
        <w:ind w:left="5040" w:hanging="360"/>
      </w:pPr>
      <w:rPr>
        <w:rFonts w:ascii="Times New Roman" w:hAnsi="Times New Roman" w:hint="default"/>
      </w:rPr>
    </w:lvl>
    <w:lvl w:ilvl="7" w:tplc="FBA8207A" w:tentative="1">
      <w:start w:val="1"/>
      <w:numFmt w:val="bullet"/>
      <w:lvlText w:val="•"/>
      <w:lvlJc w:val="left"/>
      <w:pPr>
        <w:tabs>
          <w:tab w:val="num" w:pos="5760"/>
        </w:tabs>
        <w:ind w:left="5760" w:hanging="360"/>
      </w:pPr>
      <w:rPr>
        <w:rFonts w:ascii="Times New Roman" w:hAnsi="Times New Roman" w:hint="default"/>
      </w:rPr>
    </w:lvl>
    <w:lvl w:ilvl="8" w:tplc="6AB62F16"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082362B"/>
    <w:multiLevelType w:val="hybridMultilevel"/>
    <w:tmpl w:val="A760C1A2"/>
    <w:lvl w:ilvl="0" w:tplc="1D28F75E">
      <w:start w:val="1"/>
      <w:numFmt w:val="bullet"/>
      <w:lvlText w:val=""/>
      <w:lvlJc w:val="left"/>
      <w:pPr>
        <w:tabs>
          <w:tab w:val="num" w:pos="720"/>
        </w:tabs>
        <w:ind w:left="720" w:hanging="360"/>
      </w:pPr>
      <w:rPr>
        <w:rFonts w:ascii="Wingdings" w:hAnsi="Wingdings" w:hint="default"/>
      </w:rPr>
    </w:lvl>
    <w:lvl w:ilvl="1" w:tplc="7FFAF978" w:tentative="1">
      <w:start w:val="1"/>
      <w:numFmt w:val="bullet"/>
      <w:lvlText w:val=""/>
      <w:lvlJc w:val="left"/>
      <w:pPr>
        <w:tabs>
          <w:tab w:val="num" w:pos="1440"/>
        </w:tabs>
        <w:ind w:left="1440" w:hanging="360"/>
      </w:pPr>
      <w:rPr>
        <w:rFonts w:ascii="Wingdings" w:hAnsi="Wingdings" w:hint="default"/>
      </w:rPr>
    </w:lvl>
    <w:lvl w:ilvl="2" w:tplc="066802D6" w:tentative="1">
      <w:start w:val="1"/>
      <w:numFmt w:val="bullet"/>
      <w:lvlText w:val=""/>
      <w:lvlJc w:val="left"/>
      <w:pPr>
        <w:tabs>
          <w:tab w:val="num" w:pos="2160"/>
        </w:tabs>
        <w:ind w:left="2160" w:hanging="360"/>
      </w:pPr>
      <w:rPr>
        <w:rFonts w:ascii="Wingdings" w:hAnsi="Wingdings" w:hint="default"/>
      </w:rPr>
    </w:lvl>
    <w:lvl w:ilvl="3" w:tplc="1E1A4D3A" w:tentative="1">
      <w:start w:val="1"/>
      <w:numFmt w:val="bullet"/>
      <w:lvlText w:val=""/>
      <w:lvlJc w:val="left"/>
      <w:pPr>
        <w:tabs>
          <w:tab w:val="num" w:pos="2880"/>
        </w:tabs>
        <w:ind w:left="2880" w:hanging="360"/>
      </w:pPr>
      <w:rPr>
        <w:rFonts w:ascii="Wingdings" w:hAnsi="Wingdings" w:hint="default"/>
      </w:rPr>
    </w:lvl>
    <w:lvl w:ilvl="4" w:tplc="15E2F582" w:tentative="1">
      <w:start w:val="1"/>
      <w:numFmt w:val="bullet"/>
      <w:lvlText w:val=""/>
      <w:lvlJc w:val="left"/>
      <w:pPr>
        <w:tabs>
          <w:tab w:val="num" w:pos="3600"/>
        </w:tabs>
        <w:ind w:left="3600" w:hanging="360"/>
      </w:pPr>
      <w:rPr>
        <w:rFonts w:ascii="Wingdings" w:hAnsi="Wingdings" w:hint="default"/>
      </w:rPr>
    </w:lvl>
    <w:lvl w:ilvl="5" w:tplc="2D70820E" w:tentative="1">
      <w:start w:val="1"/>
      <w:numFmt w:val="bullet"/>
      <w:lvlText w:val=""/>
      <w:lvlJc w:val="left"/>
      <w:pPr>
        <w:tabs>
          <w:tab w:val="num" w:pos="4320"/>
        </w:tabs>
        <w:ind w:left="4320" w:hanging="360"/>
      </w:pPr>
      <w:rPr>
        <w:rFonts w:ascii="Wingdings" w:hAnsi="Wingdings" w:hint="default"/>
      </w:rPr>
    </w:lvl>
    <w:lvl w:ilvl="6" w:tplc="D062DF4C" w:tentative="1">
      <w:start w:val="1"/>
      <w:numFmt w:val="bullet"/>
      <w:lvlText w:val=""/>
      <w:lvlJc w:val="left"/>
      <w:pPr>
        <w:tabs>
          <w:tab w:val="num" w:pos="5040"/>
        </w:tabs>
        <w:ind w:left="5040" w:hanging="360"/>
      </w:pPr>
      <w:rPr>
        <w:rFonts w:ascii="Wingdings" w:hAnsi="Wingdings" w:hint="default"/>
      </w:rPr>
    </w:lvl>
    <w:lvl w:ilvl="7" w:tplc="2BF24620" w:tentative="1">
      <w:start w:val="1"/>
      <w:numFmt w:val="bullet"/>
      <w:lvlText w:val=""/>
      <w:lvlJc w:val="left"/>
      <w:pPr>
        <w:tabs>
          <w:tab w:val="num" w:pos="5760"/>
        </w:tabs>
        <w:ind w:left="5760" w:hanging="360"/>
      </w:pPr>
      <w:rPr>
        <w:rFonts w:ascii="Wingdings" w:hAnsi="Wingdings" w:hint="default"/>
      </w:rPr>
    </w:lvl>
    <w:lvl w:ilvl="8" w:tplc="9BD4A7FE" w:tentative="1">
      <w:start w:val="1"/>
      <w:numFmt w:val="bullet"/>
      <w:lvlText w:val=""/>
      <w:lvlJc w:val="left"/>
      <w:pPr>
        <w:tabs>
          <w:tab w:val="num" w:pos="6480"/>
        </w:tabs>
        <w:ind w:left="6480" w:hanging="360"/>
      </w:pPr>
      <w:rPr>
        <w:rFonts w:ascii="Wingdings" w:hAnsi="Wingdings" w:hint="default"/>
      </w:rPr>
    </w:lvl>
  </w:abstractNum>
  <w:abstractNum w:abstractNumId="23">
    <w:nsid w:val="6A690126"/>
    <w:multiLevelType w:val="hybridMultilevel"/>
    <w:tmpl w:val="7064116C"/>
    <w:lvl w:ilvl="0" w:tplc="C6427B5C">
      <w:start w:val="1"/>
      <w:numFmt w:val="bullet"/>
      <w:lvlText w:val="•"/>
      <w:lvlJc w:val="left"/>
      <w:pPr>
        <w:tabs>
          <w:tab w:val="num" w:pos="720"/>
        </w:tabs>
        <w:ind w:left="720" w:hanging="360"/>
      </w:pPr>
      <w:rPr>
        <w:rFonts w:ascii="Times New Roman" w:hAnsi="Times New Roman" w:hint="default"/>
      </w:rPr>
    </w:lvl>
    <w:lvl w:ilvl="1" w:tplc="F5D6A690" w:tentative="1">
      <w:start w:val="1"/>
      <w:numFmt w:val="bullet"/>
      <w:lvlText w:val="•"/>
      <w:lvlJc w:val="left"/>
      <w:pPr>
        <w:tabs>
          <w:tab w:val="num" w:pos="1440"/>
        </w:tabs>
        <w:ind w:left="1440" w:hanging="360"/>
      </w:pPr>
      <w:rPr>
        <w:rFonts w:ascii="Times New Roman" w:hAnsi="Times New Roman" w:hint="default"/>
      </w:rPr>
    </w:lvl>
    <w:lvl w:ilvl="2" w:tplc="77DE0FF8" w:tentative="1">
      <w:start w:val="1"/>
      <w:numFmt w:val="bullet"/>
      <w:lvlText w:val="•"/>
      <w:lvlJc w:val="left"/>
      <w:pPr>
        <w:tabs>
          <w:tab w:val="num" w:pos="2160"/>
        </w:tabs>
        <w:ind w:left="2160" w:hanging="360"/>
      </w:pPr>
      <w:rPr>
        <w:rFonts w:ascii="Times New Roman" w:hAnsi="Times New Roman" w:hint="default"/>
      </w:rPr>
    </w:lvl>
    <w:lvl w:ilvl="3" w:tplc="02F4B044" w:tentative="1">
      <w:start w:val="1"/>
      <w:numFmt w:val="bullet"/>
      <w:lvlText w:val="•"/>
      <w:lvlJc w:val="left"/>
      <w:pPr>
        <w:tabs>
          <w:tab w:val="num" w:pos="2880"/>
        </w:tabs>
        <w:ind w:left="2880" w:hanging="360"/>
      </w:pPr>
      <w:rPr>
        <w:rFonts w:ascii="Times New Roman" w:hAnsi="Times New Roman" w:hint="default"/>
      </w:rPr>
    </w:lvl>
    <w:lvl w:ilvl="4" w:tplc="CC8235B4" w:tentative="1">
      <w:start w:val="1"/>
      <w:numFmt w:val="bullet"/>
      <w:lvlText w:val="•"/>
      <w:lvlJc w:val="left"/>
      <w:pPr>
        <w:tabs>
          <w:tab w:val="num" w:pos="3600"/>
        </w:tabs>
        <w:ind w:left="3600" w:hanging="360"/>
      </w:pPr>
      <w:rPr>
        <w:rFonts w:ascii="Times New Roman" w:hAnsi="Times New Roman" w:hint="default"/>
      </w:rPr>
    </w:lvl>
    <w:lvl w:ilvl="5" w:tplc="80EC6F92" w:tentative="1">
      <w:start w:val="1"/>
      <w:numFmt w:val="bullet"/>
      <w:lvlText w:val="•"/>
      <w:lvlJc w:val="left"/>
      <w:pPr>
        <w:tabs>
          <w:tab w:val="num" w:pos="4320"/>
        </w:tabs>
        <w:ind w:left="4320" w:hanging="360"/>
      </w:pPr>
      <w:rPr>
        <w:rFonts w:ascii="Times New Roman" w:hAnsi="Times New Roman" w:hint="default"/>
      </w:rPr>
    </w:lvl>
    <w:lvl w:ilvl="6" w:tplc="9C781E6A" w:tentative="1">
      <w:start w:val="1"/>
      <w:numFmt w:val="bullet"/>
      <w:lvlText w:val="•"/>
      <w:lvlJc w:val="left"/>
      <w:pPr>
        <w:tabs>
          <w:tab w:val="num" w:pos="5040"/>
        </w:tabs>
        <w:ind w:left="5040" w:hanging="360"/>
      </w:pPr>
      <w:rPr>
        <w:rFonts w:ascii="Times New Roman" w:hAnsi="Times New Roman" w:hint="default"/>
      </w:rPr>
    </w:lvl>
    <w:lvl w:ilvl="7" w:tplc="4532F592" w:tentative="1">
      <w:start w:val="1"/>
      <w:numFmt w:val="bullet"/>
      <w:lvlText w:val="•"/>
      <w:lvlJc w:val="left"/>
      <w:pPr>
        <w:tabs>
          <w:tab w:val="num" w:pos="5760"/>
        </w:tabs>
        <w:ind w:left="5760" w:hanging="360"/>
      </w:pPr>
      <w:rPr>
        <w:rFonts w:ascii="Times New Roman" w:hAnsi="Times New Roman" w:hint="default"/>
      </w:rPr>
    </w:lvl>
    <w:lvl w:ilvl="8" w:tplc="8DC898A8"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B7A6ED7"/>
    <w:multiLevelType w:val="hybridMultilevel"/>
    <w:tmpl w:val="9196A792"/>
    <w:lvl w:ilvl="0" w:tplc="CC2A0378">
      <w:start w:val="1"/>
      <w:numFmt w:val="decimal"/>
      <w:lvlText w:val="%1)"/>
      <w:lvlJc w:val="left"/>
      <w:pPr>
        <w:ind w:left="1921" w:hanging="121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2590CCC"/>
    <w:multiLevelType w:val="hybridMultilevel"/>
    <w:tmpl w:val="5FD8401C"/>
    <w:lvl w:ilvl="0" w:tplc="DA16FB3E">
      <w:start w:val="1"/>
      <w:numFmt w:val="bullet"/>
      <w:lvlText w:val=""/>
      <w:lvlJc w:val="left"/>
      <w:pPr>
        <w:tabs>
          <w:tab w:val="num" w:pos="720"/>
        </w:tabs>
        <w:ind w:left="720" w:hanging="360"/>
      </w:pPr>
      <w:rPr>
        <w:rFonts w:ascii="Wingdings" w:hAnsi="Wingdings" w:hint="default"/>
      </w:rPr>
    </w:lvl>
    <w:lvl w:ilvl="1" w:tplc="3AF2E92C" w:tentative="1">
      <w:start w:val="1"/>
      <w:numFmt w:val="bullet"/>
      <w:lvlText w:val=""/>
      <w:lvlJc w:val="left"/>
      <w:pPr>
        <w:tabs>
          <w:tab w:val="num" w:pos="1440"/>
        </w:tabs>
        <w:ind w:left="1440" w:hanging="360"/>
      </w:pPr>
      <w:rPr>
        <w:rFonts w:ascii="Wingdings" w:hAnsi="Wingdings" w:hint="default"/>
      </w:rPr>
    </w:lvl>
    <w:lvl w:ilvl="2" w:tplc="DA1C0F6C" w:tentative="1">
      <w:start w:val="1"/>
      <w:numFmt w:val="bullet"/>
      <w:lvlText w:val=""/>
      <w:lvlJc w:val="left"/>
      <w:pPr>
        <w:tabs>
          <w:tab w:val="num" w:pos="2160"/>
        </w:tabs>
        <w:ind w:left="2160" w:hanging="360"/>
      </w:pPr>
      <w:rPr>
        <w:rFonts w:ascii="Wingdings" w:hAnsi="Wingdings" w:hint="default"/>
      </w:rPr>
    </w:lvl>
    <w:lvl w:ilvl="3" w:tplc="1D8E2D86" w:tentative="1">
      <w:start w:val="1"/>
      <w:numFmt w:val="bullet"/>
      <w:lvlText w:val=""/>
      <w:lvlJc w:val="left"/>
      <w:pPr>
        <w:tabs>
          <w:tab w:val="num" w:pos="2880"/>
        </w:tabs>
        <w:ind w:left="2880" w:hanging="360"/>
      </w:pPr>
      <w:rPr>
        <w:rFonts w:ascii="Wingdings" w:hAnsi="Wingdings" w:hint="default"/>
      </w:rPr>
    </w:lvl>
    <w:lvl w:ilvl="4" w:tplc="D73A6E2C" w:tentative="1">
      <w:start w:val="1"/>
      <w:numFmt w:val="bullet"/>
      <w:lvlText w:val=""/>
      <w:lvlJc w:val="left"/>
      <w:pPr>
        <w:tabs>
          <w:tab w:val="num" w:pos="3600"/>
        </w:tabs>
        <w:ind w:left="3600" w:hanging="360"/>
      </w:pPr>
      <w:rPr>
        <w:rFonts w:ascii="Wingdings" w:hAnsi="Wingdings" w:hint="default"/>
      </w:rPr>
    </w:lvl>
    <w:lvl w:ilvl="5" w:tplc="EAC2A74A" w:tentative="1">
      <w:start w:val="1"/>
      <w:numFmt w:val="bullet"/>
      <w:lvlText w:val=""/>
      <w:lvlJc w:val="left"/>
      <w:pPr>
        <w:tabs>
          <w:tab w:val="num" w:pos="4320"/>
        </w:tabs>
        <w:ind w:left="4320" w:hanging="360"/>
      </w:pPr>
      <w:rPr>
        <w:rFonts w:ascii="Wingdings" w:hAnsi="Wingdings" w:hint="default"/>
      </w:rPr>
    </w:lvl>
    <w:lvl w:ilvl="6" w:tplc="72C2F2FA" w:tentative="1">
      <w:start w:val="1"/>
      <w:numFmt w:val="bullet"/>
      <w:lvlText w:val=""/>
      <w:lvlJc w:val="left"/>
      <w:pPr>
        <w:tabs>
          <w:tab w:val="num" w:pos="5040"/>
        </w:tabs>
        <w:ind w:left="5040" w:hanging="360"/>
      </w:pPr>
      <w:rPr>
        <w:rFonts w:ascii="Wingdings" w:hAnsi="Wingdings" w:hint="default"/>
      </w:rPr>
    </w:lvl>
    <w:lvl w:ilvl="7" w:tplc="1554951C" w:tentative="1">
      <w:start w:val="1"/>
      <w:numFmt w:val="bullet"/>
      <w:lvlText w:val=""/>
      <w:lvlJc w:val="left"/>
      <w:pPr>
        <w:tabs>
          <w:tab w:val="num" w:pos="5760"/>
        </w:tabs>
        <w:ind w:left="5760" w:hanging="360"/>
      </w:pPr>
      <w:rPr>
        <w:rFonts w:ascii="Wingdings" w:hAnsi="Wingdings" w:hint="default"/>
      </w:rPr>
    </w:lvl>
    <w:lvl w:ilvl="8" w:tplc="F268099E" w:tentative="1">
      <w:start w:val="1"/>
      <w:numFmt w:val="bullet"/>
      <w:lvlText w:val=""/>
      <w:lvlJc w:val="left"/>
      <w:pPr>
        <w:tabs>
          <w:tab w:val="num" w:pos="6480"/>
        </w:tabs>
        <w:ind w:left="6480" w:hanging="360"/>
      </w:pPr>
      <w:rPr>
        <w:rFonts w:ascii="Wingdings" w:hAnsi="Wingdings" w:hint="default"/>
      </w:rPr>
    </w:lvl>
  </w:abstractNum>
  <w:abstractNum w:abstractNumId="26">
    <w:nsid w:val="74BC1B42"/>
    <w:multiLevelType w:val="hybridMultilevel"/>
    <w:tmpl w:val="8D7C6898"/>
    <w:lvl w:ilvl="0" w:tplc="532084DC">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F105AD8"/>
    <w:multiLevelType w:val="hybridMultilevel"/>
    <w:tmpl w:val="C6646B28"/>
    <w:lvl w:ilvl="0" w:tplc="65C245EC">
      <w:start w:val="1"/>
      <w:numFmt w:val="bullet"/>
      <w:lvlText w:val=""/>
      <w:lvlJc w:val="left"/>
      <w:pPr>
        <w:tabs>
          <w:tab w:val="num" w:pos="720"/>
        </w:tabs>
        <w:ind w:left="720" w:hanging="360"/>
      </w:pPr>
      <w:rPr>
        <w:rFonts w:ascii="Wingdings" w:hAnsi="Wingdings" w:hint="default"/>
      </w:rPr>
    </w:lvl>
    <w:lvl w:ilvl="1" w:tplc="DD0A4F12" w:tentative="1">
      <w:start w:val="1"/>
      <w:numFmt w:val="bullet"/>
      <w:lvlText w:val=""/>
      <w:lvlJc w:val="left"/>
      <w:pPr>
        <w:tabs>
          <w:tab w:val="num" w:pos="1440"/>
        </w:tabs>
        <w:ind w:left="1440" w:hanging="360"/>
      </w:pPr>
      <w:rPr>
        <w:rFonts w:ascii="Wingdings" w:hAnsi="Wingdings" w:hint="default"/>
      </w:rPr>
    </w:lvl>
    <w:lvl w:ilvl="2" w:tplc="FB2A445A" w:tentative="1">
      <w:start w:val="1"/>
      <w:numFmt w:val="bullet"/>
      <w:lvlText w:val=""/>
      <w:lvlJc w:val="left"/>
      <w:pPr>
        <w:tabs>
          <w:tab w:val="num" w:pos="2160"/>
        </w:tabs>
        <w:ind w:left="2160" w:hanging="360"/>
      </w:pPr>
      <w:rPr>
        <w:rFonts w:ascii="Wingdings" w:hAnsi="Wingdings" w:hint="default"/>
      </w:rPr>
    </w:lvl>
    <w:lvl w:ilvl="3" w:tplc="902426F2" w:tentative="1">
      <w:start w:val="1"/>
      <w:numFmt w:val="bullet"/>
      <w:lvlText w:val=""/>
      <w:lvlJc w:val="left"/>
      <w:pPr>
        <w:tabs>
          <w:tab w:val="num" w:pos="2880"/>
        </w:tabs>
        <w:ind w:left="2880" w:hanging="360"/>
      </w:pPr>
      <w:rPr>
        <w:rFonts w:ascii="Wingdings" w:hAnsi="Wingdings" w:hint="default"/>
      </w:rPr>
    </w:lvl>
    <w:lvl w:ilvl="4" w:tplc="8578F516" w:tentative="1">
      <w:start w:val="1"/>
      <w:numFmt w:val="bullet"/>
      <w:lvlText w:val=""/>
      <w:lvlJc w:val="left"/>
      <w:pPr>
        <w:tabs>
          <w:tab w:val="num" w:pos="3600"/>
        </w:tabs>
        <w:ind w:left="3600" w:hanging="360"/>
      </w:pPr>
      <w:rPr>
        <w:rFonts w:ascii="Wingdings" w:hAnsi="Wingdings" w:hint="default"/>
      </w:rPr>
    </w:lvl>
    <w:lvl w:ilvl="5" w:tplc="FEA0F786" w:tentative="1">
      <w:start w:val="1"/>
      <w:numFmt w:val="bullet"/>
      <w:lvlText w:val=""/>
      <w:lvlJc w:val="left"/>
      <w:pPr>
        <w:tabs>
          <w:tab w:val="num" w:pos="4320"/>
        </w:tabs>
        <w:ind w:left="4320" w:hanging="360"/>
      </w:pPr>
      <w:rPr>
        <w:rFonts w:ascii="Wingdings" w:hAnsi="Wingdings" w:hint="default"/>
      </w:rPr>
    </w:lvl>
    <w:lvl w:ilvl="6" w:tplc="66F2BE16" w:tentative="1">
      <w:start w:val="1"/>
      <w:numFmt w:val="bullet"/>
      <w:lvlText w:val=""/>
      <w:lvlJc w:val="left"/>
      <w:pPr>
        <w:tabs>
          <w:tab w:val="num" w:pos="5040"/>
        </w:tabs>
        <w:ind w:left="5040" w:hanging="360"/>
      </w:pPr>
      <w:rPr>
        <w:rFonts w:ascii="Wingdings" w:hAnsi="Wingdings" w:hint="default"/>
      </w:rPr>
    </w:lvl>
    <w:lvl w:ilvl="7" w:tplc="E39C7C48" w:tentative="1">
      <w:start w:val="1"/>
      <w:numFmt w:val="bullet"/>
      <w:lvlText w:val=""/>
      <w:lvlJc w:val="left"/>
      <w:pPr>
        <w:tabs>
          <w:tab w:val="num" w:pos="5760"/>
        </w:tabs>
        <w:ind w:left="5760" w:hanging="360"/>
      </w:pPr>
      <w:rPr>
        <w:rFonts w:ascii="Wingdings" w:hAnsi="Wingdings" w:hint="default"/>
      </w:rPr>
    </w:lvl>
    <w:lvl w:ilvl="8" w:tplc="54943712"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
  </w:num>
  <w:num w:numId="3">
    <w:abstractNumId w:val="9"/>
  </w:num>
  <w:num w:numId="4">
    <w:abstractNumId w:val="20"/>
  </w:num>
  <w:num w:numId="5">
    <w:abstractNumId w:val="7"/>
  </w:num>
  <w:num w:numId="6">
    <w:abstractNumId w:val="10"/>
  </w:num>
  <w:num w:numId="7">
    <w:abstractNumId w:val="18"/>
  </w:num>
  <w:num w:numId="8">
    <w:abstractNumId w:val="12"/>
  </w:num>
  <w:num w:numId="9">
    <w:abstractNumId w:val="23"/>
  </w:num>
  <w:num w:numId="10">
    <w:abstractNumId w:val="17"/>
  </w:num>
  <w:num w:numId="11">
    <w:abstractNumId w:val="21"/>
  </w:num>
  <w:num w:numId="12">
    <w:abstractNumId w:val="26"/>
  </w:num>
  <w:num w:numId="13">
    <w:abstractNumId w:val="11"/>
  </w:num>
  <w:num w:numId="14">
    <w:abstractNumId w:val="19"/>
  </w:num>
  <w:num w:numId="15">
    <w:abstractNumId w:val="16"/>
  </w:num>
  <w:num w:numId="16">
    <w:abstractNumId w:val="25"/>
  </w:num>
  <w:num w:numId="17">
    <w:abstractNumId w:val="14"/>
  </w:num>
  <w:num w:numId="18">
    <w:abstractNumId w:val="0"/>
  </w:num>
  <w:num w:numId="19">
    <w:abstractNumId w:val="6"/>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4"/>
  </w:num>
  <w:num w:numId="26">
    <w:abstractNumId w:val="4"/>
  </w:num>
  <w:num w:numId="27">
    <w:abstractNumId w:val="5"/>
  </w:num>
  <w:num w:numId="28">
    <w:abstractNumId w:val="15"/>
  </w:num>
  <w:num w:numId="29">
    <w:abstractNumId w:val="22"/>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hdrShapeDefaults>
    <o:shapedefaults v:ext="edit" spidmax="2049">
      <o:colormru v:ext="edit" colors="#cf9,#f3f3f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586"/>
    <w:rsid w:val="00000335"/>
    <w:rsid w:val="00001970"/>
    <w:rsid w:val="00003E7C"/>
    <w:rsid w:val="00007B43"/>
    <w:rsid w:val="0001082E"/>
    <w:rsid w:val="00015E28"/>
    <w:rsid w:val="00025FFE"/>
    <w:rsid w:val="000354BA"/>
    <w:rsid w:val="00037A35"/>
    <w:rsid w:val="000404B1"/>
    <w:rsid w:val="000426FA"/>
    <w:rsid w:val="00051207"/>
    <w:rsid w:val="000513B2"/>
    <w:rsid w:val="00051785"/>
    <w:rsid w:val="00051C7A"/>
    <w:rsid w:val="000528C5"/>
    <w:rsid w:val="00053437"/>
    <w:rsid w:val="00056218"/>
    <w:rsid w:val="000611C0"/>
    <w:rsid w:val="00061C5D"/>
    <w:rsid w:val="000701A1"/>
    <w:rsid w:val="000716C8"/>
    <w:rsid w:val="00071E84"/>
    <w:rsid w:val="0007459E"/>
    <w:rsid w:val="00075ABC"/>
    <w:rsid w:val="0008501B"/>
    <w:rsid w:val="0008527A"/>
    <w:rsid w:val="0009490C"/>
    <w:rsid w:val="00095276"/>
    <w:rsid w:val="000A34AC"/>
    <w:rsid w:val="000B33C3"/>
    <w:rsid w:val="000C23D7"/>
    <w:rsid w:val="000D2ED1"/>
    <w:rsid w:val="000E01E1"/>
    <w:rsid w:val="000E0DAC"/>
    <w:rsid w:val="000E39CE"/>
    <w:rsid w:val="000E45E8"/>
    <w:rsid w:val="000E4BCF"/>
    <w:rsid w:val="000E6503"/>
    <w:rsid w:val="000F1CD2"/>
    <w:rsid w:val="000F653C"/>
    <w:rsid w:val="001123A0"/>
    <w:rsid w:val="001128AB"/>
    <w:rsid w:val="001220BE"/>
    <w:rsid w:val="00132CEE"/>
    <w:rsid w:val="00141516"/>
    <w:rsid w:val="00156563"/>
    <w:rsid w:val="001566AE"/>
    <w:rsid w:val="0015759F"/>
    <w:rsid w:val="001575F9"/>
    <w:rsid w:val="00157779"/>
    <w:rsid w:val="001673C1"/>
    <w:rsid w:val="00170B5E"/>
    <w:rsid w:val="00173FAD"/>
    <w:rsid w:val="0017507B"/>
    <w:rsid w:val="00176F0A"/>
    <w:rsid w:val="001771BC"/>
    <w:rsid w:val="00183D62"/>
    <w:rsid w:val="0019163D"/>
    <w:rsid w:val="00191647"/>
    <w:rsid w:val="001A17BE"/>
    <w:rsid w:val="001B5C8F"/>
    <w:rsid w:val="001C17B1"/>
    <w:rsid w:val="001D19E4"/>
    <w:rsid w:val="001D3002"/>
    <w:rsid w:val="001D639D"/>
    <w:rsid w:val="0020134E"/>
    <w:rsid w:val="00215A65"/>
    <w:rsid w:val="002168F7"/>
    <w:rsid w:val="00230836"/>
    <w:rsid w:val="00231521"/>
    <w:rsid w:val="00237F8D"/>
    <w:rsid w:val="0024159D"/>
    <w:rsid w:val="00246E23"/>
    <w:rsid w:val="00250515"/>
    <w:rsid w:val="00257626"/>
    <w:rsid w:val="00264041"/>
    <w:rsid w:val="00266204"/>
    <w:rsid w:val="0027642A"/>
    <w:rsid w:val="002876A1"/>
    <w:rsid w:val="00292AEA"/>
    <w:rsid w:val="00294301"/>
    <w:rsid w:val="002A4D9F"/>
    <w:rsid w:val="002B3A7D"/>
    <w:rsid w:val="002C2AFD"/>
    <w:rsid w:val="002C3786"/>
    <w:rsid w:val="002C5E45"/>
    <w:rsid w:val="002C6093"/>
    <w:rsid w:val="002C64D4"/>
    <w:rsid w:val="002D2649"/>
    <w:rsid w:val="002D5ED3"/>
    <w:rsid w:val="002E1073"/>
    <w:rsid w:val="002E33BB"/>
    <w:rsid w:val="002E5C2F"/>
    <w:rsid w:val="002F5468"/>
    <w:rsid w:val="002F6F48"/>
    <w:rsid w:val="00300DA7"/>
    <w:rsid w:val="0030775A"/>
    <w:rsid w:val="003124CD"/>
    <w:rsid w:val="003128EE"/>
    <w:rsid w:val="00317C8E"/>
    <w:rsid w:val="003204E2"/>
    <w:rsid w:val="00322F31"/>
    <w:rsid w:val="00325287"/>
    <w:rsid w:val="0032693E"/>
    <w:rsid w:val="0032750B"/>
    <w:rsid w:val="0032786F"/>
    <w:rsid w:val="00327BDD"/>
    <w:rsid w:val="00332B6A"/>
    <w:rsid w:val="003405AE"/>
    <w:rsid w:val="003429D7"/>
    <w:rsid w:val="00343D1C"/>
    <w:rsid w:val="00351477"/>
    <w:rsid w:val="00354088"/>
    <w:rsid w:val="0035454E"/>
    <w:rsid w:val="00354EA0"/>
    <w:rsid w:val="0035580C"/>
    <w:rsid w:val="00365547"/>
    <w:rsid w:val="00385B09"/>
    <w:rsid w:val="003874CE"/>
    <w:rsid w:val="0038768B"/>
    <w:rsid w:val="003908B1"/>
    <w:rsid w:val="003965D5"/>
    <w:rsid w:val="003973A1"/>
    <w:rsid w:val="003A4257"/>
    <w:rsid w:val="003B32C6"/>
    <w:rsid w:val="003C393B"/>
    <w:rsid w:val="003D5BDF"/>
    <w:rsid w:val="003E0529"/>
    <w:rsid w:val="003E1657"/>
    <w:rsid w:val="003F027D"/>
    <w:rsid w:val="004061CF"/>
    <w:rsid w:val="00406E47"/>
    <w:rsid w:val="004133C7"/>
    <w:rsid w:val="00446474"/>
    <w:rsid w:val="00454A34"/>
    <w:rsid w:val="00457B00"/>
    <w:rsid w:val="004611D3"/>
    <w:rsid w:val="00471727"/>
    <w:rsid w:val="0047262C"/>
    <w:rsid w:val="00476637"/>
    <w:rsid w:val="004847CB"/>
    <w:rsid w:val="00486E1D"/>
    <w:rsid w:val="00493281"/>
    <w:rsid w:val="004970CA"/>
    <w:rsid w:val="0049767F"/>
    <w:rsid w:val="00497FE9"/>
    <w:rsid w:val="004A3D0E"/>
    <w:rsid w:val="004B26ED"/>
    <w:rsid w:val="004B2ADF"/>
    <w:rsid w:val="004B3663"/>
    <w:rsid w:val="004C00CA"/>
    <w:rsid w:val="004C066E"/>
    <w:rsid w:val="004C58D2"/>
    <w:rsid w:val="004C6CFA"/>
    <w:rsid w:val="004C701E"/>
    <w:rsid w:val="004C7137"/>
    <w:rsid w:val="004D32BE"/>
    <w:rsid w:val="004E01F1"/>
    <w:rsid w:val="004E7C3A"/>
    <w:rsid w:val="004F51FE"/>
    <w:rsid w:val="005010CE"/>
    <w:rsid w:val="00503833"/>
    <w:rsid w:val="00503AD2"/>
    <w:rsid w:val="00504B23"/>
    <w:rsid w:val="005128DC"/>
    <w:rsid w:val="00517E84"/>
    <w:rsid w:val="005277D3"/>
    <w:rsid w:val="00532C40"/>
    <w:rsid w:val="005360F1"/>
    <w:rsid w:val="00542C80"/>
    <w:rsid w:val="00543970"/>
    <w:rsid w:val="005442A7"/>
    <w:rsid w:val="00546122"/>
    <w:rsid w:val="00550221"/>
    <w:rsid w:val="005509B8"/>
    <w:rsid w:val="00551431"/>
    <w:rsid w:val="005523CC"/>
    <w:rsid w:val="005528B2"/>
    <w:rsid w:val="00560586"/>
    <w:rsid w:val="0056588B"/>
    <w:rsid w:val="00570CF8"/>
    <w:rsid w:val="005805D6"/>
    <w:rsid w:val="00583F9B"/>
    <w:rsid w:val="00586B57"/>
    <w:rsid w:val="00587D56"/>
    <w:rsid w:val="00590644"/>
    <w:rsid w:val="00592C80"/>
    <w:rsid w:val="0059699A"/>
    <w:rsid w:val="005975A6"/>
    <w:rsid w:val="005A20D8"/>
    <w:rsid w:val="005B4325"/>
    <w:rsid w:val="005B5481"/>
    <w:rsid w:val="005B70B5"/>
    <w:rsid w:val="005B7457"/>
    <w:rsid w:val="005B7922"/>
    <w:rsid w:val="005C7913"/>
    <w:rsid w:val="005C7ECE"/>
    <w:rsid w:val="005D2373"/>
    <w:rsid w:val="005D2A5D"/>
    <w:rsid w:val="005D4F6E"/>
    <w:rsid w:val="005D6D1C"/>
    <w:rsid w:val="005E288D"/>
    <w:rsid w:val="005E3FFC"/>
    <w:rsid w:val="005E44AE"/>
    <w:rsid w:val="005E5300"/>
    <w:rsid w:val="005F0BFB"/>
    <w:rsid w:val="005F3A9A"/>
    <w:rsid w:val="00605549"/>
    <w:rsid w:val="00605A42"/>
    <w:rsid w:val="00610467"/>
    <w:rsid w:val="0061133E"/>
    <w:rsid w:val="00633E6E"/>
    <w:rsid w:val="00635995"/>
    <w:rsid w:val="0063751B"/>
    <w:rsid w:val="006429A5"/>
    <w:rsid w:val="00650980"/>
    <w:rsid w:val="0066398E"/>
    <w:rsid w:val="006665DC"/>
    <w:rsid w:val="006708F4"/>
    <w:rsid w:val="00671D55"/>
    <w:rsid w:val="006726F2"/>
    <w:rsid w:val="0067702E"/>
    <w:rsid w:val="0067762A"/>
    <w:rsid w:val="0068254D"/>
    <w:rsid w:val="006848F2"/>
    <w:rsid w:val="006869DD"/>
    <w:rsid w:val="00687214"/>
    <w:rsid w:val="00692CBC"/>
    <w:rsid w:val="006950E0"/>
    <w:rsid w:val="006A1A84"/>
    <w:rsid w:val="006A27FD"/>
    <w:rsid w:val="006A3053"/>
    <w:rsid w:val="006B1C90"/>
    <w:rsid w:val="006B2F53"/>
    <w:rsid w:val="006C34B0"/>
    <w:rsid w:val="006D1A2D"/>
    <w:rsid w:val="006D2C9C"/>
    <w:rsid w:val="006D75CE"/>
    <w:rsid w:val="006E2AC8"/>
    <w:rsid w:val="006E34B6"/>
    <w:rsid w:val="006E4615"/>
    <w:rsid w:val="006E5D33"/>
    <w:rsid w:val="006E7AD4"/>
    <w:rsid w:val="006F1B27"/>
    <w:rsid w:val="006F65CE"/>
    <w:rsid w:val="007009F7"/>
    <w:rsid w:val="00701CCA"/>
    <w:rsid w:val="00701D2D"/>
    <w:rsid w:val="0070273A"/>
    <w:rsid w:val="00702F43"/>
    <w:rsid w:val="007067D2"/>
    <w:rsid w:val="00707438"/>
    <w:rsid w:val="00717C19"/>
    <w:rsid w:val="007234AE"/>
    <w:rsid w:val="00730A68"/>
    <w:rsid w:val="00730E40"/>
    <w:rsid w:val="00731D01"/>
    <w:rsid w:val="0073388E"/>
    <w:rsid w:val="00745ECF"/>
    <w:rsid w:val="007551E0"/>
    <w:rsid w:val="00755AC0"/>
    <w:rsid w:val="007603CC"/>
    <w:rsid w:val="00765DC8"/>
    <w:rsid w:val="00767DD4"/>
    <w:rsid w:val="00772C7C"/>
    <w:rsid w:val="00775236"/>
    <w:rsid w:val="00784268"/>
    <w:rsid w:val="007925F1"/>
    <w:rsid w:val="007A2E97"/>
    <w:rsid w:val="007A5ACD"/>
    <w:rsid w:val="007B3735"/>
    <w:rsid w:val="007B520C"/>
    <w:rsid w:val="007B7A42"/>
    <w:rsid w:val="007B7D6A"/>
    <w:rsid w:val="007C1F96"/>
    <w:rsid w:val="007C3E96"/>
    <w:rsid w:val="007D0CC8"/>
    <w:rsid w:val="007D19AC"/>
    <w:rsid w:val="007D2193"/>
    <w:rsid w:val="007D383F"/>
    <w:rsid w:val="007D438D"/>
    <w:rsid w:val="007D53D1"/>
    <w:rsid w:val="007E432E"/>
    <w:rsid w:val="007E45C2"/>
    <w:rsid w:val="007E6EEA"/>
    <w:rsid w:val="007F3DC2"/>
    <w:rsid w:val="007F4782"/>
    <w:rsid w:val="00801E21"/>
    <w:rsid w:val="00802CD3"/>
    <w:rsid w:val="00803AB5"/>
    <w:rsid w:val="0081627F"/>
    <w:rsid w:val="0081653F"/>
    <w:rsid w:val="008203C7"/>
    <w:rsid w:val="0082483E"/>
    <w:rsid w:val="00824C8B"/>
    <w:rsid w:val="008258E6"/>
    <w:rsid w:val="00827908"/>
    <w:rsid w:val="008323F8"/>
    <w:rsid w:val="00840EC9"/>
    <w:rsid w:val="008429CA"/>
    <w:rsid w:val="00842C3A"/>
    <w:rsid w:val="00843DBA"/>
    <w:rsid w:val="00846DC9"/>
    <w:rsid w:val="0085035C"/>
    <w:rsid w:val="00855CAB"/>
    <w:rsid w:val="008578F3"/>
    <w:rsid w:val="00860331"/>
    <w:rsid w:val="00860DAB"/>
    <w:rsid w:val="0086123F"/>
    <w:rsid w:val="008632AA"/>
    <w:rsid w:val="00880401"/>
    <w:rsid w:val="008878F2"/>
    <w:rsid w:val="008A5CA5"/>
    <w:rsid w:val="008A6796"/>
    <w:rsid w:val="008A6FB1"/>
    <w:rsid w:val="008B08BC"/>
    <w:rsid w:val="008B106E"/>
    <w:rsid w:val="008C1746"/>
    <w:rsid w:val="008C7CD9"/>
    <w:rsid w:val="008D2765"/>
    <w:rsid w:val="008D47CF"/>
    <w:rsid w:val="008E3F25"/>
    <w:rsid w:val="008E504B"/>
    <w:rsid w:val="008E569C"/>
    <w:rsid w:val="008F3CA7"/>
    <w:rsid w:val="008F6928"/>
    <w:rsid w:val="008F6CDF"/>
    <w:rsid w:val="008F7F6F"/>
    <w:rsid w:val="0090149B"/>
    <w:rsid w:val="00917F6B"/>
    <w:rsid w:val="009262BE"/>
    <w:rsid w:val="009267DD"/>
    <w:rsid w:val="0093063F"/>
    <w:rsid w:val="009545C8"/>
    <w:rsid w:val="00965C6B"/>
    <w:rsid w:val="00970F5D"/>
    <w:rsid w:val="0097371C"/>
    <w:rsid w:val="0098575E"/>
    <w:rsid w:val="009948F2"/>
    <w:rsid w:val="009A0CF5"/>
    <w:rsid w:val="009A2C4A"/>
    <w:rsid w:val="009A3231"/>
    <w:rsid w:val="009A372B"/>
    <w:rsid w:val="009B1B20"/>
    <w:rsid w:val="009B3B2D"/>
    <w:rsid w:val="009B50BF"/>
    <w:rsid w:val="009B5451"/>
    <w:rsid w:val="009B6379"/>
    <w:rsid w:val="009C415F"/>
    <w:rsid w:val="009C5BA7"/>
    <w:rsid w:val="009C6E0D"/>
    <w:rsid w:val="009D29B0"/>
    <w:rsid w:val="009D4E29"/>
    <w:rsid w:val="009D6121"/>
    <w:rsid w:val="009D64A3"/>
    <w:rsid w:val="009E09D9"/>
    <w:rsid w:val="009E1B53"/>
    <w:rsid w:val="009E41D7"/>
    <w:rsid w:val="009F6C5A"/>
    <w:rsid w:val="00A02F67"/>
    <w:rsid w:val="00A0643C"/>
    <w:rsid w:val="00A06458"/>
    <w:rsid w:val="00A16F6E"/>
    <w:rsid w:val="00A2149B"/>
    <w:rsid w:val="00A21C86"/>
    <w:rsid w:val="00A3064C"/>
    <w:rsid w:val="00A30B7D"/>
    <w:rsid w:val="00A3494E"/>
    <w:rsid w:val="00A34E05"/>
    <w:rsid w:val="00A42D50"/>
    <w:rsid w:val="00A4444F"/>
    <w:rsid w:val="00A446E6"/>
    <w:rsid w:val="00A56F4C"/>
    <w:rsid w:val="00A76649"/>
    <w:rsid w:val="00A80CBB"/>
    <w:rsid w:val="00A81CEE"/>
    <w:rsid w:val="00A85216"/>
    <w:rsid w:val="00AA174E"/>
    <w:rsid w:val="00AB2BFD"/>
    <w:rsid w:val="00AD1F6E"/>
    <w:rsid w:val="00AD61DA"/>
    <w:rsid w:val="00AE15B3"/>
    <w:rsid w:val="00AE30BF"/>
    <w:rsid w:val="00AE499A"/>
    <w:rsid w:val="00AF1356"/>
    <w:rsid w:val="00AF4EEF"/>
    <w:rsid w:val="00AF6CEB"/>
    <w:rsid w:val="00AF7523"/>
    <w:rsid w:val="00B0317F"/>
    <w:rsid w:val="00B047FC"/>
    <w:rsid w:val="00B1573D"/>
    <w:rsid w:val="00B16C22"/>
    <w:rsid w:val="00B26278"/>
    <w:rsid w:val="00B31D1C"/>
    <w:rsid w:val="00B410BD"/>
    <w:rsid w:val="00B41594"/>
    <w:rsid w:val="00B435DB"/>
    <w:rsid w:val="00B44CA1"/>
    <w:rsid w:val="00B47A6D"/>
    <w:rsid w:val="00B571B2"/>
    <w:rsid w:val="00B571DA"/>
    <w:rsid w:val="00B63ABB"/>
    <w:rsid w:val="00B7048D"/>
    <w:rsid w:val="00B73D05"/>
    <w:rsid w:val="00B85DB3"/>
    <w:rsid w:val="00B91897"/>
    <w:rsid w:val="00BA33CD"/>
    <w:rsid w:val="00BB0CFD"/>
    <w:rsid w:val="00BB2670"/>
    <w:rsid w:val="00BB41E3"/>
    <w:rsid w:val="00BB6F62"/>
    <w:rsid w:val="00BB7B17"/>
    <w:rsid w:val="00BC1404"/>
    <w:rsid w:val="00BC2EAE"/>
    <w:rsid w:val="00BC42DD"/>
    <w:rsid w:val="00BD554F"/>
    <w:rsid w:val="00BE44AD"/>
    <w:rsid w:val="00BE65AC"/>
    <w:rsid w:val="00BE6AAE"/>
    <w:rsid w:val="00BF255C"/>
    <w:rsid w:val="00BF2D40"/>
    <w:rsid w:val="00BF3544"/>
    <w:rsid w:val="00BF4D0E"/>
    <w:rsid w:val="00BF7F6B"/>
    <w:rsid w:val="00C00A5C"/>
    <w:rsid w:val="00C11292"/>
    <w:rsid w:val="00C2493B"/>
    <w:rsid w:val="00C3321B"/>
    <w:rsid w:val="00C425AE"/>
    <w:rsid w:val="00C435B4"/>
    <w:rsid w:val="00C440BD"/>
    <w:rsid w:val="00C52217"/>
    <w:rsid w:val="00C55880"/>
    <w:rsid w:val="00C64530"/>
    <w:rsid w:val="00C70E3B"/>
    <w:rsid w:val="00C76244"/>
    <w:rsid w:val="00C76684"/>
    <w:rsid w:val="00C77E3B"/>
    <w:rsid w:val="00C82A37"/>
    <w:rsid w:val="00C84134"/>
    <w:rsid w:val="00C87ED4"/>
    <w:rsid w:val="00C91738"/>
    <w:rsid w:val="00C92948"/>
    <w:rsid w:val="00C97AD7"/>
    <w:rsid w:val="00CA40C1"/>
    <w:rsid w:val="00CB2E51"/>
    <w:rsid w:val="00CB37F6"/>
    <w:rsid w:val="00CB58E0"/>
    <w:rsid w:val="00CC43D9"/>
    <w:rsid w:val="00CC6A0E"/>
    <w:rsid w:val="00CD0851"/>
    <w:rsid w:val="00CD23AC"/>
    <w:rsid w:val="00CD7D51"/>
    <w:rsid w:val="00CF1A93"/>
    <w:rsid w:val="00CF36AE"/>
    <w:rsid w:val="00D03AA5"/>
    <w:rsid w:val="00D0608D"/>
    <w:rsid w:val="00D1183C"/>
    <w:rsid w:val="00D12606"/>
    <w:rsid w:val="00D15CBE"/>
    <w:rsid w:val="00D24E59"/>
    <w:rsid w:val="00D63CA7"/>
    <w:rsid w:val="00D8403A"/>
    <w:rsid w:val="00D85DFF"/>
    <w:rsid w:val="00D87C0A"/>
    <w:rsid w:val="00D91C2B"/>
    <w:rsid w:val="00D94FFB"/>
    <w:rsid w:val="00DA72E1"/>
    <w:rsid w:val="00DC1000"/>
    <w:rsid w:val="00DC153A"/>
    <w:rsid w:val="00DD08FE"/>
    <w:rsid w:val="00DD09C2"/>
    <w:rsid w:val="00DD15BC"/>
    <w:rsid w:val="00DD214E"/>
    <w:rsid w:val="00DD3239"/>
    <w:rsid w:val="00DD3E73"/>
    <w:rsid w:val="00DE28E2"/>
    <w:rsid w:val="00DE66F7"/>
    <w:rsid w:val="00DE744B"/>
    <w:rsid w:val="00DF20F3"/>
    <w:rsid w:val="00DF4304"/>
    <w:rsid w:val="00DF43AB"/>
    <w:rsid w:val="00DF50FA"/>
    <w:rsid w:val="00E01B9B"/>
    <w:rsid w:val="00E0790F"/>
    <w:rsid w:val="00E148B7"/>
    <w:rsid w:val="00E27C79"/>
    <w:rsid w:val="00E363C5"/>
    <w:rsid w:val="00E40A29"/>
    <w:rsid w:val="00E40AA5"/>
    <w:rsid w:val="00E4241C"/>
    <w:rsid w:val="00E4361B"/>
    <w:rsid w:val="00E4562A"/>
    <w:rsid w:val="00E579C5"/>
    <w:rsid w:val="00E640DA"/>
    <w:rsid w:val="00E660A2"/>
    <w:rsid w:val="00E71B9B"/>
    <w:rsid w:val="00E738C8"/>
    <w:rsid w:val="00E74F09"/>
    <w:rsid w:val="00E75289"/>
    <w:rsid w:val="00E82171"/>
    <w:rsid w:val="00E84D1D"/>
    <w:rsid w:val="00E909F9"/>
    <w:rsid w:val="00EA53E0"/>
    <w:rsid w:val="00EB0CE3"/>
    <w:rsid w:val="00EB4B60"/>
    <w:rsid w:val="00EB5068"/>
    <w:rsid w:val="00EB6FA5"/>
    <w:rsid w:val="00EC507E"/>
    <w:rsid w:val="00ED6B0F"/>
    <w:rsid w:val="00EE1B7B"/>
    <w:rsid w:val="00EE24D2"/>
    <w:rsid w:val="00EE6892"/>
    <w:rsid w:val="00EF1A0F"/>
    <w:rsid w:val="00F00AC1"/>
    <w:rsid w:val="00F03F68"/>
    <w:rsid w:val="00F04A71"/>
    <w:rsid w:val="00F07056"/>
    <w:rsid w:val="00F13FD3"/>
    <w:rsid w:val="00F171F6"/>
    <w:rsid w:val="00F20840"/>
    <w:rsid w:val="00F224A0"/>
    <w:rsid w:val="00F32AA7"/>
    <w:rsid w:val="00F32FC0"/>
    <w:rsid w:val="00F42F77"/>
    <w:rsid w:val="00F43EE2"/>
    <w:rsid w:val="00F44CA1"/>
    <w:rsid w:val="00F508C2"/>
    <w:rsid w:val="00F50CF9"/>
    <w:rsid w:val="00F63544"/>
    <w:rsid w:val="00F80208"/>
    <w:rsid w:val="00F8274D"/>
    <w:rsid w:val="00F90B37"/>
    <w:rsid w:val="00F9410B"/>
    <w:rsid w:val="00FA0328"/>
    <w:rsid w:val="00FA23F3"/>
    <w:rsid w:val="00FA751C"/>
    <w:rsid w:val="00FB0E3B"/>
    <w:rsid w:val="00FB3635"/>
    <w:rsid w:val="00FB4CF4"/>
    <w:rsid w:val="00FC1B6F"/>
    <w:rsid w:val="00FC1D65"/>
    <w:rsid w:val="00FC33C8"/>
    <w:rsid w:val="00FC6BCA"/>
    <w:rsid w:val="00FD25AD"/>
    <w:rsid w:val="00FD6A7F"/>
    <w:rsid w:val="00FD7BD3"/>
    <w:rsid w:val="00FE15EB"/>
    <w:rsid w:val="00FE1DF9"/>
    <w:rsid w:val="00FE202D"/>
    <w:rsid w:val="00FE24F4"/>
    <w:rsid w:val="00FE41C9"/>
    <w:rsid w:val="00FE5035"/>
    <w:rsid w:val="00FF277A"/>
    <w:rsid w:val="00FF4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f9,#f3f3f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60586"/>
    <w:rPr>
      <w:rFonts w:eastAsia="Times New Roman"/>
      <w:sz w:val="24"/>
      <w:szCs w:val="24"/>
    </w:rPr>
  </w:style>
  <w:style w:type="paragraph" w:styleId="1">
    <w:name w:val="heading 1"/>
    <w:basedOn w:val="a"/>
    <w:next w:val="a"/>
    <w:link w:val="10"/>
    <w:qFormat/>
    <w:rsid w:val="00560586"/>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F1CD2"/>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qFormat/>
    <w:rsid w:val="00DF50FA"/>
    <w:pPr>
      <w:keepNext/>
      <w:keepLines/>
      <w:spacing w:before="200"/>
      <w:outlineLvl w:val="2"/>
    </w:pPr>
    <w:rPr>
      <w:rFonts w:ascii="Cambria" w:hAnsi="Cambria"/>
      <w:b/>
      <w:bCs/>
      <w:color w:val="4F81BD"/>
    </w:rPr>
  </w:style>
  <w:style w:type="paragraph" w:styleId="6">
    <w:name w:val="heading 6"/>
    <w:basedOn w:val="a"/>
    <w:next w:val="a"/>
    <w:link w:val="60"/>
    <w:qFormat/>
    <w:rsid w:val="00F04A7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60586"/>
    <w:rPr>
      <w:rFonts w:ascii="Cambria" w:eastAsia="Times New Roman" w:hAnsi="Cambria"/>
      <w:b/>
      <w:bCs/>
      <w:kern w:val="32"/>
      <w:sz w:val="32"/>
      <w:szCs w:val="32"/>
    </w:rPr>
  </w:style>
  <w:style w:type="character" w:customStyle="1" w:styleId="20">
    <w:name w:val="Заголовок 2 Знак"/>
    <w:link w:val="2"/>
    <w:semiHidden/>
    <w:rsid w:val="000F1CD2"/>
    <w:rPr>
      <w:rFonts w:ascii="Cambria" w:eastAsia="Times New Roman" w:hAnsi="Cambria" w:cs="Times New Roman"/>
      <w:b/>
      <w:bCs/>
      <w:color w:val="4F81BD"/>
      <w:sz w:val="26"/>
      <w:szCs w:val="26"/>
    </w:rPr>
  </w:style>
  <w:style w:type="character" w:customStyle="1" w:styleId="30">
    <w:name w:val="Заголовок 3 Знак"/>
    <w:link w:val="3"/>
    <w:uiPriority w:val="9"/>
    <w:semiHidden/>
    <w:rsid w:val="00DF50FA"/>
    <w:rPr>
      <w:rFonts w:ascii="Cambria" w:eastAsia="Times New Roman" w:hAnsi="Cambria" w:cs="Times New Roman"/>
      <w:b/>
      <w:bCs/>
      <w:color w:val="4F81BD"/>
      <w:sz w:val="24"/>
      <w:szCs w:val="24"/>
    </w:rPr>
  </w:style>
  <w:style w:type="table" w:styleId="a3">
    <w:name w:val="Table Grid"/>
    <w:basedOn w:val="a1"/>
    <w:rsid w:val="005605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FN,single space"/>
    <w:basedOn w:val="a"/>
    <w:link w:val="a5"/>
    <w:uiPriority w:val="99"/>
    <w:rsid w:val="00560586"/>
    <w:rPr>
      <w:sz w:val="20"/>
      <w:szCs w:val="20"/>
    </w:rPr>
  </w:style>
  <w:style w:type="character" w:customStyle="1" w:styleId="a5">
    <w:name w:val="Текст сноски Знак"/>
    <w:aliases w:val="Текст сноски-FN Знак,single space Знак"/>
    <w:link w:val="a4"/>
    <w:uiPriority w:val="99"/>
    <w:rsid w:val="00560586"/>
    <w:rPr>
      <w:rFonts w:eastAsia="Times New Roman"/>
    </w:rPr>
  </w:style>
  <w:style w:type="character" w:styleId="a6">
    <w:name w:val="footnote reference"/>
    <w:aliases w:val="Footnote Reference Number,Footnote Reference_LVL6,Footnote Reference_LVL61,Footnote Reference_LVL62,Footnote Reference_LVL63,Footnote Reference_LVL64,fr"/>
    <w:rsid w:val="00560586"/>
    <w:rPr>
      <w:vertAlign w:val="superscript"/>
    </w:rPr>
  </w:style>
  <w:style w:type="character" w:styleId="a7">
    <w:name w:val="Hyperlink"/>
    <w:uiPriority w:val="99"/>
    <w:rsid w:val="00560586"/>
    <w:rPr>
      <w:color w:val="0000FF"/>
      <w:u w:val="single"/>
    </w:rPr>
  </w:style>
  <w:style w:type="paragraph" w:styleId="a8">
    <w:name w:val="Balloon Text"/>
    <w:basedOn w:val="a"/>
    <w:link w:val="a9"/>
    <w:uiPriority w:val="99"/>
    <w:semiHidden/>
    <w:unhideWhenUsed/>
    <w:rsid w:val="00560586"/>
    <w:rPr>
      <w:rFonts w:ascii="Tahoma" w:hAnsi="Tahoma" w:cs="Tahoma"/>
      <w:sz w:val="16"/>
      <w:szCs w:val="16"/>
    </w:rPr>
  </w:style>
  <w:style w:type="character" w:customStyle="1" w:styleId="a9">
    <w:name w:val="Текст выноски Знак"/>
    <w:link w:val="a8"/>
    <w:uiPriority w:val="99"/>
    <w:semiHidden/>
    <w:rsid w:val="00560586"/>
    <w:rPr>
      <w:rFonts w:ascii="Tahoma" w:eastAsia="Times New Roman" w:hAnsi="Tahoma" w:cs="Tahoma"/>
      <w:sz w:val="16"/>
      <w:szCs w:val="16"/>
    </w:rPr>
  </w:style>
  <w:style w:type="paragraph" w:styleId="aa">
    <w:name w:val="Normal (Web)"/>
    <w:basedOn w:val="a"/>
    <w:uiPriority w:val="99"/>
    <w:unhideWhenUsed/>
    <w:rsid w:val="00DD15BC"/>
    <w:pPr>
      <w:spacing w:before="100" w:beforeAutospacing="1" w:after="100" w:afterAutospacing="1"/>
    </w:pPr>
  </w:style>
  <w:style w:type="paragraph" w:styleId="ab">
    <w:name w:val="header"/>
    <w:basedOn w:val="a"/>
    <w:link w:val="ac"/>
    <w:uiPriority w:val="99"/>
    <w:unhideWhenUsed/>
    <w:rsid w:val="00001970"/>
    <w:pPr>
      <w:tabs>
        <w:tab w:val="center" w:pos="4677"/>
        <w:tab w:val="right" w:pos="9355"/>
      </w:tabs>
    </w:pPr>
  </w:style>
  <w:style w:type="character" w:customStyle="1" w:styleId="ac">
    <w:name w:val="Верхний колонтитул Знак"/>
    <w:link w:val="ab"/>
    <w:uiPriority w:val="99"/>
    <w:rsid w:val="00001970"/>
    <w:rPr>
      <w:rFonts w:eastAsia="Times New Roman"/>
      <w:sz w:val="24"/>
      <w:szCs w:val="24"/>
    </w:rPr>
  </w:style>
  <w:style w:type="paragraph" w:styleId="ad">
    <w:name w:val="footer"/>
    <w:basedOn w:val="a"/>
    <w:link w:val="ae"/>
    <w:uiPriority w:val="99"/>
    <w:unhideWhenUsed/>
    <w:rsid w:val="00001970"/>
    <w:pPr>
      <w:tabs>
        <w:tab w:val="center" w:pos="4677"/>
        <w:tab w:val="right" w:pos="9355"/>
      </w:tabs>
    </w:pPr>
  </w:style>
  <w:style w:type="character" w:customStyle="1" w:styleId="ae">
    <w:name w:val="Нижний колонтитул Знак"/>
    <w:link w:val="ad"/>
    <w:uiPriority w:val="99"/>
    <w:rsid w:val="00001970"/>
    <w:rPr>
      <w:rFonts w:eastAsia="Times New Roman"/>
      <w:sz w:val="24"/>
      <w:szCs w:val="24"/>
    </w:rPr>
  </w:style>
  <w:style w:type="paragraph" w:styleId="af">
    <w:name w:val="List Paragraph"/>
    <w:basedOn w:val="a"/>
    <w:uiPriority w:val="34"/>
    <w:qFormat/>
    <w:rsid w:val="006E4615"/>
    <w:pPr>
      <w:ind w:left="720"/>
      <w:contextualSpacing/>
    </w:pPr>
  </w:style>
  <w:style w:type="paragraph" w:styleId="af0">
    <w:name w:val="Body Text Indent"/>
    <w:basedOn w:val="a"/>
    <w:link w:val="af1"/>
    <w:uiPriority w:val="99"/>
    <w:rsid w:val="00A446E6"/>
    <w:pPr>
      <w:widowControl w:val="0"/>
      <w:jc w:val="both"/>
    </w:pPr>
    <w:rPr>
      <w:sz w:val="18"/>
      <w:szCs w:val="20"/>
    </w:rPr>
  </w:style>
  <w:style w:type="character" w:customStyle="1" w:styleId="af1">
    <w:name w:val="Основной текст с отступом Знак"/>
    <w:link w:val="af0"/>
    <w:uiPriority w:val="99"/>
    <w:rsid w:val="00A446E6"/>
    <w:rPr>
      <w:rFonts w:eastAsia="Times New Roman"/>
      <w:sz w:val="18"/>
    </w:rPr>
  </w:style>
  <w:style w:type="paragraph" w:styleId="af2">
    <w:name w:val="Body Text"/>
    <w:basedOn w:val="a"/>
    <w:link w:val="af3"/>
    <w:uiPriority w:val="99"/>
    <w:rsid w:val="00A446E6"/>
    <w:pPr>
      <w:jc w:val="both"/>
    </w:pPr>
    <w:rPr>
      <w:sz w:val="20"/>
      <w:szCs w:val="20"/>
    </w:rPr>
  </w:style>
  <w:style w:type="character" w:customStyle="1" w:styleId="af3">
    <w:name w:val="Основной текст Знак"/>
    <w:link w:val="af2"/>
    <w:uiPriority w:val="99"/>
    <w:rsid w:val="00A446E6"/>
    <w:rPr>
      <w:rFonts w:eastAsia="Times New Roman"/>
    </w:rPr>
  </w:style>
  <w:style w:type="paragraph" w:customStyle="1" w:styleId="Default">
    <w:name w:val="Default"/>
    <w:uiPriority w:val="99"/>
    <w:rsid w:val="0059699A"/>
    <w:pPr>
      <w:autoSpaceDE w:val="0"/>
      <w:autoSpaceDN w:val="0"/>
      <w:adjustRightInd w:val="0"/>
    </w:pPr>
    <w:rPr>
      <w:rFonts w:ascii="Calibri" w:hAnsi="Calibri" w:cs="Calibri"/>
      <w:color w:val="000000"/>
      <w:sz w:val="24"/>
      <w:szCs w:val="24"/>
      <w:lang w:eastAsia="en-US"/>
    </w:rPr>
  </w:style>
  <w:style w:type="paragraph" w:styleId="af4">
    <w:name w:val="caption"/>
    <w:basedOn w:val="a"/>
    <w:next w:val="a"/>
    <w:uiPriority w:val="35"/>
    <w:qFormat/>
    <w:rsid w:val="0059699A"/>
    <w:pPr>
      <w:spacing w:after="200"/>
    </w:pPr>
    <w:rPr>
      <w:rFonts w:eastAsia="Calibri"/>
      <w:b/>
      <w:bCs/>
      <w:color w:val="4F81BD"/>
      <w:sz w:val="18"/>
      <w:szCs w:val="18"/>
    </w:rPr>
  </w:style>
  <w:style w:type="character" w:styleId="af5">
    <w:name w:val="annotation reference"/>
    <w:unhideWhenUsed/>
    <w:rsid w:val="00E40AA5"/>
    <w:rPr>
      <w:sz w:val="16"/>
      <w:szCs w:val="16"/>
    </w:rPr>
  </w:style>
  <w:style w:type="paragraph" w:styleId="af6">
    <w:name w:val="annotation text"/>
    <w:basedOn w:val="a"/>
    <w:link w:val="af7"/>
    <w:uiPriority w:val="99"/>
    <w:unhideWhenUsed/>
    <w:rsid w:val="00E40AA5"/>
    <w:rPr>
      <w:sz w:val="20"/>
      <w:szCs w:val="20"/>
    </w:rPr>
  </w:style>
  <w:style w:type="character" w:customStyle="1" w:styleId="af7">
    <w:name w:val="Текст примечания Знак"/>
    <w:link w:val="af6"/>
    <w:uiPriority w:val="99"/>
    <w:rsid w:val="00E40AA5"/>
    <w:rPr>
      <w:rFonts w:eastAsia="Times New Roman"/>
    </w:rPr>
  </w:style>
  <w:style w:type="paragraph" w:styleId="af8">
    <w:name w:val="annotation subject"/>
    <w:basedOn w:val="af6"/>
    <w:next w:val="af6"/>
    <w:link w:val="af9"/>
    <w:uiPriority w:val="99"/>
    <w:semiHidden/>
    <w:unhideWhenUsed/>
    <w:rsid w:val="00E40AA5"/>
    <w:rPr>
      <w:b/>
      <w:bCs/>
    </w:rPr>
  </w:style>
  <w:style w:type="character" w:customStyle="1" w:styleId="af9">
    <w:name w:val="Тема примечания Знак"/>
    <w:link w:val="af8"/>
    <w:uiPriority w:val="99"/>
    <w:semiHidden/>
    <w:rsid w:val="00E40AA5"/>
    <w:rPr>
      <w:rFonts w:eastAsia="Times New Roman"/>
      <w:b/>
      <w:bCs/>
    </w:rPr>
  </w:style>
  <w:style w:type="paragraph" w:customStyle="1" w:styleId="11">
    <w:name w:val="Обычный1"/>
    <w:uiPriority w:val="99"/>
    <w:rsid w:val="00DF50FA"/>
    <w:pPr>
      <w:widowControl w:val="0"/>
      <w:autoSpaceDE w:val="0"/>
      <w:autoSpaceDN w:val="0"/>
    </w:pPr>
    <w:rPr>
      <w:rFonts w:eastAsia="Times New Roman"/>
    </w:rPr>
  </w:style>
  <w:style w:type="character" w:styleId="afa">
    <w:name w:val="page number"/>
    <w:basedOn w:val="a0"/>
    <w:rsid w:val="000F1CD2"/>
  </w:style>
  <w:style w:type="paragraph" w:styleId="afb">
    <w:name w:val="TOC Heading"/>
    <w:basedOn w:val="1"/>
    <w:next w:val="a"/>
    <w:uiPriority w:val="39"/>
    <w:qFormat/>
    <w:rsid w:val="00C00A5C"/>
    <w:pPr>
      <w:keepLines/>
      <w:spacing w:before="480" w:after="0" w:line="276" w:lineRule="auto"/>
      <w:outlineLvl w:val="9"/>
    </w:pPr>
    <w:rPr>
      <w:color w:val="365F91"/>
      <w:kern w:val="0"/>
      <w:sz w:val="28"/>
      <w:szCs w:val="28"/>
    </w:rPr>
  </w:style>
  <w:style w:type="paragraph" w:styleId="12">
    <w:name w:val="toc 1"/>
    <w:basedOn w:val="a"/>
    <w:next w:val="a"/>
    <w:autoRedefine/>
    <w:uiPriority w:val="39"/>
    <w:unhideWhenUsed/>
    <w:qFormat/>
    <w:rsid w:val="00C00A5C"/>
    <w:pPr>
      <w:spacing w:after="100"/>
    </w:pPr>
  </w:style>
  <w:style w:type="paragraph" w:styleId="21">
    <w:name w:val="toc 2"/>
    <w:basedOn w:val="a"/>
    <w:next w:val="a"/>
    <w:autoRedefine/>
    <w:uiPriority w:val="39"/>
    <w:unhideWhenUsed/>
    <w:qFormat/>
    <w:rsid w:val="005C7913"/>
    <w:pPr>
      <w:tabs>
        <w:tab w:val="right" w:leader="dot" w:pos="9344"/>
      </w:tabs>
      <w:spacing w:after="100"/>
      <w:ind w:firstLine="180"/>
    </w:pPr>
  </w:style>
  <w:style w:type="table" w:customStyle="1" w:styleId="13">
    <w:name w:val="Сетка таблицы1"/>
    <w:basedOn w:val="a1"/>
    <w:next w:val="a3"/>
    <w:uiPriority w:val="59"/>
    <w:rsid w:val="005B745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unhideWhenUsed/>
    <w:rsid w:val="006A3053"/>
    <w:pPr>
      <w:spacing w:after="120"/>
      <w:ind w:left="283"/>
    </w:pPr>
    <w:rPr>
      <w:sz w:val="16"/>
      <w:szCs w:val="16"/>
    </w:rPr>
  </w:style>
  <w:style w:type="character" w:customStyle="1" w:styleId="32">
    <w:name w:val="Основной текст с отступом 3 Знак"/>
    <w:link w:val="31"/>
    <w:uiPriority w:val="99"/>
    <w:rsid w:val="006A3053"/>
    <w:rPr>
      <w:rFonts w:eastAsia="Times New Roman"/>
      <w:sz w:val="16"/>
      <w:szCs w:val="16"/>
    </w:rPr>
  </w:style>
  <w:style w:type="paragraph" w:styleId="afc">
    <w:name w:val="Title"/>
    <w:basedOn w:val="a"/>
    <w:link w:val="afd"/>
    <w:qFormat/>
    <w:rsid w:val="006D1A2D"/>
    <w:pPr>
      <w:jc w:val="center"/>
    </w:pPr>
    <w:rPr>
      <w:b/>
      <w:szCs w:val="20"/>
    </w:rPr>
  </w:style>
  <w:style w:type="character" w:customStyle="1" w:styleId="afd">
    <w:name w:val="Название Знак"/>
    <w:link w:val="afc"/>
    <w:rsid w:val="006D1A2D"/>
    <w:rPr>
      <w:rFonts w:eastAsia="Times New Roman"/>
      <w:b/>
      <w:sz w:val="24"/>
    </w:rPr>
  </w:style>
  <w:style w:type="paragraph" w:customStyle="1" w:styleId="22">
    <w:name w:val="Обычный2"/>
    <w:rsid w:val="009A372B"/>
    <w:pPr>
      <w:spacing w:before="100" w:after="100"/>
    </w:pPr>
    <w:rPr>
      <w:rFonts w:eastAsia="Times New Roman"/>
      <w:snapToGrid w:val="0"/>
      <w:sz w:val="24"/>
    </w:rPr>
  </w:style>
  <w:style w:type="paragraph" w:customStyle="1" w:styleId="afe">
    <w:name w:val="Знак"/>
    <w:basedOn w:val="a"/>
    <w:autoRedefine/>
    <w:uiPriority w:val="99"/>
    <w:rsid w:val="009A372B"/>
    <w:pPr>
      <w:spacing w:after="160" w:line="240" w:lineRule="exact"/>
    </w:pPr>
    <w:rPr>
      <w:rFonts w:eastAsia="SimSun"/>
      <w:b/>
      <w:sz w:val="28"/>
      <w:lang w:val="en-US" w:eastAsia="en-US"/>
    </w:rPr>
  </w:style>
  <w:style w:type="character" w:customStyle="1" w:styleId="60">
    <w:name w:val="Заголовок 6 Знак"/>
    <w:link w:val="6"/>
    <w:semiHidden/>
    <w:rsid w:val="00F04A71"/>
    <w:rPr>
      <w:rFonts w:ascii="Calibri" w:eastAsia="Times New Roman" w:hAnsi="Calibri"/>
      <w:b/>
      <w:bCs/>
      <w:sz w:val="22"/>
      <w:szCs w:val="22"/>
    </w:rPr>
  </w:style>
  <w:style w:type="character" w:styleId="aff">
    <w:name w:val="FollowedHyperlink"/>
    <w:uiPriority w:val="99"/>
    <w:semiHidden/>
    <w:unhideWhenUsed/>
    <w:rsid w:val="00F04A71"/>
    <w:rPr>
      <w:color w:val="800080"/>
      <w:u w:val="single"/>
    </w:rPr>
  </w:style>
  <w:style w:type="character" w:customStyle="1" w:styleId="23">
    <w:name w:val="Основной текст 2 Знак"/>
    <w:link w:val="24"/>
    <w:uiPriority w:val="99"/>
    <w:semiHidden/>
    <w:rsid w:val="00F04A71"/>
    <w:rPr>
      <w:rFonts w:eastAsia="Times New Roman"/>
      <w:sz w:val="24"/>
      <w:szCs w:val="24"/>
    </w:rPr>
  </w:style>
  <w:style w:type="paragraph" w:styleId="24">
    <w:name w:val="Body Text 2"/>
    <w:basedOn w:val="a"/>
    <w:link w:val="23"/>
    <w:uiPriority w:val="99"/>
    <w:semiHidden/>
    <w:unhideWhenUsed/>
    <w:rsid w:val="00F04A71"/>
    <w:pPr>
      <w:spacing w:after="120" w:line="480" w:lineRule="auto"/>
    </w:pPr>
  </w:style>
  <w:style w:type="character" w:customStyle="1" w:styleId="33">
    <w:name w:val="Основной текст 3 Знак"/>
    <w:link w:val="34"/>
    <w:uiPriority w:val="99"/>
    <w:semiHidden/>
    <w:rsid w:val="00F04A71"/>
    <w:rPr>
      <w:rFonts w:eastAsia="MS Mincho"/>
      <w:sz w:val="16"/>
      <w:szCs w:val="16"/>
      <w:lang w:eastAsia="ja-JP"/>
    </w:rPr>
  </w:style>
  <w:style w:type="paragraph" w:styleId="34">
    <w:name w:val="Body Text 3"/>
    <w:basedOn w:val="a"/>
    <w:link w:val="33"/>
    <w:uiPriority w:val="99"/>
    <w:semiHidden/>
    <w:unhideWhenUsed/>
    <w:rsid w:val="00F04A71"/>
    <w:pPr>
      <w:spacing w:after="120"/>
    </w:pPr>
    <w:rPr>
      <w:rFonts w:eastAsia="MS Mincho"/>
      <w:sz w:val="16"/>
      <w:szCs w:val="16"/>
      <w:lang w:eastAsia="ja-JP"/>
    </w:rPr>
  </w:style>
  <w:style w:type="character" w:customStyle="1" w:styleId="aff0">
    <w:name w:val="Схема документа Знак"/>
    <w:link w:val="aff1"/>
    <w:uiPriority w:val="99"/>
    <w:semiHidden/>
    <w:rsid w:val="00F04A71"/>
    <w:rPr>
      <w:rFonts w:ascii="Tahoma" w:eastAsia="Times New Roman" w:hAnsi="Tahoma" w:cs="Tahoma"/>
      <w:shd w:val="clear" w:color="auto" w:fill="000080"/>
    </w:rPr>
  </w:style>
  <w:style w:type="paragraph" w:styleId="aff1">
    <w:name w:val="Document Map"/>
    <w:basedOn w:val="a"/>
    <w:link w:val="aff0"/>
    <w:uiPriority w:val="99"/>
    <w:semiHidden/>
    <w:unhideWhenUsed/>
    <w:rsid w:val="00F04A71"/>
    <w:pPr>
      <w:shd w:val="clear" w:color="auto" w:fill="000080"/>
    </w:pPr>
    <w:rPr>
      <w:rFonts w:ascii="Tahoma" w:hAnsi="Tahoma" w:cs="Tahoma"/>
      <w:sz w:val="20"/>
      <w:szCs w:val="20"/>
    </w:rPr>
  </w:style>
  <w:style w:type="paragraph" w:customStyle="1" w:styleId="aff2">
    <w:name w:val="......."/>
    <w:basedOn w:val="Default"/>
    <w:next w:val="Default"/>
    <w:uiPriority w:val="99"/>
    <w:rsid w:val="00F04A71"/>
    <w:rPr>
      <w:rFonts w:ascii="Times New Roman" w:eastAsia="Times New Roman" w:hAnsi="Times New Roman" w:cs="Times New Roman"/>
      <w:color w:val="auto"/>
      <w:lang w:eastAsia="ru-RU"/>
    </w:rPr>
  </w:style>
  <w:style w:type="paragraph" w:customStyle="1" w:styleId="TableParagraph">
    <w:name w:val="Table Paragraph"/>
    <w:basedOn w:val="a"/>
    <w:uiPriority w:val="1"/>
    <w:qFormat/>
    <w:rsid w:val="00F04A71"/>
    <w:pPr>
      <w:widowControl w:val="0"/>
    </w:pPr>
    <w:rPr>
      <w:rFonts w:ascii="Calibri" w:eastAsia="Calibri" w:hAnsi="Calibri"/>
      <w:sz w:val="22"/>
      <w:szCs w:val="22"/>
      <w:lang w:val="en-US" w:eastAsia="en-US"/>
    </w:rPr>
  </w:style>
  <w:style w:type="character" w:customStyle="1" w:styleId="ParagraphNumberingChar">
    <w:name w:val="Paragraph Numbering Char"/>
    <w:link w:val="ParagraphNumbering"/>
    <w:locked/>
    <w:rsid w:val="00F04A71"/>
    <w:rPr>
      <w:sz w:val="24"/>
      <w:szCs w:val="24"/>
      <w:lang w:val="en-US" w:eastAsia="en-US"/>
    </w:rPr>
  </w:style>
  <w:style w:type="paragraph" w:customStyle="1" w:styleId="ParagraphNumbering">
    <w:name w:val="Paragraph Numbering"/>
    <w:basedOn w:val="a"/>
    <w:link w:val="ParagraphNumberingChar"/>
    <w:rsid w:val="00F04A71"/>
    <w:pPr>
      <w:numPr>
        <w:numId w:val="20"/>
      </w:numPr>
      <w:spacing w:after="240"/>
    </w:pPr>
    <w:rPr>
      <w:rFonts w:eastAsia="Calibri"/>
      <w:lang w:val="en-US" w:eastAsia="en-US"/>
    </w:rPr>
  </w:style>
  <w:style w:type="paragraph" w:customStyle="1" w:styleId="14">
    <w:name w:val="Знак Знак Знак1 Знак Знак Знак Знак Знак Знак"/>
    <w:basedOn w:val="a"/>
    <w:next w:val="2"/>
    <w:autoRedefine/>
    <w:uiPriority w:val="99"/>
    <w:rsid w:val="00F04A71"/>
    <w:pPr>
      <w:spacing w:after="160"/>
      <w:ind w:firstLine="720"/>
      <w:jc w:val="both"/>
    </w:pPr>
    <w:rPr>
      <w:sz w:val="28"/>
      <w:szCs w:val="28"/>
      <w:lang w:val="en-US" w:eastAsia="en-US"/>
    </w:rPr>
  </w:style>
  <w:style w:type="character" w:customStyle="1" w:styleId="15">
    <w:name w:val="Стиль1 Знак"/>
    <w:link w:val="16"/>
    <w:uiPriority w:val="1"/>
    <w:locked/>
    <w:rsid w:val="00F04A71"/>
    <w:rPr>
      <w:rFonts w:ascii="Arial" w:eastAsia="Arial" w:hAnsi="Arial" w:cs="Arial"/>
      <w:b/>
      <w:sz w:val="18"/>
      <w:szCs w:val="18"/>
    </w:rPr>
  </w:style>
  <w:style w:type="paragraph" w:customStyle="1" w:styleId="16">
    <w:name w:val="Стиль1"/>
    <w:basedOn w:val="af2"/>
    <w:link w:val="15"/>
    <w:uiPriority w:val="1"/>
    <w:qFormat/>
    <w:rsid w:val="00F04A71"/>
    <w:pPr>
      <w:widowControl w:val="0"/>
      <w:tabs>
        <w:tab w:val="left" w:pos="775"/>
      </w:tabs>
      <w:snapToGrid w:val="0"/>
      <w:spacing w:line="252" w:lineRule="auto"/>
      <w:ind w:left="1386" w:right="109"/>
      <w:jc w:val="left"/>
    </w:pPr>
    <w:rPr>
      <w:rFonts w:ascii="Arial" w:eastAsia="Arial" w:hAnsi="Arial" w:cs="Arial"/>
      <w:b/>
      <w:sz w:val="18"/>
      <w:szCs w:val="18"/>
    </w:rPr>
  </w:style>
  <w:style w:type="paragraph" w:customStyle="1" w:styleId="210">
    <w:name w:val="Основной текст 21"/>
    <w:basedOn w:val="a"/>
    <w:uiPriority w:val="99"/>
    <w:rsid w:val="00F04A71"/>
    <w:pPr>
      <w:snapToGrid w:val="0"/>
      <w:jc w:val="center"/>
    </w:pPr>
    <w:rPr>
      <w:sz w:val="28"/>
      <w:szCs w:val="20"/>
    </w:rPr>
  </w:style>
  <w:style w:type="paragraph" w:customStyle="1" w:styleId="e12">
    <w:name w:val="Основной тек—e1т 2"/>
    <w:basedOn w:val="a"/>
    <w:uiPriority w:val="99"/>
    <w:rsid w:val="00F04A71"/>
    <w:pPr>
      <w:widowControl w:val="0"/>
      <w:tabs>
        <w:tab w:val="left" w:pos="993"/>
      </w:tabs>
      <w:snapToGrid w:val="0"/>
      <w:spacing w:line="288" w:lineRule="auto"/>
      <w:ind w:firstLine="720"/>
      <w:jc w:val="both"/>
    </w:pPr>
    <w:rPr>
      <w:sz w:val="28"/>
      <w:szCs w:val="20"/>
    </w:rPr>
  </w:style>
  <w:style w:type="paragraph" w:customStyle="1" w:styleId="220">
    <w:name w:val="Основной текст 22"/>
    <w:basedOn w:val="a"/>
    <w:uiPriority w:val="99"/>
    <w:rsid w:val="00F04A71"/>
    <w:pPr>
      <w:snapToGrid w:val="0"/>
      <w:ind w:firstLine="709"/>
      <w:jc w:val="both"/>
    </w:pPr>
    <w:rPr>
      <w:sz w:val="28"/>
      <w:szCs w:val="20"/>
    </w:rPr>
  </w:style>
  <w:style w:type="paragraph" w:customStyle="1" w:styleId="110">
    <w:name w:val="Стиль11"/>
    <w:basedOn w:val="a"/>
    <w:uiPriority w:val="99"/>
    <w:rsid w:val="00F04A71"/>
    <w:pPr>
      <w:widowControl w:val="0"/>
      <w:snapToGrid w:val="0"/>
      <w:jc w:val="both"/>
    </w:pPr>
    <w:rPr>
      <w:sz w:val="28"/>
      <w:szCs w:val="20"/>
    </w:rPr>
  </w:style>
  <w:style w:type="paragraph" w:customStyle="1" w:styleId="CharCharCharChar">
    <w:name w:val="Char Char Знак Знак Char Char Знак"/>
    <w:basedOn w:val="a"/>
    <w:autoRedefine/>
    <w:uiPriority w:val="99"/>
    <w:rsid w:val="00F04A71"/>
    <w:pPr>
      <w:spacing w:after="160" w:line="240" w:lineRule="exact"/>
    </w:pPr>
    <w:rPr>
      <w:rFonts w:eastAsia="SimSun"/>
      <w:b/>
      <w:sz w:val="28"/>
      <w:lang w:val="en-US" w:eastAsia="en-US"/>
    </w:rPr>
  </w:style>
  <w:style w:type="character" w:customStyle="1" w:styleId="s1">
    <w:name w:val="s1"/>
    <w:rsid w:val="00F04A71"/>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F04A71"/>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0">
    <w:name w:val="s20"/>
    <w:rsid w:val="00F04A71"/>
    <w:rPr>
      <w:shd w:val="clear" w:color="auto" w:fill="FFFFFF"/>
    </w:rPr>
  </w:style>
  <w:style w:type="character" w:customStyle="1" w:styleId="st">
    <w:name w:val="st"/>
    <w:rsid w:val="00F04A71"/>
  </w:style>
  <w:style w:type="character" w:customStyle="1" w:styleId="s3">
    <w:name w:val="s3"/>
    <w:rsid w:val="00F04A71"/>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F04A71"/>
    <w:rPr>
      <w:rFonts w:ascii="Times New Roman" w:hAnsi="Times New Roman" w:cs="Times New Roman" w:hint="default"/>
      <w:b/>
      <w:bCs/>
      <w:i/>
      <w:iCs/>
      <w:color w:val="333399"/>
      <w:u w:val="single"/>
      <w:bdr w:val="none" w:sz="0" w:space="0" w:color="auto" w:frame="1"/>
    </w:rPr>
  </w:style>
  <w:style w:type="character" w:customStyle="1" w:styleId="t101">
    <w:name w:val="t101"/>
    <w:rsid w:val="00F04A71"/>
    <w:rPr>
      <w:rFonts w:ascii="Tahoma" w:hAnsi="Tahoma" w:cs="Tahoma" w:hint="default"/>
      <w:b/>
      <w:bCs/>
      <w:color w:val="000000"/>
      <w:sz w:val="18"/>
      <w:szCs w:val="18"/>
    </w:rPr>
  </w:style>
  <w:style w:type="paragraph" w:customStyle="1" w:styleId="17">
    <w:name w:val="Знак1"/>
    <w:basedOn w:val="a"/>
    <w:autoRedefine/>
    <w:rsid w:val="00F07056"/>
    <w:pPr>
      <w:spacing w:after="160" w:line="240" w:lineRule="exact"/>
    </w:pPr>
    <w:rPr>
      <w:sz w:val="28"/>
      <w:szCs w:val="20"/>
      <w:lang w:val="en-US" w:eastAsia="en-US"/>
    </w:rPr>
  </w:style>
  <w:style w:type="character" w:customStyle="1" w:styleId="s2">
    <w:name w:val="s2"/>
    <w:basedOn w:val="a0"/>
    <w:rsid w:val="00731D01"/>
    <w:rPr>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60586"/>
    <w:rPr>
      <w:rFonts w:eastAsia="Times New Roman"/>
      <w:sz w:val="24"/>
      <w:szCs w:val="24"/>
    </w:rPr>
  </w:style>
  <w:style w:type="paragraph" w:styleId="1">
    <w:name w:val="heading 1"/>
    <w:basedOn w:val="a"/>
    <w:next w:val="a"/>
    <w:link w:val="10"/>
    <w:qFormat/>
    <w:rsid w:val="00560586"/>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F1CD2"/>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qFormat/>
    <w:rsid w:val="00DF50FA"/>
    <w:pPr>
      <w:keepNext/>
      <w:keepLines/>
      <w:spacing w:before="200"/>
      <w:outlineLvl w:val="2"/>
    </w:pPr>
    <w:rPr>
      <w:rFonts w:ascii="Cambria" w:hAnsi="Cambria"/>
      <w:b/>
      <w:bCs/>
      <w:color w:val="4F81BD"/>
    </w:rPr>
  </w:style>
  <w:style w:type="paragraph" w:styleId="6">
    <w:name w:val="heading 6"/>
    <w:basedOn w:val="a"/>
    <w:next w:val="a"/>
    <w:link w:val="60"/>
    <w:qFormat/>
    <w:rsid w:val="00F04A7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60586"/>
    <w:rPr>
      <w:rFonts w:ascii="Cambria" w:eastAsia="Times New Roman" w:hAnsi="Cambria"/>
      <w:b/>
      <w:bCs/>
      <w:kern w:val="32"/>
      <w:sz w:val="32"/>
      <w:szCs w:val="32"/>
    </w:rPr>
  </w:style>
  <w:style w:type="character" w:customStyle="1" w:styleId="20">
    <w:name w:val="Заголовок 2 Знак"/>
    <w:link w:val="2"/>
    <w:semiHidden/>
    <w:rsid w:val="000F1CD2"/>
    <w:rPr>
      <w:rFonts w:ascii="Cambria" w:eastAsia="Times New Roman" w:hAnsi="Cambria" w:cs="Times New Roman"/>
      <w:b/>
      <w:bCs/>
      <w:color w:val="4F81BD"/>
      <w:sz w:val="26"/>
      <w:szCs w:val="26"/>
    </w:rPr>
  </w:style>
  <w:style w:type="character" w:customStyle="1" w:styleId="30">
    <w:name w:val="Заголовок 3 Знак"/>
    <w:link w:val="3"/>
    <w:uiPriority w:val="9"/>
    <w:semiHidden/>
    <w:rsid w:val="00DF50FA"/>
    <w:rPr>
      <w:rFonts w:ascii="Cambria" w:eastAsia="Times New Roman" w:hAnsi="Cambria" w:cs="Times New Roman"/>
      <w:b/>
      <w:bCs/>
      <w:color w:val="4F81BD"/>
      <w:sz w:val="24"/>
      <w:szCs w:val="24"/>
    </w:rPr>
  </w:style>
  <w:style w:type="table" w:styleId="a3">
    <w:name w:val="Table Grid"/>
    <w:basedOn w:val="a1"/>
    <w:rsid w:val="005605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FN,single space"/>
    <w:basedOn w:val="a"/>
    <w:link w:val="a5"/>
    <w:uiPriority w:val="99"/>
    <w:rsid w:val="00560586"/>
    <w:rPr>
      <w:sz w:val="20"/>
      <w:szCs w:val="20"/>
    </w:rPr>
  </w:style>
  <w:style w:type="character" w:customStyle="1" w:styleId="a5">
    <w:name w:val="Текст сноски Знак"/>
    <w:aliases w:val="Текст сноски-FN Знак,single space Знак"/>
    <w:link w:val="a4"/>
    <w:uiPriority w:val="99"/>
    <w:rsid w:val="00560586"/>
    <w:rPr>
      <w:rFonts w:eastAsia="Times New Roman"/>
    </w:rPr>
  </w:style>
  <w:style w:type="character" w:styleId="a6">
    <w:name w:val="footnote reference"/>
    <w:aliases w:val="Footnote Reference Number,Footnote Reference_LVL6,Footnote Reference_LVL61,Footnote Reference_LVL62,Footnote Reference_LVL63,Footnote Reference_LVL64,fr"/>
    <w:rsid w:val="00560586"/>
    <w:rPr>
      <w:vertAlign w:val="superscript"/>
    </w:rPr>
  </w:style>
  <w:style w:type="character" w:styleId="a7">
    <w:name w:val="Hyperlink"/>
    <w:uiPriority w:val="99"/>
    <w:rsid w:val="00560586"/>
    <w:rPr>
      <w:color w:val="0000FF"/>
      <w:u w:val="single"/>
    </w:rPr>
  </w:style>
  <w:style w:type="paragraph" w:styleId="a8">
    <w:name w:val="Balloon Text"/>
    <w:basedOn w:val="a"/>
    <w:link w:val="a9"/>
    <w:uiPriority w:val="99"/>
    <w:semiHidden/>
    <w:unhideWhenUsed/>
    <w:rsid w:val="00560586"/>
    <w:rPr>
      <w:rFonts w:ascii="Tahoma" w:hAnsi="Tahoma" w:cs="Tahoma"/>
      <w:sz w:val="16"/>
      <w:szCs w:val="16"/>
    </w:rPr>
  </w:style>
  <w:style w:type="character" w:customStyle="1" w:styleId="a9">
    <w:name w:val="Текст выноски Знак"/>
    <w:link w:val="a8"/>
    <w:uiPriority w:val="99"/>
    <w:semiHidden/>
    <w:rsid w:val="00560586"/>
    <w:rPr>
      <w:rFonts w:ascii="Tahoma" w:eastAsia="Times New Roman" w:hAnsi="Tahoma" w:cs="Tahoma"/>
      <w:sz w:val="16"/>
      <w:szCs w:val="16"/>
    </w:rPr>
  </w:style>
  <w:style w:type="paragraph" w:styleId="aa">
    <w:name w:val="Normal (Web)"/>
    <w:basedOn w:val="a"/>
    <w:uiPriority w:val="99"/>
    <w:unhideWhenUsed/>
    <w:rsid w:val="00DD15BC"/>
    <w:pPr>
      <w:spacing w:before="100" w:beforeAutospacing="1" w:after="100" w:afterAutospacing="1"/>
    </w:pPr>
  </w:style>
  <w:style w:type="paragraph" w:styleId="ab">
    <w:name w:val="header"/>
    <w:basedOn w:val="a"/>
    <w:link w:val="ac"/>
    <w:uiPriority w:val="99"/>
    <w:unhideWhenUsed/>
    <w:rsid w:val="00001970"/>
    <w:pPr>
      <w:tabs>
        <w:tab w:val="center" w:pos="4677"/>
        <w:tab w:val="right" w:pos="9355"/>
      </w:tabs>
    </w:pPr>
  </w:style>
  <w:style w:type="character" w:customStyle="1" w:styleId="ac">
    <w:name w:val="Верхний колонтитул Знак"/>
    <w:link w:val="ab"/>
    <w:uiPriority w:val="99"/>
    <w:rsid w:val="00001970"/>
    <w:rPr>
      <w:rFonts w:eastAsia="Times New Roman"/>
      <w:sz w:val="24"/>
      <w:szCs w:val="24"/>
    </w:rPr>
  </w:style>
  <w:style w:type="paragraph" w:styleId="ad">
    <w:name w:val="footer"/>
    <w:basedOn w:val="a"/>
    <w:link w:val="ae"/>
    <w:uiPriority w:val="99"/>
    <w:unhideWhenUsed/>
    <w:rsid w:val="00001970"/>
    <w:pPr>
      <w:tabs>
        <w:tab w:val="center" w:pos="4677"/>
        <w:tab w:val="right" w:pos="9355"/>
      </w:tabs>
    </w:pPr>
  </w:style>
  <w:style w:type="character" w:customStyle="1" w:styleId="ae">
    <w:name w:val="Нижний колонтитул Знак"/>
    <w:link w:val="ad"/>
    <w:uiPriority w:val="99"/>
    <w:rsid w:val="00001970"/>
    <w:rPr>
      <w:rFonts w:eastAsia="Times New Roman"/>
      <w:sz w:val="24"/>
      <w:szCs w:val="24"/>
    </w:rPr>
  </w:style>
  <w:style w:type="paragraph" w:styleId="af">
    <w:name w:val="List Paragraph"/>
    <w:basedOn w:val="a"/>
    <w:uiPriority w:val="34"/>
    <w:qFormat/>
    <w:rsid w:val="006E4615"/>
    <w:pPr>
      <w:ind w:left="720"/>
      <w:contextualSpacing/>
    </w:pPr>
  </w:style>
  <w:style w:type="paragraph" w:styleId="af0">
    <w:name w:val="Body Text Indent"/>
    <w:basedOn w:val="a"/>
    <w:link w:val="af1"/>
    <w:uiPriority w:val="99"/>
    <w:rsid w:val="00A446E6"/>
    <w:pPr>
      <w:widowControl w:val="0"/>
      <w:jc w:val="both"/>
    </w:pPr>
    <w:rPr>
      <w:sz w:val="18"/>
      <w:szCs w:val="20"/>
    </w:rPr>
  </w:style>
  <w:style w:type="character" w:customStyle="1" w:styleId="af1">
    <w:name w:val="Основной текст с отступом Знак"/>
    <w:link w:val="af0"/>
    <w:uiPriority w:val="99"/>
    <w:rsid w:val="00A446E6"/>
    <w:rPr>
      <w:rFonts w:eastAsia="Times New Roman"/>
      <w:sz w:val="18"/>
    </w:rPr>
  </w:style>
  <w:style w:type="paragraph" w:styleId="af2">
    <w:name w:val="Body Text"/>
    <w:basedOn w:val="a"/>
    <w:link w:val="af3"/>
    <w:uiPriority w:val="99"/>
    <w:rsid w:val="00A446E6"/>
    <w:pPr>
      <w:jc w:val="both"/>
    </w:pPr>
    <w:rPr>
      <w:sz w:val="20"/>
      <w:szCs w:val="20"/>
    </w:rPr>
  </w:style>
  <w:style w:type="character" w:customStyle="1" w:styleId="af3">
    <w:name w:val="Основной текст Знак"/>
    <w:link w:val="af2"/>
    <w:uiPriority w:val="99"/>
    <w:rsid w:val="00A446E6"/>
    <w:rPr>
      <w:rFonts w:eastAsia="Times New Roman"/>
    </w:rPr>
  </w:style>
  <w:style w:type="paragraph" w:customStyle="1" w:styleId="Default">
    <w:name w:val="Default"/>
    <w:uiPriority w:val="99"/>
    <w:rsid w:val="0059699A"/>
    <w:pPr>
      <w:autoSpaceDE w:val="0"/>
      <w:autoSpaceDN w:val="0"/>
      <w:adjustRightInd w:val="0"/>
    </w:pPr>
    <w:rPr>
      <w:rFonts w:ascii="Calibri" w:hAnsi="Calibri" w:cs="Calibri"/>
      <w:color w:val="000000"/>
      <w:sz w:val="24"/>
      <w:szCs w:val="24"/>
      <w:lang w:eastAsia="en-US"/>
    </w:rPr>
  </w:style>
  <w:style w:type="paragraph" w:styleId="af4">
    <w:name w:val="caption"/>
    <w:basedOn w:val="a"/>
    <w:next w:val="a"/>
    <w:uiPriority w:val="35"/>
    <w:qFormat/>
    <w:rsid w:val="0059699A"/>
    <w:pPr>
      <w:spacing w:after="200"/>
    </w:pPr>
    <w:rPr>
      <w:rFonts w:eastAsia="Calibri"/>
      <w:b/>
      <w:bCs/>
      <w:color w:val="4F81BD"/>
      <w:sz w:val="18"/>
      <w:szCs w:val="18"/>
    </w:rPr>
  </w:style>
  <w:style w:type="character" w:styleId="af5">
    <w:name w:val="annotation reference"/>
    <w:unhideWhenUsed/>
    <w:rsid w:val="00E40AA5"/>
    <w:rPr>
      <w:sz w:val="16"/>
      <w:szCs w:val="16"/>
    </w:rPr>
  </w:style>
  <w:style w:type="paragraph" w:styleId="af6">
    <w:name w:val="annotation text"/>
    <w:basedOn w:val="a"/>
    <w:link w:val="af7"/>
    <w:uiPriority w:val="99"/>
    <w:unhideWhenUsed/>
    <w:rsid w:val="00E40AA5"/>
    <w:rPr>
      <w:sz w:val="20"/>
      <w:szCs w:val="20"/>
    </w:rPr>
  </w:style>
  <w:style w:type="character" w:customStyle="1" w:styleId="af7">
    <w:name w:val="Текст примечания Знак"/>
    <w:link w:val="af6"/>
    <w:uiPriority w:val="99"/>
    <w:rsid w:val="00E40AA5"/>
    <w:rPr>
      <w:rFonts w:eastAsia="Times New Roman"/>
    </w:rPr>
  </w:style>
  <w:style w:type="paragraph" w:styleId="af8">
    <w:name w:val="annotation subject"/>
    <w:basedOn w:val="af6"/>
    <w:next w:val="af6"/>
    <w:link w:val="af9"/>
    <w:uiPriority w:val="99"/>
    <w:semiHidden/>
    <w:unhideWhenUsed/>
    <w:rsid w:val="00E40AA5"/>
    <w:rPr>
      <w:b/>
      <w:bCs/>
    </w:rPr>
  </w:style>
  <w:style w:type="character" w:customStyle="1" w:styleId="af9">
    <w:name w:val="Тема примечания Знак"/>
    <w:link w:val="af8"/>
    <w:uiPriority w:val="99"/>
    <w:semiHidden/>
    <w:rsid w:val="00E40AA5"/>
    <w:rPr>
      <w:rFonts w:eastAsia="Times New Roman"/>
      <w:b/>
      <w:bCs/>
    </w:rPr>
  </w:style>
  <w:style w:type="paragraph" w:customStyle="1" w:styleId="11">
    <w:name w:val="Обычный1"/>
    <w:uiPriority w:val="99"/>
    <w:rsid w:val="00DF50FA"/>
    <w:pPr>
      <w:widowControl w:val="0"/>
      <w:autoSpaceDE w:val="0"/>
      <w:autoSpaceDN w:val="0"/>
    </w:pPr>
    <w:rPr>
      <w:rFonts w:eastAsia="Times New Roman"/>
    </w:rPr>
  </w:style>
  <w:style w:type="character" w:styleId="afa">
    <w:name w:val="page number"/>
    <w:basedOn w:val="a0"/>
    <w:rsid w:val="000F1CD2"/>
  </w:style>
  <w:style w:type="paragraph" w:styleId="afb">
    <w:name w:val="TOC Heading"/>
    <w:basedOn w:val="1"/>
    <w:next w:val="a"/>
    <w:uiPriority w:val="39"/>
    <w:qFormat/>
    <w:rsid w:val="00C00A5C"/>
    <w:pPr>
      <w:keepLines/>
      <w:spacing w:before="480" w:after="0" w:line="276" w:lineRule="auto"/>
      <w:outlineLvl w:val="9"/>
    </w:pPr>
    <w:rPr>
      <w:color w:val="365F91"/>
      <w:kern w:val="0"/>
      <w:sz w:val="28"/>
      <w:szCs w:val="28"/>
    </w:rPr>
  </w:style>
  <w:style w:type="paragraph" w:styleId="12">
    <w:name w:val="toc 1"/>
    <w:basedOn w:val="a"/>
    <w:next w:val="a"/>
    <w:autoRedefine/>
    <w:uiPriority w:val="39"/>
    <w:unhideWhenUsed/>
    <w:qFormat/>
    <w:rsid w:val="00C00A5C"/>
    <w:pPr>
      <w:spacing w:after="100"/>
    </w:pPr>
  </w:style>
  <w:style w:type="paragraph" w:styleId="21">
    <w:name w:val="toc 2"/>
    <w:basedOn w:val="a"/>
    <w:next w:val="a"/>
    <w:autoRedefine/>
    <w:uiPriority w:val="39"/>
    <w:unhideWhenUsed/>
    <w:qFormat/>
    <w:rsid w:val="005C7913"/>
    <w:pPr>
      <w:tabs>
        <w:tab w:val="right" w:leader="dot" w:pos="9344"/>
      </w:tabs>
      <w:spacing w:after="100"/>
      <w:ind w:firstLine="180"/>
    </w:pPr>
  </w:style>
  <w:style w:type="table" w:customStyle="1" w:styleId="13">
    <w:name w:val="Сетка таблицы1"/>
    <w:basedOn w:val="a1"/>
    <w:next w:val="a3"/>
    <w:uiPriority w:val="59"/>
    <w:rsid w:val="005B745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unhideWhenUsed/>
    <w:rsid w:val="006A3053"/>
    <w:pPr>
      <w:spacing w:after="120"/>
      <w:ind w:left="283"/>
    </w:pPr>
    <w:rPr>
      <w:sz w:val="16"/>
      <w:szCs w:val="16"/>
    </w:rPr>
  </w:style>
  <w:style w:type="character" w:customStyle="1" w:styleId="32">
    <w:name w:val="Основной текст с отступом 3 Знак"/>
    <w:link w:val="31"/>
    <w:uiPriority w:val="99"/>
    <w:rsid w:val="006A3053"/>
    <w:rPr>
      <w:rFonts w:eastAsia="Times New Roman"/>
      <w:sz w:val="16"/>
      <w:szCs w:val="16"/>
    </w:rPr>
  </w:style>
  <w:style w:type="paragraph" w:styleId="afc">
    <w:name w:val="Title"/>
    <w:basedOn w:val="a"/>
    <w:link w:val="afd"/>
    <w:qFormat/>
    <w:rsid w:val="006D1A2D"/>
    <w:pPr>
      <w:jc w:val="center"/>
    </w:pPr>
    <w:rPr>
      <w:b/>
      <w:szCs w:val="20"/>
    </w:rPr>
  </w:style>
  <w:style w:type="character" w:customStyle="1" w:styleId="afd">
    <w:name w:val="Название Знак"/>
    <w:link w:val="afc"/>
    <w:rsid w:val="006D1A2D"/>
    <w:rPr>
      <w:rFonts w:eastAsia="Times New Roman"/>
      <w:b/>
      <w:sz w:val="24"/>
    </w:rPr>
  </w:style>
  <w:style w:type="paragraph" w:customStyle="1" w:styleId="22">
    <w:name w:val="Обычный2"/>
    <w:rsid w:val="009A372B"/>
    <w:pPr>
      <w:spacing w:before="100" w:after="100"/>
    </w:pPr>
    <w:rPr>
      <w:rFonts w:eastAsia="Times New Roman"/>
      <w:snapToGrid w:val="0"/>
      <w:sz w:val="24"/>
    </w:rPr>
  </w:style>
  <w:style w:type="paragraph" w:customStyle="1" w:styleId="afe">
    <w:name w:val="Знак"/>
    <w:basedOn w:val="a"/>
    <w:autoRedefine/>
    <w:uiPriority w:val="99"/>
    <w:rsid w:val="009A372B"/>
    <w:pPr>
      <w:spacing w:after="160" w:line="240" w:lineRule="exact"/>
    </w:pPr>
    <w:rPr>
      <w:rFonts w:eastAsia="SimSun"/>
      <w:b/>
      <w:sz w:val="28"/>
      <w:lang w:val="en-US" w:eastAsia="en-US"/>
    </w:rPr>
  </w:style>
  <w:style w:type="character" w:customStyle="1" w:styleId="60">
    <w:name w:val="Заголовок 6 Знак"/>
    <w:link w:val="6"/>
    <w:semiHidden/>
    <w:rsid w:val="00F04A71"/>
    <w:rPr>
      <w:rFonts w:ascii="Calibri" w:eastAsia="Times New Roman" w:hAnsi="Calibri"/>
      <w:b/>
      <w:bCs/>
      <w:sz w:val="22"/>
      <w:szCs w:val="22"/>
    </w:rPr>
  </w:style>
  <w:style w:type="character" w:styleId="aff">
    <w:name w:val="FollowedHyperlink"/>
    <w:uiPriority w:val="99"/>
    <w:semiHidden/>
    <w:unhideWhenUsed/>
    <w:rsid w:val="00F04A71"/>
    <w:rPr>
      <w:color w:val="800080"/>
      <w:u w:val="single"/>
    </w:rPr>
  </w:style>
  <w:style w:type="character" w:customStyle="1" w:styleId="23">
    <w:name w:val="Основной текст 2 Знак"/>
    <w:link w:val="24"/>
    <w:uiPriority w:val="99"/>
    <w:semiHidden/>
    <w:rsid w:val="00F04A71"/>
    <w:rPr>
      <w:rFonts w:eastAsia="Times New Roman"/>
      <w:sz w:val="24"/>
      <w:szCs w:val="24"/>
    </w:rPr>
  </w:style>
  <w:style w:type="paragraph" w:styleId="24">
    <w:name w:val="Body Text 2"/>
    <w:basedOn w:val="a"/>
    <w:link w:val="23"/>
    <w:uiPriority w:val="99"/>
    <w:semiHidden/>
    <w:unhideWhenUsed/>
    <w:rsid w:val="00F04A71"/>
    <w:pPr>
      <w:spacing w:after="120" w:line="480" w:lineRule="auto"/>
    </w:pPr>
  </w:style>
  <w:style w:type="character" w:customStyle="1" w:styleId="33">
    <w:name w:val="Основной текст 3 Знак"/>
    <w:link w:val="34"/>
    <w:uiPriority w:val="99"/>
    <w:semiHidden/>
    <w:rsid w:val="00F04A71"/>
    <w:rPr>
      <w:rFonts w:eastAsia="MS Mincho"/>
      <w:sz w:val="16"/>
      <w:szCs w:val="16"/>
      <w:lang w:eastAsia="ja-JP"/>
    </w:rPr>
  </w:style>
  <w:style w:type="paragraph" w:styleId="34">
    <w:name w:val="Body Text 3"/>
    <w:basedOn w:val="a"/>
    <w:link w:val="33"/>
    <w:uiPriority w:val="99"/>
    <w:semiHidden/>
    <w:unhideWhenUsed/>
    <w:rsid w:val="00F04A71"/>
    <w:pPr>
      <w:spacing w:after="120"/>
    </w:pPr>
    <w:rPr>
      <w:rFonts w:eastAsia="MS Mincho"/>
      <w:sz w:val="16"/>
      <w:szCs w:val="16"/>
      <w:lang w:eastAsia="ja-JP"/>
    </w:rPr>
  </w:style>
  <w:style w:type="character" w:customStyle="1" w:styleId="aff0">
    <w:name w:val="Схема документа Знак"/>
    <w:link w:val="aff1"/>
    <w:uiPriority w:val="99"/>
    <w:semiHidden/>
    <w:rsid w:val="00F04A71"/>
    <w:rPr>
      <w:rFonts w:ascii="Tahoma" w:eastAsia="Times New Roman" w:hAnsi="Tahoma" w:cs="Tahoma"/>
      <w:shd w:val="clear" w:color="auto" w:fill="000080"/>
    </w:rPr>
  </w:style>
  <w:style w:type="paragraph" w:styleId="aff1">
    <w:name w:val="Document Map"/>
    <w:basedOn w:val="a"/>
    <w:link w:val="aff0"/>
    <w:uiPriority w:val="99"/>
    <w:semiHidden/>
    <w:unhideWhenUsed/>
    <w:rsid w:val="00F04A71"/>
    <w:pPr>
      <w:shd w:val="clear" w:color="auto" w:fill="000080"/>
    </w:pPr>
    <w:rPr>
      <w:rFonts w:ascii="Tahoma" w:hAnsi="Tahoma" w:cs="Tahoma"/>
      <w:sz w:val="20"/>
      <w:szCs w:val="20"/>
    </w:rPr>
  </w:style>
  <w:style w:type="paragraph" w:customStyle="1" w:styleId="aff2">
    <w:name w:val="......."/>
    <w:basedOn w:val="Default"/>
    <w:next w:val="Default"/>
    <w:uiPriority w:val="99"/>
    <w:rsid w:val="00F04A71"/>
    <w:rPr>
      <w:rFonts w:ascii="Times New Roman" w:eastAsia="Times New Roman" w:hAnsi="Times New Roman" w:cs="Times New Roman"/>
      <w:color w:val="auto"/>
      <w:lang w:eastAsia="ru-RU"/>
    </w:rPr>
  </w:style>
  <w:style w:type="paragraph" w:customStyle="1" w:styleId="TableParagraph">
    <w:name w:val="Table Paragraph"/>
    <w:basedOn w:val="a"/>
    <w:uiPriority w:val="1"/>
    <w:qFormat/>
    <w:rsid w:val="00F04A71"/>
    <w:pPr>
      <w:widowControl w:val="0"/>
    </w:pPr>
    <w:rPr>
      <w:rFonts w:ascii="Calibri" w:eastAsia="Calibri" w:hAnsi="Calibri"/>
      <w:sz w:val="22"/>
      <w:szCs w:val="22"/>
      <w:lang w:val="en-US" w:eastAsia="en-US"/>
    </w:rPr>
  </w:style>
  <w:style w:type="character" w:customStyle="1" w:styleId="ParagraphNumberingChar">
    <w:name w:val="Paragraph Numbering Char"/>
    <w:link w:val="ParagraphNumbering"/>
    <w:locked/>
    <w:rsid w:val="00F04A71"/>
    <w:rPr>
      <w:sz w:val="24"/>
      <w:szCs w:val="24"/>
      <w:lang w:val="en-US" w:eastAsia="en-US"/>
    </w:rPr>
  </w:style>
  <w:style w:type="paragraph" w:customStyle="1" w:styleId="ParagraphNumbering">
    <w:name w:val="Paragraph Numbering"/>
    <w:basedOn w:val="a"/>
    <w:link w:val="ParagraphNumberingChar"/>
    <w:rsid w:val="00F04A71"/>
    <w:pPr>
      <w:numPr>
        <w:numId w:val="20"/>
      </w:numPr>
      <w:spacing w:after="240"/>
    </w:pPr>
    <w:rPr>
      <w:rFonts w:eastAsia="Calibri"/>
      <w:lang w:val="en-US" w:eastAsia="en-US"/>
    </w:rPr>
  </w:style>
  <w:style w:type="paragraph" w:customStyle="1" w:styleId="14">
    <w:name w:val="Знак Знак Знак1 Знак Знак Знак Знак Знак Знак"/>
    <w:basedOn w:val="a"/>
    <w:next w:val="2"/>
    <w:autoRedefine/>
    <w:uiPriority w:val="99"/>
    <w:rsid w:val="00F04A71"/>
    <w:pPr>
      <w:spacing w:after="160"/>
      <w:ind w:firstLine="720"/>
      <w:jc w:val="both"/>
    </w:pPr>
    <w:rPr>
      <w:sz w:val="28"/>
      <w:szCs w:val="28"/>
      <w:lang w:val="en-US" w:eastAsia="en-US"/>
    </w:rPr>
  </w:style>
  <w:style w:type="character" w:customStyle="1" w:styleId="15">
    <w:name w:val="Стиль1 Знак"/>
    <w:link w:val="16"/>
    <w:uiPriority w:val="1"/>
    <w:locked/>
    <w:rsid w:val="00F04A71"/>
    <w:rPr>
      <w:rFonts w:ascii="Arial" w:eastAsia="Arial" w:hAnsi="Arial" w:cs="Arial"/>
      <w:b/>
      <w:sz w:val="18"/>
      <w:szCs w:val="18"/>
    </w:rPr>
  </w:style>
  <w:style w:type="paragraph" w:customStyle="1" w:styleId="16">
    <w:name w:val="Стиль1"/>
    <w:basedOn w:val="af2"/>
    <w:link w:val="15"/>
    <w:uiPriority w:val="1"/>
    <w:qFormat/>
    <w:rsid w:val="00F04A71"/>
    <w:pPr>
      <w:widowControl w:val="0"/>
      <w:tabs>
        <w:tab w:val="left" w:pos="775"/>
      </w:tabs>
      <w:snapToGrid w:val="0"/>
      <w:spacing w:line="252" w:lineRule="auto"/>
      <w:ind w:left="1386" w:right="109"/>
      <w:jc w:val="left"/>
    </w:pPr>
    <w:rPr>
      <w:rFonts w:ascii="Arial" w:eastAsia="Arial" w:hAnsi="Arial" w:cs="Arial"/>
      <w:b/>
      <w:sz w:val="18"/>
      <w:szCs w:val="18"/>
    </w:rPr>
  </w:style>
  <w:style w:type="paragraph" w:customStyle="1" w:styleId="210">
    <w:name w:val="Основной текст 21"/>
    <w:basedOn w:val="a"/>
    <w:uiPriority w:val="99"/>
    <w:rsid w:val="00F04A71"/>
    <w:pPr>
      <w:snapToGrid w:val="0"/>
      <w:jc w:val="center"/>
    </w:pPr>
    <w:rPr>
      <w:sz w:val="28"/>
      <w:szCs w:val="20"/>
    </w:rPr>
  </w:style>
  <w:style w:type="paragraph" w:customStyle="1" w:styleId="e12">
    <w:name w:val="Основной тек—e1т 2"/>
    <w:basedOn w:val="a"/>
    <w:uiPriority w:val="99"/>
    <w:rsid w:val="00F04A71"/>
    <w:pPr>
      <w:widowControl w:val="0"/>
      <w:tabs>
        <w:tab w:val="left" w:pos="993"/>
      </w:tabs>
      <w:snapToGrid w:val="0"/>
      <w:spacing w:line="288" w:lineRule="auto"/>
      <w:ind w:firstLine="720"/>
      <w:jc w:val="both"/>
    </w:pPr>
    <w:rPr>
      <w:sz w:val="28"/>
      <w:szCs w:val="20"/>
    </w:rPr>
  </w:style>
  <w:style w:type="paragraph" w:customStyle="1" w:styleId="220">
    <w:name w:val="Основной текст 22"/>
    <w:basedOn w:val="a"/>
    <w:uiPriority w:val="99"/>
    <w:rsid w:val="00F04A71"/>
    <w:pPr>
      <w:snapToGrid w:val="0"/>
      <w:ind w:firstLine="709"/>
      <w:jc w:val="both"/>
    </w:pPr>
    <w:rPr>
      <w:sz w:val="28"/>
      <w:szCs w:val="20"/>
    </w:rPr>
  </w:style>
  <w:style w:type="paragraph" w:customStyle="1" w:styleId="110">
    <w:name w:val="Стиль11"/>
    <w:basedOn w:val="a"/>
    <w:uiPriority w:val="99"/>
    <w:rsid w:val="00F04A71"/>
    <w:pPr>
      <w:widowControl w:val="0"/>
      <w:snapToGrid w:val="0"/>
      <w:jc w:val="both"/>
    </w:pPr>
    <w:rPr>
      <w:sz w:val="28"/>
      <w:szCs w:val="20"/>
    </w:rPr>
  </w:style>
  <w:style w:type="paragraph" w:customStyle="1" w:styleId="CharCharCharChar">
    <w:name w:val="Char Char Знак Знак Char Char Знак"/>
    <w:basedOn w:val="a"/>
    <w:autoRedefine/>
    <w:uiPriority w:val="99"/>
    <w:rsid w:val="00F04A71"/>
    <w:pPr>
      <w:spacing w:after="160" w:line="240" w:lineRule="exact"/>
    </w:pPr>
    <w:rPr>
      <w:rFonts w:eastAsia="SimSun"/>
      <w:b/>
      <w:sz w:val="28"/>
      <w:lang w:val="en-US" w:eastAsia="en-US"/>
    </w:rPr>
  </w:style>
  <w:style w:type="character" w:customStyle="1" w:styleId="s1">
    <w:name w:val="s1"/>
    <w:rsid w:val="00F04A71"/>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F04A71"/>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0">
    <w:name w:val="s20"/>
    <w:rsid w:val="00F04A71"/>
    <w:rPr>
      <w:shd w:val="clear" w:color="auto" w:fill="FFFFFF"/>
    </w:rPr>
  </w:style>
  <w:style w:type="character" w:customStyle="1" w:styleId="st">
    <w:name w:val="st"/>
    <w:rsid w:val="00F04A71"/>
  </w:style>
  <w:style w:type="character" w:customStyle="1" w:styleId="s3">
    <w:name w:val="s3"/>
    <w:rsid w:val="00F04A71"/>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F04A71"/>
    <w:rPr>
      <w:rFonts w:ascii="Times New Roman" w:hAnsi="Times New Roman" w:cs="Times New Roman" w:hint="default"/>
      <w:b/>
      <w:bCs/>
      <w:i/>
      <w:iCs/>
      <w:color w:val="333399"/>
      <w:u w:val="single"/>
      <w:bdr w:val="none" w:sz="0" w:space="0" w:color="auto" w:frame="1"/>
    </w:rPr>
  </w:style>
  <w:style w:type="character" w:customStyle="1" w:styleId="t101">
    <w:name w:val="t101"/>
    <w:rsid w:val="00F04A71"/>
    <w:rPr>
      <w:rFonts w:ascii="Tahoma" w:hAnsi="Tahoma" w:cs="Tahoma" w:hint="default"/>
      <w:b/>
      <w:bCs/>
      <w:color w:val="000000"/>
      <w:sz w:val="18"/>
      <w:szCs w:val="18"/>
    </w:rPr>
  </w:style>
  <w:style w:type="paragraph" w:customStyle="1" w:styleId="17">
    <w:name w:val="Знак1"/>
    <w:basedOn w:val="a"/>
    <w:autoRedefine/>
    <w:rsid w:val="00F07056"/>
    <w:pPr>
      <w:spacing w:after="160" w:line="240" w:lineRule="exact"/>
    </w:pPr>
    <w:rPr>
      <w:sz w:val="28"/>
      <w:szCs w:val="20"/>
      <w:lang w:val="en-US" w:eastAsia="en-US"/>
    </w:rPr>
  </w:style>
  <w:style w:type="character" w:customStyle="1" w:styleId="s2">
    <w:name w:val="s2"/>
    <w:basedOn w:val="a0"/>
    <w:rsid w:val="00731D01"/>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794">
      <w:bodyDiv w:val="1"/>
      <w:marLeft w:val="0"/>
      <w:marRight w:val="0"/>
      <w:marTop w:val="0"/>
      <w:marBottom w:val="0"/>
      <w:divBdr>
        <w:top w:val="none" w:sz="0" w:space="0" w:color="auto"/>
        <w:left w:val="none" w:sz="0" w:space="0" w:color="auto"/>
        <w:bottom w:val="none" w:sz="0" w:space="0" w:color="auto"/>
        <w:right w:val="none" w:sz="0" w:space="0" w:color="auto"/>
      </w:divBdr>
    </w:div>
    <w:div w:id="32467728">
      <w:bodyDiv w:val="1"/>
      <w:marLeft w:val="0"/>
      <w:marRight w:val="0"/>
      <w:marTop w:val="0"/>
      <w:marBottom w:val="0"/>
      <w:divBdr>
        <w:top w:val="none" w:sz="0" w:space="0" w:color="auto"/>
        <w:left w:val="none" w:sz="0" w:space="0" w:color="auto"/>
        <w:bottom w:val="none" w:sz="0" w:space="0" w:color="auto"/>
        <w:right w:val="none" w:sz="0" w:space="0" w:color="auto"/>
      </w:divBdr>
    </w:div>
    <w:div w:id="59518860">
      <w:bodyDiv w:val="1"/>
      <w:marLeft w:val="0"/>
      <w:marRight w:val="0"/>
      <w:marTop w:val="0"/>
      <w:marBottom w:val="0"/>
      <w:divBdr>
        <w:top w:val="none" w:sz="0" w:space="0" w:color="auto"/>
        <w:left w:val="none" w:sz="0" w:space="0" w:color="auto"/>
        <w:bottom w:val="none" w:sz="0" w:space="0" w:color="auto"/>
        <w:right w:val="none" w:sz="0" w:space="0" w:color="auto"/>
      </w:divBdr>
    </w:div>
    <w:div w:id="72897413">
      <w:bodyDiv w:val="1"/>
      <w:marLeft w:val="0"/>
      <w:marRight w:val="0"/>
      <w:marTop w:val="0"/>
      <w:marBottom w:val="0"/>
      <w:divBdr>
        <w:top w:val="none" w:sz="0" w:space="0" w:color="auto"/>
        <w:left w:val="none" w:sz="0" w:space="0" w:color="auto"/>
        <w:bottom w:val="none" w:sz="0" w:space="0" w:color="auto"/>
        <w:right w:val="none" w:sz="0" w:space="0" w:color="auto"/>
      </w:divBdr>
    </w:div>
    <w:div w:id="77023350">
      <w:bodyDiv w:val="1"/>
      <w:marLeft w:val="0"/>
      <w:marRight w:val="0"/>
      <w:marTop w:val="0"/>
      <w:marBottom w:val="0"/>
      <w:divBdr>
        <w:top w:val="none" w:sz="0" w:space="0" w:color="auto"/>
        <w:left w:val="none" w:sz="0" w:space="0" w:color="auto"/>
        <w:bottom w:val="none" w:sz="0" w:space="0" w:color="auto"/>
        <w:right w:val="none" w:sz="0" w:space="0" w:color="auto"/>
      </w:divBdr>
    </w:div>
    <w:div w:id="134496283">
      <w:bodyDiv w:val="1"/>
      <w:marLeft w:val="0"/>
      <w:marRight w:val="0"/>
      <w:marTop w:val="0"/>
      <w:marBottom w:val="0"/>
      <w:divBdr>
        <w:top w:val="none" w:sz="0" w:space="0" w:color="auto"/>
        <w:left w:val="none" w:sz="0" w:space="0" w:color="auto"/>
        <w:bottom w:val="none" w:sz="0" w:space="0" w:color="auto"/>
        <w:right w:val="none" w:sz="0" w:space="0" w:color="auto"/>
      </w:divBdr>
    </w:div>
    <w:div w:id="174463490">
      <w:bodyDiv w:val="1"/>
      <w:marLeft w:val="0"/>
      <w:marRight w:val="0"/>
      <w:marTop w:val="0"/>
      <w:marBottom w:val="0"/>
      <w:divBdr>
        <w:top w:val="none" w:sz="0" w:space="0" w:color="auto"/>
        <w:left w:val="none" w:sz="0" w:space="0" w:color="auto"/>
        <w:bottom w:val="none" w:sz="0" w:space="0" w:color="auto"/>
        <w:right w:val="none" w:sz="0" w:space="0" w:color="auto"/>
      </w:divBdr>
    </w:div>
    <w:div w:id="185489246">
      <w:bodyDiv w:val="1"/>
      <w:marLeft w:val="0"/>
      <w:marRight w:val="0"/>
      <w:marTop w:val="0"/>
      <w:marBottom w:val="0"/>
      <w:divBdr>
        <w:top w:val="none" w:sz="0" w:space="0" w:color="auto"/>
        <w:left w:val="none" w:sz="0" w:space="0" w:color="auto"/>
        <w:bottom w:val="none" w:sz="0" w:space="0" w:color="auto"/>
        <w:right w:val="none" w:sz="0" w:space="0" w:color="auto"/>
      </w:divBdr>
    </w:div>
    <w:div w:id="304437335">
      <w:bodyDiv w:val="1"/>
      <w:marLeft w:val="0"/>
      <w:marRight w:val="0"/>
      <w:marTop w:val="0"/>
      <w:marBottom w:val="0"/>
      <w:divBdr>
        <w:top w:val="none" w:sz="0" w:space="0" w:color="auto"/>
        <w:left w:val="none" w:sz="0" w:space="0" w:color="auto"/>
        <w:bottom w:val="none" w:sz="0" w:space="0" w:color="auto"/>
        <w:right w:val="none" w:sz="0" w:space="0" w:color="auto"/>
      </w:divBdr>
    </w:div>
    <w:div w:id="423305682">
      <w:bodyDiv w:val="1"/>
      <w:marLeft w:val="0"/>
      <w:marRight w:val="0"/>
      <w:marTop w:val="0"/>
      <w:marBottom w:val="0"/>
      <w:divBdr>
        <w:top w:val="none" w:sz="0" w:space="0" w:color="auto"/>
        <w:left w:val="none" w:sz="0" w:space="0" w:color="auto"/>
        <w:bottom w:val="none" w:sz="0" w:space="0" w:color="auto"/>
        <w:right w:val="none" w:sz="0" w:space="0" w:color="auto"/>
      </w:divBdr>
    </w:div>
    <w:div w:id="444739573">
      <w:bodyDiv w:val="1"/>
      <w:marLeft w:val="0"/>
      <w:marRight w:val="0"/>
      <w:marTop w:val="0"/>
      <w:marBottom w:val="0"/>
      <w:divBdr>
        <w:top w:val="none" w:sz="0" w:space="0" w:color="auto"/>
        <w:left w:val="none" w:sz="0" w:space="0" w:color="auto"/>
        <w:bottom w:val="none" w:sz="0" w:space="0" w:color="auto"/>
        <w:right w:val="none" w:sz="0" w:space="0" w:color="auto"/>
      </w:divBdr>
    </w:div>
    <w:div w:id="483471650">
      <w:bodyDiv w:val="1"/>
      <w:marLeft w:val="0"/>
      <w:marRight w:val="0"/>
      <w:marTop w:val="0"/>
      <w:marBottom w:val="0"/>
      <w:divBdr>
        <w:top w:val="none" w:sz="0" w:space="0" w:color="auto"/>
        <w:left w:val="none" w:sz="0" w:space="0" w:color="auto"/>
        <w:bottom w:val="none" w:sz="0" w:space="0" w:color="auto"/>
        <w:right w:val="none" w:sz="0" w:space="0" w:color="auto"/>
      </w:divBdr>
    </w:div>
    <w:div w:id="711539555">
      <w:bodyDiv w:val="1"/>
      <w:marLeft w:val="0"/>
      <w:marRight w:val="0"/>
      <w:marTop w:val="0"/>
      <w:marBottom w:val="0"/>
      <w:divBdr>
        <w:top w:val="none" w:sz="0" w:space="0" w:color="auto"/>
        <w:left w:val="none" w:sz="0" w:space="0" w:color="auto"/>
        <w:bottom w:val="none" w:sz="0" w:space="0" w:color="auto"/>
        <w:right w:val="none" w:sz="0" w:space="0" w:color="auto"/>
      </w:divBdr>
    </w:div>
    <w:div w:id="732168272">
      <w:bodyDiv w:val="1"/>
      <w:marLeft w:val="0"/>
      <w:marRight w:val="0"/>
      <w:marTop w:val="0"/>
      <w:marBottom w:val="0"/>
      <w:divBdr>
        <w:top w:val="none" w:sz="0" w:space="0" w:color="auto"/>
        <w:left w:val="none" w:sz="0" w:space="0" w:color="auto"/>
        <w:bottom w:val="none" w:sz="0" w:space="0" w:color="auto"/>
        <w:right w:val="none" w:sz="0" w:space="0" w:color="auto"/>
      </w:divBdr>
    </w:div>
    <w:div w:id="736392442">
      <w:bodyDiv w:val="1"/>
      <w:marLeft w:val="0"/>
      <w:marRight w:val="0"/>
      <w:marTop w:val="0"/>
      <w:marBottom w:val="0"/>
      <w:divBdr>
        <w:top w:val="none" w:sz="0" w:space="0" w:color="auto"/>
        <w:left w:val="none" w:sz="0" w:space="0" w:color="auto"/>
        <w:bottom w:val="none" w:sz="0" w:space="0" w:color="auto"/>
        <w:right w:val="none" w:sz="0" w:space="0" w:color="auto"/>
      </w:divBdr>
    </w:div>
    <w:div w:id="747187424">
      <w:bodyDiv w:val="1"/>
      <w:marLeft w:val="0"/>
      <w:marRight w:val="0"/>
      <w:marTop w:val="0"/>
      <w:marBottom w:val="0"/>
      <w:divBdr>
        <w:top w:val="none" w:sz="0" w:space="0" w:color="auto"/>
        <w:left w:val="none" w:sz="0" w:space="0" w:color="auto"/>
        <w:bottom w:val="none" w:sz="0" w:space="0" w:color="auto"/>
        <w:right w:val="none" w:sz="0" w:space="0" w:color="auto"/>
      </w:divBdr>
    </w:div>
    <w:div w:id="854267298">
      <w:bodyDiv w:val="1"/>
      <w:marLeft w:val="0"/>
      <w:marRight w:val="0"/>
      <w:marTop w:val="0"/>
      <w:marBottom w:val="0"/>
      <w:divBdr>
        <w:top w:val="none" w:sz="0" w:space="0" w:color="auto"/>
        <w:left w:val="none" w:sz="0" w:space="0" w:color="auto"/>
        <w:bottom w:val="none" w:sz="0" w:space="0" w:color="auto"/>
        <w:right w:val="none" w:sz="0" w:space="0" w:color="auto"/>
      </w:divBdr>
    </w:div>
    <w:div w:id="860553584">
      <w:bodyDiv w:val="1"/>
      <w:marLeft w:val="0"/>
      <w:marRight w:val="0"/>
      <w:marTop w:val="0"/>
      <w:marBottom w:val="0"/>
      <w:divBdr>
        <w:top w:val="none" w:sz="0" w:space="0" w:color="auto"/>
        <w:left w:val="none" w:sz="0" w:space="0" w:color="auto"/>
        <w:bottom w:val="none" w:sz="0" w:space="0" w:color="auto"/>
        <w:right w:val="none" w:sz="0" w:space="0" w:color="auto"/>
      </w:divBdr>
    </w:div>
    <w:div w:id="996347811">
      <w:bodyDiv w:val="1"/>
      <w:marLeft w:val="0"/>
      <w:marRight w:val="0"/>
      <w:marTop w:val="0"/>
      <w:marBottom w:val="0"/>
      <w:divBdr>
        <w:top w:val="none" w:sz="0" w:space="0" w:color="auto"/>
        <w:left w:val="none" w:sz="0" w:space="0" w:color="auto"/>
        <w:bottom w:val="none" w:sz="0" w:space="0" w:color="auto"/>
        <w:right w:val="none" w:sz="0" w:space="0" w:color="auto"/>
      </w:divBdr>
    </w:div>
    <w:div w:id="996690630">
      <w:bodyDiv w:val="1"/>
      <w:marLeft w:val="0"/>
      <w:marRight w:val="0"/>
      <w:marTop w:val="0"/>
      <w:marBottom w:val="0"/>
      <w:divBdr>
        <w:top w:val="none" w:sz="0" w:space="0" w:color="auto"/>
        <w:left w:val="none" w:sz="0" w:space="0" w:color="auto"/>
        <w:bottom w:val="none" w:sz="0" w:space="0" w:color="auto"/>
        <w:right w:val="none" w:sz="0" w:space="0" w:color="auto"/>
      </w:divBdr>
    </w:div>
    <w:div w:id="1030838794">
      <w:bodyDiv w:val="1"/>
      <w:marLeft w:val="0"/>
      <w:marRight w:val="0"/>
      <w:marTop w:val="0"/>
      <w:marBottom w:val="0"/>
      <w:divBdr>
        <w:top w:val="none" w:sz="0" w:space="0" w:color="auto"/>
        <w:left w:val="none" w:sz="0" w:space="0" w:color="auto"/>
        <w:bottom w:val="none" w:sz="0" w:space="0" w:color="auto"/>
        <w:right w:val="none" w:sz="0" w:space="0" w:color="auto"/>
      </w:divBdr>
    </w:div>
    <w:div w:id="1060321581">
      <w:bodyDiv w:val="1"/>
      <w:marLeft w:val="0"/>
      <w:marRight w:val="0"/>
      <w:marTop w:val="0"/>
      <w:marBottom w:val="0"/>
      <w:divBdr>
        <w:top w:val="none" w:sz="0" w:space="0" w:color="auto"/>
        <w:left w:val="none" w:sz="0" w:space="0" w:color="auto"/>
        <w:bottom w:val="none" w:sz="0" w:space="0" w:color="auto"/>
        <w:right w:val="none" w:sz="0" w:space="0" w:color="auto"/>
      </w:divBdr>
    </w:div>
    <w:div w:id="1063411051">
      <w:bodyDiv w:val="1"/>
      <w:marLeft w:val="0"/>
      <w:marRight w:val="0"/>
      <w:marTop w:val="0"/>
      <w:marBottom w:val="0"/>
      <w:divBdr>
        <w:top w:val="none" w:sz="0" w:space="0" w:color="auto"/>
        <w:left w:val="none" w:sz="0" w:space="0" w:color="auto"/>
        <w:bottom w:val="none" w:sz="0" w:space="0" w:color="auto"/>
        <w:right w:val="none" w:sz="0" w:space="0" w:color="auto"/>
      </w:divBdr>
    </w:div>
    <w:div w:id="1114253075">
      <w:bodyDiv w:val="1"/>
      <w:marLeft w:val="0"/>
      <w:marRight w:val="0"/>
      <w:marTop w:val="0"/>
      <w:marBottom w:val="0"/>
      <w:divBdr>
        <w:top w:val="none" w:sz="0" w:space="0" w:color="auto"/>
        <w:left w:val="none" w:sz="0" w:space="0" w:color="auto"/>
        <w:bottom w:val="none" w:sz="0" w:space="0" w:color="auto"/>
        <w:right w:val="none" w:sz="0" w:space="0" w:color="auto"/>
      </w:divBdr>
    </w:div>
    <w:div w:id="1148859329">
      <w:bodyDiv w:val="1"/>
      <w:marLeft w:val="0"/>
      <w:marRight w:val="0"/>
      <w:marTop w:val="0"/>
      <w:marBottom w:val="0"/>
      <w:divBdr>
        <w:top w:val="none" w:sz="0" w:space="0" w:color="auto"/>
        <w:left w:val="none" w:sz="0" w:space="0" w:color="auto"/>
        <w:bottom w:val="none" w:sz="0" w:space="0" w:color="auto"/>
        <w:right w:val="none" w:sz="0" w:space="0" w:color="auto"/>
      </w:divBdr>
    </w:div>
    <w:div w:id="1191576996">
      <w:bodyDiv w:val="1"/>
      <w:marLeft w:val="0"/>
      <w:marRight w:val="0"/>
      <w:marTop w:val="0"/>
      <w:marBottom w:val="0"/>
      <w:divBdr>
        <w:top w:val="none" w:sz="0" w:space="0" w:color="auto"/>
        <w:left w:val="none" w:sz="0" w:space="0" w:color="auto"/>
        <w:bottom w:val="none" w:sz="0" w:space="0" w:color="auto"/>
        <w:right w:val="none" w:sz="0" w:space="0" w:color="auto"/>
      </w:divBdr>
    </w:div>
    <w:div w:id="1253202452">
      <w:bodyDiv w:val="1"/>
      <w:marLeft w:val="0"/>
      <w:marRight w:val="0"/>
      <w:marTop w:val="0"/>
      <w:marBottom w:val="0"/>
      <w:divBdr>
        <w:top w:val="none" w:sz="0" w:space="0" w:color="auto"/>
        <w:left w:val="none" w:sz="0" w:space="0" w:color="auto"/>
        <w:bottom w:val="none" w:sz="0" w:space="0" w:color="auto"/>
        <w:right w:val="none" w:sz="0" w:space="0" w:color="auto"/>
      </w:divBdr>
    </w:div>
    <w:div w:id="1393577241">
      <w:bodyDiv w:val="1"/>
      <w:marLeft w:val="0"/>
      <w:marRight w:val="0"/>
      <w:marTop w:val="0"/>
      <w:marBottom w:val="0"/>
      <w:divBdr>
        <w:top w:val="none" w:sz="0" w:space="0" w:color="auto"/>
        <w:left w:val="none" w:sz="0" w:space="0" w:color="auto"/>
        <w:bottom w:val="none" w:sz="0" w:space="0" w:color="auto"/>
        <w:right w:val="none" w:sz="0" w:space="0" w:color="auto"/>
      </w:divBdr>
    </w:div>
    <w:div w:id="1411808253">
      <w:bodyDiv w:val="1"/>
      <w:marLeft w:val="0"/>
      <w:marRight w:val="0"/>
      <w:marTop w:val="0"/>
      <w:marBottom w:val="0"/>
      <w:divBdr>
        <w:top w:val="none" w:sz="0" w:space="0" w:color="auto"/>
        <w:left w:val="none" w:sz="0" w:space="0" w:color="auto"/>
        <w:bottom w:val="none" w:sz="0" w:space="0" w:color="auto"/>
        <w:right w:val="none" w:sz="0" w:space="0" w:color="auto"/>
      </w:divBdr>
    </w:div>
    <w:div w:id="1489396614">
      <w:bodyDiv w:val="1"/>
      <w:marLeft w:val="0"/>
      <w:marRight w:val="0"/>
      <w:marTop w:val="0"/>
      <w:marBottom w:val="0"/>
      <w:divBdr>
        <w:top w:val="none" w:sz="0" w:space="0" w:color="auto"/>
        <w:left w:val="none" w:sz="0" w:space="0" w:color="auto"/>
        <w:bottom w:val="none" w:sz="0" w:space="0" w:color="auto"/>
        <w:right w:val="none" w:sz="0" w:space="0" w:color="auto"/>
      </w:divBdr>
      <w:divsChild>
        <w:div w:id="766968761">
          <w:marLeft w:val="0"/>
          <w:marRight w:val="0"/>
          <w:marTop w:val="0"/>
          <w:marBottom w:val="0"/>
          <w:divBdr>
            <w:top w:val="none" w:sz="0" w:space="0" w:color="auto"/>
            <w:left w:val="none" w:sz="0" w:space="0" w:color="auto"/>
            <w:bottom w:val="none" w:sz="0" w:space="0" w:color="auto"/>
            <w:right w:val="none" w:sz="0" w:space="0" w:color="auto"/>
          </w:divBdr>
        </w:div>
      </w:divsChild>
    </w:div>
    <w:div w:id="1570849487">
      <w:bodyDiv w:val="1"/>
      <w:marLeft w:val="0"/>
      <w:marRight w:val="0"/>
      <w:marTop w:val="0"/>
      <w:marBottom w:val="0"/>
      <w:divBdr>
        <w:top w:val="none" w:sz="0" w:space="0" w:color="auto"/>
        <w:left w:val="none" w:sz="0" w:space="0" w:color="auto"/>
        <w:bottom w:val="none" w:sz="0" w:space="0" w:color="auto"/>
        <w:right w:val="none" w:sz="0" w:space="0" w:color="auto"/>
      </w:divBdr>
    </w:div>
    <w:div w:id="1571963347">
      <w:bodyDiv w:val="1"/>
      <w:marLeft w:val="0"/>
      <w:marRight w:val="0"/>
      <w:marTop w:val="0"/>
      <w:marBottom w:val="0"/>
      <w:divBdr>
        <w:top w:val="none" w:sz="0" w:space="0" w:color="auto"/>
        <w:left w:val="none" w:sz="0" w:space="0" w:color="auto"/>
        <w:bottom w:val="none" w:sz="0" w:space="0" w:color="auto"/>
        <w:right w:val="none" w:sz="0" w:space="0" w:color="auto"/>
      </w:divBdr>
    </w:div>
    <w:div w:id="1662388934">
      <w:bodyDiv w:val="1"/>
      <w:marLeft w:val="0"/>
      <w:marRight w:val="0"/>
      <w:marTop w:val="0"/>
      <w:marBottom w:val="0"/>
      <w:divBdr>
        <w:top w:val="none" w:sz="0" w:space="0" w:color="auto"/>
        <w:left w:val="none" w:sz="0" w:space="0" w:color="auto"/>
        <w:bottom w:val="none" w:sz="0" w:space="0" w:color="auto"/>
        <w:right w:val="none" w:sz="0" w:space="0" w:color="auto"/>
      </w:divBdr>
    </w:div>
    <w:div w:id="1674406220">
      <w:bodyDiv w:val="1"/>
      <w:marLeft w:val="0"/>
      <w:marRight w:val="0"/>
      <w:marTop w:val="0"/>
      <w:marBottom w:val="0"/>
      <w:divBdr>
        <w:top w:val="none" w:sz="0" w:space="0" w:color="auto"/>
        <w:left w:val="none" w:sz="0" w:space="0" w:color="auto"/>
        <w:bottom w:val="none" w:sz="0" w:space="0" w:color="auto"/>
        <w:right w:val="none" w:sz="0" w:space="0" w:color="auto"/>
      </w:divBdr>
    </w:div>
    <w:div w:id="1678579344">
      <w:bodyDiv w:val="1"/>
      <w:marLeft w:val="0"/>
      <w:marRight w:val="0"/>
      <w:marTop w:val="0"/>
      <w:marBottom w:val="0"/>
      <w:divBdr>
        <w:top w:val="none" w:sz="0" w:space="0" w:color="auto"/>
        <w:left w:val="none" w:sz="0" w:space="0" w:color="auto"/>
        <w:bottom w:val="none" w:sz="0" w:space="0" w:color="auto"/>
        <w:right w:val="none" w:sz="0" w:space="0" w:color="auto"/>
      </w:divBdr>
    </w:div>
    <w:div w:id="1698506522">
      <w:bodyDiv w:val="1"/>
      <w:marLeft w:val="0"/>
      <w:marRight w:val="0"/>
      <w:marTop w:val="0"/>
      <w:marBottom w:val="0"/>
      <w:divBdr>
        <w:top w:val="none" w:sz="0" w:space="0" w:color="auto"/>
        <w:left w:val="none" w:sz="0" w:space="0" w:color="auto"/>
        <w:bottom w:val="none" w:sz="0" w:space="0" w:color="auto"/>
        <w:right w:val="none" w:sz="0" w:space="0" w:color="auto"/>
      </w:divBdr>
      <w:divsChild>
        <w:div w:id="1192918471">
          <w:marLeft w:val="274"/>
          <w:marRight w:val="0"/>
          <w:marTop w:val="0"/>
          <w:marBottom w:val="0"/>
          <w:divBdr>
            <w:top w:val="none" w:sz="0" w:space="0" w:color="auto"/>
            <w:left w:val="none" w:sz="0" w:space="0" w:color="auto"/>
            <w:bottom w:val="none" w:sz="0" w:space="0" w:color="auto"/>
            <w:right w:val="none" w:sz="0" w:space="0" w:color="auto"/>
          </w:divBdr>
        </w:div>
      </w:divsChild>
    </w:div>
    <w:div w:id="1706249647">
      <w:bodyDiv w:val="1"/>
      <w:marLeft w:val="0"/>
      <w:marRight w:val="0"/>
      <w:marTop w:val="0"/>
      <w:marBottom w:val="0"/>
      <w:divBdr>
        <w:top w:val="none" w:sz="0" w:space="0" w:color="auto"/>
        <w:left w:val="none" w:sz="0" w:space="0" w:color="auto"/>
        <w:bottom w:val="none" w:sz="0" w:space="0" w:color="auto"/>
        <w:right w:val="none" w:sz="0" w:space="0" w:color="auto"/>
      </w:divBdr>
    </w:div>
    <w:div w:id="1792629113">
      <w:bodyDiv w:val="1"/>
      <w:marLeft w:val="0"/>
      <w:marRight w:val="0"/>
      <w:marTop w:val="0"/>
      <w:marBottom w:val="0"/>
      <w:divBdr>
        <w:top w:val="none" w:sz="0" w:space="0" w:color="auto"/>
        <w:left w:val="none" w:sz="0" w:space="0" w:color="auto"/>
        <w:bottom w:val="none" w:sz="0" w:space="0" w:color="auto"/>
        <w:right w:val="none" w:sz="0" w:space="0" w:color="auto"/>
      </w:divBdr>
    </w:div>
    <w:div w:id="1794399293">
      <w:bodyDiv w:val="1"/>
      <w:marLeft w:val="0"/>
      <w:marRight w:val="0"/>
      <w:marTop w:val="0"/>
      <w:marBottom w:val="0"/>
      <w:divBdr>
        <w:top w:val="none" w:sz="0" w:space="0" w:color="auto"/>
        <w:left w:val="none" w:sz="0" w:space="0" w:color="auto"/>
        <w:bottom w:val="none" w:sz="0" w:space="0" w:color="auto"/>
        <w:right w:val="none" w:sz="0" w:space="0" w:color="auto"/>
      </w:divBdr>
    </w:div>
    <w:div w:id="1809472932">
      <w:bodyDiv w:val="1"/>
      <w:marLeft w:val="0"/>
      <w:marRight w:val="0"/>
      <w:marTop w:val="0"/>
      <w:marBottom w:val="0"/>
      <w:divBdr>
        <w:top w:val="none" w:sz="0" w:space="0" w:color="auto"/>
        <w:left w:val="none" w:sz="0" w:space="0" w:color="auto"/>
        <w:bottom w:val="none" w:sz="0" w:space="0" w:color="auto"/>
        <w:right w:val="none" w:sz="0" w:space="0" w:color="auto"/>
      </w:divBdr>
    </w:div>
    <w:div w:id="1923444922">
      <w:bodyDiv w:val="1"/>
      <w:marLeft w:val="0"/>
      <w:marRight w:val="0"/>
      <w:marTop w:val="0"/>
      <w:marBottom w:val="0"/>
      <w:divBdr>
        <w:top w:val="none" w:sz="0" w:space="0" w:color="auto"/>
        <w:left w:val="none" w:sz="0" w:space="0" w:color="auto"/>
        <w:bottom w:val="none" w:sz="0" w:space="0" w:color="auto"/>
        <w:right w:val="none" w:sz="0" w:space="0" w:color="auto"/>
      </w:divBdr>
    </w:div>
    <w:div w:id="1941256523">
      <w:bodyDiv w:val="1"/>
      <w:marLeft w:val="0"/>
      <w:marRight w:val="0"/>
      <w:marTop w:val="0"/>
      <w:marBottom w:val="0"/>
      <w:divBdr>
        <w:top w:val="none" w:sz="0" w:space="0" w:color="auto"/>
        <w:left w:val="none" w:sz="0" w:space="0" w:color="auto"/>
        <w:bottom w:val="none" w:sz="0" w:space="0" w:color="auto"/>
        <w:right w:val="none" w:sz="0" w:space="0" w:color="auto"/>
      </w:divBdr>
    </w:div>
    <w:div w:id="1948080375">
      <w:bodyDiv w:val="1"/>
      <w:marLeft w:val="0"/>
      <w:marRight w:val="0"/>
      <w:marTop w:val="0"/>
      <w:marBottom w:val="0"/>
      <w:divBdr>
        <w:top w:val="none" w:sz="0" w:space="0" w:color="auto"/>
        <w:left w:val="none" w:sz="0" w:space="0" w:color="auto"/>
        <w:bottom w:val="none" w:sz="0" w:space="0" w:color="auto"/>
        <w:right w:val="none" w:sz="0" w:space="0" w:color="auto"/>
      </w:divBdr>
    </w:div>
    <w:div w:id="1986466694">
      <w:bodyDiv w:val="1"/>
      <w:marLeft w:val="0"/>
      <w:marRight w:val="0"/>
      <w:marTop w:val="0"/>
      <w:marBottom w:val="0"/>
      <w:divBdr>
        <w:top w:val="none" w:sz="0" w:space="0" w:color="auto"/>
        <w:left w:val="none" w:sz="0" w:space="0" w:color="auto"/>
        <w:bottom w:val="none" w:sz="0" w:space="0" w:color="auto"/>
        <w:right w:val="none" w:sz="0" w:space="0" w:color="auto"/>
      </w:divBdr>
    </w:div>
    <w:div w:id="2019230572">
      <w:bodyDiv w:val="1"/>
      <w:marLeft w:val="0"/>
      <w:marRight w:val="0"/>
      <w:marTop w:val="0"/>
      <w:marBottom w:val="0"/>
      <w:divBdr>
        <w:top w:val="none" w:sz="0" w:space="0" w:color="auto"/>
        <w:left w:val="none" w:sz="0" w:space="0" w:color="auto"/>
        <w:bottom w:val="none" w:sz="0" w:space="0" w:color="auto"/>
        <w:right w:val="none" w:sz="0" w:space="0" w:color="auto"/>
      </w:divBdr>
    </w:div>
    <w:div w:id="2031837745">
      <w:bodyDiv w:val="1"/>
      <w:marLeft w:val="0"/>
      <w:marRight w:val="0"/>
      <w:marTop w:val="0"/>
      <w:marBottom w:val="0"/>
      <w:divBdr>
        <w:top w:val="none" w:sz="0" w:space="0" w:color="auto"/>
        <w:left w:val="none" w:sz="0" w:space="0" w:color="auto"/>
        <w:bottom w:val="none" w:sz="0" w:space="0" w:color="auto"/>
        <w:right w:val="none" w:sz="0" w:space="0" w:color="auto"/>
      </w:divBdr>
    </w:div>
    <w:div w:id="2069495969">
      <w:bodyDiv w:val="1"/>
      <w:marLeft w:val="0"/>
      <w:marRight w:val="0"/>
      <w:marTop w:val="0"/>
      <w:marBottom w:val="0"/>
      <w:divBdr>
        <w:top w:val="none" w:sz="0" w:space="0" w:color="auto"/>
        <w:left w:val="none" w:sz="0" w:space="0" w:color="auto"/>
        <w:bottom w:val="none" w:sz="0" w:space="0" w:color="auto"/>
        <w:right w:val="none" w:sz="0" w:space="0" w:color="auto"/>
      </w:divBdr>
    </w:div>
    <w:div w:id="2081828868">
      <w:bodyDiv w:val="1"/>
      <w:marLeft w:val="0"/>
      <w:marRight w:val="0"/>
      <w:marTop w:val="0"/>
      <w:marBottom w:val="0"/>
      <w:divBdr>
        <w:top w:val="none" w:sz="0" w:space="0" w:color="auto"/>
        <w:left w:val="none" w:sz="0" w:space="0" w:color="auto"/>
        <w:bottom w:val="none" w:sz="0" w:space="0" w:color="auto"/>
        <w:right w:val="none" w:sz="0" w:space="0" w:color="auto"/>
      </w:divBdr>
      <w:divsChild>
        <w:div w:id="432944922">
          <w:marLeft w:val="0"/>
          <w:marRight w:val="0"/>
          <w:marTop w:val="0"/>
          <w:marBottom w:val="0"/>
          <w:divBdr>
            <w:top w:val="none" w:sz="0" w:space="0" w:color="auto"/>
            <w:left w:val="none" w:sz="0" w:space="0" w:color="auto"/>
            <w:bottom w:val="none" w:sz="0" w:space="0" w:color="auto"/>
            <w:right w:val="none" w:sz="0" w:space="0" w:color="auto"/>
          </w:divBdr>
        </w:div>
      </w:divsChild>
    </w:div>
    <w:div w:id="210599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6.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chart" Target="charts/chart37.xml"/><Relationship Id="rId55" Type="http://schemas.openxmlformats.org/officeDocument/2006/relationships/chart" Target="charts/chart42.xml"/><Relationship Id="rId63" Type="http://schemas.openxmlformats.org/officeDocument/2006/relationships/hyperlink" Target="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 TargetMode="External"/><Relationship Id="rId68" Type="http://schemas.openxmlformats.org/officeDocument/2006/relationships/chart" Target="charts/chart52.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isc.kz" TargetMode="Externa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5.xml"/><Relationship Id="rId40" Type="http://schemas.openxmlformats.org/officeDocument/2006/relationships/chart" Target="charts/chart27.xml"/><Relationship Id="rId45" Type="http://schemas.openxmlformats.org/officeDocument/2006/relationships/chart" Target="charts/chart32.xml"/><Relationship Id="rId53" Type="http://schemas.openxmlformats.org/officeDocument/2006/relationships/chart" Target="charts/chart40.xml"/><Relationship Id="rId58" Type="http://schemas.openxmlformats.org/officeDocument/2006/relationships/chart" Target="charts/chart45.xml"/><Relationship Id="rId66" Type="http://schemas.openxmlformats.org/officeDocument/2006/relationships/chart" Target="charts/chart50.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image" Target="media/image6.png"/><Relationship Id="rId49" Type="http://schemas.openxmlformats.org/officeDocument/2006/relationships/chart" Target="charts/chart36.xml"/><Relationship Id="rId57" Type="http://schemas.openxmlformats.org/officeDocument/2006/relationships/chart" Target="charts/chart44.xml"/><Relationship Id="rId61" Type="http://schemas.openxmlformats.org/officeDocument/2006/relationships/hyperlink" Target="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 TargetMode="External"/><Relationship Id="rId10" Type="http://schemas.openxmlformats.org/officeDocument/2006/relationships/chart" Target="charts/chart1.xm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chart" Target="charts/chart31.xml"/><Relationship Id="rId52" Type="http://schemas.openxmlformats.org/officeDocument/2006/relationships/chart" Target="charts/chart39.xml"/><Relationship Id="rId60" Type="http://schemas.openxmlformats.org/officeDocument/2006/relationships/chart" Target="charts/chart47.xml"/><Relationship Id="rId65" Type="http://schemas.openxmlformats.org/officeDocument/2006/relationships/chart" Target="charts/chart4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30.xml"/><Relationship Id="rId48" Type="http://schemas.openxmlformats.org/officeDocument/2006/relationships/chart" Target="charts/chart35.xml"/><Relationship Id="rId56" Type="http://schemas.openxmlformats.org/officeDocument/2006/relationships/chart" Target="charts/chart43.xml"/><Relationship Id="rId64" Type="http://schemas.openxmlformats.org/officeDocument/2006/relationships/chart" Target="charts/chart48.xml"/><Relationship Id="rId69" Type="http://schemas.openxmlformats.org/officeDocument/2006/relationships/chart" Target="charts/chart53.xml"/><Relationship Id="rId8" Type="http://schemas.openxmlformats.org/officeDocument/2006/relationships/endnotes" Target="endnotes.xml"/><Relationship Id="rId51" Type="http://schemas.openxmlformats.org/officeDocument/2006/relationships/chart" Target="charts/chart3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7.png"/><Relationship Id="rId46" Type="http://schemas.openxmlformats.org/officeDocument/2006/relationships/chart" Target="charts/chart33.xml"/><Relationship Id="rId59" Type="http://schemas.openxmlformats.org/officeDocument/2006/relationships/chart" Target="charts/chart46.xml"/><Relationship Id="rId67" Type="http://schemas.openxmlformats.org/officeDocument/2006/relationships/chart" Target="charts/chart51.xml"/><Relationship Id="rId20" Type="http://schemas.openxmlformats.org/officeDocument/2006/relationships/chart" Target="charts/chart9.xml"/><Relationship Id="rId41" Type="http://schemas.openxmlformats.org/officeDocument/2006/relationships/chart" Target="charts/chart28.xml"/><Relationship Id="rId54" Type="http://schemas.openxmlformats.org/officeDocument/2006/relationships/chart" Target="charts/chart41.xml"/><Relationship Id="rId62" Type="http://schemas.openxmlformats.org/officeDocument/2006/relationships/hyperlink" Target="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 TargetMode="External"/><Relationship Id="rId70" Type="http://schemas.openxmlformats.org/officeDocument/2006/relationships/chart" Target="charts/chart5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oleObject" Target="file:///\\nbrk\dps$\&#1040;&#1088;&#1093;&#1080;&#1074;\&#1040;&#1085;&#1072;&#1083;&#1080;&#1079;\Svod\&#1052;&#1086;&#1085;&#1080;&#1090;&#1086;&#1088;&#1080;&#1085;&#1075;%20&#1052;&#1057;&#1055;&#1044;\&#1048;&#1085;&#1090;&#1077;&#1088;&#1074;&#1072;&#1083;&#1099;%20&#1052;&#1057;&#1055;&#1044;.xls" TargetMode="External"/><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PS_Raiymbek_ZH\Documents\0.%20&#1056;&#1072;&#1073;&#1086;&#1090;&#1072;\0.&#1048;&#1089;&#1093;&#1086;&#1076;&#1103;&#1097;&#1080;&#1077;%20&#1087;&#1080;&#1089;&#1100;&#1084;&#1072;\2017\03.%20&#1084;&#1072;&#1088;&#1090;\&#1040;&#1085;&#1072;&#1083;&#1080;&#1090;\&#1043;&#1054;&#1044;.xlsx" TargetMode="External"/><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oleObject" Target="file:///\\nbrk\dps$\&#1040;&#1088;&#1093;&#1080;&#1074;\&#1040;&#1085;&#1072;&#1083;&#1080;&#1079;\Svod\&#1052;&#1057;&#1055;&#1044;\&#1048;&#1085;&#1090;&#1077;&#1088;&#1074;&#1072;&#1083;&#1099;%20&#1089;&#1091;&#1084;&#1084;.xls" TargetMode="External"/><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2" Type="http://schemas.openxmlformats.org/officeDocument/2006/relationships/oleObject" Target="file:///\\nbrk\dps$\&#1040;&#1088;&#1093;&#1080;&#1074;\&#1040;&#1085;&#1072;&#1083;&#1080;&#1079;\Svod\&#1052;&#1057;&#1055;&#1044;\&#1048;&#1085;&#1090;&#1077;&#1088;&#1074;&#1072;&#1083;&#1099;%20&#1089;&#1091;&#1084;&#1084;.xls" TargetMode="External"/><Relationship Id="rId1" Type="http://schemas.openxmlformats.org/officeDocument/2006/relationships/themeOverride" Target="../theme/themeOverride12.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4.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5.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7.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16.xlsx"/><Relationship Id="rId1" Type="http://schemas.openxmlformats.org/officeDocument/2006/relationships/themeOverride" Target="../theme/themeOverride18.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17.xlsx"/><Relationship Id="rId1" Type="http://schemas.openxmlformats.org/officeDocument/2006/relationships/themeOverride" Target="../theme/themeOverride19.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18.xlsx"/><Relationship Id="rId1" Type="http://schemas.openxmlformats.org/officeDocument/2006/relationships/themeOverride" Target="../theme/themeOverride20.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19.xlsx"/><Relationship Id="rId1" Type="http://schemas.openxmlformats.org/officeDocument/2006/relationships/themeOverride" Target="../theme/themeOverride21.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2.xml"/></Relationships>
</file>

<file path=word/charts/_rels/chart26.xml.rels><?xml version="1.0" encoding="UTF-8" standalone="yes"?>
<Relationships xmlns="http://schemas.openxmlformats.org/package/2006/relationships"><Relationship Id="rId2" Type="http://schemas.openxmlformats.org/officeDocument/2006/relationships/oleObject" Target="file:///D:\Aleksandr\Desktop\&#1040;&#1083;&#1077;&#1082;&#1089;&#1072;&#1085;&#1076;&#1088;\&#1050;&#1072;&#1088;&#1090;&#1086;&#1095;&#1082;&#1080;%20&#1080;%20&#1101;&#1083;.%20&#1091;&#1089;&#1083;&#1091;&#1075;&#1080;\&#1040;&#1085;&#1072;&#1083;&#1080;&#1090;&#1080;&#1095;&#1077;&#1089;&#1082;&#1080;&#1077;\2016\&#1076;&#1072;&#1085;&#1085;&#1099;&#1077;.xls" TargetMode="External"/><Relationship Id="rId1" Type="http://schemas.openxmlformats.org/officeDocument/2006/relationships/themeOverride" Target="../theme/themeOverride23.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4.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5.xml"/></Relationships>
</file>

<file path=word/charts/_rels/chart29.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package" Target="../embeddings/Microsoft_Excel_Worksheet23.xlsx"/><Relationship Id="rId1" Type="http://schemas.openxmlformats.org/officeDocument/2006/relationships/themeOverride" Target="../theme/themeOverride26.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7.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8.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9.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30.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31.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32.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33.xml"/></Relationships>
</file>

<file path=word/charts/_rels/chart37.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31.xlsx"/><Relationship Id="rId1" Type="http://schemas.openxmlformats.org/officeDocument/2006/relationships/themeOverride" Target="../theme/themeOverride34.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5.xml"/></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36.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37.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38.xml"/></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39.xml"/></Relationships>
</file>

<file path=word/charts/_rels/chart45.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40.xm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40.xlsx"/><Relationship Id="rId1" Type="http://schemas.openxmlformats.org/officeDocument/2006/relationships/themeOverride" Target="../theme/themeOverride41.xml"/></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Excel_Worksheet41.xlsx"/><Relationship Id="rId1" Type="http://schemas.openxmlformats.org/officeDocument/2006/relationships/themeOverride" Target="../theme/themeOverride42.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43.xml"/></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Excel_Worksheet43.xlsx"/><Relationship Id="rId1" Type="http://schemas.openxmlformats.org/officeDocument/2006/relationships/themeOverride" Target="../theme/themeOverride4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Excel_Worksheet44.xlsx"/><Relationship Id="rId1" Type="http://schemas.openxmlformats.org/officeDocument/2006/relationships/themeOverride" Target="../theme/themeOverride45.xml"/></Relationships>
</file>

<file path=word/charts/_rels/chart51.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Microsoft_Excel_Worksheet45.xlsx"/><Relationship Id="rId1" Type="http://schemas.openxmlformats.org/officeDocument/2006/relationships/themeOverride" Target="../theme/themeOverride46.xml"/></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46.xlsx"/><Relationship Id="rId1" Type="http://schemas.openxmlformats.org/officeDocument/2006/relationships/themeOverride" Target="../theme/themeOverride47.xml"/></Relationships>
</file>

<file path=word/charts/_rels/chart53.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Microsoft_Excel_Worksheet47.xlsx"/><Relationship Id="rId1" Type="http://schemas.openxmlformats.org/officeDocument/2006/relationships/themeOverride" Target="../theme/themeOverride48.xml"/></Relationships>
</file>

<file path=word/charts/_rels/chart54.xml.rels><?xml version="1.0" encoding="UTF-8" standalone="yes"?>
<Relationships xmlns="http://schemas.openxmlformats.org/package/2006/relationships"><Relationship Id="rId2" Type="http://schemas.openxmlformats.org/officeDocument/2006/relationships/package" Target="../embeddings/Microsoft_Excel_Worksheet48.xlsx"/><Relationship Id="rId1" Type="http://schemas.openxmlformats.org/officeDocument/2006/relationships/themeOverride" Target="../theme/themeOverride49.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oleObject" Target="file:///\\nbrk\dps$\&#1040;&#1088;&#1093;&#1080;&#1074;\&#1040;&#1085;&#1072;&#1083;&#1080;&#1079;\Svod\&#1052;&#1086;&#1085;&#1080;&#1090;&#1086;&#1088;&#1080;&#1085;&#1075;%20&#1052;&#1057;&#1055;&#1044;\&#1048;&#1085;&#1090;&#1077;&#1088;&#1074;&#1072;&#1083;&#1099;%20&#1052;&#1057;&#1055;&#1044;.xls"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3.691144162215193E-2"/>
          <c:y val="0"/>
          <c:w val="0.95487179487179485"/>
          <c:h val="0.91543753839280728"/>
        </c:manualLayout>
      </c:layout>
      <c:barChart>
        <c:barDir val="col"/>
        <c:grouping val="clustered"/>
        <c:varyColors val="0"/>
        <c:ser>
          <c:idx val="0"/>
          <c:order val="0"/>
          <c:tx>
            <c:strRef>
              <c:f>Лист1!$B$1</c:f>
              <c:strCache>
                <c:ptCount val="1"/>
                <c:pt idx="0">
                  <c:v>2014</c:v>
                </c:pt>
              </c:strCache>
            </c:strRef>
          </c:tx>
          <c:invertIfNegative val="0"/>
          <c:trendline>
            <c:spPr>
              <a:ln w="76200">
                <a:solidFill>
                  <a:schemeClr val="accent3">
                    <a:lumMod val="50000"/>
                  </a:schemeClr>
                </a:solidFill>
                <a:tailEnd type="stealth"/>
              </a:ln>
            </c:spPr>
            <c:trendlineType val="exp"/>
            <c:dispRSqr val="0"/>
            <c:dispEq val="0"/>
          </c:trendline>
          <c:cat>
            <c:numRef>
              <c:f>Лист1!$A$2:$A$5</c:f>
              <c:numCache>
                <c:formatCode>General</c:formatCode>
                <c:ptCount val="4"/>
              </c:numCache>
            </c:numRef>
          </c:cat>
          <c:val>
            <c:numRef>
              <c:f>Лист1!$B$2:$B$5</c:f>
              <c:numCache>
                <c:formatCode>General</c:formatCode>
                <c:ptCount val="4"/>
                <c:pt idx="0">
                  <c:v>4</c:v>
                </c:pt>
                <c:pt idx="1">
                  <c:v>7</c:v>
                </c:pt>
                <c:pt idx="2">
                  <c:v>10</c:v>
                </c:pt>
                <c:pt idx="3">
                  <c:v>13</c:v>
                </c:pt>
              </c:numCache>
            </c:numRef>
          </c:val>
        </c:ser>
        <c:ser>
          <c:idx val="1"/>
          <c:order val="1"/>
          <c:tx>
            <c:strRef>
              <c:f>Лист1!$C$1</c:f>
              <c:strCache>
                <c:ptCount val="1"/>
                <c:pt idx="0">
                  <c:v>2015</c:v>
                </c:pt>
              </c:strCache>
            </c:strRef>
          </c:tx>
          <c:invertIfNegative val="0"/>
          <c:cat>
            <c:numRef>
              <c:f>Лист1!$A$2:$A$5</c:f>
              <c:numCache>
                <c:formatCode>General</c:formatCode>
                <c:ptCount val="4"/>
              </c:numCache>
            </c:numRef>
          </c:cat>
          <c:val>
            <c:numRef>
              <c:f>Лист1!$C$2:$C$5</c:f>
              <c:numCache>
                <c:formatCode>General</c:formatCode>
                <c:ptCount val="4"/>
                <c:pt idx="0">
                  <c:v>5</c:v>
                </c:pt>
                <c:pt idx="1">
                  <c:v>8</c:v>
                </c:pt>
                <c:pt idx="2">
                  <c:v>11</c:v>
                </c:pt>
                <c:pt idx="3">
                  <c:v>14</c:v>
                </c:pt>
              </c:numCache>
            </c:numRef>
          </c:val>
        </c:ser>
        <c:ser>
          <c:idx val="2"/>
          <c:order val="2"/>
          <c:tx>
            <c:strRef>
              <c:f>Лист1!$D$1</c:f>
              <c:strCache>
                <c:ptCount val="1"/>
                <c:pt idx="0">
                  <c:v>2016</c:v>
                </c:pt>
              </c:strCache>
            </c:strRef>
          </c:tx>
          <c:invertIfNegative val="0"/>
          <c:cat>
            <c:numRef>
              <c:f>Лист1!$A$2:$A$5</c:f>
              <c:numCache>
                <c:formatCode>General</c:formatCode>
                <c:ptCount val="4"/>
              </c:numCache>
            </c:numRef>
          </c:cat>
          <c:val>
            <c:numRef>
              <c:f>Лист1!$D$2:$D$5</c:f>
              <c:numCache>
                <c:formatCode>General</c:formatCode>
                <c:ptCount val="4"/>
                <c:pt idx="0">
                  <c:v>6</c:v>
                </c:pt>
                <c:pt idx="1">
                  <c:v>9</c:v>
                </c:pt>
                <c:pt idx="2">
                  <c:v>12</c:v>
                </c:pt>
                <c:pt idx="3">
                  <c:v>15</c:v>
                </c:pt>
              </c:numCache>
            </c:numRef>
          </c:val>
        </c:ser>
        <c:dLbls>
          <c:showLegendKey val="0"/>
          <c:showVal val="0"/>
          <c:showCatName val="0"/>
          <c:showSerName val="0"/>
          <c:showPercent val="0"/>
          <c:showBubbleSize val="0"/>
        </c:dLbls>
        <c:gapWidth val="120"/>
        <c:axId val="148270464"/>
        <c:axId val="148350080"/>
      </c:barChart>
      <c:catAx>
        <c:axId val="148270464"/>
        <c:scaling>
          <c:orientation val="minMax"/>
        </c:scaling>
        <c:delete val="0"/>
        <c:axPos val="b"/>
        <c:numFmt formatCode="General" sourceLinked="1"/>
        <c:majorTickMark val="out"/>
        <c:minorTickMark val="none"/>
        <c:tickLblPos val="nextTo"/>
        <c:crossAx val="148350080"/>
        <c:crosses val="autoZero"/>
        <c:auto val="1"/>
        <c:lblAlgn val="ctr"/>
        <c:lblOffset val="100"/>
        <c:noMultiLvlLbl val="0"/>
      </c:catAx>
      <c:valAx>
        <c:axId val="148350080"/>
        <c:scaling>
          <c:orientation val="minMax"/>
        </c:scaling>
        <c:delete val="1"/>
        <c:axPos val="l"/>
        <c:numFmt formatCode="General" sourceLinked="1"/>
        <c:majorTickMark val="out"/>
        <c:minorTickMark val="none"/>
        <c:tickLblPos val="nextTo"/>
        <c:crossAx val="148270464"/>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'2016'!$E$112</c:f>
              <c:strCache>
                <c:ptCount val="1"/>
                <c:pt idx="0">
                  <c:v>свыше 1 млрд. тенге</c:v>
                </c:pt>
              </c:strCache>
            </c:strRef>
          </c:tx>
          <c:invertIfNegative val="0"/>
          <c:cat>
            <c:strRef>
              <c:f>'2016'!$F$111:$Q$111</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'2016'!$F$112:$Q$112</c:f>
              <c:numCache>
                <c:formatCode>#" "###" "###" "###" "##0.00</c:formatCode>
                <c:ptCount val="12"/>
                <c:pt idx="0">
                  <c:v>13589.442353356932</c:v>
                </c:pt>
                <c:pt idx="1">
                  <c:v>25569.102617275636</c:v>
                </c:pt>
                <c:pt idx="2">
                  <c:v>38429.560313774775</c:v>
                </c:pt>
                <c:pt idx="3">
                  <c:v>49202.80770439472</c:v>
                </c:pt>
                <c:pt idx="4">
                  <c:v>47307.522118684712</c:v>
                </c:pt>
                <c:pt idx="5">
                  <c:v>51010.659243259171</c:v>
                </c:pt>
                <c:pt idx="6">
                  <c:v>47638.812911391389</c:v>
                </c:pt>
                <c:pt idx="7">
                  <c:v>50856.684341067681</c:v>
                </c:pt>
                <c:pt idx="8">
                  <c:v>42811.088055169625</c:v>
                </c:pt>
                <c:pt idx="9">
                  <c:v>41441.188309541983</c:v>
                </c:pt>
                <c:pt idx="10">
                  <c:v>42569.521917327707</c:v>
                </c:pt>
                <c:pt idx="11">
                  <c:v>51643.268638484544</c:v>
                </c:pt>
              </c:numCache>
            </c:numRef>
          </c:val>
        </c:ser>
        <c:ser>
          <c:idx val="1"/>
          <c:order val="1"/>
          <c:tx>
            <c:strRef>
              <c:f>'2016'!$E$113</c:f>
              <c:strCache>
                <c:ptCount val="1"/>
                <c:pt idx="0">
                  <c:v>от 500 до 1 млрд. тенге</c:v>
                </c:pt>
              </c:strCache>
            </c:strRef>
          </c:tx>
          <c:invertIfNegative val="0"/>
          <c:cat>
            <c:strRef>
              <c:f>'2016'!$F$111:$Q$111</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'2016'!$F$113:$Q$113</c:f>
              <c:numCache>
                <c:formatCode>#" "###" "###" "###" "##0.00</c:formatCode>
                <c:ptCount val="12"/>
                <c:pt idx="0">
                  <c:v>3475.7979325983288</c:v>
                </c:pt>
                <c:pt idx="1">
                  <c:v>2839.5950049234889</c:v>
                </c:pt>
                <c:pt idx="2">
                  <c:v>2691.551398625601</c:v>
                </c:pt>
                <c:pt idx="3">
                  <c:v>2914.4024879573062</c:v>
                </c:pt>
                <c:pt idx="4">
                  <c:v>2419.6438871167306</c:v>
                </c:pt>
                <c:pt idx="5">
                  <c:v>2501.7147551920884</c:v>
                </c:pt>
                <c:pt idx="6">
                  <c:v>2376.860896948092</c:v>
                </c:pt>
                <c:pt idx="7">
                  <c:v>2747.7310786221083</c:v>
                </c:pt>
                <c:pt idx="8">
                  <c:v>2558.5406385168121</c:v>
                </c:pt>
                <c:pt idx="9">
                  <c:v>2237.3505003630498</c:v>
                </c:pt>
                <c:pt idx="10">
                  <c:v>2322.0178909313736</c:v>
                </c:pt>
                <c:pt idx="11">
                  <c:v>2240.5222237395083</c:v>
                </c:pt>
              </c:numCache>
            </c:numRef>
          </c:val>
        </c:ser>
        <c:ser>
          <c:idx val="2"/>
          <c:order val="2"/>
          <c:tx>
            <c:strRef>
              <c:f>'2016'!$E$114</c:f>
              <c:strCache>
                <c:ptCount val="1"/>
                <c:pt idx="0">
                  <c:v>от 100 до 500 млн. тенге</c:v>
                </c:pt>
              </c:strCache>
            </c:strRef>
          </c:tx>
          <c:invertIfNegative val="0"/>
          <c:cat>
            <c:strRef>
              <c:f>'2016'!$F$111:$Q$111</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'2016'!$F$114:$Q$114</c:f>
              <c:numCache>
                <c:formatCode>#" "###" "###" "###" "##0.00</c:formatCode>
                <c:ptCount val="12"/>
                <c:pt idx="0">
                  <c:v>2026.2630864182693</c:v>
                </c:pt>
                <c:pt idx="1">
                  <c:v>1887.8635055605389</c:v>
                </c:pt>
                <c:pt idx="2">
                  <c:v>1887.5043214701436</c:v>
                </c:pt>
                <c:pt idx="3">
                  <c:v>2000.7677712053576</c:v>
                </c:pt>
                <c:pt idx="4">
                  <c:v>1710.2730626959312</c:v>
                </c:pt>
                <c:pt idx="5">
                  <c:v>1861.0771527338516</c:v>
                </c:pt>
                <c:pt idx="6">
                  <c:v>1677.3261168803801</c:v>
                </c:pt>
                <c:pt idx="7">
                  <c:v>1901.2740158549409</c:v>
                </c:pt>
                <c:pt idx="8">
                  <c:v>1796.8475648065626</c:v>
                </c:pt>
                <c:pt idx="9">
                  <c:v>1856.2763857326581</c:v>
                </c:pt>
                <c:pt idx="10">
                  <c:v>2334.477933530658</c:v>
                </c:pt>
                <c:pt idx="11">
                  <c:v>3131.9717321075432</c:v>
                </c:pt>
              </c:numCache>
            </c:numRef>
          </c:val>
        </c:ser>
        <c:ser>
          <c:idx val="3"/>
          <c:order val="3"/>
          <c:tx>
            <c:strRef>
              <c:f>'2016'!$E$115</c:f>
              <c:strCache>
                <c:ptCount val="1"/>
                <c:pt idx="0">
                  <c:v>от 50 до 100 млн. тенге</c:v>
                </c:pt>
              </c:strCache>
            </c:strRef>
          </c:tx>
          <c:invertIfNegative val="0"/>
          <c:cat>
            <c:strRef>
              <c:f>'2016'!$F$111:$Q$111</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'2016'!$F$115:$Q$115</c:f>
              <c:numCache>
                <c:formatCode>#" "###" "###" "###" "##0.00</c:formatCode>
                <c:ptCount val="12"/>
                <c:pt idx="0">
                  <c:v>429.30937039739075</c:v>
                </c:pt>
                <c:pt idx="1">
                  <c:v>499.35659528492948</c:v>
                </c:pt>
                <c:pt idx="2">
                  <c:v>499.28419433621013</c:v>
                </c:pt>
                <c:pt idx="3">
                  <c:v>535.20111084158975</c:v>
                </c:pt>
                <c:pt idx="4">
                  <c:v>525.4983765853691</c:v>
                </c:pt>
                <c:pt idx="5">
                  <c:v>540.29455405863985</c:v>
                </c:pt>
                <c:pt idx="6">
                  <c:v>522.88756662785067</c:v>
                </c:pt>
                <c:pt idx="7">
                  <c:v>592.37552371143022</c:v>
                </c:pt>
                <c:pt idx="8">
                  <c:v>568.3630969072085</c:v>
                </c:pt>
                <c:pt idx="9">
                  <c:v>571.81802688150924</c:v>
                </c:pt>
                <c:pt idx="10">
                  <c:v>648.63897160107956</c:v>
                </c:pt>
                <c:pt idx="11">
                  <c:v>725.05752327680034</c:v>
                </c:pt>
              </c:numCache>
            </c:numRef>
          </c:val>
        </c:ser>
        <c:ser>
          <c:idx val="4"/>
          <c:order val="4"/>
          <c:tx>
            <c:strRef>
              <c:f>'2016'!$E$116</c:f>
              <c:strCache>
                <c:ptCount val="1"/>
                <c:pt idx="0">
                  <c:v>от 10 до 50 млн. тенге</c:v>
                </c:pt>
              </c:strCache>
            </c:strRef>
          </c:tx>
          <c:invertIfNegative val="0"/>
          <c:cat>
            <c:strRef>
              <c:f>'2016'!$F$111:$Q$111</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'2016'!$F$116:$Q$116</c:f>
              <c:numCache>
                <c:formatCode>#" "###" "###" "###" "##0.00</c:formatCode>
                <c:ptCount val="12"/>
                <c:pt idx="0">
                  <c:v>757.54597514110139</c:v>
                </c:pt>
                <c:pt idx="1">
                  <c:v>926.21693215536959</c:v>
                </c:pt>
                <c:pt idx="2">
                  <c:v>916.33872490892065</c:v>
                </c:pt>
                <c:pt idx="3">
                  <c:v>1007.7730881920095</c:v>
                </c:pt>
                <c:pt idx="4">
                  <c:v>992.6086586208105</c:v>
                </c:pt>
                <c:pt idx="5">
                  <c:v>1062.9613990114715</c:v>
                </c:pt>
                <c:pt idx="6">
                  <c:v>1001.82040515456</c:v>
                </c:pt>
                <c:pt idx="7">
                  <c:v>1110.1883196137112</c:v>
                </c:pt>
                <c:pt idx="8">
                  <c:v>1101.9923599755723</c:v>
                </c:pt>
                <c:pt idx="9">
                  <c:v>1107.0442461640105</c:v>
                </c:pt>
                <c:pt idx="10">
                  <c:v>1225.256191812312</c:v>
                </c:pt>
                <c:pt idx="11">
                  <c:v>1326.1122351099737</c:v>
                </c:pt>
              </c:numCache>
            </c:numRef>
          </c:val>
        </c:ser>
        <c:ser>
          <c:idx val="5"/>
          <c:order val="5"/>
          <c:tx>
            <c:strRef>
              <c:f>'2016'!$E$117</c:f>
              <c:strCache>
                <c:ptCount val="1"/>
                <c:pt idx="0">
                  <c:v>от 5 до 10 млн. тенге</c:v>
                </c:pt>
              </c:strCache>
            </c:strRef>
          </c:tx>
          <c:invertIfNegative val="0"/>
          <c:cat>
            <c:strRef>
              <c:f>'2016'!$F$111:$Q$111</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'2016'!$F$117:$Q$117</c:f>
              <c:numCache>
                <c:formatCode>#" "###" "###" "###" "##0.00</c:formatCode>
                <c:ptCount val="12"/>
                <c:pt idx="0">
                  <c:v>220.46196573325986</c:v>
                </c:pt>
                <c:pt idx="1">
                  <c:v>295.1929071814302</c:v>
                </c:pt>
                <c:pt idx="2">
                  <c:v>292.25600732889035</c:v>
                </c:pt>
                <c:pt idx="3">
                  <c:v>321.2049681667097</c:v>
                </c:pt>
                <c:pt idx="4">
                  <c:v>324.61396292339964</c:v>
                </c:pt>
                <c:pt idx="5">
                  <c:v>350.52785448825011</c:v>
                </c:pt>
                <c:pt idx="6">
                  <c:v>321.9310815296796</c:v>
                </c:pt>
                <c:pt idx="7">
                  <c:v>361.11262210827016</c:v>
                </c:pt>
                <c:pt idx="8">
                  <c:v>360.48342912933958</c:v>
                </c:pt>
                <c:pt idx="9">
                  <c:v>357.48609431996084</c:v>
                </c:pt>
                <c:pt idx="10">
                  <c:v>381.97076825424017</c:v>
                </c:pt>
                <c:pt idx="11">
                  <c:v>429.32392256209079</c:v>
                </c:pt>
              </c:numCache>
            </c:numRef>
          </c:val>
        </c:ser>
        <c:ser>
          <c:idx val="6"/>
          <c:order val="6"/>
          <c:tx>
            <c:strRef>
              <c:f>'2016'!$E$118</c:f>
              <c:strCache>
                <c:ptCount val="1"/>
                <c:pt idx="0">
                  <c:v>от 3 до 5 млн. тенге</c:v>
                </c:pt>
              </c:strCache>
            </c:strRef>
          </c:tx>
          <c:invertIfNegative val="0"/>
          <c:cat>
            <c:strRef>
              <c:f>'2016'!$F$111:$Q$111</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'2016'!$F$118:$Q$118</c:f>
              <c:numCache>
                <c:formatCode>#" "###" "###" "###" "##0.00</c:formatCode>
                <c:ptCount val="12"/>
                <c:pt idx="0">
                  <c:v>67.311484527410059</c:v>
                </c:pt>
                <c:pt idx="1">
                  <c:v>80.486029607429984</c:v>
                </c:pt>
                <c:pt idx="2">
                  <c:v>85.660142293750056</c:v>
                </c:pt>
                <c:pt idx="3">
                  <c:v>92.774670724199979</c:v>
                </c:pt>
                <c:pt idx="4">
                  <c:v>94.893001752920043</c:v>
                </c:pt>
                <c:pt idx="5">
                  <c:v>100.07219909908989</c:v>
                </c:pt>
                <c:pt idx="6">
                  <c:v>93.608548757240015</c:v>
                </c:pt>
                <c:pt idx="7">
                  <c:v>102.9240704585401</c:v>
                </c:pt>
                <c:pt idx="8">
                  <c:v>102.42046936377</c:v>
                </c:pt>
                <c:pt idx="9">
                  <c:v>101.27442482276008</c:v>
                </c:pt>
                <c:pt idx="10">
                  <c:v>103.99617574841984</c:v>
                </c:pt>
                <c:pt idx="11">
                  <c:v>116.07786239993979</c:v>
                </c:pt>
              </c:numCache>
            </c:numRef>
          </c:val>
        </c:ser>
        <c:ser>
          <c:idx val="7"/>
          <c:order val="7"/>
          <c:tx>
            <c:strRef>
              <c:f>'2016'!$E$119</c:f>
              <c:strCache>
                <c:ptCount val="1"/>
                <c:pt idx="0">
                  <c:v>до 3 млн. тенге</c:v>
                </c:pt>
              </c:strCache>
            </c:strRef>
          </c:tx>
          <c:invertIfNegative val="0"/>
          <c:cat>
            <c:strRef>
              <c:f>'2016'!$F$111:$Q$111</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'2016'!$F$119:$Q$119</c:f>
              <c:numCache>
                <c:formatCode>#" "###" "###" "###" "##0.00</c:formatCode>
                <c:ptCount val="12"/>
                <c:pt idx="0">
                  <c:v>170.13274128316033</c:v>
                </c:pt>
                <c:pt idx="1">
                  <c:v>217.82202060456115</c:v>
                </c:pt>
                <c:pt idx="2">
                  <c:v>222.73240038742992</c:v>
                </c:pt>
                <c:pt idx="3">
                  <c:v>240.11217126562994</c:v>
                </c:pt>
                <c:pt idx="4">
                  <c:v>234.61958021248068</c:v>
                </c:pt>
                <c:pt idx="5">
                  <c:v>251.55633100510011</c:v>
                </c:pt>
                <c:pt idx="6">
                  <c:v>239.25465609623046</c:v>
                </c:pt>
                <c:pt idx="7">
                  <c:v>258.98660986310915</c:v>
                </c:pt>
                <c:pt idx="8">
                  <c:v>242.17879754986924</c:v>
                </c:pt>
                <c:pt idx="9">
                  <c:v>241.4461451173101</c:v>
                </c:pt>
                <c:pt idx="10">
                  <c:v>250.30879990524062</c:v>
                </c:pt>
                <c:pt idx="11">
                  <c:v>283.24005219350994</c:v>
                </c:pt>
              </c:numCache>
            </c:numRef>
          </c:val>
        </c:ser>
        <c:dLbls>
          <c:showLegendKey val="0"/>
          <c:showVal val="0"/>
          <c:showCatName val="0"/>
          <c:showSerName val="0"/>
          <c:showPercent val="0"/>
          <c:showBubbleSize val="0"/>
        </c:dLbls>
        <c:gapWidth val="70"/>
        <c:overlap val="100"/>
        <c:axId val="189326464"/>
        <c:axId val="189328000"/>
      </c:barChart>
      <c:catAx>
        <c:axId val="189326464"/>
        <c:scaling>
          <c:orientation val="minMax"/>
        </c:scaling>
        <c:delete val="0"/>
        <c:axPos val="b"/>
        <c:majorTickMark val="out"/>
        <c:minorTickMark val="none"/>
        <c:tickLblPos val="nextTo"/>
        <c:crossAx val="189328000"/>
        <c:crosses val="autoZero"/>
        <c:auto val="1"/>
        <c:lblAlgn val="ctr"/>
        <c:lblOffset val="100"/>
        <c:noMultiLvlLbl val="0"/>
      </c:catAx>
      <c:valAx>
        <c:axId val="189328000"/>
        <c:scaling>
          <c:orientation val="minMax"/>
          <c:max val="1"/>
          <c:min val="0"/>
        </c:scaling>
        <c:delete val="0"/>
        <c:axPos val="l"/>
        <c:majorGridlines>
          <c:spPr>
            <a:ln>
              <a:prstDash val="sysDash"/>
            </a:ln>
          </c:spPr>
        </c:majorGridlines>
        <c:numFmt formatCode="0%" sourceLinked="1"/>
        <c:majorTickMark val="out"/>
        <c:minorTickMark val="none"/>
        <c:tickLblPos val="nextTo"/>
        <c:crossAx val="189326464"/>
        <c:crosses val="autoZero"/>
        <c:crossBetween val="between"/>
        <c:majorUnit val="0.2"/>
        <c:minorUnit val="0.1"/>
      </c:valAx>
    </c:plotArea>
    <c:legend>
      <c:legendPos val="r"/>
      <c:overlay val="0"/>
    </c:legend>
    <c:plotVisOnly val="1"/>
    <c:dispBlanksAs val="gap"/>
    <c:showDLblsOverMax val="0"/>
  </c:chart>
  <c:spPr>
    <a:noFill/>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89">
          <a:noFill/>
        </a:ln>
      </c:spPr>
    </c:title>
    <c:autoTitleDeleted val="0"/>
    <c:plotArea>
      <c:layout>
        <c:manualLayout>
          <c:layoutTarget val="inner"/>
          <c:xMode val="edge"/>
          <c:yMode val="edge"/>
          <c:x val="0.11829352856019083"/>
          <c:y val="0.29486990491634113"/>
          <c:w val="0.83942332691771615"/>
          <c:h val="0.55064569602823421"/>
        </c:manualLayout>
      </c:layout>
      <c:barChart>
        <c:barDir val="col"/>
        <c:grouping val="clustered"/>
        <c:varyColors val="0"/>
        <c:ser>
          <c:idx val="0"/>
          <c:order val="0"/>
          <c:tx>
            <c:strRef>
              <c:f>Лист1!$B$1</c:f>
              <c:strCache>
                <c:ptCount val="1"/>
                <c:pt idx="0">
                  <c:v>Количество</c:v>
                </c:pt>
              </c:strCache>
            </c:strRef>
          </c:tx>
          <c:spPr>
            <a:solidFill>
              <a:srgbClr val="92D050"/>
            </a:solidFill>
          </c:spPr>
          <c:invertIfNegative val="0"/>
          <c:dLbls>
            <c:spPr>
              <a:noFill/>
              <a:ln w="25389">
                <a:noFill/>
              </a:ln>
            </c:spPr>
            <c:showLegendKey val="0"/>
            <c:showVal val="1"/>
            <c:showCatName val="0"/>
            <c:showSerName val="0"/>
            <c:showPercent val="0"/>
            <c:showBubbleSize val="0"/>
            <c:showLeaderLines val="0"/>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20.067700000000002</c:v>
                </c:pt>
                <c:pt idx="1">
                  <c:v>21.352799999999998</c:v>
                </c:pt>
                <c:pt idx="2">
                  <c:v>20.6889</c:v>
                </c:pt>
                <c:pt idx="3">
                  <c:v>21.700733</c:v>
                </c:pt>
                <c:pt idx="4">
                  <c:v>21.3</c:v>
                </c:pt>
              </c:numCache>
            </c:numRef>
          </c:val>
        </c:ser>
        <c:dLbls>
          <c:showLegendKey val="0"/>
          <c:showVal val="0"/>
          <c:showCatName val="0"/>
          <c:showSerName val="0"/>
          <c:showPercent val="0"/>
          <c:showBubbleSize val="0"/>
        </c:dLbls>
        <c:gapWidth val="70"/>
        <c:axId val="188410496"/>
        <c:axId val="188744064"/>
      </c:barChart>
      <c:catAx>
        <c:axId val="188410496"/>
        <c:scaling>
          <c:orientation val="minMax"/>
        </c:scaling>
        <c:delete val="0"/>
        <c:axPos val="b"/>
        <c:numFmt formatCode="General" sourceLinked="1"/>
        <c:majorTickMark val="out"/>
        <c:minorTickMark val="none"/>
        <c:tickLblPos val="nextTo"/>
        <c:txPr>
          <a:bodyPr/>
          <a:lstStyle/>
          <a:p>
            <a:pPr>
              <a:defRPr sz="900"/>
            </a:pPr>
            <a:endParaRPr lang="ru-RU"/>
          </a:p>
        </c:txPr>
        <c:crossAx val="188744064"/>
        <c:crosses val="autoZero"/>
        <c:auto val="1"/>
        <c:lblAlgn val="ctr"/>
        <c:lblOffset val="100"/>
        <c:noMultiLvlLbl val="0"/>
      </c:catAx>
      <c:valAx>
        <c:axId val="188744064"/>
        <c:scaling>
          <c:orientation val="minMax"/>
        </c:scaling>
        <c:delete val="0"/>
        <c:axPos val="l"/>
        <c:numFmt formatCode="#,##0.0" sourceLinked="1"/>
        <c:majorTickMark val="out"/>
        <c:minorTickMark val="none"/>
        <c:tickLblPos val="nextTo"/>
        <c:txPr>
          <a:bodyPr/>
          <a:lstStyle/>
          <a:p>
            <a:pPr>
              <a:defRPr sz="900"/>
            </a:pPr>
            <a:endParaRPr lang="ru-RU"/>
          </a:p>
        </c:txPr>
        <c:crossAx val="188410496"/>
        <c:crosses val="autoZero"/>
        <c:crossBetween val="between"/>
      </c:valAx>
    </c:plotArea>
    <c:plotVisOnly val="1"/>
    <c:dispBlanksAs val="gap"/>
    <c:showDLblsOverMax val="0"/>
  </c:chart>
  <c:spPr>
    <a:ln>
      <a:noFill/>
    </a:ln>
  </c:spPr>
  <c:txPr>
    <a:bodyPr/>
    <a:lstStyle/>
    <a:p>
      <a:pPr>
        <a:defRPr sz="1000">
          <a:latin typeface="+mn-lt"/>
        </a:defRPr>
      </a:pPr>
      <a:endParaRPr lang="ru-RU"/>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41634024807812731"/>
          <c:y val="0"/>
        </c:manualLayout>
      </c:layout>
      <c:overlay val="0"/>
      <c:spPr>
        <a:noFill/>
        <a:ln w="25315">
          <a:noFill/>
        </a:ln>
      </c:spPr>
      <c:txPr>
        <a:bodyPr/>
        <a:lstStyle/>
        <a:p>
          <a:pPr>
            <a:defRPr sz="1199"/>
          </a:pPr>
          <a:endParaRPr lang="ru-RU"/>
        </a:p>
      </c:txPr>
    </c:title>
    <c:autoTitleDeleted val="0"/>
    <c:plotArea>
      <c:layout>
        <c:manualLayout>
          <c:layoutTarget val="inner"/>
          <c:xMode val="edge"/>
          <c:yMode val="edge"/>
          <c:x val="0.12211153055510848"/>
          <c:y val="0.18277690273259437"/>
          <c:w val="0.86194392214725346"/>
          <c:h val="0.63653149913637852"/>
        </c:manualLayout>
      </c:layout>
      <c:barChart>
        <c:barDir val="col"/>
        <c:grouping val="clustered"/>
        <c:varyColors val="0"/>
        <c:ser>
          <c:idx val="0"/>
          <c:order val="0"/>
          <c:tx>
            <c:strRef>
              <c:f>Лист1!$B$1</c:f>
              <c:strCache>
                <c:ptCount val="1"/>
                <c:pt idx="0">
                  <c:v>Сумма</c:v>
                </c:pt>
              </c:strCache>
            </c:strRef>
          </c:tx>
          <c:spPr>
            <a:solidFill>
              <a:srgbClr val="F79646">
                <a:lumMod val="20000"/>
                <a:lumOff val="80000"/>
              </a:srgbClr>
            </a:solidFill>
          </c:spPr>
          <c:invertIfNegative val="0"/>
          <c:dLbls>
            <c:spPr>
              <a:noFill/>
              <a:ln w="25315">
                <a:noFill/>
              </a:ln>
            </c:spPr>
            <c:showLegendKey val="0"/>
            <c:showVal val="1"/>
            <c:showCatName val="0"/>
            <c:showSerName val="0"/>
            <c:showPercent val="0"/>
            <c:showBubbleSize val="0"/>
            <c:showLeaderLines val="0"/>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4218.5</c:v>
                </c:pt>
                <c:pt idx="1">
                  <c:v>4814.8999999999996</c:v>
                </c:pt>
                <c:pt idx="2">
                  <c:v>5388.8</c:v>
                </c:pt>
                <c:pt idx="3">
                  <c:v>5525.7604032653799</c:v>
                </c:pt>
                <c:pt idx="4">
                  <c:v>6015.4</c:v>
                </c:pt>
              </c:numCache>
            </c:numRef>
          </c:val>
        </c:ser>
        <c:dLbls>
          <c:showLegendKey val="0"/>
          <c:showVal val="0"/>
          <c:showCatName val="0"/>
          <c:showSerName val="0"/>
          <c:showPercent val="0"/>
          <c:showBubbleSize val="0"/>
        </c:dLbls>
        <c:gapWidth val="70"/>
        <c:axId val="190673664"/>
        <c:axId val="190675200"/>
      </c:barChart>
      <c:catAx>
        <c:axId val="190673664"/>
        <c:scaling>
          <c:orientation val="minMax"/>
        </c:scaling>
        <c:delete val="0"/>
        <c:axPos val="b"/>
        <c:numFmt formatCode="General" sourceLinked="1"/>
        <c:majorTickMark val="out"/>
        <c:minorTickMark val="none"/>
        <c:tickLblPos val="nextTo"/>
        <c:crossAx val="190675200"/>
        <c:crosses val="autoZero"/>
        <c:auto val="1"/>
        <c:lblAlgn val="ctr"/>
        <c:lblOffset val="100"/>
        <c:noMultiLvlLbl val="0"/>
      </c:catAx>
      <c:valAx>
        <c:axId val="190675200"/>
        <c:scaling>
          <c:orientation val="minMax"/>
        </c:scaling>
        <c:delete val="0"/>
        <c:axPos val="l"/>
        <c:numFmt formatCode="#,##0" sourceLinked="0"/>
        <c:majorTickMark val="out"/>
        <c:minorTickMark val="none"/>
        <c:tickLblPos val="nextTo"/>
        <c:txPr>
          <a:bodyPr/>
          <a:lstStyle/>
          <a:p>
            <a:pPr>
              <a:defRPr sz="699"/>
            </a:pPr>
            <a:endParaRPr lang="ru-RU"/>
          </a:p>
        </c:txPr>
        <c:crossAx val="190673664"/>
        <c:crosses val="autoZero"/>
        <c:crossBetween val="between"/>
      </c:valAx>
    </c:plotArea>
    <c:plotVisOnly val="1"/>
    <c:dispBlanksAs val="gap"/>
    <c:showDLblsOverMax val="0"/>
  </c:chart>
  <c:spPr>
    <a:ln>
      <a:noFill/>
    </a:ln>
  </c:spPr>
  <c:txPr>
    <a:bodyPr/>
    <a:lstStyle/>
    <a:p>
      <a:pPr>
        <a:defRPr>
          <a:latin typeface="+mn-lt"/>
        </a:defRPr>
      </a:pPr>
      <a:endParaRPr lang="ru-RU"/>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7853963426421124"/>
          <c:y val="6.4880351494524729E-2"/>
          <c:w val="0.72146036573578876"/>
          <c:h val="0.86167093849339216"/>
        </c:manualLayout>
      </c:layout>
      <c:barChart>
        <c:barDir val="bar"/>
        <c:grouping val="clustered"/>
        <c:varyColors val="0"/>
        <c:ser>
          <c:idx val="0"/>
          <c:order val="0"/>
          <c:tx>
            <c:strRef>
              <c:f>Лист2!$B$80</c:f>
              <c:strCache>
                <c:ptCount val="1"/>
                <c:pt idx="0">
                  <c:v>2016</c:v>
                </c:pt>
              </c:strCache>
            </c:strRef>
          </c:tx>
          <c:spPr>
            <a:solidFill>
              <a:srgbClr val="339966"/>
            </a:solidFill>
          </c:spPr>
          <c:invertIfNegative val="0"/>
          <c:dLbls>
            <c:txPr>
              <a:bodyPr/>
              <a:lstStyle/>
              <a:p>
                <a:pPr>
                  <a:defRPr sz="800"/>
                </a:pPr>
                <a:endParaRPr lang="ru-RU"/>
              </a:p>
            </c:txPr>
            <c:showLegendKey val="0"/>
            <c:showVal val="1"/>
            <c:showCatName val="0"/>
            <c:showSerName val="0"/>
            <c:showPercent val="0"/>
            <c:showBubbleSize val="0"/>
            <c:showLeaderLines val="0"/>
          </c:dLbls>
          <c:cat>
            <c:strRef>
              <c:f>Лист2!$A$81:$A$87</c:f>
              <c:strCache>
                <c:ptCount val="7"/>
                <c:pt idx="0">
                  <c:v>Товары</c:v>
                </c:pt>
                <c:pt idx="1">
                  <c:v>Услуги</c:v>
                </c:pt>
                <c:pt idx="2">
                  <c:v>Платежи в бюджет</c:v>
                </c:pt>
                <c:pt idx="3">
                  <c:v>Депозиты</c:v>
                </c:pt>
                <c:pt idx="4">
                  <c:v>Пенсионные платежи</c:v>
                </c:pt>
                <c:pt idx="5">
                  <c:v>Спец. переводы</c:v>
                </c:pt>
                <c:pt idx="6">
                  <c:v>Прочие платежи</c:v>
                </c:pt>
              </c:strCache>
            </c:strRef>
          </c:cat>
          <c:val>
            <c:numRef>
              <c:f>Лист2!$B$81:$B$87</c:f>
              <c:numCache>
                <c:formatCode>_-* #,##0.0_р_._-;\-* #,##0.0_р_._-;_-* "-"??_р_._-;_-@_-</c:formatCode>
                <c:ptCount val="7"/>
                <c:pt idx="0">
                  <c:v>1661.342735865449</c:v>
                </c:pt>
                <c:pt idx="1">
                  <c:v>1545.1202078544286</c:v>
                </c:pt>
                <c:pt idx="2">
                  <c:v>1100.2385673060664</c:v>
                </c:pt>
                <c:pt idx="3">
                  <c:v>633.4739160138231</c:v>
                </c:pt>
                <c:pt idx="4">
                  <c:v>516.55713509224859</c:v>
                </c:pt>
                <c:pt idx="5">
                  <c:v>300.36832917608047</c:v>
                </c:pt>
                <c:pt idx="6">
                  <c:v>258.29642313439365</c:v>
                </c:pt>
              </c:numCache>
            </c:numRef>
          </c:val>
        </c:ser>
        <c:ser>
          <c:idx val="1"/>
          <c:order val="1"/>
          <c:tx>
            <c:strRef>
              <c:f>Лист2!$C$80</c:f>
              <c:strCache>
                <c:ptCount val="1"/>
                <c:pt idx="0">
                  <c:v>2015</c:v>
                </c:pt>
              </c:strCache>
            </c:strRef>
          </c:tx>
          <c:spPr>
            <a:solidFill>
              <a:srgbClr val="F2DCDB"/>
            </a:solidFill>
          </c:spPr>
          <c:invertIfNegative val="0"/>
          <c:dLbls>
            <c:txPr>
              <a:bodyPr/>
              <a:lstStyle/>
              <a:p>
                <a:pPr>
                  <a:defRPr sz="800"/>
                </a:pPr>
                <a:endParaRPr lang="ru-RU"/>
              </a:p>
            </c:txPr>
            <c:showLegendKey val="0"/>
            <c:showVal val="1"/>
            <c:showCatName val="0"/>
            <c:showSerName val="0"/>
            <c:showPercent val="0"/>
            <c:showBubbleSize val="0"/>
            <c:showLeaderLines val="0"/>
          </c:dLbls>
          <c:cat>
            <c:strRef>
              <c:f>Лист2!$A$81:$A$87</c:f>
              <c:strCache>
                <c:ptCount val="7"/>
                <c:pt idx="0">
                  <c:v>Товары</c:v>
                </c:pt>
                <c:pt idx="1">
                  <c:v>Услуги</c:v>
                </c:pt>
                <c:pt idx="2">
                  <c:v>Платежи в бюджет</c:v>
                </c:pt>
                <c:pt idx="3">
                  <c:v>Депозиты</c:v>
                </c:pt>
                <c:pt idx="4">
                  <c:v>Пенсионные платежи</c:v>
                </c:pt>
                <c:pt idx="5">
                  <c:v>Спец. переводы</c:v>
                </c:pt>
                <c:pt idx="6">
                  <c:v>Прочие платежи</c:v>
                </c:pt>
              </c:strCache>
            </c:strRef>
          </c:cat>
          <c:val>
            <c:numRef>
              <c:f>Лист2!$C$81:$C$87</c:f>
              <c:numCache>
                <c:formatCode>_-* #,##0.0_р_._-;\-* #,##0.0_р_._-;_-* "-"??_р_._-;_-@_-</c:formatCode>
                <c:ptCount val="7"/>
                <c:pt idx="0">
                  <c:v>1529.3632885266093</c:v>
                </c:pt>
                <c:pt idx="1">
                  <c:v>1457.9482786796709</c:v>
                </c:pt>
                <c:pt idx="2">
                  <c:v>1037.2403881481416</c:v>
                </c:pt>
                <c:pt idx="3">
                  <c:v>523.64773923055202</c:v>
                </c:pt>
                <c:pt idx="4">
                  <c:v>556.00558318725973</c:v>
                </c:pt>
                <c:pt idx="5">
                  <c:v>228.00856012703079</c:v>
                </c:pt>
                <c:pt idx="6">
                  <c:v>193.54656536611549</c:v>
                </c:pt>
              </c:numCache>
            </c:numRef>
          </c:val>
        </c:ser>
        <c:dLbls>
          <c:showLegendKey val="0"/>
          <c:showVal val="0"/>
          <c:showCatName val="0"/>
          <c:showSerName val="0"/>
          <c:showPercent val="0"/>
          <c:showBubbleSize val="0"/>
        </c:dLbls>
        <c:gapWidth val="59"/>
        <c:axId val="196389888"/>
        <c:axId val="196403968"/>
      </c:barChart>
      <c:catAx>
        <c:axId val="196389888"/>
        <c:scaling>
          <c:orientation val="minMax"/>
        </c:scaling>
        <c:delete val="0"/>
        <c:axPos val="l"/>
        <c:majorGridlines>
          <c:spPr>
            <a:ln>
              <a:prstDash val="sysDash"/>
            </a:ln>
          </c:spPr>
        </c:majorGridlines>
        <c:majorTickMark val="out"/>
        <c:minorTickMark val="none"/>
        <c:tickLblPos val="nextTo"/>
        <c:txPr>
          <a:bodyPr/>
          <a:lstStyle/>
          <a:p>
            <a:pPr>
              <a:defRPr sz="800"/>
            </a:pPr>
            <a:endParaRPr lang="ru-RU"/>
          </a:p>
        </c:txPr>
        <c:crossAx val="196403968"/>
        <c:crosses val="autoZero"/>
        <c:auto val="1"/>
        <c:lblAlgn val="ctr"/>
        <c:lblOffset val="100"/>
        <c:noMultiLvlLbl val="0"/>
      </c:catAx>
      <c:valAx>
        <c:axId val="196403968"/>
        <c:scaling>
          <c:orientation val="minMax"/>
        </c:scaling>
        <c:delete val="1"/>
        <c:axPos val="b"/>
        <c:numFmt formatCode="_-* #,##0.0_р_._-;\-* #,##0.0_р_._-;_-* &quot;-&quot;??_р_._-;_-@_-" sourceLinked="1"/>
        <c:majorTickMark val="out"/>
        <c:minorTickMark val="none"/>
        <c:tickLblPos val="nextTo"/>
        <c:crossAx val="196389888"/>
        <c:crosses val="autoZero"/>
        <c:crossBetween val="between"/>
      </c:valAx>
    </c:plotArea>
    <c:legend>
      <c:legendPos val="b"/>
      <c:layout>
        <c:manualLayout>
          <c:xMode val="edge"/>
          <c:yMode val="edge"/>
          <c:x val="0.42685922739125154"/>
          <c:y val="0.91742955207522137"/>
          <c:w val="0.1637418972382953"/>
          <c:h val="8.2570380757199871E-2"/>
        </c:manualLayout>
      </c:layout>
      <c:overlay val="0"/>
    </c:legend>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128473061377791E-2"/>
          <c:y val="2.4876388268060379E-2"/>
          <c:w val="0.88020645037800138"/>
          <c:h val="0.78188888929659572"/>
        </c:manualLayout>
      </c:layout>
      <c:barChart>
        <c:barDir val="col"/>
        <c:grouping val="percentStacked"/>
        <c:varyColors val="0"/>
        <c:ser>
          <c:idx val="0"/>
          <c:order val="0"/>
          <c:tx>
            <c:strRef>
              <c:f>интервалы!$E$39</c:f>
              <c:strCache>
                <c:ptCount val="1"/>
                <c:pt idx="0">
                  <c:v>0 - 500 000</c:v>
                </c:pt>
              </c:strCache>
            </c:strRef>
          </c:tx>
          <c:invertIfNegative val="0"/>
          <c:cat>
            <c:numRef>
              <c:f>интервалы!$F$38:$Q$38</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интервалы!$F$39:$Q$39</c:f>
              <c:numCache>
                <c:formatCode>_-* #,##0.0_ _-;\-* #,##0.0_ _-;_-* "-"??_ _-;_-@_-</c:formatCode>
                <c:ptCount val="12"/>
                <c:pt idx="0">
                  <c:v>1187.1869999999999</c:v>
                </c:pt>
                <c:pt idx="1">
                  <c:v>2085.91</c:v>
                </c:pt>
                <c:pt idx="2">
                  <c:v>1593.403</c:v>
                </c:pt>
                <c:pt idx="3">
                  <c:v>1487.711</c:v>
                </c:pt>
                <c:pt idx="4">
                  <c:v>1460.854</c:v>
                </c:pt>
                <c:pt idx="5">
                  <c:v>1672.636</c:v>
                </c:pt>
                <c:pt idx="6">
                  <c:v>1575.9570000000001</c:v>
                </c:pt>
                <c:pt idx="7">
                  <c:v>2051.6570000000002</c:v>
                </c:pt>
                <c:pt idx="8">
                  <c:v>1520.9780000000001</c:v>
                </c:pt>
                <c:pt idx="9">
                  <c:v>1415.258</c:v>
                </c:pt>
                <c:pt idx="10">
                  <c:v>1449.0909999999999</c:v>
                </c:pt>
                <c:pt idx="11">
                  <c:v>1670.126</c:v>
                </c:pt>
              </c:numCache>
            </c:numRef>
          </c:val>
        </c:ser>
        <c:ser>
          <c:idx val="1"/>
          <c:order val="1"/>
          <c:tx>
            <c:strRef>
              <c:f>интервалы!$E$40</c:f>
              <c:strCache>
                <c:ptCount val="1"/>
                <c:pt idx="0">
                  <c:v>500 000 - 1 млн.</c:v>
                </c:pt>
              </c:strCache>
            </c:strRef>
          </c:tx>
          <c:invertIfNegative val="0"/>
          <c:cat>
            <c:numRef>
              <c:f>интервалы!$F$38:$Q$38</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интервалы!$F$40:$Q$40</c:f>
              <c:numCache>
                <c:formatCode>_-* #,##0.0_ _-;\-* #,##0.0_ _-;_-* "-"??_ _-;_-@_-</c:formatCode>
                <c:ptCount val="12"/>
                <c:pt idx="0">
                  <c:v>36.145000000000003</c:v>
                </c:pt>
                <c:pt idx="1">
                  <c:v>51.508000000000003</c:v>
                </c:pt>
                <c:pt idx="2">
                  <c:v>49.411999999999999</c:v>
                </c:pt>
                <c:pt idx="3">
                  <c:v>52.427</c:v>
                </c:pt>
                <c:pt idx="4">
                  <c:v>51.875</c:v>
                </c:pt>
                <c:pt idx="5">
                  <c:v>61.031999999999996</c:v>
                </c:pt>
                <c:pt idx="6">
                  <c:v>52.573</c:v>
                </c:pt>
                <c:pt idx="7">
                  <c:v>57.304000000000002</c:v>
                </c:pt>
                <c:pt idx="8">
                  <c:v>54.726999999999997</c:v>
                </c:pt>
                <c:pt idx="9">
                  <c:v>52.125999999999998</c:v>
                </c:pt>
                <c:pt idx="10">
                  <c:v>56.924999999999997</c:v>
                </c:pt>
                <c:pt idx="11">
                  <c:v>62.636000000000003</c:v>
                </c:pt>
              </c:numCache>
            </c:numRef>
          </c:val>
        </c:ser>
        <c:ser>
          <c:idx val="2"/>
          <c:order val="2"/>
          <c:tx>
            <c:strRef>
              <c:f>интервалы!$E$41</c:f>
              <c:strCache>
                <c:ptCount val="1"/>
                <c:pt idx="0">
                  <c:v>свыше 1 млн.</c:v>
                </c:pt>
              </c:strCache>
            </c:strRef>
          </c:tx>
          <c:invertIfNegative val="0"/>
          <c:cat>
            <c:numRef>
              <c:f>интервалы!$F$38:$Q$38</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интервалы!$F$41:$Q$41</c:f>
              <c:numCache>
                <c:formatCode>_-* #,##0.0_ _-;\-* #,##0.0_ _-;_-* "-"??_ _-;_-@_-</c:formatCode>
                <c:ptCount val="12"/>
                <c:pt idx="0">
                  <c:v>73.23</c:v>
                </c:pt>
                <c:pt idx="1">
                  <c:v>107.884</c:v>
                </c:pt>
                <c:pt idx="2">
                  <c:v>110.06699999999999</c:v>
                </c:pt>
                <c:pt idx="3">
                  <c:v>122.78400000000001</c:v>
                </c:pt>
                <c:pt idx="4">
                  <c:v>122.607</c:v>
                </c:pt>
                <c:pt idx="5">
                  <c:v>135.67599999999999</c:v>
                </c:pt>
                <c:pt idx="6">
                  <c:v>120.006</c:v>
                </c:pt>
                <c:pt idx="7">
                  <c:v>135.876</c:v>
                </c:pt>
                <c:pt idx="8">
                  <c:v>129.65600000000001</c:v>
                </c:pt>
                <c:pt idx="9">
                  <c:v>131.03</c:v>
                </c:pt>
                <c:pt idx="10">
                  <c:v>147.00200000000001</c:v>
                </c:pt>
                <c:pt idx="11">
                  <c:v>156.36199999999999</c:v>
                </c:pt>
              </c:numCache>
            </c:numRef>
          </c:val>
        </c:ser>
        <c:dLbls>
          <c:showLegendKey val="0"/>
          <c:showVal val="0"/>
          <c:showCatName val="0"/>
          <c:showSerName val="0"/>
          <c:showPercent val="0"/>
          <c:showBubbleSize val="0"/>
        </c:dLbls>
        <c:gapWidth val="70"/>
        <c:overlap val="100"/>
        <c:axId val="197293952"/>
        <c:axId val="197295488"/>
      </c:barChart>
      <c:catAx>
        <c:axId val="197293952"/>
        <c:scaling>
          <c:orientation val="minMax"/>
        </c:scaling>
        <c:delete val="0"/>
        <c:axPos val="b"/>
        <c:numFmt formatCode="General" sourceLinked="1"/>
        <c:majorTickMark val="out"/>
        <c:minorTickMark val="none"/>
        <c:tickLblPos val="nextTo"/>
        <c:txPr>
          <a:bodyPr rot="0" vert="horz"/>
          <a:lstStyle/>
          <a:p>
            <a:pPr>
              <a:defRPr sz="700" b="0" i="0" u="none" strike="noStrike" baseline="0">
                <a:solidFill>
                  <a:srgbClr val="000000"/>
                </a:solidFill>
                <a:latin typeface="+mn-lt"/>
                <a:ea typeface="Times New Roman"/>
                <a:cs typeface="Times New Roman"/>
              </a:defRPr>
            </a:pPr>
            <a:endParaRPr lang="ru-RU"/>
          </a:p>
        </c:txPr>
        <c:crossAx val="197295488"/>
        <c:crosses val="autoZero"/>
        <c:auto val="1"/>
        <c:lblAlgn val="ctr"/>
        <c:lblOffset val="100"/>
        <c:noMultiLvlLbl val="0"/>
      </c:catAx>
      <c:valAx>
        <c:axId val="197295488"/>
        <c:scaling>
          <c:orientation val="minMax"/>
          <c:max val="1"/>
          <c:min val="0"/>
        </c:scaling>
        <c:delete val="0"/>
        <c:axPos val="l"/>
        <c:majorGridlines>
          <c:spPr>
            <a:ln>
              <a:prstDash val="sysDash"/>
            </a:ln>
          </c:spPr>
        </c:majorGridlines>
        <c:numFmt formatCode="0%" sourceLinked="0"/>
        <c:majorTickMark val="out"/>
        <c:minorTickMark val="none"/>
        <c:tickLblPos val="nextTo"/>
        <c:txPr>
          <a:bodyPr rot="0" vert="horz"/>
          <a:lstStyle/>
          <a:p>
            <a:pPr>
              <a:defRPr sz="700" b="0" i="0" u="none" strike="noStrike" baseline="0">
                <a:solidFill>
                  <a:srgbClr val="000000"/>
                </a:solidFill>
                <a:latin typeface="+mn-lt"/>
                <a:ea typeface="Times New Roman"/>
                <a:cs typeface="Times New Roman"/>
              </a:defRPr>
            </a:pPr>
            <a:endParaRPr lang="ru-RU"/>
          </a:p>
        </c:txPr>
        <c:crossAx val="197293952"/>
        <c:crosses val="autoZero"/>
        <c:crossBetween val="between"/>
        <c:majorUnit val="0.2"/>
      </c:valAx>
    </c:plotArea>
    <c:legend>
      <c:legendPos val="b"/>
      <c:layout>
        <c:manualLayout>
          <c:xMode val="edge"/>
          <c:yMode val="edge"/>
          <c:x val="0.12643847354132279"/>
          <c:y val="0.91719178459335937"/>
          <c:w val="0.82415275410161359"/>
          <c:h val="7.0928913606079003E-2"/>
        </c:manualLayout>
      </c:layout>
      <c:overlay val="0"/>
      <c:txPr>
        <a:bodyPr/>
        <a:lstStyle/>
        <a:p>
          <a:pPr>
            <a:defRPr sz="735" b="0" i="0" u="none" strike="noStrike" baseline="0">
              <a:solidFill>
                <a:srgbClr val="000000"/>
              </a:solidFill>
              <a:latin typeface="+mn-lt"/>
              <a:ea typeface="Times New Roman"/>
              <a:cs typeface="Times New Roman"/>
            </a:defRPr>
          </a:pPr>
          <a:endParaRPr lang="ru-RU"/>
        </a:p>
      </c:txPr>
    </c:legend>
    <c:plotVisOnly val="1"/>
    <c:dispBlanksAs val="gap"/>
    <c:showDLblsOverMax val="0"/>
  </c:chart>
  <c:spPr>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181739311874716E-2"/>
          <c:y val="2.6603253946107276E-2"/>
          <c:w val="0.88013485761978494"/>
          <c:h val="0.78285391025150985"/>
        </c:manualLayout>
      </c:layout>
      <c:barChart>
        <c:barDir val="col"/>
        <c:grouping val="percentStacked"/>
        <c:varyColors val="0"/>
        <c:ser>
          <c:idx val="0"/>
          <c:order val="0"/>
          <c:tx>
            <c:strRef>
              <c:f>интервалы!$E$45</c:f>
              <c:strCache>
                <c:ptCount val="1"/>
                <c:pt idx="0">
                  <c:v>свыше 1 млн.</c:v>
                </c:pt>
              </c:strCache>
            </c:strRef>
          </c:tx>
          <c:invertIfNegative val="0"/>
          <c:cat>
            <c:numRef>
              <c:f>интервалы!$F$44:$Q$44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интервалы!$F$45:$Q$45</c:f>
              <c:numCache>
                <c:formatCode>_-* #,##0.0_ _-;\-* #,##0.0_ _-;_-* "-"??_ _-;_-@_-</c:formatCode>
                <c:ptCount val="12"/>
                <c:pt idx="0">
                  <c:v>220.40077746756998</c:v>
                </c:pt>
                <c:pt idx="1">
                  <c:v>330.71061763980003</c:v>
                </c:pt>
                <c:pt idx="2">
                  <c:v>342.61994916017994</c:v>
                </c:pt>
                <c:pt idx="3">
                  <c:v>385.82721433132997</c:v>
                </c:pt>
                <c:pt idx="4">
                  <c:v>384.96199737960018</c:v>
                </c:pt>
                <c:pt idx="5">
                  <c:v>416.07468087515002</c:v>
                </c:pt>
                <c:pt idx="6">
                  <c:v>373.28404469861999</c:v>
                </c:pt>
                <c:pt idx="7">
                  <c:v>426.42135838094015</c:v>
                </c:pt>
                <c:pt idx="8">
                  <c:v>405.73951024873008</c:v>
                </c:pt>
                <c:pt idx="9">
                  <c:v>413.27309573491999</c:v>
                </c:pt>
                <c:pt idx="10">
                  <c:v>469.02477454295996</c:v>
                </c:pt>
                <c:pt idx="11">
                  <c:v>497.63671438303004</c:v>
                </c:pt>
              </c:numCache>
            </c:numRef>
          </c:val>
        </c:ser>
        <c:ser>
          <c:idx val="1"/>
          <c:order val="1"/>
          <c:tx>
            <c:strRef>
              <c:f>интервалы!$E$46</c:f>
              <c:strCache>
                <c:ptCount val="1"/>
                <c:pt idx="0">
                  <c:v>0 - 500 000</c:v>
                </c:pt>
              </c:strCache>
            </c:strRef>
          </c:tx>
          <c:invertIfNegative val="0"/>
          <c:cat>
            <c:numRef>
              <c:f>интервалы!$F$44:$Q$44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интервалы!$F$46:$Q$46</c:f>
              <c:numCache>
                <c:formatCode>_-* #,##0.0_ _-;\-* #,##0.0_ _-;_-* "-"??_ _-;_-@_-</c:formatCode>
                <c:ptCount val="12"/>
                <c:pt idx="0">
                  <c:v>51.915119535720009</c:v>
                </c:pt>
                <c:pt idx="1">
                  <c:v>85.205942719660015</c:v>
                </c:pt>
                <c:pt idx="2">
                  <c:v>71.281277292690007</c:v>
                </c:pt>
                <c:pt idx="3">
                  <c:v>73.356389095760008</c:v>
                </c:pt>
                <c:pt idx="4">
                  <c:v>72.358840052929992</c:v>
                </c:pt>
                <c:pt idx="5">
                  <c:v>81.081750935000002</c:v>
                </c:pt>
                <c:pt idx="6">
                  <c:v>75.413188199380002</c:v>
                </c:pt>
                <c:pt idx="7">
                  <c:v>88.270707933789993</c:v>
                </c:pt>
                <c:pt idx="8">
                  <c:v>70.202921160539987</c:v>
                </c:pt>
                <c:pt idx="9">
                  <c:v>68.582323102840007</c:v>
                </c:pt>
                <c:pt idx="10">
                  <c:v>72.160120835919997</c:v>
                </c:pt>
                <c:pt idx="11">
                  <c:v>79.183015301560019</c:v>
                </c:pt>
              </c:numCache>
            </c:numRef>
          </c:val>
        </c:ser>
        <c:ser>
          <c:idx val="2"/>
          <c:order val="2"/>
          <c:tx>
            <c:strRef>
              <c:f>интервалы!$E$47</c:f>
              <c:strCache>
                <c:ptCount val="1"/>
                <c:pt idx="0">
                  <c:v>500 000 - 1 млн.</c:v>
                </c:pt>
              </c:strCache>
            </c:strRef>
          </c:tx>
          <c:invertIfNegative val="0"/>
          <c:cat>
            <c:numRef>
              <c:f>интервалы!$F$44:$Q$44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интервалы!$F$47:$Q$47</c:f>
              <c:numCache>
                <c:formatCode>_-* #,##0.0_ _-;\-* #,##0.0_ _-;_-* "-"??_ _-;_-@_-</c:formatCode>
                <c:ptCount val="12"/>
                <c:pt idx="0">
                  <c:v>26.014469533349999</c:v>
                </c:pt>
                <c:pt idx="1">
                  <c:v>37.07303355997</c:v>
                </c:pt>
                <c:pt idx="2">
                  <c:v>35.614119696879996</c:v>
                </c:pt>
                <c:pt idx="3">
                  <c:v>37.841122422520002</c:v>
                </c:pt>
                <c:pt idx="4">
                  <c:v>37.360796474680001</c:v>
                </c:pt>
                <c:pt idx="5">
                  <c:v>44.012644859970003</c:v>
                </c:pt>
                <c:pt idx="6">
                  <c:v>37.841934381369995</c:v>
                </c:pt>
                <c:pt idx="7">
                  <c:v>41.245822765650004</c:v>
                </c:pt>
                <c:pt idx="8">
                  <c:v>39.460626049089996</c:v>
                </c:pt>
                <c:pt idx="9">
                  <c:v>37.640609907589997</c:v>
                </c:pt>
                <c:pt idx="10">
                  <c:v>41.106019325119995</c:v>
                </c:pt>
                <c:pt idx="11">
                  <c:v>45.199784457679989</c:v>
                </c:pt>
              </c:numCache>
            </c:numRef>
          </c:val>
        </c:ser>
        <c:dLbls>
          <c:showLegendKey val="0"/>
          <c:showVal val="0"/>
          <c:showCatName val="0"/>
          <c:showSerName val="0"/>
          <c:showPercent val="0"/>
          <c:showBubbleSize val="0"/>
        </c:dLbls>
        <c:gapWidth val="70"/>
        <c:overlap val="100"/>
        <c:axId val="198865664"/>
        <c:axId val="198867200"/>
      </c:barChart>
      <c:catAx>
        <c:axId val="198865664"/>
        <c:scaling>
          <c:orientation val="minMax"/>
        </c:scaling>
        <c:delete val="0"/>
        <c:axPos val="b"/>
        <c:numFmt formatCode="General" sourceLinked="1"/>
        <c:majorTickMark val="out"/>
        <c:minorTickMark val="none"/>
        <c:tickLblPos val="nextTo"/>
        <c:txPr>
          <a:bodyPr rot="0" vert="horz"/>
          <a:lstStyle/>
          <a:p>
            <a:pPr>
              <a:defRPr sz="700" b="0" i="0" u="none" strike="noStrike" baseline="0">
                <a:solidFill>
                  <a:srgbClr val="000000"/>
                </a:solidFill>
                <a:latin typeface="+mn-lt"/>
                <a:ea typeface="Times New Roman"/>
                <a:cs typeface="Times New Roman"/>
              </a:defRPr>
            </a:pPr>
            <a:endParaRPr lang="ru-RU"/>
          </a:p>
        </c:txPr>
        <c:crossAx val="198867200"/>
        <c:crosses val="autoZero"/>
        <c:auto val="1"/>
        <c:lblAlgn val="ctr"/>
        <c:lblOffset val="100"/>
        <c:noMultiLvlLbl val="0"/>
      </c:catAx>
      <c:valAx>
        <c:axId val="198867200"/>
        <c:scaling>
          <c:orientation val="minMax"/>
        </c:scaling>
        <c:delete val="0"/>
        <c:axPos val="l"/>
        <c:majorGridlines>
          <c:spPr>
            <a:ln>
              <a:prstDash val="sysDash"/>
            </a:ln>
          </c:spPr>
        </c:majorGridlines>
        <c:numFmt formatCode="0%" sourceLinked="1"/>
        <c:majorTickMark val="out"/>
        <c:minorTickMark val="none"/>
        <c:tickLblPos val="nextTo"/>
        <c:txPr>
          <a:bodyPr rot="0" vert="horz"/>
          <a:lstStyle/>
          <a:p>
            <a:pPr>
              <a:defRPr sz="700" b="0" i="0" u="none" strike="noStrike" baseline="0">
                <a:solidFill>
                  <a:srgbClr val="000000"/>
                </a:solidFill>
                <a:latin typeface="+mn-lt"/>
                <a:ea typeface="Times New Roman"/>
                <a:cs typeface="Times New Roman"/>
              </a:defRPr>
            </a:pPr>
            <a:endParaRPr lang="ru-RU"/>
          </a:p>
        </c:txPr>
        <c:crossAx val="198865664"/>
        <c:crosses val="autoZero"/>
        <c:crossBetween val="between"/>
        <c:majorUnit val="0.2"/>
        <c:minorUnit val="2.0000000000000004E-2"/>
      </c:valAx>
    </c:plotArea>
    <c:legend>
      <c:legendPos val="b"/>
      <c:layout>
        <c:manualLayout>
          <c:xMode val="edge"/>
          <c:yMode val="edge"/>
          <c:x val="0.10467791526059241"/>
          <c:y val="0.92651102178661227"/>
          <c:w val="0.84092921718118574"/>
          <c:h val="7.0928913606079003E-2"/>
        </c:manualLayout>
      </c:layout>
      <c:overlay val="0"/>
      <c:txPr>
        <a:bodyPr/>
        <a:lstStyle/>
        <a:p>
          <a:pPr>
            <a:defRPr sz="735" b="0" i="0" u="none" strike="noStrike" baseline="0">
              <a:solidFill>
                <a:srgbClr val="000000"/>
              </a:solidFill>
              <a:latin typeface="+mn-lt"/>
              <a:ea typeface="Times New Roman"/>
              <a:cs typeface="Times New Roman"/>
            </a:defRPr>
          </a:pPr>
          <a:endParaRPr lang="ru-RU"/>
        </a:p>
      </c:txPr>
    </c:legend>
    <c:plotVisOnly val="1"/>
    <c:dispBlanksAs val="gap"/>
    <c:showDLblsOverMax val="0"/>
  </c:chart>
  <c:spPr>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16339869281047"/>
          <c:y val="3.8392700126073417E-2"/>
          <c:w val="0.79999999999999993"/>
          <c:h val="0.83545660126866028"/>
        </c:manualLayout>
      </c:layout>
      <c:barChart>
        <c:barDir val="col"/>
        <c:grouping val="clustered"/>
        <c:varyColors val="0"/>
        <c:ser>
          <c:idx val="0"/>
          <c:order val="0"/>
          <c:tx>
            <c:strRef>
              <c:f>Лист1!$B$1</c:f>
              <c:strCache>
                <c:ptCount val="1"/>
                <c:pt idx="0">
                  <c:v>Ликвидность в среднем, млрд.тг</c:v>
                </c:pt>
              </c:strCache>
            </c:strRef>
          </c:tx>
          <c:spPr>
            <a:solidFill>
              <a:srgbClr val="008000"/>
            </a:solidFill>
            <a:ln w="25344">
              <a:noFill/>
            </a:ln>
          </c:spPr>
          <c:invertIfNegative val="0"/>
          <c:dLbls>
            <c:dLbl>
              <c:idx val="0"/>
              <c:layout>
                <c:manualLayout>
                  <c:x val="-4.2789901583226361E-3"/>
                  <c:y val="1.7894638170228721E-2"/>
                </c:manualLayout>
              </c:layout>
              <c:dLblPos val="outEnd"/>
              <c:showLegendKey val="0"/>
              <c:showVal val="1"/>
              <c:showCatName val="0"/>
              <c:showSerName val="0"/>
              <c:showPercent val="0"/>
              <c:showBubbleSize val="0"/>
            </c:dLbl>
            <c:dLbl>
              <c:idx val="1"/>
              <c:layout>
                <c:manualLayout>
                  <c:x val="8.5579803166452723E-3"/>
                  <c:y val="-1.1867266591676041E-2"/>
                </c:manualLayout>
              </c:layout>
              <c:dLblPos val="outEnd"/>
              <c:showLegendKey val="0"/>
              <c:showVal val="1"/>
              <c:showCatName val="0"/>
              <c:showSerName val="0"/>
              <c:showPercent val="0"/>
              <c:showBubbleSize val="0"/>
            </c:dLbl>
            <c:dLbl>
              <c:idx val="2"/>
              <c:layout>
                <c:manualLayout>
                  <c:x val="6.4184852374839932E-3"/>
                  <c:y val="1.7894638170228721E-2"/>
                </c:manualLayout>
              </c:layout>
              <c:dLblPos val="outEnd"/>
              <c:showLegendKey val="0"/>
              <c:showVal val="1"/>
              <c:showCatName val="0"/>
              <c:showSerName val="0"/>
              <c:showPercent val="0"/>
              <c:showBubbleSize val="0"/>
            </c:dLbl>
            <c:dLbl>
              <c:idx val="3"/>
              <c:layout>
                <c:manualLayout>
                  <c:x val="2.1394441079480449E-3"/>
                  <c:y val="1.2934123401118078E-2"/>
                </c:manualLayout>
              </c:layout>
              <c:dLblPos val="outEnd"/>
              <c:showLegendKey val="0"/>
              <c:showVal val="1"/>
              <c:showCatName val="0"/>
              <c:showSerName val="0"/>
              <c:showPercent val="0"/>
              <c:showBubbleSize val="0"/>
            </c:dLbl>
            <c:dLbl>
              <c:idx val="4"/>
              <c:layout>
                <c:manualLayout>
                  <c:x val="0"/>
                  <c:y val="-1.773863416936643E-2"/>
                </c:manualLayout>
              </c:layout>
              <c:dLblPos val="outEnd"/>
              <c:showLegendKey val="0"/>
              <c:showVal val="1"/>
              <c:showCatName val="0"/>
              <c:showSerName val="0"/>
              <c:showPercent val="0"/>
              <c:showBubbleSize val="0"/>
            </c:dLbl>
            <c:dLbl>
              <c:idx val="5"/>
              <c:layout>
                <c:manualLayout>
                  <c:x val="7.8447246673293925E-17"/>
                  <c:y val="1.7894638170228721E-2"/>
                </c:manualLayout>
              </c:layout>
              <c:dLblPos val="outEnd"/>
              <c:showLegendKey val="0"/>
              <c:showVal val="1"/>
              <c:showCatName val="0"/>
              <c:showSerName val="0"/>
              <c:showPercent val="0"/>
              <c:showBubbleSize val="0"/>
            </c:dLbl>
            <c:dLbl>
              <c:idx val="6"/>
              <c:layout>
                <c:manualLayout>
                  <c:x val="-4.2789901583226361E-3"/>
                  <c:y val="2.5335114360704895E-2"/>
                </c:manualLayout>
              </c:layout>
              <c:dLblPos val="outEnd"/>
              <c:showLegendKey val="0"/>
              <c:showVal val="1"/>
              <c:showCatName val="0"/>
              <c:showSerName val="0"/>
              <c:showPercent val="0"/>
              <c:showBubbleSize val="0"/>
            </c:dLbl>
            <c:dLbl>
              <c:idx val="7"/>
              <c:layout>
                <c:manualLayout>
                  <c:x val="-6.4184852374839542E-3"/>
                  <c:y val="2.5335114360704895E-2"/>
                </c:manualLayout>
              </c:layout>
              <c:dLblPos val="outEnd"/>
              <c:showLegendKey val="0"/>
              <c:showVal val="1"/>
              <c:showCatName val="0"/>
              <c:showSerName val="0"/>
              <c:showPercent val="0"/>
              <c:showBubbleSize val="0"/>
            </c:dLbl>
            <c:dLbl>
              <c:idx val="8"/>
              <c:layout>
                <c:manualLayout>
                  <c:x val="6.4184852374839542E-3"/>
                  <c:y val="-1.1867266591676041E-2"/>
                </c:manualLayout>
              </c:layout>
              <c:dLblPos val="outEnd"/>
              <c:showLegendKey val="0"/>
              <c:showVal val="1"/>
              <c:showCatName val="0"/>
              <c:showSerName val="0"/>
              <c:showPercent val="0"/>
              <c:showBubbleSize val="0"/>
            </c:dLbl>
            <c:dLbl>
              <c:idx val="9"/>
              <c:layout>
                <c:manualLayout>
                  <c:x val="-4.2790564640958345E-3"/>
                  <c:y val="-2.8732185237441383E-2"/>
                </c:manualLayout>
              </c:layout>
              <c:dLblPos val="outEnd"/>
              <c:showLegendKey val="0"/>
              <c:showVal val="1"/>
              <c:showCatName val="0"/>
              <c:showSerName val="0"/>
              <c:showPercent val="0"/>
              <c:showBubbleSize val="0"/>
            </c:dLbl>
            <c:spPr>
              <a:noFill/>
              <a:ln w="25344">
                <a:noFill/>
              </a:ln>
            </c:spPr>
            <c:txPr>
              <a:bodyPr rot="0" vert="horz"/>
              <a:lstStyle/>
              <a:p>
                <a:pPr>
                  <a:defRPr sz="1098">
                    <a:solidFill>
                      <a:schemeClr val="tx1"/>
                    </a:solidFill>
                  </a:defRPr>
                </a:pPr>
                <a:endParaRPr lang="ru-RU"/>
              </a:p>
            </c:txPr>
            <c:dLblPos val="inEnd"/>
            <c:showLegendKey val="0"/>
            <c:showVal val="1"/>
            <c:showCatName val="0"/>
            <c:showSerName val="0"/>
            <c:showPercent val="0"/>
            <c:showBubbleSize val="0"/>
            <c:showLeaderLines val="0"/>
          </c:dLbls>
          <c:cat>
            <c:numRef>
              <c:f>Лист1!$A$2:$A$11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Лист1!$B$2:$B$11</c:f>
              <c:numCache>
                <c:formatCode>_-* #,##0.0_р_._-;\-* #,##0.0_р_._-;_-* "-"??_р_._-;_-@_-</c:formatCode>
                <c:ptCount val="10"/>
                <c:pt idx="0">
                  <c:v>580.29999999999995</c:v>
                </c:pt>
                <c:pt idx="1">
                  <c:v>531.9</c:v>
                </c:pt>
                <c:pt idx="2">
                  <c:v>578.29999999999995</c:v>
                </c:pt>
                <c:pt idx="3">
                  <c:v>732.4</c:v>
                </c:pt>
                <c:pt idx="4">
                  <c:v>845.6</c:v>
                </c:pt>
                <c:pt idx="5">
                  <c:v>912</c:v>
                </c:pt>
                <c:pt idx="6">
                  <c:v>924.7</c:v>
                </c:pt>
                <c:pt idx="7">
                  <c:v>927.9</c:v>
                </c:pt>
                <c:pt idx="8">
                  <c:v>860.4</c:v>
                </c:pt>
                <c:pt idx="9">
                  <c:v>1072.8</c:v>
                </c:pt>
              </c:numCache>
            </c:numRef>
          </c:val>
        </c:ser>
        <c:dLbls>
          <c:showLegendKey val="0"/>
          <c:showVal val="0"/>
          <c:showCatName val="0"/>
          <c:showSerName val="0"/>
          <c:showPercent val="0"/>
          <c:showBubbleSize val="0"/>
        </c:dLbls>
        <c:gapWidth val="100"/>
        <c:axId val="198887680"/>
        <c:axId val="198889472"/>
      </c:barChart>
      <c:catAx>
        <c:axId val="198887680"/>
        <c:scaling>
          <c:orientation val="minMax"/>
        </c:scaling>
        <c:delete val="0"/>
        <c:axPos val="b"/>
        <c:numFmt formatCode="General" sourceLinked="1"/>
        <c:majorTickMark val="out"/>
        <c:minorTickMark val="none"/>
        <c:tickLblPos val="nextTo"/>
        <c:crossAx val="198889472"/>
        <c:crosses val="autoZero"/>
        <c:auto val="1"/>
        <c:lblAlgn val="ctr"/>
        <c:lblOffset val="100"/>
        <c:noMultiLvlLbl val="0"/>
      </c:catAx>
      <c:valAx>
        <c:axId val="198889472"/>
        <c:scaling>
          <c:orientation val="minMax"/>
        </c:scaling>
        <c:delete val="0"/>
        <c:axPos val="l"/>
        <c:title>
          <c:tx>
            <c:rich>
              <a:bodyPr/>
              <a:lstStyle/>
              <a:p>
                <a:pPr>
                  <a:defRPr sz="998" b="0" i="0" u="none" strike="noStrike" baseline="0">
                    <a:solidFill>
                      <a:srgbClr val="000000"/>
                    </a:solidFill>
                    <a:latin typeface="Calibri"/>
                    <a:ea typeface="Calibri"/>
                    <a:cs typeface="Calibri"/>
                  </a:defRPr>
                </a:pPr>
                <a:r>
                  <a:rPr lang="ru-RU"/>
                  <a:t>млрд. тенге</a:t>
                </a:r>
              </a:p>
            </c:rich>
          </c:tx>
          <c:layout>
            <c:manualLayout>
              <c:xMode val="edge"/>
              <c:yMode val="edge"/>
              <c:x val="1.045751633986928E-2"/>
              <c:y val="0.21904761904761905"/>
            </c:manualLayout>
          </c:layout>
          <c:overlay val="0"/>
          <c:spPr>
            <a:noFill/>
            <a:ln w="25344">
              <a:noFill/>
            </a:ln>
          </c:spPr>
        </c:title>
        <c:numFmt formatCode="_-* #,##0.0_р_._-;\-* #,##0.0_р_._-;_-* &quot;-&quot;??_р_._-;_-@_-" sourceLinked="1"/>
        <c:majorTickMark val="out"/>
        <c:minorTickMark val="none"/>
        <c:tickLblPos val="nextTo"/>
        <c:spPr>
          <a:ln>
            <a:solidFill>
              <a:sysClr val="windowText" lastClr="000000"/>
            </a:solidFill>
          </a:ln>
        </c:spPr>
        <c:crossAx val="198887680"/>
        <c:crosses val="autoZero"/>
        <c:crossBetween val="between"/>
      </c:valAx>
      <c:spPr>
        <a:noFill/>
        <a:ln w="25400">
          <a:noFill/>
        </a:ln>
      </c:spPr>
    </c:plotArea>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7349810047840417"/>
          <c:y val="3.2901076044739692E-2"/>
          <c:w val="0.71725239616613423"/>
          <c:h val="0.68938441794494032"/>
        </c:manualLayout>
      </c:layout>
      <c:barChart>
        <c:barDir val="col"/>
        <c:grouping val="clustered"/>
        <c:varyColors val="0"/>
        <c:ser>
          <c:idx val="1"/>
          <c:order val="0"/>
          <c:tx>
            <c:strRef>
              <c:f>Sheet1!$A$2</c:f>
              <c:strCache>
                <c:ptCount val="1"/>
                <c:pt idx="0">
                  <c:v>Ликвидность (млрд. тенге)</c:v>
                </c:pt>
              </c:strCache>
            </c:strRef>
          </c:tx>
          <c:spPr>
            <a:solidFill>
              <a:schemeClr val="accent1"/>
            </a:solidFill>
            <a:ln>
              <a:solidFill>
                <a:schemeClr val="accent1"/>
              </a:solidFill>
            </a:ln>
          </c:spPr>
          <c:invertIfNegative val="0"/>
          <c:cat>
            <c:strRef>
              <c:f>Sheet1!$B$1:$M$1</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Sheet1!$B$2:$M$2</c:f>
              <c:numCache>
                <c:formatCode>#,##0.0</c:formatCode>
                <c:ptCount val="12"/>
                <c:pt idx="0">
                  <c:v>765.80748750298289</c:v>
                </c:pt>
                <c:pt idx="1">
                  <c:v>787.49160022627223</c:v>
                </c:pt>
                <c:pt idx="2">
                  <c:v>915.09060123332745</c:v>
                </c:pt>
                <c:pt idx="3">
                  <c:v>1089.1820936459442</c:v>
                </c:pt>
                <c:pt idx="4">
                  <c:v>1052.2879316218875</c:v>
                </c:pt>
                <c:pt idx="5">
                  <c:v>1042.9176135929451</c:v>
                </c:pt>
                <c:pt idx="6">
                  <c:v>993.45092846686919</c:v>
                </c:pt>
                <c:pt idx="7">
                  <c:v>968.88040926630765</c:v>
                </c:pt>
                <c:pt idx="8">
                  <c:v>1262.4782563220292</c:v>
                </c:pt>
                <c:pt idx="9">
                  <c:v>1262.3973227698598</c:v>
                </c:pt>
                <c:pt idx="10">
                  <c:v>1329.4151688829777</c:v>
                </c:pt>
                <c:pt idx="11">
                  <c:v>1361.8467762097184</c:v>
                </c:pt>
              </c:numCache>
            </c:numRef>
          </c:val>
        </c:ser>
        <c:dLbls>
          <c:showLegendKey val="0"/>
          <c:showVal val="0"/>
          <c:showCatName val="0"/>
          <c:showSerName val="0"/>
          <c:showPercent val="0"/>
          <c:showBubbleSize val="0"/>
        </c:dLbls>
        <c:gapWidth val="100"/>
        <c:axId val="196674688"/>
        <c:axId val="196676608"/>
      </c:barChart>
      <c:lineChart>
        <c:grouping val="standard"/>
        <c:varyColors val="0"/>
        <c:ser>
          <c:idx val="0"/>
          <c:order val="1"/>
          <c:tx>
            <c:strRef>
              <c:f>Sheet1!$A$3</c:f>
              <c:strCache>
                <c:ptCount val="1"/>
                <c:pt idx="0">
                  <c:v>В % от ср. суммы оборотов</c:v>
                </c:pt>
              </c:strCache>
            </c:strRef>
          </c:tx>
          <c:spPr>
            <a:ln>
              <a:solidFill>
                <a:schemeClr val="accent2"/>
              </a:solidFill>
            </a:ln>
          </c:spPr>
          <c:marker>
            <c:spPr>
              <a:solidFill>
                <a:schemeClr val="accent2"/>
              </a:solidFill>
              <a:ln>
                <a:solidFill>
                  <a:schemeClr val="accent2"/>
                </a:solidFill>
              </a:ln>
            </c:spPr>
          </c:marker>
          <c:cat>
            <c:strRef>
              <c:f>Sheet1!$B$1:$M$1</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Sheet1!$B$3:$M$3</c:f>
              <c:numCache>
                <c:formatCode>0.0%</c:formatCode>
                <c:ptCount val="12"/>
                <c:pt idx="0">
                  <c:v>0.66475495154230291</c:v>
                </c:pt>
                <c:pt idx="1">
                  <c:v>0.51174372068693352</c:v>
                </c:pt>
                <c:pt idx="2">
                  <c:v>0.38615802032212082</c:v>
                </c:pt>
                <c:pt idx="3">
                  <c:v>0.40615832560893739</c:v>
                </c:pt>
                <c:pt idx="4">
                  <c:v>0.37294521143360937</c:v>
                </c:pt>
                <c:pt idx="5">
                  <c:v>0.39779194857889533</c:v>
                </c:pt>
                <c:pt idx="6">
                  <c:v>0.36881558799147668</c:v>
                </c:pt>
                <c:pt idx="7">
                  <c:v>0.36794233204830379</c:v>
                </c:pt>
                <c:pt idx="8">
                  <c:v>0.53514369999097056</c:v>
                </c:pt>
                <c:pt idx="9">
                  <c:v>0.55329147819890157</c:v>
                </c:pt>
                <c:pt idx="10">
                  <c:v>0.58686537851740816</c:v>
                </c:pt>
                <c:pt idx="11">
                  <c:v>0.43200335079781493</c:v>
                </c:pt>
              </c:numCache>
            </c:numRef>
          </c:val>
          <c:smooth val="0"/>
        </c:ser>
        <c:dLbls>
          <c:showLegendKey val="0"/>
          <c:showVal val="0"/>
          <c:showCatName val="0"/>
          <c:showSerName val="0"/>
          <c:showPercent val="0"/>
          <c:showBubbleSize val="0"/>
        </c:dLbls>
        <c:marker val="1"/>
        <c:smooth val="0"/>
        <c:axId val="197211264"/>
        <c:axId val="197212800"/>
      </c:lineChart>
      <c:catAx>
        <c:axId val="196674688"/>
        <c:scaling>
          <c:orientation val="minMax"/>
        </c:scaling>
        <c:delete val="0"/>
        <c:axPos val="b"/>
        <c:numFmt formatCode="General" sourceLinked="1"/>
        <c:majorTickMark val="out"/>
        <c:minorTickMark val="none"/>
        <c:tickLblPos val="nextTo"/>
        <c:txPr>
          <a:bodyPr rot="0" vert="horz"/>
          <a:lstStyle/>
          <a:p>
            <a:pPr>
              <a:defRPr/>
            </a:pPr>
            <a:endParaRPr lang="ru-RU"/>
          </a:p>
        </c:txPr>
        <c:crossAx val="196676608"/>
        <c:crossesAt val="0"/>
        <c:auto val="0"/>
        <c:lblAlgn val="ctr"/>
        <c:lblOffset val="100"/>
        <c:tickMarkSkip val="1"/>
        <c:noMultiLvlLbl val="0"/>
      </c:catAx>
      <c:valAx>
        <c:axId val="196676608"/>
        <c:scaling>
          <c:orientation val="minMax"/>
          <c:max val="1400"/>
          <c:min val="0"/>
        </c:scaling>
        <c:delete val="0"/>
        <c:axPos val="l"/>
        <c:title>
          <c:tx>
            <c:rich>
              <a:bodyPr/>
              <a:lstStyle/>
              <a:p>
                <a:pPr>
                  <a:defRPr sz="999" b="0" i="0" u="none" strike="noStrike" baseline="0">
                    <a:solidFill>
                      <a:srgbClr val="000000"/>
                    </a:solidFill>
                    <a:latin typeface="Calibri"/>
                    <a:ea typeface="Calibri"/>
                    <a:cs typeface="Calibri"/>
                  </a:defRPr>
                </a:pPr>
                <a:r>
                  <a:rPr lang="ru-RU"/>
                  <a:t>млрд. тенге</a:t>
                </a:r>
              </a:p>
            </c:rich>
          </c:tx>
          <c:layout>
            <c:manualLayout>
              <c:xMode val="edge"/>
              <c:yMode val="edge"/>
              <c:x val="0.19226931620743307"/>
              <c:y val="0.13861872416162571"/>
            </c:manualLayout>
          </c:layout>
          <c:overlay val="0"/>
        </c:title>
        <c:numFmt formatCode="#,##0" sourceLinked="0"/>
        <c:majorTickMark val="out"/>
        <c:minorTickMark val="none"/>
        <c:tickLblPos val="nextTo"/>
        <c:txPr>
          <a:bodyPr rot="0" vert="horz"/>
          <a:lstStyle/>
          <a:p>
            <a:pPr>
              <a:defRPr sz="800"/>
            </a:pPr>
            <a:endParaRPr lang="ru-RU"/>
          </a:p>
        </c:txPr>
        <c:crossAx val="196674688"/>
        <c:crosses val="autoZero"/>
        <c:crossBetween val="between"/>
        <c:majorUnit val="200"/>
        <c:minorUnit val="200"/>
      </c:valAx>
      <c:catAx>
        <c:axId val="197211264"/>
        <c:scaling>
          <c:orientation val="minMax"/>
        </c:scaling>
        <c:delete val="1"/>
        <c:axPos val="b"/>
        <c:majorTickMark val="out"/>
        <c:minorTickMark val="none"/>
        <c:tickLblPos val="nextTo"/>
        <c:crossAx val="197212800"/>
        <c:crosses val="autoZero"/>
        <c:auto val="1"/>
        <c:lblAlgn val="ctr"/>
        <c:lblOffset val="100"/>
        <c:noMultiLvlLbl val="0"/>
      </c:catAx>
      <c:valAx>
        <c:axId val="197212800"/>
        <c:scaling>
          <c:orientation val="minMax"/>
        </c:scaling>
        <c:delete val="0"/>
        <c:axPos val="r"/>
        <c:title>
          <c:tx>
            <c:rich>
              <a:bodyPr/>
              <a:lstStyle/>
              <a:p>
                <a:pPr>
                  <a:defRPr b="0"/>
                </a:pPr>
                <a:r>
                  <a:rPr lang="ru-RU" b="0"/>
                  <a:t>в %</a:t>
                </a:r>
              </a:p>
            </c:rich>
          </c:tx>
          <c:layout>
            <c:manualLayout>
              <c:xMode val="edge"/>
              <c:yMode val="edge"/>
              <c:x val="0.95436902013368674"/>
              <c:y val="0.74149234564563538"/>
            </c:manualLayout>
          </c:layout>
          <c:overlay val="0"/>
        </c:title>
        <c:numFmt formatCode="0%" sourceLinked="0"/>
        <c:majorTickMark val="out"/>
        <c:minorTickMark val="none"/>
        <c:tickLblPos val="nextTo"/>
        <c:txPr>
          <a:bodyPr rot="0" vert="horz"/>
          <a:lstStyle/>
          <a:p>
            <a:pPr>
              <a:defRPr sz="800"/>
            </a:pPr>
            <a:endParaRPr lang="ru-RU"/>
          </a:p>
        </c:txPr>
        <c:crossAx val="197211264"/>
        <c:crosses val="max"/>
        <c:crossBetween val="between"/>
        <c:majorUnit val="0.5"/>
        <c:minorUnit val="0.5"/>
      </c:valAx>
      <c:dTable>
        <c:showHorzBorder val="1"/>
        <c:showVertBorder val="1"/>
        <c:showOutline val="1"/>
        <c:showKeys val="1"/>
        <c:txPr>
          <a:bodyPr/>
          <a:lstStyle/>
          <a:p>
            <a:pPr rtl="0">
              <a:defRPr sz="800"/>
            </a:pPr>
            <a:endParaRPr lang="ru-RU"/>
          </a:p>
        </c:txPr>
      </c:dTable>
    </c:plotArea>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9113924050632911"/>
          <c:y val="4.0052901199349213E-2"/>
          <c:w val="0.60455014464290247"/>
          <c:h val="0.53005310472498857"/>
        </c:manualLayout>
      </c:layout>
      <c:barChart>
        <c:barDir val="col"/>
        <c:grouping val="clustered"/>
        <c:varyColors val="0"/>
        <c:ser>
          <c:idx val="0"/>
          <c:order val="0"/>
          <c:tx>
            <c:strRef>
              <c:f>Sheet1!$B$1</c:f>
              <c:strCache>
                <c:ptCount val="1"/>
                <c:pt idx="0">
                  <c:v>Сумма ЧП в среднем за период, в млрд. тенге</c:v>
                </c:pt>
              </c:strCache>
            </c:strRef>
          </c:tx>
          <c:spPr>
            <a:solidFill>
              <a:schemeClr val="accent1"/>
            </a:solidFill>
          </c:spPr>
          <c:invertIfNegative val="0"/>
          <c:cat>
            <c:strRef>
              <c:f>Sheet1!$A$2:$A$13</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Sheet1!$B$2:$B$13</c:f>
              <c:numCache>
                <c:formatCode>_-* #,##0.0_р_._-;\-* #,##0.0_р_._-;_-* "-"??_р_._-;_-@_-</c:formatCode>
                <c:ptCount val="12"/>
                <c:pt idx="0">
                  <c:v>5.0575405965911111</c:v>
                </c:pt>
                <c:pt idx="1">
                  <c:v>4.7405487523880945</c:v>
                </c:pt>
                <c:pt idx="2">
                  <c:v>4.5703630946763161</c:v>
                </c:pt>
                <c:pt idx="3">
                  <c:v>4.3835549380404757</c:v>
                </c:pt>
                <c:pt idx="4">
                  <c:v>4.8897657068799987</c:v>
                </c:pt>
                <c:pt idx="5">
                  <c:v>5.1733168734986368</c:v>
                </c:pt>
                <c:pt idx="6">
                  <c:v>4.6064266028930003</c:v>
                </c:pt>
                <c:pt idx="7">
                  <c:v>5.2844397762095463</c:v>
                </c:pt>
                <c:pt idx="8">
                  <c:v>5.1449866472642851</c:v>
                </c:pt>
                <c:pt idx="9">
                  <c:v>5.236146121249047</c:v>
                </c:pt>
                <c:pt idx="10">
                  <c:v>5.2984238323418182</c:v>
                </c:pt>
                <c:pt idx="11">
                  <c:v>7.2805764677336864</c:v>
                </c:pt>
              </c:numCache>
            </c:numRef>
          </c:val>
        </c:ser>
        <c:dLbls>
          <c:showLegendKey val="0"/>
          <c:showVal val="0"/>
          <c:showCatName val="0"/>
          <c:showSerName val="0"/>
          <c:showPercent val="0"/>
          <c:showBubbleSize val="0"/>
        </c:dLbls>
        <c:gapWidth val="100"/>
        <c:axId val="200615808"/>
        <c:axId val="200617344"/>
      </c:barChart>
      <c:lineChart>
        <c:grouping val="standard"/>
        <c:varyColors val="0"/>
        <c:ser>
          <c:idx val="1"/>
          <c:order val="1"/>
          <c:tx>
            <c:strRef>
              <c:f>Sheet1!$C$1</c:f>
              <c:strCache>
                <c:ptCount val="1"/>
                <c:pt idx="0">
                  <c:v>КОД в среднем за период</c:v>
                </c:pt>
              </c:strCache>
            </c:strRef>
          </c:tx>
          <c:cat>
            <c:strRef>
              <c:f>Sheet1!$A$2:$A$13</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Sheet1!$C$2:$C$13</c:f>
              <c:numCache>
                <c:formatCode>_-* #,##0.0_р_._-;\-* #,##0.0_р_._-;_-* "-"??_р_._-;_-@_-</c:formatCode>
                <c:ptCount val="12"/>
                <c:pt idx="0">
                  <c:v>3.2709832242717352</c:v>
                </c:pt>
                <c:pt idx="1">
                  <c:v>4.6645837987579357</c:v>
                </c:pt>
                <c:pt idx="2">
                  <c:v>5.6012213852464336</c:v>
                </c:pt>
                <c:pt idx="3">
                  <c:v>5.6010833356298901</c:v>
                </c:pt>
                <c:pt idx="4">
                  <c:v>5.4375593533676749</c:v>
                </c:pt>
                <c:pt idx="5">
                  <c:v>4.9565596651201336</c:v>
                </c:pt>
                <c:pt idx="6">
                  <c:v>5.3669348575922324</c:v>
                </c:pt>
                <c:pt idx="7">
                  <c:v>4.8884693978459515</c:v>
                </c:pt>
                <c:pt idx="8">
                  <c:v>5.1347580076306389</c:v>
                </c:pt>
                <c:pt idx="9">
                  <c:v>5.2031068369457945</c:v>
                </c:pt>
                <c:pt idx="10">
                  <c:v>5.3019468337258999</c:v>
                </c:pt>
                <c:pt idx="11">
                  <c:v>4.7099577004639448</c:v>
                </c:pt>
              </c:numCache>
            </c:numRef>
          </c:val>
          <c:smooth val="0"/>
        </c:ser>
        <c:dLbls>
          <c:showLegendKey val="0"/>
          <c:showVal val="0"/>
          <c:showCatName val="0"/>
          <c:showSerName val="0"/>
          <c:showPercent val="0"/>
          <c:showBubbleSize val="0"/>
        </c:dLbls>
        <c:marker val="1"/>
        <c:smooth val="0"/>
        <c:axId val="200623616"/>
        <c:axId val="200625152"/>
      </c:lineChart>
      <c:catAx>
        <c:axId val="200615808"/>
        <c:scaling>
          <c:orientation val="minMax"/>
        </c:scaling>
        <c:delete val="0"/>
        <c:axPos val="b"/>
        <c:numFmt formatCode="General" sourceLinked="1"/>
        <c:majorTickMark val="out"/>
        <c:minorTickMark val="none"/>
        <c:tickLblPos val="nextTo"/>
        <c:txPr>
          <a:bodyPr rot="-5400000" vert="horz"/>
          <a:lstStyle/>
          <a:p>
            <a:pPr>
              <a:defRPr/>
            </a:pPr>
            <a:endParaRPr lang="ru-RU"/>
          </a:p>
        </c:txPr>
        <c:crossAx val="200617344"/>
        <c:crosses val="autoZero"/>
        <c:auto val="0"/>
        <c:lblAlgn val="ctr"/>
        <c:lblOffset val="100"/>
        <c:tickMarkSkip val="1"/>
        <c:noMultiLvlLbl val="0"/>
      </c:catAx>
      <c:valAx>
        <c:axId val="200617344"/>
        <c:scaling>
          <c:orientation val="minMax"/>
        </c:scaling>
        <c:delete val="0"/>
        <c:axPos val="l"/>
        <c:title>
          <c:tx>
            <c:rich>
              <a:bodyPr rot="-5400000" vert="horz"/>
              <a:lstStyle/>
              <a:p>
                <a:pPr>
                  <a:defRPr b="0"/>
                </a:pPr>
                <a:r>
                  <a:rPr lang="ru-RU" b="0"/>
                  <a:t>млрд.</a:t>
                </a:r>
                <a:r>
                  <a:rPr lang="ru-RU" b="0" baseline="0"/>
                  <a:t> тенге</a:t>
                </a:r>
                <a:endParaRPr lang="ru-RU" b="0"/>
              </a:p>
            </c:rich>
          </c:tx>
          <c:layout>
            <c:manualLayout>
              <c:xMode val="edge"/>
              <c:yMode val="edge"/>
              <c:x val="0.21165819342199535"/>
              <c:y val="0.1680746123897385"/>
            </c:manualLayout>
          </c:layout>
          <c:overlay val="0"/>
        </c:title>
        <c:numFmt formatCode="#,##0.0" sourceLinked="0"/>
        <c:majorTickMark val="out"/>
        <c:minorTickMark val="none"/>
        <c:tickLblPos val="nextTo"/>
        <c:txPr>
          <a:bodyPr rot="0" vert="horz"/>
          <a:lstStyle/>
          <a:p>
            <a:pPr>
              <a:defRPr/>
            </a:pPr>
            <a:endParaRPr lang="ru-RU"/>
          </a:p>
        </c:txPr>
        <c:crossAx val="200615808"/>
        <c:crosses val="autoZero"/>
        <c:crossBetween val="between"/>
        <c:majorUnit val="2"/>
        <c:minorUnit val="1"/>
      </c:valAx>
      <c:catAx>
        <c:axId val="200623616"/>
        <c:scaling>
          <c:orientation val="minMax"/>
        </c:scaling>
        <c:delete val="1"/>
        <c:axPos val="b"/>
        <c:majorTickMark val="out"/>
        <c:minorTickMark val="none"/>
        <c:tickLblPos val="nextTo"/>
        <c:crossAx val="200625152"/>
        <c:crosses val="autoZero"/>
        <c:auto val="1"/>
        <c:lblAlgn val="ctr"/>
        <c:lblOffset val="100"/>
        <c:noMultiLvlLbl val="0"/>
      </c:catAx>
      <c:valAx>
        <c:axId val="200625152"/>
        <c:scaling>
          <c:orientation val="minMax"/>
        </c:scaling>
        <c:delete val="0"/>
        <c:axPos val="r"/>
        <c:title>
          <c:tx>
            <c:rich>
              <a:bodyPr rot="5400000" vert="horz"/>
              <a:lstStyle/>
              <a:p>
                <a:pPr>
                  <a:defRPr b="0"/>
                </a:pPr>
                <a:r>
                  <a:rPr lang="ru-RU" b="0"/>
                  <a:t>ед. </a:t>
                </a:r>
              </a:p>
            </c:rich>
          </c:tx>
          <c:layout>
            <c:manualLayout>
              <c:xMode val="edge"/>
              <c:yMode val="edge"/>
              <c:x val="0.96264855410200079"/>
              <c:y val="0.27810674278674885"/>
            </c:manualLayout>
          </c:layout>
          <c:overlay val="0"/>
        </c:title>
        <c:numFmt formatCode="#,##0.0" sourceLinked="0"/>
        <c:majorTickMark val="cross"/>
        <c:minorTickMark val="none"/>
        <c:tickLblPos val="nextTo"/>
        <c:txPr>
          <a:bodyPr rot="0" vert="horz"/>
          <a:lstStyle/>
          <a:p>
            <a:pPr>
              <a:defRPr/>
            </a:pPr>
            <a:endParaRPr lang="ru-RU"/>
          </a:p>
        </c:txPr>
        <c:crossAx val="200623616"/>
        <c:crosses val="max"/>
        <c:crossBetween val="between"/>
      </c:valAx>
      <c:dTable>
        <c:showHorzBorder val="1"/>
        <c:showVertBorder val="1"/>
        <c:showOutline val="1"/>
        <c:showKeys val="1"/>
      </c:dTable>
    </c:plotArea>
    <c:plotVisOnly val="1"/>
    <c:dispBlanksAs val="gap"/>
    <c:showDLblsOverMax val="0"/>
  </c:chart>
  <c:spPr>
    <a:ln>
      <a:noFill/>
    </a:ln>
  </c:spPr>
  <c:txPr>
    <a:bodyPr/>
    <a:lstStyle/>
    <a:p>
      <a:pPr>
        <a:defRPr sz="1000"/>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035324384530626"/>
          <c:y val="0.13103006860984481"/>
          <c:w val="0.77851479888606534"/>
          <c:h val="0.69663792630142463"/>
        </c:manualLayout>
      </c:layout>
      <c:lineChart>
        <c:grouping val="standard"/>
        <c:varyColors val="0"/>
        <c:ser>
          <c:idx val="0"/>
          <c:order val="0"/>
          <c:tx>
            <c:strRef>
              <c:f>Лист1!$B$1</c:f>
              <c:strCache>
                <c:ptCount val="1"/>
                <c:pt idx="0">
                  <c:v>МСПД</c:v>
                </c:pt>
              </c:strCache>
            </c:strRef>
          </c:tx>
          <c:dLbls>
            <c:dLbl>
              <c:idx val="0"/>
              <c:layout>
                <c:manualLayout>
                  <c:x val="-0.1117725013243789"/>
                  <c:y val="7.1883930658609624E-2"/>
                </c:manualLayout>
              </c:layout>
              <c:dLblPos val="r"/>
              <c:showLegendKey val="0"/>
              <c:showVal val="1"/>
              <c:showCatName val="0"/>
              <c:showSerName val="0"/>
              <c:showPercent val="0"/>
              <c:showBubbleSize val="0"/>
            </c:dLbl>
            <c:dLbl>
              <c:idx val="1"/>
              <c:layout>
                <c:manualLayout>
                  <c:x val="-0.11607144368300885"/>
                  <c:y val="6.4695537592748667E-2"/>
                </c:manualLayout>
              </c:layout>
              <c:dLblPos val="r"/>
              <c:showLegendKey val="0"/>
              <c:showVal val="1"/>
              <c:showCatName val="0"/>
              <c:showSerName val="0"/>
              <c:showPercent val="0"/>
              <c:showBubbleSize val="0"/>
            </c:dLbl>
            <c:dLbl>
              <c:idx val="2"/>
              <c:layout>
                <c:manualLayout>
                  <c:x val="-9.8875674248489018E-2"/>
                  <c:y val="5.7507144526887738E-2"/>
                </c:manualLayout>
              </c:layout>
              <c:dLblPos val="r"/>
              <c:showLegendKey val="0"/>
              <c:showVal val="1"/>
              <c:showCatName val="0"/>
              <c:showSerName val="0"/>
              <c:showPercent val="0"/>
              <c:showBubbleSize val="0"/>
            </c:dLbl>
            <c:dLbl>
              <c:idx val="3"/>
              <c:layout>
                <c:manualLayout>
                  <c:x val="-2.4391946760219604E-2"/>
                  <c:y val="-7.0085463796535089E-2"/>
                </c:manualLayout>
              </c:layout>
              <c:dLblPos val="r"/>
              <c:showLegendKey val="0"/>
              <c:showVal val="1"/>
              <c:showCatName val="0"/>
              <c:showSerName val="0"/>
              <c:showPercent val="0"/>
              <c:showBubbleSize val="0"/>
            </c:dLbl>
            <c:dLbl>
              <c:idx val="4"/>
              <c:layout>
                <c:manualLayout>
                  <c:x val="-1.2896827075889872E-2"/>
                  <c:y val="5.0318751461026677E-2"/>
                </c:manualLayout>
              </c:layout>
              <c:dLblPos val="r"/>
              <c:showLegendKey val="0"/>
              <c:showVal val="1"/>
              <c:showCatName val="0"/>
              <c:showSerName val="0"/>
              <c:showPercent val="0"/>
              <c:showBubbleSize val="0"/>
            </c:dLbl>
            <c:txPr>
              <a:bodyPr/>
              <a:lstStyle/>
              <a:p>
                <a:pPr>
                  <a:defRPr sz="1000"/>
                </a:pPr>
                <a:endParaRPr lang="ru-RU"/>
              </a:p>
            </c:txPr>
            <c:dLblPos val="r"/>
            <c:showLegendKey val="0"/>
            <c:showVal val="1"/>
            <c:showCatName val="0"/>
            <c:showSerName val="0"/>
            <c:showPercent val="0"/>
            <c:showBubbleSize val="0"/>
            <c:showLeaderLines val="0"/>
          </c:dLbls>
          <c:cat>
            <c:strRef>
              <c:f>Лист1!$A$2:$A$6</c:f>
              <c:strCache>
                <c:ptCount val="5"/>
                <c:pt idx="0">
                  <c:v>2012</c:v>
                </c:pt>
                <c:pt idx="1">
                  <c:v>2013</c:v>
                </c:pt>
                <c:pt idx="2">
                  <c:v>2014</c:v>
                </c:pt>
                <c:pt idx="3">
                  <c:v>2015</c:v>
                </c:pt>
                <c:pt idx="4">
                  <c:v>2016</c:v>
                </c:pt>
              </c:strCache>
            </c:strRef>
          </c:cat>
          <c:val>
            <c:numRef>
              <c:f>Лист1!$B$2:$B$6</c:f>
              <c:numCache>
                <c:formatCode>0.000%</c:formatCode>
                <c:ptCount val="5"/>
                <c:pt idx="0">
                  <c:v>0.99988999999999995</c:v>
                </c:pt>
                <c:pt idx="1">
                  <c:v>0.99934000000000001</c:v>
                </c:pt>
                <c:pt idx="2">
                  <c:v>0.99948999999999999</c:v>
                </c:pt>
                <c:pt idx="3">
                  <c:v>1</c:v>
                </c:pt>
                <c:pt idx="4">
                  <c:v>0.99802999999999997</c:v>
                </c:pt>
              </c:numCache>
            </c:numRef>
          </c:val>
          <c:smooth val="0"/>
        </c:ser>
        <c:ser>
          <c:idx val="1"/>
          <c:order val="1"/>
          <c:tx>
            <c:strRef>
              <c:f>Лист1!$C$1</c:f>
              <c:strCache>
                <c:ptCount val="1"/>
                <c:pt idx="0">
                  <c:v>СМК</c:v>
                </c:pt>
              </c:strCache>
            </c:strRef>
          </c:tx>
          <c:dLbls>
            <c:dLbl>
              <c:idx val="0"/>
              <c:layout>
                <c:manualLayout>
                  <c:x val="-0.11967562632982313"/>
                  <c:y val="-6.7585105091405431E-2"/>
                </c:manualLayout>
              </c:layout>
              <c:dLblPos val="r"/>
              <c:showLegendKey val="0"/>
              <c:showVal val="1"/>
              <c:showCatName val="0"/>
              <c:showSerName val="0"/>
              <c:showPercent val="0"/>
              <c:showBubbleSize val="0"/>
            </c:dLbl>
            <c:dLbl>
              <c:idx val="1"/>
              <c:layout>
                <c:manualLayout>
                  <c:x val="-9.8875695340215966E-2"/>
                  <c:y val="-5.7507330461239611E-2"/>
                </c:manualLayout>
              </c:layout>
              <c:dLblPos val="r"/>
              <c:showLegendKey val="0"/>
              <c:showVal val="1"/>
              <c:showCatName val="0"/>
              <c:showSerName val="0"/>
              <c:showPercent val="0"/>
              <c:showBubbleSize val="0"/>
            </c:dLbl>
            <c:dLbl>
              <c:idx val="2"/>
              <c:layout>
                <c:manualLayout>
                  <c:x val="-6.4484135379449359E-2"/>
                  <c:y val="-5.0318751461026746E-2"/>
                </c:manualLayout>
              </c:layout>
              <c:dLblPos val="r"/>
              <c:showLegendKey val="0"/>
              <c:showVal val="1"/>
              <c:showCatName val="0"/>
              <c:showSerName val="0"/>
              <c:showPercent val="0"/>
              <c:showBubbleSize val="0"/>
            </c:dLbl>
            <c:dLbl>
              <c:idx val="3"/>
              <c:delete val="1"/>
            </c:dLbl>
            <c:dLbl>
              <c:idx val="4"/>
              <c:layout>
                <c:manualLayout>
                  <c:x val="0"/>
                  <c:y val="5.7507144526887703E-2"/>
                </c:manualLayout>
              </c:layout>
              <c:dLblPos val="r"/>
              <c:showLegendKey val="0"/>
              <c:showVal val="1"/>
              <c:showCatName val="0"/>
              <c:showSerName val="0"/>
              <c:showPercent val="0"/>
              <c:showBubbleSize val="0"/>
            </c:dLbl>
            <c:txPr>
              <a:bodyPr/>
              <a:lstStyle/>
              <a:p>
                <a:pPr>
                  <a:defRPr sz="1000"/>
                </a:pPr>
                <a:endParaRPr lang="ru-RU"/>
              </a:p>
            </c:txPr>
            <c:dLblPos val="r"/>
            <c:showLegendKey val="0"/>
            <c:showVal val="1"/>
            <c:showCatName val="0"/>
            <c:showSerName val="0"/>
            <c:showPercent val="0"/>
            <c:showBubbleSize val="0"/>
            <c:showLeaderLines val="0"/>
          </c:dLbls>
          <c:cat>
            <c:strRef>
              <c:f>Лист1!$A$2:$A$6</c:f>
              <c:strCache>
                <c:ptCount val="5"/>
                <c:pt idx="0">
                  <c:v>2012</c:v>
                </c:pt>
                <c:pt idx="1">
                  <c:v>2013</c:v>
                </c:pt>
                <c:pt idx="2">
                  <c:v>2014</c:v>
                </c:pt>
                <c:pt idx="3">
                  <c:v>2015</c:v>
                </c:pt>
                <c:pt idx="4">
                  <c:v>2016</c:v>
                </c:pt>
              </c:strCache>
            </c:strRef>
          </c:cat>
          <c:val>
            <c:numRef>
              <c:f>Лист1!$C$2:$C$6</c:f>
              <c:numCache>
                <c:formatCode>0.000%</c:formatCode>
                <c:ptCount val="5"/>
                <c:pt idx="0">
                  <c:v>0.99997999999999998</c:v>
                </c:pt>
                <c:pt idx="1">
                  <c:v>0.99978999999999996</c:v>
                </c:pt>
                <c:pt idx="2">
                  <c:v>0.99997000000000003</c:v>
                </c:pt>
                <c:pt idx="3">
                  <c:v>1</c:v>
                </c:pt>
                <c:pt idx="4">
                  <c:v>0.99975999999999998</c:v>
                </c:pt>
              </c:numCache>
            </c:numRef>
          </c:val>
          <c:smooth val="0"/>
        </c:ser>
        <c:dLbls>
          <c:showLegendKey val="0"/>
          <c:showVal val="0"/>
          <c:showCatName val="0"/>
          <c:showSerName val="0"/>
          <c:showPercent val="0"/>
          <c:showBubbleSize val="0"/>
        </c:dLbls>
        <c:marker val="1"/>
        <c:smooth val="0"/>
        <c:axId val="200685440"/>
        <c:axId val="200686976"/>
      </c:lineChart>
      <c:catAx>
        <c:axId val="200685440"/>
        <c:scaling>
          <c:orientation val="minMax"/>
        </c:scaling>
        <c:delete val="0"/>
        <c:axPos val="b"/>
        <c:numFmt formatCode="General" sourceLinked="1"/>
        <c:majorTickMark val="none"/>
        <c:minorTickMark val="none"/>
        <c:tickLblPos val="nextTo"/>
        <c:txPr>
          <a:bodyPr/>
          <a:lstStyle/>
          <a:p>
            <a:pPr>
              <a:defRPr sz="799"/>
            </a:pPr>
            <a:endParaRPr lang="ru-RU"/>
          </a:p>
        </c:txPr>
        <c:crossAx val="200686976"/>
        <c:crosses val="autoZero"/>
        <c:auto val="1"/>
        <c:lblAlgn val="ctr"/>
        <c:lblOffset val="100"/>
        <c:noMultiLvlLbl val="0"/>
      </c:catAx>
      <c:valAx>
        <c:axId val="200686976"/>
        <c:scaling>
          <c:orientation val="minMax"/>
          <c:max val="1"/>
        </c:scaling>
        <c:delete val="0"/>
        <c:axPos val="l"/>
        <c:majorGridlines>
          <c:spPr>
            <a:ln>
              <a:prstDash val="sysDash"/>
            </a:ln>
          </c:spPr>
        </c:majorGridlines>
        <c:numFmt formatCode="0.000%" sourceLinked="1"/>
        <c:majorTickMark val="none"/>
        <c:minorTickMark val="none"/>
        <c:tickLblPos val="nextTo"/>
        <c:txPr>
          <a:bodyPr/>
          <a:lstStyle/>
          <a:p>
            <a:pPr>
              <a:defRPr sz="1000"/>
            </a:pPr>
            <a:endParaRPr lang="ru-RU"/>
          </a:p>
        </c:txPr>
        <c:crossAx val="200685440"/>
        <c:crosses val="autoZero"/>
        <c:crossBetween val="between"/>
      </c:valAx>
    </c:plotArea>
    <c:legend>
      <c:legendPos val="b"/>
      <c:layout>
        <c:manualLayout>
          <c:xMode val="edge"/>
          <c:yMode val="edge"/>
          <c:x val="0.30618001188246885"/>
          <c:y val="0.89307402446063533"/>
          <c:w val="0.43668223420496505"/>
          <c:h val="0.10692597553936467"/>
        </c:manualLayout>
      </c:layout>
      <c:overlay val="0"/>
      <c:txPr>
        <a:bodyPr/>
        <a:lstStyle/>
        <a:p>
          <a:pPr>
            <a:defRPr sz="799"/>
          </a:pPr>
          <a:endParaRPr lang="ru-RU"/>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882653061224492"/>
          <c:y val="0.11985018726591759"/>
          <c:w val="0.75127551020408168"/>
          <c:h val="0.62546816479400735"/>
        </c:manualLayout>
      </c:layout>
      <c:barChart>
        <c:barDir val="col"/>
        <c:grouping val="clustered"/>
        <c:varyColors val="0"/>
        <c:ser>
          <c:idx val="0"/>
          <c:order val="0"/>
          <c:tx>
            <c:strRef>
              <c:f>Лист1!$A$2</c:f>
              <c:strCache>
                <c:ptCount val="1"/>
                <c:pt idx="0">
                  <c:v>Объем, в трлн. тенге</c:v>
                </c:pt>
              </c:strCache>
            </c:strRef>
          </c:tx>
          <c:spPr>
            <a:solidFill>
              <a:srgbClr val="339966"/>
            </a:solidFill>
            <a:ln w="25341">
              <a:noFill/>
            </a:ln>
          </c:spPr>
          <c:invertIfNegative val="0"/>
          <c:dLbls>
            <c:dLbl>
              <c:idx val="0"/>
              <c:layout>
                <c:manualLayout>
                  <c:x val="-1.6428359620077755E-7"/>
                  <c:y val="0.14880952380952381"/>
                </c:manualLayout>
              </c:layout>
              <c:dLblPos val="outEnd"/>
              <c:showLegendKey val="0"/>
              <c:showVal val="1"/>
              <c:showCatName val="0"/>
              <c:showSerName val="0"/>
              <c:showPercent val="0"/>
              <c:showBubbleSize val="0"/>
            </c:dLbl>
            <c:dLbl>
              <c:idx val="1"/>
              <c:layout>
                <c:manualLayout>
                  <c:x val="0"/>
                  <c:y val="0.14880952380952381"/>
                </c:manualLayout>
              </c:layout>
              <c:dLblPos val="outEnd"/>
              <c:showLegendKey val="0"/>
              <c:showVal val="1"/>
              <c:showCatName val="0"/>
              <c:showSerName val="0"/>
              <c:showPercent val="0"/>
              <c:showBubbleSize val="0"/>
            </c:dLbl>
            <c:dLbl>
              <c:idx val="2"/>
              <c:layout>
                <c:manualLayout>
                  <c:x val="0"/>
                  <c:y val="0.17261904761904762"/>
                </c:manualLayout>
              </c:layout>
              <c:dLblPos val="outEnd"/>
              <c:showLegendKey val="0"/>
              <c:showVal val="1"/>
              <c:showCatName val="0"/>
              <c:showSerName val="0"/>
              <c:showPercent val="0"/>
              <c:showBubbleSize val="0"/>
            </c:dLbl>
            <c:dLbl>
              <c:idx val="3"/>
              <c:layout>
                <c:manualLayout>
                  <c:x val="0"/>
                  <c:y val="0.19642857142857142"/>
                </c:manualLayout>
              </c:layout>
              <c:dLblPos val="outEnd"/>
              <c:showLegendKey val="0"/>
              <c:showVal val="1"/>
              <c:showCatName val="0"/>
              <c:showSerName val="0"/>
              <c:showPercent val="0"/>
              <c:showBubbleSize val="0"/>
            </c:dLbl>
            <c:dLbl>
              <c:idx val="4"/>
              <c:layout>
                <c:manualLayout>
                  <c:x val="0"/>
                  <c:y val="0.19644968756129683"/>
                </c:manualLayout>
              </c:layout>
              <c:dLblPos val="outEnd"/>
              <c:showLegendKey val="0"/>
              <c:showVal val="1"/>
              <c:showCatName val="0"/>
              <c:showSerName val="0"/>
              <c:showPercent val="0"/>
              <c:showBubbleSize val="0"/>
            </c:dLbl>
            <c:dLbl>
              <c:idx val="5"/>
              <c:layout>
                <c:manualLayout>
                  <c:x val="-2.0842789388168586E-3"/>
                  <c:y val="0.17857156200670646"/>
                </c:manualLayout>
              </c:layout>
              <c:dLblPos val="outEnd"/>
              <c:showLegendKey val="0"/>
              <c:showVal val="1"/>
              <c:showCatName val="0"/>
              <c:showSerName val="0"/>
              <c:showPercent val="0"/>
              <c:showBubbleSize val="0"/>
            </c:dLbl>
            <c:dLbl>
              <c:idx val="6"/>
              <c:layout>
                <c:manualLayout>
                  <c:x val="0"/>
                  <c:y val="0.18452380952380953"/>
                </c:manualLayout>
              </c:layout>
              <c:dLblPos val="outEnd"/>
              <c:showLegendKey val="0"/>
              <c:showVal val="1"/>
              <c:showCatName val="0"/>
              <c:showSerName val="0"/>
              <c:showPercent val="0"/>
              <c:showBubbleSize val="0"/>
            </c:dLbl>
            <c:dLbl>
              <c:idx val="7"/>
              <c:layout>
                <c:manualLayout>
                  <c:x val="0"/>
                  <c:y val="0.21428571428571427"/>
                </c:manualLayout>
              </c:layout>
              <c:dLblPos val="outEnd"/>
              <c:showLegendKey val="0"/>
              <c:showVal val="1"/>
              <c:showCatName val="0"/>
              <c:showSerName val="0"/>
              <c:showPercent val="0"/>
              <c:showBubbleSize val="0"/>
            </c:dLbl>
            <c:dLbl>
              <c:idx val="8"/>
              <c:layout>
                <c:manualLayout>
                  <c:x val="0"/>
                  <c:y val="0.24404761904761904"/>
                </c:manualLayout>
              </c:layout>
              <c:dLblPos val="outEnd"/>
              <c:showLegendKey val="0"/>
              <c:showVal val="1"/>
              <c:showCatName val="0"/>
              <c:showSerName val="0"/>
              <c:showPercent val="0"/>
              <c:showBubbleSize val="0"/>
            </c:dLbl>
            <c:dLbl>
              <c:idx val="9"/>
              <c:layout>
                <c:manualLayout>
                  <c:x val="1.9509074523579289E-3"/>
                  <c:y val="0.40400005604281675"/>
                </c:manualLayout>
              </c:layout>
              <c:dLblPos val="outEnd"/>
              <c:showLegendKey val="0"/>
              <c:showVal val="1"/>
              <c:showCatName val="0"/>
              <c:showSerName val="0"/>
              <c:showPercent val="0"/>
              <c:showBubbleSize val="0"/>
            </c:dLbl>
            <c:numFmt formatCode="#,##0.0" sourceLinked="0"/>
            <c:spPr>
              <a:noFill/>
              <a:ln w="25341">
                <a:noFill/>
              </a:ln>
            </c:spPr>
            <c:txPr>
              <a:bodyPr rot="0" vert="horz"/>
              <a:lstStyle/>
              <a:p>
                <a:pPr>
                  <a:defRPr/>
                </a:pPr>
                <a:endParaRPr lang="ru-RU"/>
              </a:p>
            </c:txPr>
            <c:dLblPos val="outEnd"/>
            <c:showLegendKey val="0"/>
            <c:showVal val="1"/>
            <c:showCatName val="0"/>
            <c:showSerName val="0"/>
            <c:showPercent val="0"/>
            <c:showBubbleSize val="0"/>
            <c:showLeaderLines val="0"/>
          </c:dLbls>
          <c:cat>
            <c:strRef>
              <c:f>Лист1!$B$1:$K$1</c:f>
              <c:strCache>
                <c:ptCount val="10"/>
                <c:pt idx="0">
                  <c:v>2007</c:v>
                </c:pt>
                <c:pt idx="1">
                  <c:v>2008</c:v>
                </c:pt>
                <c:pt idx="2">
                  <c:v>2009</c:v>
                </c:pt>
                <c:pt idx="3">
                  <c:v>2010</c:v>
                </c:pt>
                <c:pt idx="4">
                  <c:v>2011</c:v>
                </c:pt>
                <c:pt idx="5">
                  <c:v>2012</c:v>
                </c:pt>
                <c:pt idx="6">
                  <c:v>2013</c:v>
                </c:pt>
                <c:pt idx="7">
                  <c:v>2014</c:v>
                </c:pt>
                <c:pt idx="8">
                  <c:v>2015</c:v>
                </c:pt>
                <c:pt idx="9">
                  <c:v>2016</c:v>
                </c:pt>
              </c:strCache>
            </c:strRef>
          </c:cat>
          <c:val>
            <c:numRef>
              <c:f>Лист1!$B$2:$K$2</c:f>
              <c:numCache>
                <c:formatCode>_-* #,##0.0_р_._-;\-* #,##0.0_р_._-;_-* "-"??_р_._-;_-@_-</c:formatCode>
                <c:ptCount val="10"/>
                <c:pt idx="0" formatCode="0.0">
                  <c:v>143.45438972714868</c:v>
                </c:pt>
                <c:pt idx="1">
                  <c:v>141.85327772145101</c:v>
                </c:pt>
                <c:pt idx="2">
                  <c:v>159.745607205645</c:v>
                </c:pt>
                <c:pt idx="3">
                  <c:v>187.704400867468</c:v>
                </c:pt>
                <c:pt idx="4">
                  <c:v>192.391110769644</c:v>
                </c:pt>
                <c:pt idx="5">
                  <c:v>170.7</c:v>
                </c:pt>
                <c:pt idx="6">
                  <c:v>177.5908</c:v>
                </c:pt>
                <c:pt idx="7">
                  <c:v>202.6</c:v>
                </c:pt>
                <c:pt idx="8">
                  <c:v>231.985741015032</c:v>
                </c:pt>
                <c:pt idx="9">
                  <c:v>590.68710559783699</c:v>
                </c:pt>
              </c:numCache>
            </c:numRef>
          </c:val>
        </c:ser>
        <c:dLbls>
          <c:showLegendKey val="0"/>
          <c:showVal val="0"/>
          <c:showCatName val="0"/>
          <c:showSerName val="0"/>
          <c:showPercent val="0"/>
          <c:showBubbleSize val="0"/>
        </c:dLbls>
        <c:gapWidth val="39"/>
        <c:axId val="166695296"/>
        <c:axId val="166696832"/>
      </c:barChart>
      <c:lineChart>
        <c:grouping val="standard"/>
        <c:varyColors val="0"/>
        <c:ser>
          <c:idx val="1"/>
          <c:order val="1"/>
          <c:tx>
            <c:strRef>
              <c:f>Лист1!$A$3</c:f>
              <c:strCache>
                <c:ptCount val="1"/>
                <c:pt idx="0">
                  <c:v>Количество, в млн.транзакций</c:v>
                </c:pt>
              </c:strCache>
            </c:strRef>
          </c:tx>
          <c:spPr>
            <a:ln>
              <a:solidFill>
                <a:srgbClr val="FF0000"/>
              </a:solidFill>
            </a:ln>
          </c:spPr>
          <c:marker>
            <c:symbol val="diamond"/>
            <c:size val="4"/>
            <c:spPr>
              <a:solidFill>
                <a:srgbClr val="FF0000"/>
              </a:solidFill>
              <a:ln>
                <a:solidFill>
                  <a:srgbClr val="FF0000"/>
                </a:solidFill>
              </a:ln>
            </c:spPr>
          </c:marker>
          <c:dLbls>
            <c:dLbl>
              <c:idx val="0"/>
              <c:layout>
                <c:manualLayout>
                  <c:x val="-4.5195337424927144E-2"/>
                  <c:y val="-0.13885822101418813"/>
                </c:manualLayout>
              </c:layout>
              <c:dLblPos val="r"/>
              <c:showLegendKey val="0"/>
              <c:showVal val="1"/>
              <c:showCatName val="0"/>
              <c:showSerName val="0"/>
              <c:showPercent val="0"/>
              <c:showBubbleSize val="0"/>
            </c:dLbl>
            <c:dLbl>
              <c:idx val="1"/>
              <c:layout>
                <c:manualLayout>
                  <c:x val="-4.3640433103756766E-2"/>
                  <c:y val="-0.10540579669534185"/>
                </c:manualLayout>
              </c:layout>
              <c:dLblPos val="r"/>
              <c:showLegendKey val="0"/>
              <c:showVal val="1"/>
              <c:showCatName val="0"/>
              <c:showSerName val="0"/>
              <c:showPercent val="0"/>
              <c:showBubbleSize val="0"/>
            </c:dLbl>
            <c:dLbl>
              <c:idx val="2"/>
              <c:layout>
                <c:manualLayout>
                  <c:x val="-2.6899631758319116E-2"/>
                  <c:y val="-0.13933023997000374"/>
                </c:manualLayout>
              </c:layout>
              <c:dLblPos val="r"/>
              <c:showLegendKey val="0"/>
              <c:showVal val="1"/>
              <c:showCatName val="0"/>
              <c:showSerName val="0"/>
              <c:showPercent val="0"/>
              <c:showBubbleSize val="0"/>
            </c:dLbl>
            <c:dLbl>
              <c:idx val="6"/>
              <c:layout>
                <c:manualLayout>
                  <c:x val="-4.3812615528322114E-2"/>
                  <c:y val="-5.4655756998346738E-2"/>
                </c:manualLayout>
              </c:layout>
              <c:dLblPos val="r"/>
              <c:showLegendKey val="0"/>
              <c:showVal val="1"/>
              <c:showCatName val="0"/>
              <c:showSerName val="0"/>
              <c:showPercent val="0"/>
              <c:showBubbleSize val="0"/>
            </c:dLbl>
            <c:dLbl>
              <c:idx val="7"/>
              <c:layout>
                <c:manualLayout>
                  <c:x val="-4.3812615528322038E-2"/>
                  <c:y val="-7.8380549406413161E-2"/>
                </c:manualLayout>
              </c:layout>
              <c:dLblPos val="r"/>
              <c:showLegendKey val="0"/>
              <c:showVal val="1"/>
              <c:showCatName val="0"/>
              <c:showSerName val="0"/>
              <c:showPercent val="0"/>
              <c:showBubbleSize val="0"/>
            </c:dLbl>
            <c:dLbl>
              <c:idx val="9"/>
              <c:layout>
                <c:manualLayout>
                  <c:x val="-4.349522099211283E-2"/>
                  <c:y val="-9.6726165457075866E-2"/>
                </c:manualLayout>
              </c:layout>
              <c:dLblPos val="r"/>
              <c:showLegendKey val="0"/>
              <c:showVal val="1"/>
              <c:showCatName val="0"/>
              <c:showSerName val="0"/>
              <c:showPercent val="0"/>
              <c:showBubbleSize val="0"/>
            </c:dLbl>
            <c:spPr>
              <a:noFill/>
              <a:ln w="25341">
                <a:noFill/>
              </a:ln>
            </c:spPr>
            <c:dLblPos val="t"/>
            <c:showLegendKey val="0"/>
            <c:showVal val="1"/>
            <c:showCatName val="0"/>
            <c:showSerName val="0"/>
            <c:showPercent val="0"/>
            <c:showBubbleSize val="0"/>
            <c:showLeaderLines val="0"/>
          </c:dLbls>
          <c:cat>
            <c:strRef>
              <c:f>Лист1!$B$1:$K$1</c:f>
              <c:strCache>
                <c:ptCount val="10"/>
                <c:pt idx="0">
                  <c:v>2007</c:v>
                </c:pt>
                <c:pt idx="1">
                  <c:v>2008</c:v>
                </c:pt>
                <c:pt idx="2">
                  <c:v>2009</c:v>
                </c:pt>
                <c:pt idx="3">
                  <c:v>2010</c:v>
                </c:pt>
                <c:pt idx="4">
                  <c:v>2011</c:v>
                </c:pt>
                <c:pt idx="5">
                  <c:v>2012</c:v>
                </c:pt>
                <c:pt idx="6">
                  <c:v>2013</c:v>
                </c:pt>
                <c:pt idx="7">
                  <c:v>2014</c:v>
                </c:pt>
                <c:pt idx="8">
                  <c:v>2015</c:v>
                </c:pt>
                <c:pt idx="9">
                  <c:v>2016</c:v>
                </c:pt>
              </c:strCache>
            </c:strRef>
          </c:cat>
          <c:val>
            <c:numRef>
              <c:f>Лист1!$B$3:$K$3</c:f>
              <c:numCache>
                <c:formatCode>_-* #,##0.0_р_._-;\-* #,##0.0_р_._-;_-* "-"??_р_._-;_-@_-</c:formatCode>
                <c:ptCount val="10"/>
                <c:pt idx="0" formatCode="General">
                  <c:v>23.6</c:v>
                </c:pt>
                <c:pt idx="1">
                  <c:v>24.442976999999999</c:v>
                </c:pt>
                <c:pt idx="2">
                  <c:v>25.924356</c:v>
                </c:pt>
                <c:pt idx="3">
                  <c:v>29.709705</c:v>
                </c:pt>
                <c:pt idx="4">
                  <c:v>31.463767000000001</c:v>
                </c:pt>
                <c:pt idx="5">
                  <c:v>32.4</c:v>
                </c:pt>
                <c:pt idx="6">
                  <c:v>35.222499999999997</c:v>
                </c:pt>
                <c:pt idx="7">
                  <c:v>34.700000000000003</c:v>
                </c:pt>
                <c:pt idx="8">
                  <c:v>35.189528000000003</c:v>
                </c:pt>
                <c:pt idx="9">
                  <c:v>35.306694</c:v>
                </c:pt>
              </c:numCache>
            </c:numRef>
          </c:val>
          <c:smooth val="0"/>
        </c:ser>
        <c:dLbls>
          <c:showLegendKey val="0"/>
          <c:showVal val="0"/>
          <c:showCatName val="0"/>
          <c:showSerName val="0"/>
          <c:showPercent val="0"/>
          <c:showBubbleSize val="0"/>
        </c:dLbls>
        <c:marker val="1"/>
        <c:smooth val="0"/>
        <c:axId val="166703104"/>
        <c:axId val="166704640"/>
      </c:lineChart>
      <c:catAx>
        <c:axId val="166695296"/>
        <c:scaling>
          <c:orientation val="minMax"/>
        </c:scaling>
        <c:delete val="0"/>
        <c:axPos val="b"/>
        <c:numFmt formatCode="General" sourceLinked="1"/>
        <c:majorTickMark val="out"/>
        <c:minorTickMark val="none"/>
        <c:tickLblPos val="nextTo"/>
        <c:txPr>
          <a:bodyPr rot="0" vert="horz"/>
          <a:lstStyle/>
          <a:p>
            <a:pPr>
              <a:defRPr/>
            </a:pPr>
            <a:endParaRPr lang="ru-RU"/>
          </a:p>
        </c:txPr>
        <c:crossAx val="166696832"/>
        <c:crosses val="autoZero"/>
        <c:auto val="1"/>
        <c:lblAlgn val="ctr"/>
        <c:lblOffset val="100"/>
        <c:noMultiLvlLbl val="0"/>
      </c:catAx>
      <c:valAx>
        <c:axId val="166696832"/>
        <c:scaling>
          <c:orientation val="minMax"/>
          <c:max val="600"/>
        </c:scaling>
        <c:delete val="0"/>
        <c:axPos val="l"/>
        <c:majorGridlines>
          <c:spPr>
            <a:ln>
              <a:solidFill>
                <a:schemeClr val="bg1">
                  <a:lumMod val="75000"/>
                </a:schemeClr>
              </a:solidFill>
              <a:prstDash val="sysDash"/>
            </a:ln>
          </c:spPr>
        </c:majorGridlines>
        <c:title>
          <c:tx>
            <c:rich>
              <a:bodyPr/>
              <a:lstStyle/>
              <a:p>
                <a:pPr>
                  <a:defRPr/>
                </a:pPr>
                <a:r>
                  <a:rPr lang="ru-RU"/>
                  <a:t>трлн. тенге</a:t>
                </a:r>
              </a:p>
            </c:rich>
          </c:tx>
          <c:layout>
            <c:manualLayout>
              <c:xMode val="edge"/>
              <c:yMode val="edge"/>
              <c:x val="1.9368468627074864E-2"/>
              <c:y val="0.24103218440978461"/>
            </c:manualLayout>
          </c:layout>
          <c:overlay val="0"/>
          <c:spPr>
            <a:noFill/>
            <a:ln w="25341">
              <a:noFill/>
            </a:ln>
          </c:spPr>
        </c:title>
        <c:numFmt formatCode="#,##0" sourceLinked="0"/>
        <c:majorTickMark val="out"/>
        <c:minorTickMark val="none"/>
        <c:tickLblPos val="nextTo"/>
        <c:txPr>
          <a:bodyPr rot="0" vert="horz"/>
          <a:lstStyle/>
          <a:p>
            <a:pPr>
              <a:defRPr/>
            </a:pPr>
            <a:endParaRPr lang="ru-RU"/>
          </a:p>
        </c:txPr>
        <c:crossAx val="166695296"/>
        <c:crosses val="autoZero"/>
        <c:crossBetween val="between"/>
      </c:valAx>
      <c:catAx>
        <c:axId val="166703104"/>
        <c:scaling>
          <c:orientation val="minMax"/>
        </c:scaling>
        <c:delete val="1"/>
        <c:axPos val="b"/>
        <c:majorTickMark val="out"/>
        <c:minorTickMark val="none"/>
        <c:tickLblPos val="nextTo"/>
        <c:crossAx val="166704640"/>
        <c:crosses val="autoZero"/>
        <c:auto val="1"/>
        <c:lblAlgn val="ctr"/>
        <c:lblOffset val="100"/>
        <c:noMultiLvlLbl val="0"/>
      </c:catAx>
      <c:valAx>
        <c:axId val="166704640"/>
        <c:scaling>
          <c:orientation val="minMax"/>
          <c:max val="36"/>
          <c:min val="20"/>
        </c:scaling>
        <c:delete val="0"/>
        <c:axPos val="r"/>
        <c:title>
          <c:tx>
            <c:rich>
              <a:bodyPr/>
              <a:lstStyle/>
              <a:p>
                <a:pPr>
                  <a:defRPr/>
                </a:pPr>
                <a:r>
                  <a:rPr lang="ru-RU"/>
                  <a:t>млн. транзакций</a:t>
                </a:r>
              </a:p>
            </c:rich>
          </c:tx>
          <c:layout>
            <c:manualLayout>
              <c:xMode val="edge"/>
              <c:yMode val="edge"/>
              <c:x val="0.94311386546010312"/>
              <c:y val="0.13680304887262226"/>
            </c:manualLayout>
          </c:layout>
          <c:overlay val="0"/>
          <c:spPr>
            <a:noFill/>
            <a:ln w="25341">
              <a:noFill/>
            </a:ln>
          </c:spPr>
        </c:title>
        <c:numFmt formatCode="#,##0" sourceLinked="0"/>
        <c:majorTickMark val="out"/>
        <c:minorTickMark val="none"/>
        <c:tickLblPos val="nextTo"/>
        <c:txPr>
          <a:bodyPr rot="0" vert="horz"/>
          <a:lstStyle/>
          <a:p>
            <a:pPr>
              <a:defRPr/>
            </a:pPr>
            <a:endParaRPr lang="ru-RU"/>
          </a:p>
        </c:txPr>
        <c:crossAx val="166703104"/>
        <c:crosses val="max"/>
        <c:crossBetween val="between"/>
        <c:majorUnit val="4"/>
      </c:valAx>
    </c:plotArea>
    <c:legend>
      <c:legendPos val="r"/>
      <c:layout>
        <c:manualLayout>
          <c:xMode val="edge"/>
          <c:yMode val="edge"/>
          <c:x val="7.5255102040816327E-2"/>
          <c:y val="0.88014981273408233"/>
          <c:w val="0.8928571428571429"/>
          <c:h val="8.98876404494382E-2"/>
        </c:manualLayout>
      </c:layout>
      <c:overlay val="0"/>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076955589298853"/>
          <c:y val="5.7761732851985562E-2"/>
          <c:w val="0.60988748343618315"/>
          <c:h val="0.67432908058233298"/>
        </c:manualLayout>
      </c:layout>
      <c:barChart>
        <c:barDir val="col"/>
        <c:grouping val="clustered"/>
        <c:varyColors val="0"/>
        <c:ser>
          <c:idx val="1"/>
          <c:order val="1"/>
          <c:tx>
            <c:strRef>
              <c:f>Лист1!$C$1</c:f>
              <c:strCache>
                <c:ptCount val="1"/>
                <c:pt idx="0">
                  <c:v>Сумма</c:v>
                </c:pt>
              </c:strCache>
            </c:strRef>
          </c:tx>
          <c:spPr>
            <a:solidFill>
              <a:srgbClr val="008000"/>
            </a:solidFill>
            <a:ln w="17609">
              <a:noFill/>
            </a:ln>
          </c:spPr>
          <c:invertIfNegative val="0"/>
          <c:dLbls>
            <c:dLbl>
              <c:idx val="0"/>
              <c:layout>
                <c:manualLayout>
                  <c:x val="-2.3147047082744125E-3"/>
                  <c:y val="0.37767250168109151"/>
                </c:manualLayout>
              </c:layout>
              <c:dLblPos val="outEnd"/>
              <c:showLegendKey val="0"/>
              <c:showVal val="1"/>
              <c:showCatName val="0"/>
              <c:showSerName val="0"/>
              <c:showPercent val="0"/>
              <c:showBubbleSize val="0"/>
            </c:dLbl>
            <c:dLbl>
              <c:idx val="1"/>
              <c:layout>
                <c:manualLayout>
                  <c:x val="-2.0217115840204865E-2"/>
                  <c:y val="0.30517386194874679"/>
                </c:manualLayout>
              </c:layout>
              <c:dLblPos val="outEnd"/>
              <c:showLegendKey val="0"/>
              <c:showVal val="1"/>
              <c:showCatName val="0"/>
              <c:showSerName val="0"/>
              <c:showPercent val="0"/>
              <c:showBubbleSize val="0"/>
            </c:dLbl>
            <c:dLbl>
              <c:idx val="2"/>
              <c:layout>
                <c:manualLayout>
                  <c:x val="-9.4878396547473515E-3"/>
                  <c:y val="0.30101641813453478"/>
                </c:manualLayout>
              </c:layout>
              <c:dLblPos val="outEnd"/>
              <c:showLegendKey val="0"/>
              <c:showVal val="1"/>
              <c:showCatName val="0"/>
              <c:showSerName val="0"/>
              <c:showPercent val="0"/>
              <c:showBubbleSize val="0"/>
            </c:dLbl>
            <c:dLbl>
              <c:idx val="3"/>
              <c:layout>
                <c:manualLayout>
                  <c:x val="-6.4059932353569939E-3"/>
                  <c:y val="0.30517808270388808"/>
                </c:manualLayout>
              </c:layout>
              <c:dLblPos val="outEnd"/>
              <c:showLegendKey val="0"/>
              <c:showVal val="1"/>
              <c:showCatName val="0"/>
              <c:showSerName val="0"/>
              <c:showPercent val="0"/>
              <c:showBubbleSize val="0"/>
            </c:dLbl>
            <c:spPr>
              <a:noFill/>
              <a:ln w="17609">
                <a:noFill/>
              </a:ln>
            </c:spPr>
            <c:txPr>
              <a:bodyPr rot="0" vert="horz"/>
              <a:lstStyle/>
              <a:p>
                <a:pPr algn="ctr">
                  <a:defRPr>
                    <a:solidFill>
                      <a:schemeClr val="tx1"/>
                    </a:solidFill>
                  </a:defRPr>
                </a:pPr>
                <a:endParaRPr lang="ru-RU"/>
              </a:p>
            </c:txPr>
            <c:showLegendKey val="0"/>
            <c:showVal val="1"/>
            <c:showCatName val="0"/>
            <c:showSerName val="0"/>
            <c:showPercent val="0"/>
            <c:showBubbleSize val="0"/>
            <c:showLeaderLines val="0"/>
          </c:dLbls>
          <c:cat>
            <c:strRef>
              <c:f>Лист1!$A$2:$A$5</c:f>
              <c:strCache>
                <c:ptCount val="4"/>
                <c:pt idx="0">
                  <c:v>сентябрь</c:v>
                </c:pt>
                <c:pt idx="1">
                  <c:v>октябрь</c:v>
                </c:pt>
                <c:pt idx="2">
                  <c:v>ноябрь</c:v>
                </c:pt>
                <c:pt idx="3">
                  <c:v>декабрь</c:v>
                </c:pt>
              </c:strCache>
            </c:strRef>
          </c:cat>
          <c:val>
            <c:numRef>
              <c:f>Лист1!$C$2:$C$5</c:f>
              <c:numCache>
                <c:formatCode>_-* #,##0.0_р_._-;\-* #,##0.0_р_._-;_-* "-"??_р_._-;_-@_-</c:formatCode>
                <c:ptCount val="4"/>
                <c:pt idx="0">
                  <c:v>14075.534938339997</c:v>
                </c:pt>
                <c:pt idx="1">
                  <c:v>15049.439844390003</c:v>
                </c:pt>
                <c:pt idx="2">
                  <c:v>18374.267889869992</c:v>
                </c:pt>
                <c:pt idx="3">
                  <c:v>16719.270179000003</c:v>
                </c:pt>
              </c:numCache>
            </c:numRef>
          </c:val>
        </c:ser>
        <c:dLbls>
          <c:showLegendKey val="0"/>
          <c:showVal val="0"/>
          <c:showCatName val="0"/>
          <c:showSerName val="0"/>
          <c:showPercent val="0"/>
          <c:showBubbleSize val="0"/>
        </c:dLbls>
        <c:gapWidth val="100"/>
        <c:axId val="200583040"/>
        <c:axId val="200584576"/>
      </c:barChart>
      <c:lineChart>
        <c:grouping val="standard"/>
        <c:varyColors val="0"/>
        <c:ser>
          <c:idx val="0"/>
          <c:order val="0"/>
          <c:tx>
            <c:strRef>
              <c:f>Лист1!$B$1</c:f>
              <c:strCache>
                <c:ptCount val="1"/>
                <c:pt idx="0">
                  <c:v>Количество</c:v>
                </c:pt>
              </c:strCache>
            </c:strRef>
          </c:tx>
          <c:dLbls>
            <c:dLbl>
              <c:idx val="0"/>
              <c:layout>
                <c:manualLayout>
                  <c:x val="-9.6711909416842476E-2"/>
                  <c:y val="-0.20952720023449159"/>
                </c:manualLayout>
              </c:layout>
              <c:dLblPos val="r"/>
              <c:showLegendKey val="0"/>
              <c:showVal val="1"/>
              <c:showCatName val="0"/>
              <c:showSerName val="0"/>
              <c:showPercent val="0"/>
              <c:showBubbleSize val="0"/>
            </c:dLbl>
            <c:dLbl>
              <c:idx val="1"/>
              <c:layout>
                <c:manualLayout>
                  <c:x val="-9.0273978264899898E-2"/>
                  <c:y val="-0.12709176814222717"/>
                </c:manualLayout>
              </c:layout>
              <c:dLblPos val="r"/>
              <c:showLegendKey val="0"/>
              <c:showVal val="1"/>
              <c:showCatName val="0"/>
              <c:showSerName val="0"/>
              <c:showPercent val="0"/>
              <c:showBubbleSize val="0"/>
            </c:dLbl>
            <c:dLbl>
              <c:idx val="2"/>
              <c:layout>
                <c:manualLayout>
                  <c:x val="-8.4796701058919358E-2"/>
                  <c:y val="-0.1356695314000384"/>
                </c:manualLayout>
              </c:layout>
              <c:dLblPos val="r"/>
              <c:showLegendKey val="0"/>
              <c:showVal val="1"/>
              <c:showCatName val="0"/>
              <c:showSerName val="0"/>
              <c:showPercent val="0"/>
              <c:showBubbleSize val="0"/>
            </c:dLbl>
            <c:dLbl>
              <c:idx val="3"/>
              <c:layout>
                <c:manualLayout>
                  <c:x val="-7.5192760131926634E-2"/>
                  <c:y val="-0.40505562050828747"/>
                </c:manualLayout>
              </c:layout>
              <c:dLblPos val="r"/>
              <c:showLegendKey val="0"/>
              <c:showVal val="1"/>
              <c:showCatName val="0"/>
              <c:showSerName val="0"/>
              <c:showPercent val="0"/>
              <c:showBubbleSize val="0"/>
            </c:dLbl>
            <c:spPr>
              <a:noFill/>
              <a:ln w="17609">
                <a:noFill/>
              </a:ln>
            </c:spPr>
            <c:showLegendKey val="0"/>
            <c:showVal val="1"/>
            <c:showCatName val="0"/>
            <c:showSerName val="0"/>
            <c:showPercent val="0"/>
            <c:showBubbleSize val="0"/>
            <c:showLeaderLines val="0"/>
          </c:dLbls>
          <c:cat>
            <c:strRef>
              <c:f>Лист1!$A$2:$A$5</c:f>
              <c:strCache>
                <c:ptCount val="4"/>
                <c:pt idx="0">
                  <c:v>сентябрь</c:v>
                </c:pt>
                <c:pt idx="1">
                  <c:v>октябрь</c:v>
                </c:pt>
                <c:pt idx="2">
                  <c:v>ноябрь</c:v>
                </c:pt>
                <c:pt idx="3">
                  <c:v>декабрь</c:v>
                </c:pt>
              </c:strCache>
            </c:strRef>
          </c:cat>
          <c:val>
            <c:numRef>
              <c:f>Лист1!$B$2:$B$5</c:f>
              <c:numCache>
                <c:formatCode>_-* #,##0.0_р_._-;\-* #,##0.0_р_._-;_-* "-"??_р_._-;_-@_-</c:formatCode>
                <c:ptCount val="4"/>
                <c:pt idx="0">
                  <c:v>167.43899999999999</c:v>
                </c:pt>
                <c:pt idx="1">
                  <c:v>176.79300000000001</c:v>
                </c:pt>
                <c:pt idx="2">
                  <c:v>180.16499999999999</c:v>
                </c:pt>
                <c:pt idx="3">
                  <c:v>159.50200000000001</c:v>
                </c:pt>
              </c:numCache>
            </c:numRef>
          </c:val>
          <c:smooth val="0"/>
        </c:ser>
        <c:dLbls>
          <c:showLegendKey val="0"/>
          <c:showVal val="0"/>
          <c:showCatName val="0"/>
          <c:showSerName val="0"/>
          <c:showPercent val="0"/>
          <c:showBubbleSize val="0"/>
        </c:dLbls>
        <c:marker val="1"/>
        <c:smooth val="0"/>
        <c:axId val="200713728"/>
        <c:axId val="200715264"/>
      </c:lineChart>
      <c:catAx>
        <c:axId val="200583040"/>
        <c:scaling>
          <c:orientation val="minMax"/>
        </c:scaling>
        <c:delete val="0"/>
        <c:axPos val="b"/>
        <c:numFmt formatCode="General" sourceLinked="1"/>
        <c:majorTickMark val="out"/>
        <c:minorTickMark val="none"/>
        <c:tickLblPos val="nextTo"/>
        <c:txPr>
          <a:bodyPr rot="0" vert="horz"/>
          <a:lstStyle/>
          <a:p>
            <a:pPr>
              <a:defRPr/>
            </a:pPr>
            <a:endParaRPr lang="ru-RU"/>
          </a:p>
        </c:txPr>
        <c:crossAx val="200584576"/>
        <c:crosses val="autoZero"/>
        <c:auto val="1"/>
        <c:lblAlgn val="ctr"/>
        <c:lblOffset val="100"/>
        <c:noMultiLvlLbl val="0"/>
      </c:catAx>
      <c:valAx>
        <c:axId val="200584576"/>
        <c:scaling>
          <c:orientation val="minMax"/>
        </c:scaling>
        <c:delete val="0"/>
        <c:axPos val="l"/>
        <c:title>
          <c:tx>
            <c:rich>
              <a:bodyPr/>
              <a:lstStyle/>
              <a:p>
                <a:pPr>
                  <a:defRPr/>
                </a:pPr>
                <a:r>
                  <a:rPr lang="ru-RU"/>
                  <a:t>млн.тенге</a:t>
                </a:r>
              </a:p>
            </c:rich>
          </c:tx>
          <c:layout>
            <c:manualLayout>
              <c:xMode val="edge"/>
              <c:yMode val="edge"/>
              <c:x val="0"/>
              <c:y val="0.26714801444043329"/>
            </c:manualLayout>
          </c:layout>
          <c:overlay val="0"/>
          <c:spPr>
            <a:noFill/>
            <a:ln w="17609">
              <a:noFill/>
            </a:ln>
          </c:spPr>
        </c:title>
        <c:numFmt formatCode="#,##0" sourceLinked="0"/>
        <c:majorTickMark val="out"/>
        <c:minorTickMark val="none"/>
        <c:tickLblPos val="nextTo"/>
        <c:txPr>
          <a:bodyPr rot="0" vert="horz"/>
          <a:lstStyle/>
          <a:p>
            <a:pPr>
              <a:defRPr/>
            </a:pPr>
            <a:endParaRPr lang="ru-RU"/>
          </a:p>
        </c:txPr>
        <c:crossAx val="200583040"/>
        <c:crosses val="autoZero"/>
        <c:crossBetween val="between"/>
        <c:majorUnit val="4000"/>
      </c:valAx>
      <c:catAx>
        <c:axId val="200713728"/>
        <c:scaling>
          <c:orientation val="minMax"/>
        </c:scaling>
        <c:delete val="1"/>
        <c:axPos val="b"/>
        <c:majorTickMark val="out"/>
        <c:minorTickMark val="none"/>
        <c:tickLblPos val="nextTo"/>
        <c:crossAx val="200715264"/>
        <c:crosses val="autoZero"/>
        <c:auto val="1"/>
        <c:lblAlgn val="ctr"/>
        <c:lblOffset val="100"/>
        <c:noMultiLvlLbl val="0"/>
      </c:catAx>
      <c:valAx>
        <c:axId val="200715264"/>
        <c:scaling>
          <c:orientation val="minMax"/>
        </c:scaling>
        <c:delete val="0"/>
        <c:axPos val="r"/>
        <c:title>
          <c:tx>
            <c:rich>
              <a:bodyPr/>
              <a:lstStyle/>
              <a:p>
                <a:pPr>
                  <a:defRPr/>
                </a:pPr>
                <a:r>
                  <a:rPr lang="ru-RU"/>
                  <a:t>тыс. тр.</a:t>
                </a:r>
              </a:p>
            </c:rich>
          </c:tx>
          <c:layout>
            <c:manualLayout>
              <c:xMode val="edge"/>
              <c:yMode val="edge"/>
              <c:x val="0.92918454935622319"/>
              <c:y val="0.30324909747292422"/>
            </c:manualLayout>
          </c:layout>
          <c:overlay val="0"/>
          <c:spPr>
            <a:noFill/>
            <a:ln w="17609">
              <a:noFill/>
            </a:ln>
          </c:spPr>
        </c:title>
        <c:numFmt formatCode="#,##0" sourceLinked="0"/>
        <c:majorTickMark val="out"/>
        <c:minorTickMark val="none"/>
        <c:tickLblPos val="nextTo"/>
        <c:txPr>
          <a:bodyPr rot="0" vert="horz"/>
          <a:lstStyle/>
          <a:p>
            <a:pPr>
              <a:defRPr/>
            </a:pPr>
            <a:endParaRPr lang="ru-RU"/>
          </a:p>
        </c:txPr>
        <c:crossAx val="200713728"/>
        <c:crosses val="max"/>
        <c:crossBetween val="between"/>
      </c:valAx>
    </c:plotArea>
    <c:legend>
      <c:legendPos val="r"/>
      <c:layout>
        <c:manualLayout>
          <c:xMode val="edge"/>
          <c:yMode val="edge"/>
          <c:x val="0.17381974248927037"/>
          <c:y val="0.8844765342960289"/>
          <c:w val="0.6716738197424893"/>
          <c:h val="0.10108303249097474"/>
        </c:manualLayout>
      </c:layout>
      <c:overlay val="0"/>
    </c:legend>
    <c:plotVisOnly val="1"/>
    <c:dispBlanksAs val="gap"/>
    <c:showDLblsOverMax val="0"/>
  </c:chart>
  <c:spPr>
    <a:noFill/>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30"/>
    </c:view3D>
    <c:floor>
      <c:thickness val="0"/>
    </c:floor>
    <c:sideWall>
      <c:thickness val="0"/>
    </c:sideWall>
    <c:backWall>
      <c:thickness val="0"/>
    </c:backWall>
    <c:plotArea>
      <c:layout>
        <c:manualLayout>
          <c:layoutTarget val="inner"/>
          <c:xMode val="edge"/>
          <c:yMode val="edge"/>
          <c:x val="6.8156247308464687E-2"/>
          <c:y val="1.9457904300423979E-3"/>
          <c:w val="0.85620915032679756"/>
          <c:h val="0.53333333333333333"/>
        </c:manualLayout>
      </c:layout>
      <c:pie3DChart>
        <c:varyColors val="1"/>
        <c:ser>
          <c:idx val="1"/>
          <c:order val="0"/>
          <c:dPt>
            <c:idx val="0"/>
            <c:bubble3D val="0"/>
          </c:dPt>
          <c:dPt>
            <c:idx val="1"/>
            <c:bubble3D val="0"/>
          </c:dPt>
          <c:dPt>
            <c:idx val="2"/>
            <c:bubble3D val="0"/>
          </c:dPt>
          <c:dPt>
            <c:idx val="3"/>
            <c:bubble3D val="0"/>
          </c:dPt>
          <c:dLbls>
            <c:dLbl>
              <c:idx val="0"/>
              <c:layout>
                <c:manualLayout>
                  <c:x val="-1.2312743689718859E-2"/>
                  <c:y val="-8.0381955637531768E-2"/>
                </c:manualLayout>
              </c:layout>
              <c:dLblPos val="bestFit"/>
              <c:showLegendKey val="1"/>
              <c:showVal val="0"/>
              <c:showCatName val="0"/>
              <c:showSerName val="0"/>
              <c:showPercent val="1"/>
              <c:showBubbleSize val="0"/>
            </c:dLbl>
            <c:dLbl>
              <c:idx val="1"/>
              <c:layout>
                <c:manualLayout>
                  <c:x val="0.1107490898749497"/>
                  <c:y val="-2.1382059353652349E-2"/>
                </c:manualLayout>
              </c:layout>
              <c:numFmt formatCode="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dLbl>
              <c:idx val="2"/>
              <c:layout>
                <c:manualLayout>
                  <c:x val="2.1224454551429774E-2"/>
                  <c:y val="2.9449035473240341E-2"/>
                </c:manualLayout>
              </c:layout>
              <c:dLblPos val="bestFit"/>
              <c:showLegendKey val="1"/>
              <c:showVal val="0"/>
              <c:showCatName val="0"/>
              <c:showSerName val="0"/>
              <c:showPercent val="1"/>
              <c:showBubbleSize val="0"/>
            </c:dLbl>
            <c:dLbl>
              <c:idx val="3"/>
              <c:layout>
                <c:manualLayout>
                  <c:x val="9.3472791583383286E-2"/>
                  <c:y val="3.7836201411099869E-2"/>
                </c:manualLayout>
              </c:layout>
              <c:dLblPos val="bestFit"/>
              <c:showLegendKey val="1"/>
              <c:showVal val="0"/>
              <c:showCatName val="0"/>
              <c:showSerName val="0"/>
              <c:showPercent val="1"/>
              <c:showBubbleSize val="0"/>
            </c:dLbl>
            <c:dLbl>
              <c:idx val="4"/>
              <c:layout>
                <c:manualLayout>
                  <c:x val="-5.3566342449811254E-2"/>
                  <c:y val="3.3988988481409417E-2"/>
                </c:manualLayout>
              </c:layout>
              <c:dLblPos val="bestFit"/>
              <c:showLegendKey val="1"/>
              <c:showVal val="0"/>
              <c:showCatName val="0"/>
              <c:showSerName val="0"/>
              <c:showPercent val="1"/>
              <c:showBubbleSize val="0"/>
            </c:dLbl>
            <c:dLbl>
              <c:idx val="5"/>
              <c:layout>
                <c:manualLayout>
                  <c:x val="-0.16038552893915747"/>
                  <c:y val="-2.6754761342853019E-2"/>
                </c:manualLayout>
              </c:layout>
              <c:showLegendKey val="1"/>
              <c:showVal val="0"/>
              <c:showCatName val="0"/>
              <c:showSerName val="0"/>
              <c:showPercent val="1"/>
              <c:showBubbleSize val="0"/>
            </c:dLbl>
            <c:dLbl>
              <c:idx val="6"/>
              <c:layout>
                <c:manualLayout>
                  <c:x val="-0.16301620208411768"/>
                  <c:y val="-3.9992095149729637E-2"/>
                </c:manualLayout>
              </c:layout>
              <c:showLegendKey val="1"/>
              <c:showVal val="0"/>
              <c:showCatName val="0"/>
              <c:showSerName val="0"/>
              <c:showPercent val="1"/>
              <c:showBubbleSize val="0"/>
            </c:dLbl>
            <c:dLbl>
              <c:idx val="9"/>
              <c:layout>
                <c:manualLayout>
                  <c:x val="-1.5091000789603224E-3"/>
                  <c:y val="-1.8450016690057E-3"/>
                </c:manualLayout>
              </c:layout>
              <c:showLegendKey val="1"/>
              <c:showVal val="0"/>
              <c:showCatName val="0"/>
              <c:showSerName val="0"/>
              <c:showPercent val="1"/>
              <c:showBubbleSize val="0"/>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dLbls>
          <c:cat>
            <c:strRef>
              <c:f>Sheet1!$A$3:$A$10</c:f>
              <c:strCache>
                <c:ptCount val="8"/>
                <c:pt idx="0">
                  <c:v>Платежные поручения</c:v>
                </c:pt>
                <c:pt idx="1">
                  <c:v>Чеки</c:v>
                </c:pt>
                <c:pt idx="2">
                  <c:v>Платежные извещения</c:v>
                </c:pt>
                <c:pt idx="3">
                  <c:v>Платежные требования-поручения</c:v>
                </c:pt>
                <c:pt idx="4">
                  <c:v>Инкассовые распоряжения</c:v>
                </c:pt>
                <c:pt idx="5">
                  <c:v>Прямое дебетование</c:v>
                </c:pt>
                <c:pt idx="6">
                  <c:v>Платежный ордер</c:v>
                </c:pt>
                <c:pt idx="7">
                  <c:v>Иные </c:v>
                </c:pt>
              </c:strCache>
            </c:strRef>
          </c:cat>
          <c:val>
            <c:numRef>
              <c:f>Sheet1!$B$3:$B$10</c:f>
              <c:numCache>
                <c:formatCode>_(* #,##0.00_);_(* \(#,##0.00\);_(* "-"??_);_(@_)</c:formatCode>
                <c:ptCount val="8"/>
                <c:pt idx="0" formatCode="_-* #,##0.0_р_._-;\-* #,##0.0_р_._-;_-* &quot;-&quot;??_р_._-;_-@_-">
                  <c:v>274.15482900000001</c:v>
                </c:pt>
                <c:pt idx="1">
                  <c:v>0.11484</c:v>
                </c:pt>
                <c:pt idx="2" formatCode="_-* #,##0.0_р_._-;\-* #,##0.0_р_._-;_-* &quot;-&quot;??_р_._-;_-@_-">
                  <c:v>22.969854000000002</c:v>
                </c:pt>
                <c:pt idx="3" formatCode="_-* #,##0.0_р_._-;\-* #,##0.0_р_._-;_-* &quot;-&quot;??_р_._-;_-@_-">
                  <c:v>8.4152389999999997</c:v>
                </c:pt>
                <c:pt idx="4" formatCode="_-* #,##0.0_р_._-;\-* #,##0.0_р_._-;_-* &quot;-&quot;??_р_._-;_-@_-">
                  <c:v>11.854896</c:v>
                </c:pt>
                <c:pt idx="5" formatCode="_-* #,##0.0_р_._-;\-* #,##0.0_р_._-;_-* &quot;-&quot;??_р_._-;_-@_-">
                  <c:v>15.233281</c:v>
                </c:pt>
                <c:pt idx="6" formatCode="_-* #,##0.0_р_._-;\-* #,##0.0_р_._-;_-* &quot;-&quot;??_р_._-;_-@_-">
                  <c:v>246.104164</c:v>
                </c:pt>
                <c:pt idx="7" formatCode="_-* #,##0.0_р_._-;\-* #,##0.0_р_._-;_-* &quot;-&quot;??_р_._-;_-@_-">
                  <c:v>3.1765270000000001</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7266149315605208"/>
          <c:w val="0.62144071369317178"/>
          <c:h val="0.39510496581185778"/>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200"/>
      <c:rAngAx val="0"/>
      <c:perspective val="30"/>
    </c:view3D>
    <c:floor>
      <c:thickness val="0"/>
    </c:floor>
    <c:sideWall>
      <c:thickness val="0"/>
    </c:sideWall>
    <c:backWall>
      <c:thickness val="0"/>
    </c:backWall>
    <c:plotArea>
      <c:layout>
        <c:manualLayout>
          <c:layoutTarget val="inner"/>
          <c:xMode val="edge"/>
          <c:yMode val="edge"/>
          <c:x val="7.7517130415292498E-2"/>
          <c:y val="0"/>
          <c:w val="0.84799981898814369"/>
          <c:h val="0.52668223528288294"/>
        </c:manualLayout>
      </c:layout>
      <c:pie3DChart>
        <c:varyColors val="1"/>
        <c:ser>
          <c:idx val="1"/>
          <c:order val="0"/>
          <c:dPt>
            <c:idx val="0"/>
            <c:bubble3D val="0"/>
          </c:dPt>
          <c:dPt>
            <c:idx val="1"/>
            <c:bubble3D val="0"/>
          </c:dPt>
          <c:dPt>
            <c:idx val="2"/>
            <c:bubble3D val="0"/>
          </c:dPt>
          <c:dPt>
            <c:idx val="3"/>
            <c:bubble3D val="0"/>
          </c:dPt>
          <c:dLbls>
            <c:dLbl>
              <c:idx val="0"/>
              <c:layout>
                <c:manualLayout>
                  <c:x val="0.10058548931083425"/>
                  <c:y val="5.9556474709112862E-3"/>
                </c:manualLayout>
              </c:layout>
              <c:dLblPos val="bestFit"/>
              <c:showLegendKey val="1"/>
              <c:showVal val="0"/>
              <c:showCatName val="0"/>
              <c:showSerName val="0"/>
              <c:showPercent val="1"/>
              <c:showBubbleSize val="0"/>
            </c:dLbl>
            <c:dLbl>
              <c:idx val="1"/>
              <c:layout>
                <c:manualLayout>
                  <c:x val="0.12724558106616726"/>
                  <c:y val="-1.7811421667699157E-2"/>
                </c:manualLayout>
              </c:layout>
              <c:dLblPos val="bestFit"/>
              <c:showLegendKey val="1"/>
              <c:showVal val="0"/>
              <c:showCatName val="0"/>
              <c:showSerName val="0"/>
              <c:showPercent val="1"/>
              <c:showBubbleSize val="0"/>
            </c:dLbl>
            <c:dLbl>
              <c:idx val="2"/>
              <c:layout>
                <c:manualLayout>
                  <c:x val="9.017716104725014E-2"/>
                  <c:y val="4.5451658978444227E-2"/>
                </c:manualLayout>
              </c:layout>
              <c:dLblPos val="bestFit"/>
              <c:showLegendKey val="1"/>
              <c:showVal val="0"/>
              <c:showCatName val="0"/>
              <c:showSerName val="0"/>
              <c:showPercent val="1"/>
              <c:showBubbleSize val="0"/>
            </c:dLbl>
            <c:dLbl>
              <c:idx val="3"/>
              <c:layout>
                <c:manualLayout>
                  <c:x val="-0.11611059524190707"/>
                  <c:y val="7.3504587816813363E-2"/>
                </c:manualLayout>
              </c:layout>
              <c:numFmt formatCode="0.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dLbl>
              <c:idx val="4"/>
              <c:layout>
                <c:manualLayout>
                  <c:x val="-0.19032905339779913"/>
                  <c:y val="8.1643330297220019E-3"/>
                </c:manualLayout>
              </c:layout>
              <c:numFmt formatCode="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dLbl>
              <c:idx val="5"/>
              <c:layout>
                <c:manualLayout>
                  <c:x val="0.30371434434639855"/>
                  <c:y val="-8.3196867212531153E-2"/>
                </c:manualLayout>
              </c:layout>
              <c:showLegendKey val="1"/>
              <c:showVal val="0"/>
              <c:showCatName val="0"/>
              <c:showSerName val="0"/>
              <c:showPercent val="1"/>
              <c:showBubbleSize val="0"/>
            </c:dLbl>
            <c:dLbl>
              <c:idx val="6"/>
              <c:layout>
                <c:manualLayout>
                  <c:x val="-0.16239119299498603"/>
                  <c:y val="9.8477054910677993E-3"/>
                </c:manualLayout>
              </c:layout>
              <c:showLegendKey val="1"/>
              <c:showVal val="0"/>
              <c:showCatName val="0"/>
              <c:showSerName val="0"/>
              <c:showPercent val="1"/>
              <c:showBubbleSize val="0"/>
            </c:dLbl>
            <c:dLbl>
              <c:idx val="7"/>
              <c:layout>
                <c:manualLayout>
                  <c:x val="-0.16425377324438858"/>
                  <c:y val="-2.4308775030375714E-2"/>
                </c:manualLayout>
              </c:layout>
              <c:showLegendKey val="1"/>
              <c:showVal val="0"/>
              <c:showCatName val="0"/>
              <c:showSerName val="0"/>
              <c:showPercent val="1"/>
              <c:showBubbleSize val="0"/>
            </c:dLbl>
            <c:dLbl>
              <c:idx val="8"/>
              <c:layout>
                <c:manualLayout>
                  <c:x val="-0.10382874621690141"/>
                  <c:y val="1.6803132787468849E-2"/>
                </c:manualLayout>
              </c:layout>
              <c:showLegendKey val="1"/>
              <c:showVal val="0"/>
              <c:showCatName val="0"/>
              <c:showSerName val="0"/>
              <c:showPercent val="1"/>
              <c:showBubbleSize val="0"/>
            </c:dLbl>
            <c:dLbl>
              <c:idx val="9"/>
              <c:layout>
                <c:manualLayout>
                  <c:x val="-7.9528288709606501E-2"/>
                  <c:y val="9.426049053897291E-2"/>
                </c:manualLayout>
              </c:layout>
              <c:showLegendKey val="1"/>
              <c:showVal val="0"/>
              <c:showCatName val="0"/>
              <c:showSerName val="0"/>
              <c:showPercent val="1"/>
              <c:showBubbleSize val="0"/>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dLbls>
          <c:cat>
            <c:strRef>
              <c:f>Sheet1!$A$3:$A$10</c:f>
              <c:strCache>
                <c:ptCount val="8"/>
                <c:pt idx="0">
                  <c:v>Платежные поручения</c:v>
                </c:pt>
                <c:pt idx="1">
                  <c:v>Чеки</c:v>
                </c:pt>
                <c:pt idx="2">
                  <c:v>Платежные извещения</c:v>
                </c:pt>
                <c:pt idx="3">
                  <c:v>Платежные требования-поручения</c:v>
                </c:pt>
                <c:pt idx="4">
                  <c:v>Инкассовые распоряжения</c:v>
                </c:pt>
                <c:pt idx="5">
                  <c:v>Прямое дебетование</c:v>
                </c:pt>
                <c:pt idx="6">
                  <c:v>Платежный ордер</c:v>
                </c:pt>
                <c:pt idx="7">
                  <c:v>Иные </c:v>
                </c:pt>
              </c:strCache>
            </c:strRef>
          </c:cat>
          <c:val>
            <c:numRef>
              <c:f>Sheet1!$B$3:$B$10</c:f>
              <c:numCache>
                <c:formatCode>_(* #,##0.00_);_(* \(#,##0.00\);_(* "-"??_);_(@_)</c:formatCode>
                <c:ptCount val="8"/>
                <c:pt idx="0" formatCode="_-* #,##0.0_р_._-;\-* #,##0.0_р_._-;_-* &quot;-&quot;??_р_._-;_-@_-">
                  <c:v>505204.19026440626</c:v>
                </c:pt>
                <c:pt idx="1">
                  <c:v>1095.2507964006702</c:v>
                </c:pt>
                <c:pt idx="2" formatCode="_-* #,##0.0_р_._-;\-* #,##0.0_р_._-;_-* &quot;-&quot;??_р_._-;_-@_-">
                  <c:v>5696.1694942191225</c:v>
                </c:pt>
                <c:pt idx="3" formatCode="_-* #,##0.0_р_._-;\-* #,##0.0_р_._-;_-* &quot;-&quot;??_р_._-;_-@_-">
                  <c:v>30.565365189889999</c:v>
                </c:pt>
                <c:pt idx="4" formatCode="_-* #,##0.0_р_._-;\-* #,##0.0_р_._-;_-* &quot;-&quot;??_р_._-;_-@_-">
                  <c:v>1416.2285834156301</c:v>
                </c:pt>
                <c:pt idx="5" formatCode="_-* #,##0.0_р_._-;\-* #,##0.0_р_._-;_-* &quot;-&quot;??_р_._-;_-@_-">
                  <c:v>12139.618943202246</c:v>
                </c:pt>
                <c:pt idx="6" formatCode="_-* #,##0.0_р_._-;\-* #,##0.0_р_._-;_-* &quot;-&quot;??_р_._-;_-@_-">
                  <c:v>24298.805300683463</c:v>
                </c:pt>
                <c:pt idx="7" formatCode="_-* #,##0.0_р_._-;\-* #,##0.0_р_._-;_-* &quot;-&quot;??_р_._-;_-@_-">
                  <c:v>11162.390860475143</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6890038690036959"/>
          <c:w val="0.55575454665380253"/>
          <c:h val="0.39526980933550709"/>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140"/>
      <c:rAngAx val="0"/>
      <c:perspective val="30"/>
    </c:view3D>
    <c:floor>
      <c:thickness val="0"/>
    </c:floor>
    <c:sideWall>
      <c:thickness val="0"/>
    </c:sideWall>
    <c:backWall>
      <c:thickness val="0"/>
    </c:backWall>
    <c:plotArea>
      <c:layout>
        <c:manualLayout>
          <c:layoutTarget val="inner"/>
          <c:xMode val="edge"/>
          <c:yMode val="edge"/>
          <c:x val="6.8156247308464687E-2"/>
          <c:y val="1.9457904300423979E-3"/>
          <c:w val="0.85620915032679756"/>
          <c:h val="0.53333333333333333"/>
        </c:manualLayout>
      </c:layout>
      <c:pie3DChart>
        <c:varyColors val="1"/>
        <c:ser>
          <c:idx val="1"/>
          <c:order val="0"/>
          <c:dPt>
            <c:idx val="0"/>
            <c:bubble3D val="0"/>
          </c:dPt>
          <c:dPt>
            <c:idx val="1"/>
            <c:bubble3D val="0"/>
          </c:dPt>
          <c:dPt>
            <c:idx val="2"/>
            <c:bubble3D val="0"/>
          </c:dPt>
          <c:dPt>
            <c:idx val="3"/>
            <c:bubble3D val="0"/>
          </c:dPt>
          <c:dLbls>
            <c:dLbl>
              <c:idx val="0"/>
              <c:layout>
                <c:manualLayout>
                  <c:x val="-0.11559443958394082"/>
                  <c:y val="1.1115264496991475E-2"/>
                </c:manualLayout>
              </c:layout>
              <c:dLblPos val="bestFit"/>
              <c:showLegendKey val="1"/>
              <c:showVal val="0"/>
              <c:showCatName val="0"/>
              <c:showSerName val="0"/>
              <c:showPercent val="1"/>
              <c:showBubbleSize val="0"/>
            </c:dLbl>
            <c:dLbl>
              <c:idx val="1"/>
              <c:layout>
                <c:manualLayout>
                  <c:x val="-0.23422734195262629"/>
                  <c:y val="2.6310073309801792E-2"/>
                </c:manualLayout>
              </c:layout>
              <c:numFmt formatCode="0.0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dLbl>
              <c:idx val="2"/>
              <c:layout>
                <c:manualLayout>
                  <c:x val="0"/>
                  <c:y val="6.6406162370729299E-2"/>
                </c:manualLayout>
              </c:layout>
              <c:dLblPos val="bestFit"/>
              <c:showLegendKey val="1"/>
              <c:showVal val="0"/>
              <c:showCatName val="0"/>
              <c:showSerName val="0"/>
              <c:showPercent val="1"/>
              <c:showBubbleSize val="0"/>
            </c:dLbl>
            <c:dLbl>
              <c:idx val="3"/>
              <c:layout>
                <c:manualLayout>
                  <c:x val="-0.18972031328015046"/>
                  <c:y val="-8.4436134696406137E-3"/>
                </c:manualLayout>
              </c:layout>
              <c:dLblPos val="bestFit"/>
              <c:showLegendKey val="1"/>
              <c:showVal val="0"/>
              <c:showCatName val="0"/>
              <c:showSerName val="0"/>
              <c:showPercent val="1"/>
              <c:showBubbleSize val="0"/>
            </c:dLbl>
            <c:dLbl>
              <c:idx val="4"/>
              <c:layout>
                <c:manualLayout>
                  <c:x val="-9.9709341887819505E-2"/>
                  <c:y val="-2.5775786647358735E-2"/>
                </c:manualLayout>
              </c:layout>
              <c:dLblPos val="bestFit"/>
              <c:showLegendKey val="1"/>
              <c:showVal val="0"/>
              <c:showCatName val="0"/>
              <c:showSerName val="0"/>
              <c:showPercent val="1"/>
              <c:showBubbleSize val="0"/>
            </c:dLbl>
            <c:dLbl>
              <c:idx val="5"/>
              <c:layout>
                <c:manualLayout>
                  <c:x val="5.4533229642590969E-2"/>
                  <c:y val="-2.9987630856487767E-2"/>
                </c:manualLayout>
              </c:layout>
              <c:showLegendKey val="1"/>
              <c:showVal val="0"/>
              <c:showCatName val="0"/>
              <c:showSerName val="0"/>
              <c:showPercent val="1"/>
              <c:showBubbleSize val="0"/>
            </c:dLbl>
            <c:dLbl>
              <c:idx val="6"/>
              <c:layout>
                <c:manualLayout>
                  <c:x val="0.17048118985126859"/>
                  <c:y val="5.7685461731076717E-3"/>
                </c:manualLayout>
              </c:layout>
              <c:showLegendKey val="1"/>
              <c:showVal val="0"/>
              <c:showCatName val="0"/>
              <c:showSerName val="0"/>
              <c:showPercent val="1"/>
              <c:showBubbleSize val="0"/>
            </c:dLbl>
            <c:dLbl>
              <c:idx val="8"/>
              <c:layout>
                <c:manualLayout>
                  <c:x val="-1.7802728362658372E-2"/>
                  <c:y val="5.0604579599963798E-2"/>
                </c:manualLayout>
              </c:layout>
              <c:showLegendKey val="1"/>
              <c:showVal val="0"/>
              <c:showCatName val="0"/>
              <c:showSerName val="0"/>
              <c:showPercent val="1"/>
              <c:showBubbleSize val="0"/>
            </c:dLbl>
            <c:dLbl>
              <c:idx val="9"/>
              <c:layout>
                <c:manualLayout>
                  <c:x val="-1.5091000789603224E-3"/>
                  <c:y val="-1.8450016690057E-3"/>
                </c:manualLayout>
              </c:layout>
              <c:showLegendKey val="1"/>
              <c:showVal val="0"/>
              <c:showCatName val="0"/>
              <c:showSerName val="0"/>
              <c:showPercent val="1"/>
              <c:showBubbleSize val="0"/>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dLbls>
          <c:cat>
            <c:strRef>
              <c:f>Sheet1!$A$3:$A$11</c:f>
              <c:strCache>
                <c:ptCount val="9"/>
                <c:pt idx="0">
                  <c:v>Платежные поручения</c:v>
                </c:pt>
                <c:pt idx="1">
                  <c:v>Чеки</c:v>
                </c:pt>
                <c:pt idx="2">
                  <c:v>Платежные карточки</c:v>
                </c:pt>
                <c:pt idx="3">
                  <c:v>Платежные извещения</c:v>
                </c:pt>
                <c:pt idx="4">
                  <c:v>Платежные требования-поручения</c:v>
                </c:pt>
                <c:pt idx="5">
                  <c:v>Инкассовые распоряжения</c:v>
                </c:pt>
                <c:pt idx="6">
                  <c:v>Прямое дебетование</c:v>
                </c:pt>
                <c:pt idx="7">
                  <c:v>Платежный ордер</c:v>
                </c:pt>
                <c:pt idx="8">
                  <c:v>Иные </c:v>
                </c:pt>
              </c:strCache>
            </c:strRef>
          </c:cat>
          <c:val>
            <c:numRef>
              <c:f>Sheet1!$B$3:$B$11</c:f>
              <c:numCache>
                <c:formatCode>_(* #,##0.00_);_(* \(#,##0.00\);_(* "-"??_);_(@_)</c:formatCode>
                <c:ptCount val="9"/>
                <c:pt idx="0" formatCode="_-* #,##0.0_р_._-;\-* #,##0.0_р_._-;_-* &quot;-&quot;??_р_._-;_-@_-">
                  <c:v>58.241898999999997</c:v>
                </c:pt>
                <c:pt idx="1">
                  <c:v>7.3559999999999997E-3</c:v>
                </c:pt>
                <c:pt idx="2" formatCode="_-* #,##0.0_р_._-;\-* #,##0.0_р_._-;_-* &quot;-&quot;??_р_._-;_-@_-">
                  <c:v>331.10482500000001</c:v>
                </c:pt>
                <c:pt idx="3" formatCode="_-* #,##0.0_р_._-;\-* #,##0.0_р_._-;_-* &quot;-&quot;??_р_._-;_-@_-">
                  <c:v>13.013407000000001</c:v>
                </c:pt>
                <c:pt idx="4" formatCode="_-* #,##0.0_р_._-;\-* #,##0.0_р_._-;_-* &quot;-&quot;??_р_._-;_-@_-">
                  <c:v>5.4968969999999997</c:v>
                </c:pt>
                <c:pt idx="5" formatCode="_-* #,##0.0_р_._-;\-* #,##0.0_р_._-;_-* &quot;-&quot;??_р_._-;_-@_-">
                  <c:v>10.938140000000001</c:v>
                </c:pt>
                <c:pt idx="6" formatCode="_-* #,##0.0_р_._-;\-* #,##0.0_р_._-;_-* &quot;-&quot;??_р_._-;_-@_-">
                  <c:v>9.4690689999999993</c:v>
                </c:pt>
                <c:pt idx="7" formatCode="_-* #,##0.0_р_._-;\-* #,##0.0_р_._-;_-* &quot;-&quot;??_р_._-;_-@_-">
                  <c:v>210.54050799999999</c:v>
                </c:pt>
                <c:pt idx="8" formatCode="_-* #,##0.0_р_._-;\-* #,##0.0_р_._-;_-* &quot;-&quot;??_р_._-;_-@_-">
                  <c:v>5.3100069799999998</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5144581286313565"/>
          <c:w val="0.62144071369317178"/>
          <c:h val="0.41632073141290021"/>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140"/>
      <c:rAngAx val="0"/>
      <c:perspective val="30"/>
    </c:view3D>
    <c:floor>
      <c:thickness val="0"/>
    </c:floor>
    <c:sideWall>
      <c:thickness val="0"/>
    </c:sideWall>
    <c:backWall>
      <c:thickness val="0"/>
    </c:backWall>
    <c:plotArea>
      <c:layout>
        <c:manualLayout>
          <c:layoutTarget val="inner"/>
          <c:xMode val="edge"/>
          <c:yMode val="edge"/>
          <c:x val="2.4556845135707693E-3"/>
          <c:y val="1.9462189867775965E-3"/>
          <c:w val="0.85620915032679756"/>
          <c:h val="0.53333333333333333"/>
        </c:manualLayout>
      </c:layout>
      <c:pie3DChart>
        <c:varyColors val="1"/>
        <c:ser>
          <c:idx val="1"/>
          <c:order val="0"/>
          <c:dPt>
            <c:idx val="0"/>
            <c:bubble3D val="0"/>
          </c:dPt>
          <c:dPt>
            <c:idx val="1"/>
            <c:bubble3D val="0"/>
          </c:dPt>
          <c:dPt>
            <c:idx val="2"/>
            <c:bubble3D val="0"/>
          </c:dPt>
          <c:dPt>
            <c:idx val="3"/>
            <c:bubble3D val="0"/>
          </c:dPt>
          <c:dLbls>
            <c:dLbl>
              <c:idx val="0"/>
              <c:layout>
                <c:manualLayout>
                  <c:x val="0"/>
                  <c:y val="6.5027905994509305E-2"/>
                </c:manualLayout>
              </c:layout>
              <c:dLblPos val="bestFit"/>
              <c:showLegendKey val="1"/>
              <c:showVal val="0"/>
              <c:showCatName val="0"/>
              <c:showSerName val="0"/>
              <c:showPercent val="1"/>
              <c:showBubbleSize val="0"/>
            </c:dLbl>
            <c:dLbl>
              <c:idx val="1"/>
              <c:layout>
                <c:manualLayout>
                  <c:x val="-8.7213025519515767E-3"/>
                  <c:y val="-1.041994750656168E-2"/>
                </c:manualLayout>
              </c:layout>
              <c:numFmt formatCode="0.0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dLbl>
              <c:idx val="2"/>
              <c:layout>
                <c:manualLayout>
                  <c:x val="-0.18888886014852446"/>
                  <c:y val="-1.5461526539166864E-2"/>
                </c:manualLayout>
              </c:layout>
              <c:dLblPos val="bestFit"/>
              <c:showLegendKey val="1"/>
              <c:showVal val="0"/>
              <c:showCatName val="0"/>
              <c:showSerName val="0"/>
              <c:showPercent val="1"/>
              <c:showBubbleSize val="0"/>
            </c:dLbl>
            <c:dLbl>
              <c:idx val="3"/>
              <c:layout>
                <c:manualLayout>
                  <c:x val="-0.17412520145581847"/>
                  <c:y val="-6.4851419434639637E-2"/>
                </c:manualLayout>
              </c:layout>
              <c:dLblPos val="bestFit"/>
              <c:showLegendKey val="1"/>
              <c:showVal val="0"/>
              <c:showCatName val="0"/>
              <c:showSerName val="0"/>
              <c:showPercent val="1"/>
              <c:showBubbleSize val="0"/>
            </c:dLbl>
            <c:dLbl>
              <c:idx val="4"/>
              <c:layout>
                <c:manualLayout>
                  <c:x val="7.3511361574503968E-3"/>
                  <c:y val="-6.4089962892569463E-2"/>
                </c:manualLayout>
              </c:layout>
              <c:dLblPos val="bestFit"/>
              <c:showLegendKey val="1"/>
              <c:showVal val="0"/>
              <c:showCatName val="0"/>
              <c:showSerName val="0"/>
              <c:showPercent val="1"/>
              <c:showBubbleSize val="0"/>
            </c:dLbl>
            <c:dLbl>
              <c:idx val="5"/>
              <c:layout>
                <c:manualLayout>
                  <c:x val="3.8123178892766806E-2"/>
                  <c:y val="5.5087941593507707E-4"/>
                </c:manualLayout>
              </c:layout>
              <c:showLegendKey val="1"/>
              <c:showVal val="0"/>
              <c:showCatName val="0"/>
              <c:showSerName val="0"/>
              <c:showPercent val="1"/>
              <c:showBubbleSize val="0"/>
            </c:dLbl>
            <c:dLbl>
              <c:idx val="6"/>
              <c:layout>
                <c:manualLayout>
                  <c:x val="1.8459223207710287E-2"/>
                  <c:y val="1.693637433251878E-2"/>
                </c:manualLayout>
              </c:layout>
              <c:showLegendKey val="1"/>
              <c:showVal val="0"/>
              <c:showCatName val="0"/>
              <c:showSerName val="0"/>
              <c:showPercent val="1"/>
              <c:showBubbleSize val="0"/>
            </c:dLbl>
            <c:dLbl>
              <c:idx val="7"/>
              <c:layout>
                <c:manualLayout>
                  <c:x val="-1.3930136189469864E-2"/>
                  <c:y val="-4.5652095212236399E-2"/>
                </c:manualLayout>
              </c:layout>
              <c:showLegendKey val="1"/>
              <c:showVal val="0"/>
              <c:showCatName val="0"/>
              <c:showSerName val="0"/>
              <c:showPercent val="1"/>
              <c:showBubbleSize val="0"/>
            </c:dLbl>
            <c:dLbl>
              <c:idx val="8"/>
              <c:layout>
                <c:manualLayout>
                  <c:x val="-2.6637862487058798E-2"/>
                  <c:y val="2.0394907533110084E-2"/>
                </c:manualLayout>
              </c:layout>
              <c:showLegendKey val="1"/>
              <c:showVal val="0"/>
              <c:showCatName val="0"/>
              <c:showSerName val="0"/>
              <c:showPercent val="1"/>
              <c:showBubbleSize val="0"/>
            </c:dLbl>
            <c:dLbl>
              <c:idx val="9"/>
              <c:layout>
                <c:manualLayout>
                  <c:x val="-7.9528288709606501E-2"/>
                  <c:y val="9.426049053897291E-2"/>
                </c:manualLayout>
              </c:layout>
              <c:showLegendKey val="1"/>
              <c:showVal val="0"/>
              <c:showCatName val="0"/>
              <c:showSerName val="0"/>
              <c:showPercent val="1"/>
              <c:showBubbleSize val="0"/>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dLbls>
          <c:cat>
            <c:strRef>
              <c:f>Sheet1!$A$3:$A$11</c:f>
              <c:strCache>
                <c:ptCount val="9"/>
                <c:pt idx="0">
                  <c:v>Платежные поручения</c:v>
                </c:pt>
                <c:pt idx="1">
                  <c:v>Чеки</c:v>
                </c:pt>
                <c:pt idx="2">
                  <c:v>Платежные карточки</c:v>
                </c:pt>
                <c:pt idx="3">
                  <c:v>Платежные извещения</c:v>
                </c:pt>
                <c:pt idx="4">
                  <c:v>Платежные требования-поручения</c:v>
                </c:pt>
                <c:pt idx="5">
                  <c:v>Инкассовые распоряжения</c:v>
                </c:pt>
                <c:pt idx="6">
                  <c:v>Прямое дебетование</c:v>
                </c:pt>
                <c:pt idx="7">
                  <c:v>Платежный ордер</c:v>
                </c:pt>
                <c:pt idx="8">
                  <c:v>Иные </c:v>
                </c:pt>
              </c:strCache>
            </c:strRef>
          </c:cat>
          <c:val>
            <c:numRef>
              <c:f>Sheet1!$B$3:$B$11</c:f>
              <c:numCache>
                <c:formatCode>_(* #,##0.00_);_(* \(#,##0.00\);_(* "-"??_);_(@_)</c:formatCode>
                <c:ptCount val="9"/>
                <c:pt idx="0" formatCode="_-* #,##0.0_р_._-;\-* #,##0.0_р_._-;_-* &quot;-&quot;??_р_._-;_-@_-">
                  <c:v>25307.889951262776</c:v>
                </c:pt>
                <c:pt idx="1">
                  <c:v>1.1643689533000001</c:v>
                </c:pt>
                <c:pt idx="2" formatCode="_-* #,##0.0_р_._-;\-* #,##0.0_р_._-;_-* &quot;-&quot;??_р_._-;_-@_-">
                  <c:v>10418.098390308302</c:v>
                </c:pt>
                <c:pt idx="3" formatCode="_-* #,##0.0_р_._-;\-* #,##0.0_р_._-;_-* &quot;-&quot;??_р_._-;_-@_-">
                  <c:v>291.03322934036987</c:v>
                </c:pt>
                <c:pt idx="4" formatCode="_-* #,##0.0_р_._-;\-* #,##0.0_р_._-;_-* &quot;-&quot;??_р_._-;_-@_-">
                  <c:v>25.833966567019996</c:v>
                </c:pt>
                <c:pt idx="5" formatCode="_-* #,##0.0_р_._-;\-* #,##0.0_р_._-;_-* &quot;-&quot;??_р_._-;_-@_-">
                  <c:v>296.85589158449</c:v>
                </c:pt>
                <c:pt idx="6" formatCode="_-* #,##0.0_р_._-;\-* #,##0.0_р_._-;_-* &quot;-&quot;??_р_._-;_-@_-">
                  <c:v>2325.6563948605913</c:v>
                </c:pt>
                <c:pt idx="7" formatCode="_-* #,##0.0_р_._-;\-* #,##0.0_р_._-;_-* &quot;-&quot;??_р_._-;_-@_-">
                  <c:v>3411.3980865189146</c:v>
                </c:pt>
                <c:pt idx="8" formatCode="_-* #,##0.0_р_._-;\-* #,##0.0_р_._-;_-* &quot;-&quot;??_р_._-;_-@_-">
                  <c:v>3926.4643465687823</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5144581286313565"/>
          <c:w val="0.55575454665380253"/>
          <c:h val="0.41632073141290021"/>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344936756695929"/>
          <c:y val="3.6324521934758158E-2"/>
          <c:w val="0.8183348839320157"/>
          <c:h val="0.7024041073813142"/>
        </c:manualLayout>
      </c:layout>
      <c:barChart>
        <c:barDir val="col"/>
        <c:grouping val="clustered"/>
        <c:varyColors val="0"/>
        <c:ser>
          <c:idx val="1"/>
          <c:order val="0"/>
          <c:tx>
            <c:strRef>
              <c:f>Sheet1!$A$2</c:f>
              <c:strCache>
                <c:ptCount val="1"/>
                <c:pt idx="0">
                  <c:v>банкоматы</c:v>
                </c:pt>
              </c:strCache>
            </c:strRef>
          </c:tx>
          <c:invertIfNegative val="0"/>
          <c:dLbls>
            <c:dLbl>
              <c:idx val="0"/>
              <c:layout>
                <c:manualLayout>
                  <c:x val="-1.4931163807799476E-2"/>
                  <c:y val="-2.3495815120950517E-2"/>
                </c:manualLayout>
              </c:layout>
              <c:dLblPos val="outEnd"/>
              <c:showLegendKey val="0"/>
              <c:showVal val="1"/>
              <c:showCatName val="0"/>
              <c:showSerName val="0"/>
              <c:showPercent val="0"/>
              <c:showBubbleSize val="0"/>
            </c:dLbl>
            <c:dLbl>
              <c:idx val="1"/>
              <c:layout>
                <c:manualLayout>
                  <c:x val="-8.5320936044568432E-3"/>
                  <c:y val="-2.3952454510369644E-2"/>
                </c:manualLayout>
              </c:layout>
              <c:dLblPos val="outEnd"/>
              <c:showLegendKey val="0"/>
              <c:showVal val="1"/>
              <c:showCatName val="0"/>
              <c:showSerName val="0"/>
              <c:showPercent val="0"/>
              <c:showBubbleSize val="0"/>
            </c:dLbl>
            <c:dLbl>
              <c:idx val="2"/>
              <c:layout>
                <c:manualLayout>
                  <c:x val="-2.1330234011142108E-3"/>
                  <c:y val="-2.0794768582031584E-2"/>
                </c:manualLayout>
              </c:layout>
              <c:dLblPos val="outEnd"/>
              <c:showLegendKey val="0"/>
              <c:showVal val="1"/>
              <c:showCatName val="0"/>
              <c:showSerName val="0"/>
              <c:showPercent val="0"/>
              <c:showBubbleSize val="0"/>
            </c:dLbl>
            <c:dLblPos val="ctr"/>
            <c:showLegendKey val="0"/>
            <c:showVal val="1"/>
            <c:showCatName val="0"/>
            <c:showSerName val="0"/>
            <c:showPercent val="0"/>
            <c:showBubbleSize val="0"/>
            <c:showLeaderLines val="0"/>
          </c:dLbls>
          <c:cat>
            <c:numRef>
              <c:f>Sheet1!$B$1:$D$1</c:f>
              <c:numCache>
                <c:formatCode>General</c:formatCode>
                <c:ptCount val="3"/>
                <c:pt idx="0">
                  <c:v>2014</c:v>
                </c:pt>
                <c:pt idx="1">
                  <c:v>2015</c:v>
                </c:pt>
                <c:pt idx="2">
                  <c:v>2016</c:v>
                </c:pt>
              </c:numCache>
            </c:numRef>
          </c:cat>
          <c:val>
            <c:numRef>
              <c:f>Sheet1!$B$2:$D$2</c:f>
              <c:numCache>
                <c:formatCode>#,##0</c:formatCode>
                <c:ptCount val="3"/>
                <c:pt idx="0">
                  <c:v>9206</c:v>
                </c:pt>
                <c:pt idx="1">
                  <c:v>9146</c:v>
                </c:pt>
                <c:pt idx="2">
                  <c:v>9561</c:v>
                </c:pt>
              </c:numCache>
            </c:numRef>
          </c:val>
        </c:ser>
        <c:ser>
          <c:idx val="0"/>
          <c:order val="1"/>
          <c:tx>
            <c:strRef>
              <c:f>Sheet1!$A$3</c:f>
              <c:strCache>
                <c:ptCount val="1"/>
                <c:pt idx="0">
                  <c:v>POS-терм.</c:v>
                </c:pt>
              </c:strCache>
            </c:strRef>
          </c:tx>
          <c:invertIfNegative val="0"/>
          <c:dLbls>
            <c:dLbl>
              <c:idx val="0"/>
              <c:layout>
                <c:manualLayout>
                  <c:x val="2.1330234011141718E-3"/>
                  <c:y val="-6.9595771028244458E-3"/>
                </c:manualLayout>
              </c:layout>
              <c:dLblPos val="outEnd"/>
              <c:showLegendKey val="0"/>
              <c:showVal val="1"/>
              <c:showCatName val="0"/>
              <c:showSerName val="0"/>
              <c:showPercent val="0"/>
              <c:showBubbleSize val="0"/>
            </c:dLbl>
            <c:dLbl>
              <c:idx val="1"/>
              <c:layout>
                <c:manualLayout>
                  <c:x val="-8.5320936044568432E-3"/>
                  <c:y val="-5.6210835807205583E-3"/>
                </c:manualLayout>
              </c:layout>
              <c:dLblPos val="outEnd"/>
              <c:showLegendKey val="0"/>
              <c:showVal val="1"/>
              <c:showCatName val="0"/>
              <c:showSerName val="0"/>
              <c:showPercent val="0"/>
              <c:showBubbleSize val="0"/>
            </c:dLbl>
            <c:dLbl>
              <c:idx val="2"/>
              <c:layout>
                <c:manualLayout>
                  <c:x val="0"/>
                  <c:y val="8.1654978989676081E-4"/>
                </c:manualLayout>
              </c:layout>
              <c:dLblPos val="outEnd"/>
              <c:showLegendKey val="0"/>
              <c:showVal val="1"/>
              <c:showCatName val="0"/>
              <c:showSerName val="0"/>
              <c:showPercent val="0"/>
              <c:showBubbleSize val="0"/>
            </c:dLbl>
            <c:dLblPos val="ctr"/>
            <c:showLegendKey val="0"/>
            <c:showVal val="1"/>
            <c:showCatName val="0"/>
            <c:showSerName val="0"/>
            <c:showPercent val="0"/>
            <c:showBubbleSize val="0"/>
            <c:showLeaderLines val="0"/>
          </c:dLbls>
          <c:cat>
            <c:numRef>
              <c:f>Sheet1!$B$1:$D$1</c:f>
              <c:numCache>
                <c:formatCode>General</c:formatCode>
                <c:ptCount val="3"/>
                <c:pt idx="0">
                  <c:v>2014</c:v>
                </c:pt>
                <c:pt idx="1">
                  <c:v>2015</c:v>
                </c:pt>
                <c:pt idx="2">
                  <c:v>2016</c:v>
                </c:pt>
              </c:numCache>
            </c:numRef>
          </c:cat>
          <c:val>
            <c:numRef>
              <c:f>Sheet1!$B$3:$D$3</c:f>
              <c:numCache>
                <c:formatCode>#,##0</c:formatCode>
                <c:ptCount val="3"/>
                <c:pt idx="0">
                  <c:v>62752</c:v>
                </c:pt>
                <c:pt idx="1">
                  <c:v>77857</c:v>
                </c:pt>
                <c:pt idx="2">
                  <c:v>107498</c:v>
                </c:pt>
              </c:numCache>
            </c:numRef>
          </c:val>
        </c:ser>
        <c:ser>
          <c:idx val="4"/>
          <c:order val="2"/>
          <c:tx>
            <c:strRef>
              <c:f>Sheet1!$A$4</c:f>
              <c:strCache>
                <c:ptCount val="1"/>
                <c:pt idx="0">
                  <c:v>банковские киоски</c:v>
                </c:pt>
              </c:strCache>
            </c:strRef>
          </c:tx>
          <c:invertIfNegative val="0"/>
          <c:cat>
            <c:numRef>
              <c:f>Sheet1!$B$1:$D$1</c:f>
              <c:numCache>
                <c:formatCode>General</c:formatCode>
                <c:ptCount val="3"/>
                <c:pt idx="0">
                  <c:v>2014</c:v>
                </c:pt>
                <c:pt idx="1">
                  <c:v>2015</c:v>
                </c:pt>
                <c:pt idx="2">
                  <c:v>2016</c:v>
                </c:pt>
              </c:numCache>
            </c:numRef>
          </c:cat>
          <c:val>
            <c:numRef>
              <c:f>Sheet1!$B$4:$D$4</c:f>
              <c:numCache>
                <c:formatCode>#,##0</c:formatCode>
                <c:ptCount val="3"/>
                <c:pt idx="0">
                  <c:v>1505</c:v>
                </c:pt>
                <c:pt idx="1">
                  <c:v>1160</c:v>
                </c:pt>
                <c:pt idx="2">
                  <c:v>1522</c:v>
                </c:pt>
              </c:numCache>
            </c:numRef>
          </c:val>
        </c:ser>
        <c:ser>
          <c:idx val="2"/>
          <c:order val="3"/>
          <c:tx>
            <c:strRef>
              <c:f>Sheet1!$A$5</c:f>
              <c:strCache>
                <c:ptCount val="1"/>
                <c:pt idx="0">
                  <c:v>терминалы моментальной оплаты</c:v>
                </c:pt>
              </c:strCache>
            </c:strRef>
          </c:tx>
          <c:invertIfNegative val="0"/>
          <c:dLbls>
            <c:dLbl>
              <c:idx val="0"/>
              <c:layout>
                <c:manualLayout>
                  <c:x val="-8.5320936044568432E-3"/>
                  <c:y val="-1.0517436259524368E-3"/>
                </c:manualLayout>
              </c:layout>
              <c:dLblPos val="outEnd"/>
              <c:showLegendKey val="0"/>
              <c:showVal val="1"/>
              <c:showCatName val="0"/>
              <c:showSerName val="0"/>
              <c:showPercent val="0"/>
              <c:showBubbleSize val="0"/>
            </c:dLbl>
            <c:dLbl>
              <c:idx val="1"/>
              <c:layout>
                <c:manualLayout>
                  <c:x val="-2.1331913557127236E-3"/>
                  <c:y val="2.58320411584303E-3"/>
                </c:manualLayout>
              </c:layout>
              <c:dLblPos val="outEnd"/>
              <c:showLegendKey val="0"/>
              <c:showVal val="1"/>
              <c:showCatName val="0"/>
              <c:showSerName val="0"/>
              <c:showPercent val="0"/>
              <c:showBubbleSize val="0"/>
            </c:dLbl>
            <c:dLbl>
              <c:idx val="2"/>
              <c:layout>
                <c:manualLayout>
                  <c:x val="-6.3990702033426324E-3"/>
                  <c:y val="3.9074583451584929E-3"/>
                </c:manualLayout>
              </c:layout>
              <c:dLblPos val="outEnd"/>
              <c:showLegendKey val="0"/>
              <c:showVal val="1"/>
              <c:showCatName val="0"/>
              <c:showSerName val="0"/>
              <c:showPercent val="0"/>
              <c:showBubbleSize val="0"/>
            </c:dLbl>
            <c:dLblPos val="ctr"/>
            <c:showLegendKey val="0"/>
            <c:showVal val="1"/>
            <c:showCatName val="0"/>
            <c:showSerName val="0"/>
            <c:showPercent val="0"/>
            <c:showBubbleSize val="0"/>
            <c:showLeaderLines val="0"/>
          </c:dLbls>
          <c:cat>
            <c:numRef>
              <c:f>Sheet1!$B$1:$D$1</c:f>
              <c:numCache>
                <c:formatCode>General</c:formatCode>
                <c:ptCount val="3"/>
                <c:pt idx="0">
                  <c:v>2014</c:v>
                </c:pt>
                <c:pt idx="1">
                  <c:v>2015</c:v>
                </c:pt>
                <c:pt idx="2">
                  <c:v>2016</c:v>
                </c:pt>
              </c:numCache>
            </c:numRef>
          </c:cat>
          <c:val>
            <c:numRef>
              <c:f>Sheet1!$B$5:$D$5</c:f>
              <c:numCache>
                <c:formatCode>#,##0</c:formatCode>
                <c:ptCount val="3"/>
                <c:pt idx="0">
                  <c:v>12156</c:v>
                </c:pt>
                <c:pt idx="1">
                  <c:v>14273</c:v>
                </c:pt>
                <c:pt idx="2">
                  <c:v>14447</c:v>
                </c:pt>
              </c:numCache>
            </c:numRef>
          </c:val>
        </c:ser>
        <c:dLbls>
          <c:dLblPos val="ctr"/>
          <c:showLegendKey val="0"/>
          <c:showVal val="1"/>
          <c:showCatName val="0"/>
          <c:showSerName val="0"/>
          <c:showPercent val="0"/>
          <c:showBubbleSize val="0"/>
        </c:dLbls>
        <c:gapWidth val="48"/>
        <c:axId val="202931584"/>
        <c:axId val="202971392"/>
      </c:barChart>
      <c:catAx>
        <c:axId val="202931584"/>
        <c:scaling>
          <c:orientation val="minMax"/>
        </c:scaling>
        <c:delete val="0"/>
        <c:axPos val="b"/>
        <c:numFmt formatCode="General" sourceLinked="1"/>
        <c:majorTickMark val="out"/>
        <c:minorTickMark val="none"/>
        <c:tickLblPos val="nextTo"/>
        <c:txPr>
          <a:bodyPr rot="0" vert="horz"/>
          <a:lstStyle/>
          <a:p>
            <a:pPr>
              <a:defRPr/>
            </a:pPr>
            <a:endParaRPr lang="ru-RU"/>
          </a:p>
        </c:txPr>
        <c:crossAx val="202971392"/>
        <c:crosses val="autoZero"/>
        <c:auto val="0"/>
        <c:lblAlgn val="ctr"/>
        <c:lblOffset val="100"/>
        <c:tickMarkSkip val="1"/>
        <c:noMultiLvlLbl val="0"/>
      </c:catAx>
      <c:valAx>
        <c:axId val="202971392"/>
        <c:scaling>
          <c:orientation val="minMax"/>
          <c:max val="120000"/>
          <c:min val="0"/>
        </c:scaling>
        <c:delete val="0"/>
        <c:axPos val="l"/>
        <c:title>
          <c:tx>
            <c:rich>
              <a:bodyPr rot="0" vert="horz"/>
              <a:lstStyle/>
              <a:p>
                <a:pPr algn="ctr">
                  <a:defRPr sz="1000" b="0" i="0" u="none" strike="noStrike" baseline="0">
                    <a:solidFill>
                      <a:srgbClr val="000000"/>
                    </a:solidFill>
                    <a:latin typeface="Calibri"/>
                    <a:ea typeface="Calibri"/>
                    <a:cs typeface="Calibri"/>
                  </a:defRPr>
                </a:pPr>
                <a:r>
                  <a:rPr lang="ru-RU" b="0"/>
                  <a:t>ед.</a:t>
                </a:r>
              </a:p>
            </c:rich>
          </c:tx>
          <c:layout>
            <c:manualLayout>
              <c:xMode val="edge"/>
              <c:yMode val="edge"/>
              <c:x val="2.0839302719688819E-2"/>
              <c:y val="0.21259351314710112"/>
            </c:manualLayout>
          </c:layout>
          <c:overlay val="0"/>
        </c:title>
        <c:numFmt formatCode="#,##0" sourceLinked="1"/>
        <c:majorTickMark val="out"/>
        <c:minorTickMark val="none"/>
        <c:tickLblPos val="nextTo"/>
        <c:txPr>
          <a:bodyPr rot="0" vert="horz"/>
          <a:lstStyle/>
          <a:p>
            <a:pPr>
              <a:defRPr/>
            </a:pPr>
            <a:endParaRPr lang="ru-RU"/>
          </a:p>
        </c:txPr>
        <c:crossAx val="202931584"/>
        <c:crosses val="autoZero"/>
        <c:crossBetween val="between"/>
        <c:majorUnit val="20000"/>
      </c:valAx>
    </c:plotArea>
    <c:legend>
      <c:legendPos val="b"/>
      <c:layout>
        <c:manualLayout>
          <c:xMode val="edge"/>
          <c:yMode val="edge"/>
          <c:x val="4.9999916022700742E-2"/>
          <c:y val="0.85916424920569134"/>
          <c:w val="0.92986232761559895"/>
          <c:h val="0.10574803149606299"/>
        </c:manualLayout>
      </c:layout>
      <c:overlay val="0"/>
    </c:legend>
    <c:plotVisOnly val="1"/>
    <c:dispBlanksAs val="gap"/>
    <c:showDLblsOverMax val="0"/>
  </c:chart>
  <c:spPr>
    <a:noFill/>
    <a:ln>
      <a:noFill/>
    </a:ln>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263165869500436"/>
          <c:y val="5.7258997859924547E-2"/>
          <c:w val="0.5392070651976536"/>
          <c:h val="0.81354217004462892"/>
        </c:manualLayout>
      </c:layout>
      <c:barChart>
        <c:barDir val="col"/>
        <c:grouping val="clustered"/>
        <c:varyColors val="0"/>
        <c:ser>
          <c:idx val="0"/>
          <c:order val="0"/>
          <c:tx>
            <c:strRef>
              <c:f>Лист6!$B$32</c:f>
              <c:strCache>
                <c:ptCount val="1"/>
                <c:pt idx="0">
                  <c:v>Безналичные операции посредством систем удаленного доступа</c:v>
                </c:pt>
              </c:strCache>
            </c:strRef>
          </c:tx>
          <c:invertIfNegative val="0"/>
          <c:cat>
            <c:numRef>
              <c:f>Лист6!$C$31:$G$31</c:f>
              <c:numCache>
                <c:formatCode>General</c:formatCode>
                <c:ptCount val="5"/>
                <c:pt idx="0">
                  <c:v>2012</c:v>
                </c:pt>
                <c:pt idx="1">
                  <c:v>2013</c:v>
                </c:pt>
                <c:pt idx="2">
                  <c:v>2014</c:v>
                </c:pt>
                <c:pt idx="3">
                  <c:v>2015</c:v>
                </c:pt>
                <c:pt idx="4">
                  <c:v>2016</c:v>
                </c:pt>
              </c:numCache>
            </c:numRef>
          </c:cat>
          <c:val>
            <c:numRef>
              <c:f>Лист6!$C$32:$G$32</c:f>
              <c:numCache>
                <c:formatCode>#,##0.0</c:formatCode>
                <c:ptCount val="5"/>
                <c:pt idx="0">
                  <c:v>888.0613740740007</c:v>
                </c:pt>
                <c:pt idx="1">
                  <c:v>1116.1878222791006</c:v>
                </c:pt>
                <c:pt idx="2">
                  <c:v>1266.4627829859003</c:v>
                </c:pt>
                <c:pt idx="3">
                  <c:v>1317.004382699999</c:v>
                </c:pt>
                <c:pt idx="4">
                  <c:v>1904.4307833464982</c:v>
                </c:pt>
              </c:numCache>
            </c:numRef>
          </c:val>
        </c:ser>
        <c:ser>
          <c:idx val="1"/>
          <c:order val="1"/>
          <c:tx>
            <c:strRef>
              <c:f>Лист6!$B$33</c:f>
              <c:strCache>
                <c:ptCount val="1"/>
                <c:pt idx="0">
                  <c:v>Снятие наличных денег с использованием платежных карточек</c:v>
                </c:pt>
              </c:strCache>
            </c:strRef>
          </c:tx>
          <c:invertIfNegative val="0"/>
          <c:cat>
            <c:numRef>
              <c:f>Лист6!$C$31:$G$31</c:f>
              <c:numCache>
                <c:formatCode>General</c:formatCode>
                <c:ptCount val="5"/>
                <c:pt idx="0">
                  <c:v>2012</c:v>
                </c:pt>
                <c:pt idx="1">
                  <c:v>2013</c:v>
                </c:pt>
                <c:pt idx="2">
                  <c:v>2014</c:v>
                </c:pt>
                <c:pt idx="3">
                  <c:v>2015</c:v>
                </c:pt>
                <c:pt idx="4">
                  <c:v>2016</c:v>
                </c:pt>
              </c:numCache>
            </c:numRef>
          </c:cat>
          <c:val>
            <c:numRef>
              <c:f>Лист6!$C$33:$G$33</c:f>
              <c:numCache>
                <c:formatCode>#,##0.0</c:formatCode>
                <c:ptCount val="5"/>
                <c:pt idx="0">
                  <c:v>4748.9549082200765</c:v>
                </c:pt>
                <c:pt idx="1">
                  <c:v>5557.590654479769</c:v>
                </c:pt>
                <c:pt idx="2">
                  <c:v>6681.2976212334888</c:v>
                </c:pt>
                <c:pt idx="3">
                  <c:v>7178.4738165460094</c:v>
                </c:pt>
                <c:pt idx="4">
                  <c:v>8730.3388701603781</c:v>
                </c:pt>
              </c:numCache>
            </c:numRef>
          </c:val>
        </c:ser>
        <c:ser>
          <c:idx val="2"/>
          <c:order val="2"/>
          <c:tx>
            <c:strRef>
              <c:f>Лист6!$B$34</c:f>
              <c:strCache>
                <c:ptCount val="1"/>
                <c:pt idx="0">
                  <c:v>Операции путем взноса наличных денег через cash in устройства</c:v>
                </c:pt>
              </c:strCache>
            </c:strRef>
          </c:tx>
          <c:invertIfNegative val="0"/>
          <c:cat>
            <c:numRef>
              <c:f>Лист6!$C$31:$G$31</c:f>
              <c:numCache>
                <c:formatCode>General</c:formatCode>
                <c:ptCount val="5"/>
                <c:pt idx="0">
                  <c:v>2012</c:v>
                </c:pt>
                <c:pt idx="1">
                  <c:v>2013</c:v>
                </c:pt>
                <c:pt idx="2">
                  <c:v>2014</c:v>
                </c:pt>
                <c:pt idx="3">
                  <c:v>2015</c:v>
                </c:pt>
                <c:pt idx="4">
                  <c:v>2016</c:v>
                </c:pt>
              </c:numCache>
            </c:numRef>
          </c:cat>
          <c:val>
            <c:numRef>
              <c:f>Лист6!$C$34:$G$34</c:f>
              <c:numCache>
                <c:formatCode>#,##0.0</c:formatCode>
                <c:ptCount val="5"/>
                <c:pt idx="0">
                  <c:v>236.94797113649975</c:v>
                </c:pt>
                <c:pt idx="1">
                  <c:v>427.29973910550001</c:v>
                </c:pt>
                <c:pt idx="2">
                  <c:v>688.07874532709923</c:v>
                </c:pt>
                <c:pt idx="3">
                  <c:v>1144.2922914640003</c:v>
                </c:pt>
                <c:pt idx="4">
                  <c:v>1758.8593680019992</c:v>
                </c:pt>
              </c:numCache>
            </c:numRef>
          </c:val>
        </c:ser>
        <c:dLbls>
          <c:showLegendKey val="0"/>
          <c:showVal val="0"/>
          <c:showCatName val="0"/>
          <c:showSerName val="0"/>
          <c:showPercent val="0"/>
          <c:showBubbleSize val="0"/>
        </c:dLbls>
        <c:gapWidth val="150"/>
        <c:axId val="213861120"/>
        <c:axId val="213862656"/>
      </c:barChart>
      <c:catAx>
        <c:axId val="213861120"/>
        <c:scaling>
          <c:orientation val="minMax"/>
        </c:scaling>
        <c:delete val="0"/>
        <c:axPos val="b"/>
        <c:numFmt formatCode="General" sourceLinked="1"/>
        <c:majorTickMark val="out"/>
        <c:minorTickMark val="none"/>
        <c:tickLblPos val="nextTo"/>
        <c:crossAx val="213862656"/>
        <c:crosses val="autoZero"/>
        <c:auto val="1"/>
        <c:lblAlgn val="ctr"/>
        <c:lblOffset val="100"/>
        <c:noMultiLvlLbl val="0"/>
      </c:catAx>
      <c:valAx>
        <c:axId val="213862656"/>
        <c:scaling>
          <c:orientation val="minMax"/>
        </c:scaling>
        <c:delete val="0"/>
        <c:axPos val="l"/>
        <c:majorGridlines>
          <c:spPr>
            <a:ln>
              <a:noFill/>
            </a:ln>
          </c:spPr>
        </c:majorGridlines>
        <c:title>
          <c:tx>
            <c:rich>
              <a:bodyPr rot="-5400000" vert="horz"/>
              <a:lstStyle/>
              <a:p>
                <a:pPr>
                  <a:defRPr b="0"/>
                </a:pPr>
                <a:r>
                  <a:rPr lang="ru-RU" b="0"/>
                  <a:t>млрд. тенге</a:t>
                </a:r>
              </a:p>
            </c:rich>
          </c:tx>
          <c:overlay val="0"/>
        </c:title>
        <c:numFmt formatCode="#,##0" sourceLinked="0"/>
        <c:majorTickMark val="out"/>
        <c:minorTickMark val="none"/>
        <c:tickLblPos val="nextTo"/>
        <c:crossAx val="213861120"/>
        <c:crosses val="autoZero"/>
        <c:crossBetween val="between"/>
      </c:valAx>
    </c:plotArea>
    <c:legend>
      <c:legendPos val="r"/>
      <c:layout>
        <c:manualLayout>
          <c:xMode val="edge"/>
          <c:yMode val="edge"/>
          <c:x val="0.69235124474097565"/>
          <c:y val="0.17348058991344084"/>
          <c:w val="0.29488719437969346"/>
          <c:h val="0.6530384144778052"/>
        </c:manualLayout>
      </c:layout>
      <c:overlay val="0"/>
    </c:legend>
    <c:plotVisOnly val="1"/>
    <c:dispBlanksAs val="gap"/>
    <c:showDLblsOverMax val="0"/>
  </c:chart>
  <c:spPr>
    <a:ln>
      <a:noFill/>
    </a:ln>
  </c:sp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93894987682275E-2"/>
          <c:y val="3.654678300347592E-2"/>
          <c:w val="0.65136466108113078"/>
          <c:h val="0.84333309687640401"/>
        </c:manualLayout>
      </c:layout>
      <c:barChart>
        <c:barDir val="col"/>
        <c:grouping val="percentStacked"/>
        <c:varyColors val="0"/>
        <c:ser>
          <c:idx val="0"/>
          <c:order val="0"/>
          <c:tx>
            <c:strRef>
              <c:f>Лист3!$A$79</c:f>
              <c:strCache>
                <c:ptCount val="1"/>
                <c:pt idx="0">
                  <c:v>POS - терминал</c:v>
                </c:pt>
              </c:strCache>
            </c:strRef>
          </c:tx>
          <c:invertIfNegative val="0"/>
          <c:dLbls>
            <c:showLegendKey val="0"/>
            <c:showVal val="1"/>
            <c:showCatName val="0"/>
            <c:showSerName val="0"/>
            <c:showPercent val="0"/>
            <c:showBubbleSize val="0"/>
            <c:showLeaderLines val="0"/>
          </c:dLbls>
          <c:cat>
            <c:numRef>
              <c:f>Лист3!$B$78:$F$78</c:f>
              <c:numCache>
                <c:formatCode>General</c:formatCode>
                <c:ptCount val="5"/>
                <c:pt idx="0">
                  <c:v>2012</c:v>
                </c:pt>
                <c:pt idx="1">
                  <c:v>2013</c:v>
                </c:pt>
                <c:pt idx="2">
                  <c:v>2014</c:v>
                </c:pt>
                <c:pt idx="3">
                  <c:v>2015</c:v>
                </c:pt>
                <c:pt idx="4">
                  <c:v>2016</c:v>
                </c:pt>
              </c:numCache>
            </c:numRef>
          </c:cat>
          <c:val>
            <c:numRef>
              <c:f>Лист3!$B$79:$F$79</c:f>
              <c:numCache>
                <c:formatCode>0.0%</c:formatCode>
                <c:ptCount val="5"/>
                <c:pt idx="0">
                  <c:v>0.39150221489491199</c:v>
                </c:pt>
                <c:pt idx="1">
                  <c:v>0.45087848569395467</c:v>
                </c:pt>
                <c:pt idx="2">
                  <c:v>0.42180680446727875</c:v>
                </c:pt>
                <c:pt idx="3">
                  <c:v>0.44792719963902256</c:v>
                </c:pt>
                <c:pt idx="4">
                  <c:v>0.46763773484056742</c:v>
                </c:pt>
              </c:numCache>
            </c:numRef>
          </c:val>
        </c:ser>
        <c:ser>
          <c:idx val="1"/>
          <c:order val="1"/>
          <c:tx>
            <c:strRef>
              <c:f>Лист3!$A$80</c:f>
              <c:strCache>
                <c:ptCount val="1"/>
                <c:pt idx="0">
                  <c:v>Интернет и мобильные устройства</c:v>
                </c:pt>
              </c:strCache>
            </c:strRef>
          </c:tx>
          <c:spPr>
            <a:solidFill>
              <a:schemeClr val="accent3">
                <a:lumMod val="75000"/>
              </a:schemeClr>
            </a:solidFill>
          </c:spPr>
          <c:invertIfNegative val="0"/>
          <c:dLbls>
            <c:showLegendKey val="0"/>
            <c:showVal val="1"/>
            <c:showCatName val="0"/>
            <c:showSerName val="0"/>
            <c:showPercent val="0"/>
            <c:showBubbleSize val="0"/>
            <c:showLeaderLines val="0"/>
          </c:dLbls>
          <c:cat>
            <c:numRef>
              <c:f>Лист3!$B$78:$F$78</c:f>
              <c:numCache>
                <c:formatCode>General</c:formatCode>
                <c:ptCount val="5"/>
                <c:pt idx="0">
                  <c:v>2012</c:v>
                </c:pt>
                <c:pt idx="1">
                  <c:v>2013</c:v>
                </c:pt>
                <c:pt idx="2">
                  <c:v>2014</c:v>
                </c:pt>
                <c:pt idx="3">
                  <c:v>2015</c:v>
                </c:pt>
                <c:pt idx="4">
                  <c:v>2016</c:v>
                </c:pt>
              </c:numCache>
            </c:numRef>
          </c:cat>
          <c:val>
            <c:numRef>
              <c:f>Лист3!$B$80:$F$80</c:f>
              <c:numCache>
                <c:formatCode>0.0%</c:formatCode>
                <c:ptCount val="5"/>
                <c:pt idx="0">
                  <c:v>0.14831228161066526</c:v>
                </c:pt>
                <c:pt idx="1">
                  <c:v>0.22605434222214077</c:v>
                </c:pt>
                <c:pt idx="2">
                  <c:v>0.27214289291470056</c:v>
                </c:pt>
                <c:pt idx="3">
                  <c:v>0.32969857730609531</c:v>
                </c:pt>
                <c:pt idx="4">
                  <c:v>0.41780765563909772</c:v>
                </c:pt>
              </c:numCache>
            </c:numRef>
          </c:val>
        </c:ser>
        <c:ser>
          <c:idx val="2"/>
          <c:order val="2"/>
          <c:tx>
            <c:strRef>
              <c:f>Лист3!$A$81</c:f>
              <c:strCache>
                <c:ptCount val="1"/>
                <c:pt idx="0">
                  <c:v>прочие устройства</c:v>
                </c:pt>
              </c:strCache>
            </c:strRef>
          </c:tx>
          <c:spPr>
            <a:solidFill>
              <a:schemeClr val="accent6"/>
            </a:solidFill>
          </c:spPr>
          <c:invertIfNegative val="0"/>
          <c:dLbls>
            <c:showLegendKey val="0"/>
            <c:showVal val="1"/>
            <c:showCatName val="0"/>
            <c:showSerName val="0"/>
            <c:showPercent val="0"/>
            <c:showBubbleSize val="0"/>
            <c:showLeaderLines val="0"/>
          </c:dLbls>
          <c:cat>
            <c:numRef>
              <c:f>Лист3!$B$78:$F$78</c:f>
              <c:numCache>
                <c:formatCode>General</c:formatCode>
                <c:ptCount val="5"/>
                <c:pt idx="0">
                  <c:v>2012</c:v>
                </c:pt>
                <c:pt idx="1">
                  <c:v>2013</c:v>
                </c:pt>
                <c:pt idx="2">
                  <c:v>2014</c:v>
                </c:pt>
                <c:pt idx="3">
                  <c:v>2015</c:v>
                </c:pt>
                <c:pt idx="4">
                  <c:v>2016</c:v>
                </c:pt>
              </c:numCache>
            </c:numRef>
          </c:cat>
          <c:val>
            <c:numRef>
              <c:f>Лист3!$B$81:$F$81</c:f>
              <c:numCache>
                <c:formatCode>0.0%</c:formatCode>
                <c:ptCount val="5"/>
                <c:pt idx="0">
                  <c:v>0.46018550349442289</c:v>
                </c:pt>
                <c:pt idx="1">
                  <c:v>0.32306717208390451</c:v>
                </c:pt>
                <c:pt idx="2">
                  <c:v>0.30605030261802063</c:v>
                </c:pt>
                <c:pt idx="3">
                  <c:v>0.22237422305488222</c:v>
                </c:pt>
                <c:pt idx="4">
                  <c:v>0.11455460952033486</c:v>
                </c:pt>
              </c:numCache>
            </c:numRef>
          </c:val>
        </c:ser>
        <c:dLbls>
          <c:showLegendKey val="0"/>
          <c:showVal val="0"/>
          <c:showCatName val="0"/>
          <c:showSerName val="0"/>
          <c:showPercent val="0"/>
          <c:showBubbleSize val="0"/>
        </c:dLbls>
        <c:gapWidth val="100"/>
        <c:overlap val="100"/>
        <c:axId val="213894272"/>
        <c:axId val="213895808"/>
      </c:barChart>
      <c:catAx>
        <c:axId val="213894272"/>
        <c:scaling>
          <c:orientation val="minMax"/>
        </c:scaling>
        <c:delete val="0"/>
        <c:axPos val="b"/>
        <c:numFmt formatCode="General" sourceLinked="1"/>
        <c:majorTickMark val="out"/>
        <c:minorTickMark val="none"/>
        <c:tickLblPos val="nextTo"/>
        <c:txPr>
          <a:bodyPr rot="0" vert="horz"/>
          <a:lstStyle/>
          <a:p>
            <a:pPr>
              <a:defRPr/>
            </a:pPr>
            <a:endParaRPr lang="ru-RU"/>
          </a:p>
        </c:txPr>
        <c:crossAx val="213895808"/>
        <c:crosses val="autoZero"/>
        <c:auto val="1"/>
        <c:lblAlgn val="ctr"/>
        <c:lblOffset val="100"/>
        <c:noMultiLvlLbl val="0"/>
      </c:catAx>
      <c:valAx>
        <c:axId val="213895808"/>
        <c:scaling>
          <c:orientation val="minMax"/>
        </c:scaling>
        <c:delete val="0"/>
        <c:axPos val="l"/>
        <c:majorGridlines/>
        <c:numFmt formatCode="0%" sourceLinked="1"/>
        <c:majorTickMark val="out"/>
        <c:minorTickMark val="none"/>
        <c:tickLblPos val="nextTo"/>
        <c:txPr>
          <a:bodyPr rot="0" vert="horz"/>
          <a:lstStyle/>
          <a:p>
            <a:pPr>
              <a:defRPr/>
            </a:pPr>
            <a:endParaRPr lang="ru-RU"/>
          </a:p>
        </c:txPr>
        <c:crossAx val="213894272"/>
        <c:crosses val="autoZero"/>
        <c:crossBetween val="between"/>
      </c:valAx>
    </c:plotArea>
    <c:legend>
      <c:legendPos val="r"/>
      <c:layout>
        <c:manualLayout>
          <c:xMode val="edge"/>
          <c:yMode val="edge"/>
          <c:x val="0.73809017038701918"/>
          <c:y val="0.11758401325946562"/>
          <c:w val="0.25568017605735449"/>
          <c:h val="0.72106462298226837"/>
        </c:manualLayout>
      </c:layout>
      <c:overlay val="0"/>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01253069172805E-2"/>
          <c:y val="3.1993331914591756E-2"/>
          <c:w val="0.65337026571321721"/>
          <c:h val="0.87768390437681776"/>
        </c:manualLayout>
      </c:layout>
      <c:barChart>
        <c:barDir val="col"/>
        <c:grouping val="percentStacked"/>
        <c:varyColors val="0"/>
        <c:ser>
          <c:idx val="0"/>
          <c:order val="0"/>
          <c:tx>
            <c:strRef>
              <c:f>Лист3!$A$27</c:f>
              <c:strCache>
                <c:ptCount val="1"/>
                <c:pt idx="0">
                  <c:v>POS - терминал</c:v>
                </c:pt>
              </c:strCache>
            </c:strRef>
          </c:tx>
          <c:invertIfNegative val="0"/>
          <c:dLbls>
            <c:txPr>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Лист3!$B$26:$F$26</c:f>
              <c:numCache>
                <c:formatCode>General</c:formatCode>
                <c:ptCount val="5"/>
                <c:pt idx="0">
                  <c:v>2012</c:v>
                </c:pt>
                <c:pt idx="1">
                  <c:v>2013</c:v>
                </c:pt>
                <c:pt idx="2">
                  <c:v>2014</c:v>
                </c:pt>
                <c:pt idx="3">
                  <c:v>2015</c:v>
                </c:pt>
                <c:pt idx="4">
                  <c:v>2016</c:v>
                </c:pt>
              </c:numCache>
            </c:numRef>
          </c:cat>
          <c:val>
            <c:numRef>
              <c:f>Лист3!$B$27:$F$27</c:f>
              <c:numCache>
                <c:formatCode>0.0%</c:formatCode>
                <c:ptCount val="5"/>
                <c:pt idx="0">
                  <c:v>0.50478422813246437</c:v>
                </c:pt>
                <c:pt idx="1">
                  <c:v>0.47200979645913432</c:v>
                </c:pt>
                <c:pt idx="2">
                  <c:v>0.45017632403245067</c:v>
                </c:pt>
                <c:pt idx="3">
                  <c:v>0.4371191065080427</c:v>
                </c:pt>
                <c:pt idx="4">
                  <c:v>0.42827149576000301</c:v>
                </c:pt>
              </c:numCache>
            </c:numRef>
          </c:val>
        </c:ser>
        <c:ser>
          <c:idx val="1"/>
          <c:order val="1"/>
          <c:tx>
            <c:strRef>
              <c:f>Лист3!$A$28</c:f>
              <c:strCache>
                <c:ptCount val="1"/>
                <c:pt idx="0">
                  <c:v>Интернет и мобильные устройства</c:v>
                </c:pt>
              </c:strCache>
            </c:strRef>
          </c:tx>
          <c:spPr>
            <a:solidFill>
              <a:schemeClr val="accent3">
                <a:lumMod val="75000"/>
              </a:schemeClr>
            </a:solidFill>
          </c:spPr>
          <c:invertIfNegative val="0"/>
          <c:dLbls>
            <c:txPr>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Лист3!$B$26:$F$26</c:f>
              <c:numCache>
                <c:formatCode>General</c:formatCode>
                <c:ptCount val="5"/>
                <c:pt idx="0">
                  <c:v>2012</c:v>
                </c:pt>
                <c:pt idx="1">
                  <c:v>2013</c:v>
                </c:pt>
                <c:pt idx="2">
                  <c:v>2014</c:v>
                </c:pt>
                <c:pt idx="3">
                  <c:v>2015</c:v>
                </c:pt>
                <c:pt idx="4">
                  <c:v>2016</c:v>
                </c:pt>
              </c:numCache>
            </c:numRef>
          </c:cat>
          <c:val>
            <c:numRef>
              <c:f>Лист3!$B$28:$F$28</c:f>
              <c:numCache>
                <c:formatCode>0.0%</c:formatCode>
                <c:ptCount val="5"/>
                <c:pt idx="0">
                  <c:v>0.23106924252399819</c:v>
                </c:pt>
                <c:pt idx="1">
                  <c:v>0.29403099390359938</c:v>
                </c:pt>
                <c:pt idx="2">
                  <c:v>0.20509169385310866</c:v>
                </c:pt>
                <c:pt idx="3">
                  <c:v>0.26131292151925489</c:v>
                </c:pt>
                <c:pt idx="4">
                  <c:v>0.44164235038048705</c:v>
                </c:pt>
              </c:numCache>
            </c:numRef>
          </c:val>
        </c:ser>
        <c:ser>
          <c:idx val="2"/>
          <c:order val="2"/>
          <c:tx>
            <c:strRef>
              <c:f>Лист3!$A$29</c:f>
              <c:strCache>
                <c:ptCount val="1"/>
                <c:pt idx="0">
                  <c:v>прочие устройства</c:v>
                </c:pt>
              </c:strCache>
            </c:strRef>
          </c:tx>
          <c:spPr>
            <a:solidFill>
              <a:schemeClr val="accent6"/>
            </a:solidFill>
          </c:spPr>
          <c:invertIfNegative val="0"/>
          <c:dLbls>
            <c:txPr>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Лист3!$B$26:$F$26</c:f>
              <c:numCache>
                <c:formatCode>General</c:formatCode>
                <c:ptCount val="5"/>
                <c:pt idx="0">
                  <c:v>2012</c:v>
                </c:pt>
                <c:pt idx="1">
                  <c:v>2013</c:v>
                </c:pt>
                <c:pt idx="2">
                  <c:v>2014</c:v>
                </c:pt>
                <c:pt idx="3">
                  <c:v>2015</c:v>
                </c:pt>
                <c:pt idx="4">
                  <c:v>2016</c:v>
                </c:pt>
              </c:numCache>
            </c:numRef>
          </c:cat>
          <c:val>
            <c:numRef>
              <c:f>Лист3!$B$29:$F$29</c:f>
              <c:numCache>
                <c:formatCode>0.0%</c:formatCode>
                <c:ptCount val="5"/>
                <c:pt idx="0">
                  <c:v>0.2641465293435375</c:v>
                </c:pt>
                <c:pt idx="1">
                  <c:v>0.23395920963726638</c:v>
                </c:pt>
                <c:pt idx="2">
                  <c:v>0.34473198211444073</c:v>
                </c:pt>
                <c:pt idx="3">
                  <c:v>0.30156797197270235</c:v>
                </c:pt>
                <c:pt idx="4">
                  <c:v>0.13008615385950995</c:v>
                </c:pt>
              </c:numCache>
            </c:numRef>
          </c:val>
        </c:ser>
        <c:dLbls>
          <c:showLegendKey val="0"/>
          <c:showVal val="0"/>
          <c:showCatName val="0"/>
          <c:showSerName val="0"/>
          <c:showPercent val="0"/>
          <c:showBubbleSize val="0"/>
        </c:dLbls>
        <c:gapWidth val="100"/>
        <c:overlap val="100"/>
        <c:axId val="214066304"/>
        <c:axId val="214067840"/>
      </c:barChart>
      <c:catAx>
        <c:axId val="214066304"/>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214067840"/>
        <c:crosses val="autoZero"/>
        <c:auto val="1"/>
        <c:lblAlgn val="ctr"/>
        <c:lblOffset val="100"/>
        <c:noMultiLvlLbl val="0"/>
      </c:catAx>
      <c:valAx>
        <c:axId val="214067840"/>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214066304"/>
        <c:crosses val="autoZero"/>
        <c:crossBetween val="between"/>
      </c:valAx>
    </c:plotArea>
    <c:legend>
      <c:legendPos val="r"/>
      <c:overlay val="0"/>
      <c:txPr>
        <a:bodyPr/>
        <a:lstStyle/>
        <a:p>
          <a:pPr>
            <a:defRPr sz="1000" b="0" i="0" u="none" strike="noStrike" baseline="0">
              <a:solidFill>
                <a:srgbClr val="000000"/>
              </a:solidFill>
              <a:latin typeface="Calibri"/>
              <a:ea typeface="Calibri"/>
              <a:cs typeface="Calibri"/>
            </a:defRPr>
          </a:pPr>
          <a:endParaRPr lang="ru-RU"/>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88782692254268"/>
          <c:y val="6.9926130367724659E-2"/>
          <c:w val="0.79660450867381205"/>
          <c:h val="0.68135346483751391"/>
        </c:manualLayout>
      </c:layout>
      <c:barChart>
        <c:barDir val="col"/>
        <c:grouping val="clustered"/>
        <c:varyColors val="0"/>
        <c:ser>
          <c:idx val="1"/>
          <c:order val="0"/>
          <c:tx>
            <c:strRef>
              <c:f>Sheet1!$A$2</c:f>
              <c:strCache>
                <c:ptCount val="1"/>
                <c:pt idx="0">
                  <c:v>Объем платежей</c:v>
                </c:pt>
              </c:strCache>
            </c:strRef>
          </c:tx>
          <c:spPr>
            <a:solidFill>
              <a:srgbClr val="FCD5B5"/>
            </a:solidFill>
            <a:ln w="12665">
              <a:noFill/>
              <a:prstDash val="solid"/>
            </a:ln>
          </c:spPr>
          <c:invertIfNegative val="1"/>
          <c:dLbls>
            <c:dLbl>
              <c:idx val="0"/>
              <c:layout>
                <c:manualLayout>
                  <c:x val="4.2506917415084068E-3"/>
                  <c:y val="0.13324558866850625"/>
                </c:manualLayout>
              </c:layout>
              <c:tx>
                <c:rich>
                  <a:bodyPr/>
                  <a:lstStyle/>
                  <a:p>
                    <a:pPr>
                      <a:defRPr/>
                    </a:pPr>
                    <a:r>
                      <a:rPr lang="en-US"/>
                      <a:t>147,3</a:t>
                    </a:r>
                  </a:p>
                </c:rich>
              </c:tx>
              <c:numFmt formatCode="#,##0.0" sourceLinked="0"/>
              <c:spPr>
                <a:noFill/>
                <a:ln w="25329">
                  <a:noFill/>
                </a:ln>
              </c:spPr>
              <c:dLblPos val="outEnd"/>
              <c:showLegendKey val="0"/>
              <c:showVal val="0"/>
              <c:showCatName val="0"/>
              <c:showSerName val="0"/>
              <c:showPercent val="0"/>
              <c:showBubbleSize val="0"/>
            </c:dLbl>
            <c:numFmt formatCode="#,##0.0" sourceLinked="0"/>
            <c:spPr>
              <a:noFill/>
              <a:ln w="25329">
                <a:noFill/>
              </a:ln>
            </c:spPr>
            <c:dLblPos val="inBase"/>
            <c:showLegendKey val="0"/>
            <c:showVal val="1"/>
            <c:showCatName val="0"/>
            <c:showSerName val="0"/>
            <c:showPercent val="0"/>
            <c:showBubbleSize val="0"/>
            <c:showLeaderLines val="0"/>
          </c:dLbls>
          <c:cat>
            <c:numRef>
              <c:f>Sheet1!$B$1:$F$1</c:f>
              <c:numCache>
                <c:formatCode>General</c:formatCode>
                <c:ptCount val="5"/>
                <c:pt idx="0">
                  <c:v>2012</c:v>
                </c:pt>
                <c:pt idx="1">
                  <c:v>2013</c:v>
                </c:pt>
                <c:pt idx="2">
                  <c:v>2014</c:v>
                </c:pt>
                <c:pt idx="3">
                  <c:v>2015</c:v>
                </c:pt>
                <c:pt idx="4">
                  <c:v>2016</c:v>
                </c:pt>
              </c:numCache>
            </c:numRef>
          </c:cat>
          <c:val>
            <c:numRef>
              <c:f>Sheet1!$B$2:$F$2</c:f>
              <c:numCache>
                <c:formatCode>#,##0.0</c:formatCode>
                <c:ptCount val="5"/>
                <c:pt idx="0">
                  <c:v>147.3263594046</c:v>
                </c:pt>
                <c:pt idx="1">
                  <c:v>266.73850073529019</c:v>
                </c:pt>
                <c:pt idx="2">
                  <c:v>289.12366853660001</c:v>
                </c:pt>
                <c:pt idx="3">
                  <c:v>407.08964919500028</c:v>
                </c:pt>
                <c:pt idx="4">
                  <c:v>933.99264726919967</c:v>
                </c:pt>
              </c:numCache>
            </c:numRef>
          </c:val>
          <c:extLst>
            <c:ext xmlns:c14="http://schemas.microsoft.com/office/drawing/2007/8/2/chart" uri="{6F2FDCE9-48DA-4B69-8628-5D25D57E5C99}">
              <c14:invertSolidFillFmt>
                <c14:spPr xmlns:c14="http://schemas.microsoft.com/office/drawing/2007/8/2/chart">
                  <a:solidFill>
                    <a:srgbClr val="FFFFFF"/>
                  </a:solidFill>
                  <a:ln w="12665">
                    <a:noFill/>
                    <a:prstDash val="solid"/>
                  </a:ln>
                </c14:spPr>
              </c14:invertSolidFillFmt>
            </c:ext>
          </c:extLst>
        </c:ser>
        <c:dLbls>
          <c:showLegendKey val="0"/>
          <c:showVal val="0"/>
          <c:showCatName val="0"/>
          <c:showSerName val="0"/>
          <c:showPercent val="0"/>
          <c:showBubbleSize val="0"/>
        </c:dLbls>
        <c:gapWidth val="150"/>
        <c:axId val="213993344"/>
        <c:axId val="213994880"/>
      </c:barChart>
      <c:lineChart>
        <c:grouping val="standard"/>
        <c:varyColors val="0"/>
        <c:ser>
          <c:idx val="0"/>
          <c:order val="1"/>
          <c:tx>
            <c:strRef>
              <c:f>Sheet1!$A$3</c:f>
              <c:strCache>
                <c:ptCount val="1"/>
                <c:pt idx="0">
                  <c:v>Количество платежей</c:v>
                </c:pt>
              </c:strCache>
            </c:strRef>
          </c:tx>
          <c:spPr>
            <a:ln w="22178">
              <a:solidFill>
                <a:srgbClr val="9BBB59">
                  <a:lumMod val="50000"/>
                </a:srgbClr>
              </a:solidFill>
              <a:prstDash val="solid"/>
            </a:ln>
          </c:spPr>
          <c:marker>
            <c:symbol val="diamond"/>
            <c:size val="6"/>
            <c:spPr>
              <a:solidFill>
                <a:srgbClr val="9BBB59">
                  <a:lumMod val="50000"/>
                </a:srgbClr>
              </a:solidFill>
              <a:ln>
                <a:solidFill>
                  <a:srgbClr val="000080"/>
                </a:solidFill>
                <a:prstDash val="solid"/>
              </a:ln>
            </c:spPr>
          </c:marker>
          <c:dLbls>
            <c:numFmt formatCode="#,##0.0" sourceLinked="0"/>
            <c:spPr>
              <a:noFill/>
              <a:ln w="25329">
                <a:noFill/>
              </a:ln>
            </c:spPr>
            <c:dLblPos val="t"/>
            <c:showLegendKey val="0"/>
            <c:showVal val="1"/>
            <c:showCatName val="0"/>
            <c:showSerName val="0"/>
            <c:showPercent val="0"/>
            <c:showBubbleSize val="0"/>
            <c:showLeaderLines val="0"/>
          </c:dLbls>
          <c:cat>
            <c:numRef>
              <c:f>Sheet1!$B$1:$F$1</c:f>
              <c:numCache>
                <c:formatCode>General</c:formatCode>
                <c:ptCount val="5"/>
                <c:pt idx="0">
                  <c:v>2012</c:v>
                </c:pt>
                <c:pt idx="1">
                  <c:v>2013</c:v>
                </c:pt>
                <c:pt idx="2">
                  <c:v>2014</c:v>
                </c:pt>
                <c:pt idx="3">
                  <c:v>2015</c:v>
                </c:pt>
                <c:pt idx="4">
                  <c:v>2016</c:v>
                </c:pt>
              </c:numCache>
            </c:numRef>
          </c:cat>
          <c:val>
            <c:numRef>
              <c:f>Sheet1!$B$3:$F$3</c:f>
              <c:numCache>
                <c:formatCode>#,##0.0</c:formatCode>
                <c:ptCount val="5"/>
                <c:pt idx="0">
                  <c:v>8.0585000000000004</c:v>
                </c:pt>
                <c:pt idx="1">
                  <c:v>15.234794000000001</c:v>
                </c:pt>
                <c:pt idx="2">
                  <c:v>21.467047000000001</c:v>
                </c:pt>
                <c:pt idx="3">
                  <c:v>34.421747000000003</c:v>
                </c:pt>
                <c:pt idx="4">
                  <c:v>58.317894000000003</c:v>
                </c:pt>
              </c:numCache>
            </c:numRef>
          </c:val>
          <c:smooth val="0"/>
        </c:ser>
        <c:dLbls>
          <c:showLegendKey val="0"/>
          <c:showVal val="0"/>
          <c:showCatName val="0"/>
          <c:showSerName val="0"/>
          <c:showPercent val="0"/>
          <c:showBubbleSize val="0"/>
        </c:dLbls>
        <c:marker val="1"/>
        <c:smooth val="0"/>
        <c:axId val="214135936"/>
        <c:axId val="214137472"/>
      </c:lineChart>
      <c:catAx>
        <c:axId val="213993344"/>
        <c:scaling>
          <c:orientation val="minMax"/>
        </c:scaling>
        <c:delete val="0"/>
        <c:axPos val="b"/>
        <c:numFmt formatCode="General" sourceLinked="1"/>
        <c:majorTickMark val="cross"/>
        <c:minorTickMark val="none"/>
        <c:tickLblPos val="nextTo"/>
        <c:spPr>
          <a:ln w="3166">
            <a:solidFill>
              <a:srgbClr val="000000"/>
            </a:solidFill>
            <a:prstDash val="solid"/>
          </a:ln>
        </c:spPr>
        <c:txPr>
          <a:bodyPr rot="0" vert="horz"/>
          <a:lstStyle/>
          <a:p>
            <a:pPr>
              <a:defRPr/>
            </a:pPr>
            <a:endParaRPr lang="ru-RU"/>
          </a:p>
        </c:txPr>
        <c:crossAx val="213994880"/>
        <c:crosses val="autoZero"/>
        <c:auto val="0"/>
        <c:lblAlgn val="ctr"/>
        <c:lblOffset val="100"/>
        <c:tickLblSkip val="1"/>
        <c:tickMarkSkip val="1"/>
        <c:noMultiLvlLbl val="0"/>
      </c:catAx>
      <c:valAx>
        <c:axId val="213994880"/>
        <c:scaling>
          <c:orientation val="minMax"/>
          <c:max val="1000"/>
          <c:min val="0"/>
        </c:scaling>
        <c:delete val="0"/>
        <c:axPos val="l"/>
        <c:majorGridlines>
          <c:spPr>
            <a:ln w="3168">
              <a:solidFill>
                <a:sysClr val="window" lastClr="FFFFFF">
                  <a:lumMod val="75000"/>
                </a:sysClr>
              </a:solidFill>
              <a:prstDash val="sysDash"/>
            </a:ln>
          </c:spPr>
        </c:majorGridlines>
        <c:numFmt formatCode="#,##0" sourceLinked="0"/>
        <c:majorTickMark val="cross"/>
        <c:minorTickMark val="none"/>
        <c:tickLblPos val="nextTo"/>
        <c:spPr>
          <a:ln w="3166">
            <a:solidFill>
              <a:srgbClr val="000000"/>
            </a:solidFill>
            <a:prstDash val="solid"/>
          </a:ln>
        </c:spPr>
        <c:txPr>
          <a:bodyPr rot="0" vert="horz"/>
          <a:lstStyle/>
          <a:p>
            <a:pPr>
              <a:defRPr/>
            </a:pPr>
            <a:endParaRPr lang="ru-RU"/>
          </a:p>
        </c:txPr>
        <c:crossAx val="213993344"/>
        <c:crosses val="autoZero"/>
        <c:crossBetween val="between"/>
        <c:majorUnit val="250"/>
        <c:minorUnit val="150"/>
      </c:valAx>
      <c:catAx>
        <c:axId val="214135936"/>
        <c:scaling>
          <c:orientation val="minMax"/>
        </c:scaling>
        <c:delete val="1"/>
        <c:axPos val="b"/>
        <c:numFmt formatCode="General" sourceLinked="1"/>
        <c:majorTickMark val="out"/>
        <c:minorTickMark val="none"/>
        <c:tickLblPos val="nextTo"/>
        <c:crossAx val="214137472"/>
        <c:crosses val="autoZero"/>
        <c:auto val="1"/>
        <c:lblAlgn val="ctr"/>
        <c:lblOffset val="100"/>
        <c:noMultiLvlLbl val="0"/>
      </c:catAx>
      <c:valAx>
        <c:axId val="214137472"/>
        <c:scaling>
          <c:orientation val="minMax"/>
          <c:max val="60"/>
        </c:scaling>
        <c:delete val="0"/>
        <c:axPos val="r"/>
        <c:title>
          <c:tx>
            <c:rich>
              <a:bodyPr rot="-5400000" vert="horz"/>
              <a:lstStyle/>
              <a:p>
                <a:pPr algn="ctr">
                  <a:defRPr/>
                </a:pPr>
                <a:r>
                  <a:rPr lang="ru-RU"/>
                  <a:t>млн.транзакций</a:t>
                </a:r>
              </a:p>
            </c:rich>
          </c:tx>
          <c:layout>
            <c:manualLayout>
              <c:xMode val="edge"/>
              <c:yMode val="edge"/>
              <c:x val="0.9566859346861798"/>
              <c:y val="0.22337871828521438"/>
            </c:manualLayout>
          </c:layout>
          <c:overlay val="0"/>
          <c:spPr>
            <a:noFill/>
            <a:ln w="25329">
              <a:noFill/>
            </a:ln>
          </c:spPr>
        </c:title>
        <c:numFmt formatCode="#,##0" sourceLinked="0"/>
        <c:majorTickMark val="cross"/>
        <c:minorTickMark val="none"/>
        <c:tickLblPos val="nextTo"/>
        <c:spPr>
          <a:ln w="3166">
            <a:solidFill>
              <a:srgbClr val="000000"/>
            </a:solidFill>
            <a:prstDash val="solid"/>
          </a:ln>
        </c:spPr>
        <c:txPr>
          <a:bodyPr rot="0" vert="horz"/>
          <a:lstStyle/>
          <a:p>
            <a:pPr>
              <a:defRPr/>
            </a:pPr>
            <a:endParaRPr lang="ru-RU"/>
          </a:p>
        </c:txPr>
        <c:crossAx val="214135936"/>
        <c:crosses val="max"/>
        <c:crossBetween val="between"/>
        <c:majorUnit val="15"/>
        <c:minorUnit val="15"/>
      </c:valAx>
      <c:spPr>
        <a:noFill/>
        <a:ln w="25399">
          <a:noFill/>
        </a:ln>
      </c:spPr>
    </c:plotArea>
    <c:legend>
      <c:legendPos val="r"/>
      <c:layout>
        <c:manualLayout>
          <c:xMode val="edge"/>
          <c:yMode val="edge"/>
          <c:x val="0.13290116459178011"/>
          <c:y val="0.8756758530183727"/>
          <c:w val="0.77957862271107159"/>
          <c:h val="9.1891951006124239E-2"/>
        </c:manualLayout>
      </c:layout>
      <c:overlay val="0"/>
      <c:spPr>
        <a:solidFill>
          <a:srgbClr val="FFFFFF"/>
        </a:solidFill>
        <a:ln w="25329">
          <a:noFill/>
        </a:ln>
      </c:spPr>
    </c:legend>
    <c:plotVisOnly val="1"/>
    <c:dispBlanksAs val="gap"/>
    <c:showDLblsOverMax val="0"/>
  </c:chart>
  <c:spPr>
    <a:solidFill>
      <a:srgbClr val="FFFFFF"/>
    </a:solidFill>
    <a:ln>
      <a:noFill/>
    </a:ln>
  </c:spPr>
  <c:txPr>
    <a:bodyPr/>
    <a:lstStyle/>
    <a:p>
      <a:pPr>
        <a:defRPr sz="998" b="0" i="0" u="none" strike="noStrike" baseline="0">
          <a:solidFill>
            <a:srgbClr val="000000"/>
          </a:solidFill>
          <a:latin typeface="+mn-lt"/>
          <a:ea typeface="Times New Roman"/>
          <a:cs typeface="Times New Roman" panose="02020603050405020304" pitchFamily="18" charset="0"/>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645045076004903"/>
          <c:y val="8.6989215333852871E-2"/>
          <c:w val="0.64275175550133457"/>
          <c:h val="0.83921699858864263"/>
        </c:manualLayout>
      </c:layout>
      <c:barChart>
        <c:barDir val="bar"/>
        <c:grouping val="clustered"/>
        <c:varyColors val="0"/>
        <c:ser>
          <c:idx val="0"/>
          <c:order val="0"/>
          <c:tx>
            <c:strRef>
              <c:f>Лист1!$B$1</c:f>
              <c:strCache>
                <c:ptCount val="1"/>
                <c:pt idx="0">
                  <c:v>2016</c:v>
                </c:pt>
              </c:strCache>
            </c:strRef>
          </c:tx>
          <c:spPr>
            <a:solidFill>
              <a:srgbClr val="339966"/>
            </a:solidFill>
          </c:spPr>
          <c:invertIfNegative val="0"/>
          <c:dLbls>
            <c:dLbl>
              <c:idx val="0"/>
              <c:layout>
                <c:manualLayout>
                  <c:x val="-1.2369409706139674E-2"/>
                  <c:y val="-1.3888888888888888E-2"/>
                </c:manualLayout>
              </c:layout>
              <c:showLegendKey val="0"/>
              <c:showVal val="1"/>
              <c:showCatName val="0"/>
              <c:showSerName val="0"/>
              <c:showPercent val="0"/>
              <c:showBubbleSize val="0"/>
            </c:dLbl>
            <c:dLbl>
              <c:idx val="1"/>
              <c:layout>
                <c:manualLayout>
                  <c:x val="0"/>
                  <c:y val="7.8008055099484837E-3"/>
                </c:manualLayout>
              </c:layout>
              <c:showLegendKey val="0"/>
              <c:showVal val="1"/>
              <c:showCatName val="0"/>
              <c:showSerName val="0"/>
              <c:showPercent val="0"/>
              <c:showBubbleSize val="0"/>
            </c:dLbl>
            <c:numFmt formatCode="#,##0" sourceLinked="0"/>
            <c:txPr>
              <a:bodyPr/>
              <a:lstStyle/>
              <a:p>
                <a:pPr>
                  <a:defRPr sz="900">
                    <a:solidFill>
                      <a:schemeClr val="tx1"/>
                    </a:solidFill>
                  </a:defRPr>
                </a:pPr>
                <a:endParaRPr lang="ru-RU"/>
              </a:p>
            </c:txPr>
            <c:showLegendKey val="0"/>
            <c:showVal val="1"/>
            <c:showCatName val="0"/>
            <c:showSerName val="0"/>
            <c:showPercent val="0"/>
            <c:showBubbleSize val="0"/>
            <c:showLeaderLines val="0"/>
          </c:dLbls>
          <c:cat>
            <c:strRef>
              <c:f>Лист1!$A$2:$A$7</c:f>
              <c:strCache>
                <c:ptCount val="6"/>
                <c:pt idx="0">
                  <c:v>Ценные бумаги</c:v>
                </c:pt>
                <c:pt idx="1">
                  <c:v>Депозиты</c:v>
                </c:pt>
                <c:pt idx="2">
                  <c:v>Операции с ин. валютой</c:v>
                </c:pt>
                <c:pt idx="3">
                  <c:v>Товары и услуги</c:v>
                </c:pt>
                <c:pt idx="4">
                  <c:v>Платежи в бюджет</c:v>
                </c:pt>
                <c:pt idx="5">
                  <c:v>Пенсион.платежи и пособия</c:v>
                </c:pt>
              </c:strCache>
            </c:strRef>
          </c:cat>
          <c:val>
            <c:numRef>
              <c:f>Лист1!$B$2:$B$7</c:f>
              <c:numCache>
                <c:formatCode>_-* #,##0.0_р_._-;\-* #,##0.0_р_._-;_-* "-"??_р_._-;_-@_-</c:formatCode>
                <c:ptCount val="6"/>
                <c:pt idx="0">
                  <c:v>201286.98213365028</c:v>
                </c:pt>
                <c:pt idx="1">
                  <c:v>74439.247060151465</c:v>
                </c:pt>
                <c:pt idx="2">
                  <c:v>28213.103618347977</c:v>
                </c:pt>
                <c:pt idx="3">
                  <c:v>23725.844480514061</c:v>
                </c:pt>
                <c:pt idx="4">
                  <c:v>10741.298528539766</c:v>
                </c:pt>
                <c:pt idx="5">
                  <c:v>6496.0457312848685</c:v>
                </c:pt>
              </c:numCache>
            </c:numRef>
          </c:val>
        </c:ser>
        <c:ser>
          <c:idx val="1"/>
          <c:order val="1"/>
          <c:tx>
            <c:strRef>
              <c:f>Лист1!$C$1</c:f>
              <c:strCache>
                <c:ptCount val="1"/>
                <c:pt idx="0">
                  <c:v>2015</c:v>
                </c:pt>
              </c:strCache>
            </c:strRef>
          </c:tx>
          <c:spPr>
            <a:solidFill>
              <a:schemeClr val="accent2">
                <a:lumMod val="20000"/>
                <a:lumOff val="80000"/>
              </a:schemeClr>
            </a:solidFill>
          </c:spPr>
          <c:invertIfNegative val="0"/>
          <c:dLbls>
            <c:numFmt formatCode="#,##0" sourceLinked="0"/>
            <c:txPr>
              <a:bodyPr/>
              <a:lstStyle/>
              <a:p>
                <a:pPr>
                  <a:defRPr sz="900">
                    <a:solidFill>
                      <a:schemeClr val="tx1"/>
                    </a:solidFill>
                  </a:defRPr>
                </a:pPr>
                <a:endParaRPr lang="ru-RU"/>
              </a:p>
            </c:txPr>
            <c:showLegendKey val="0"/>
            <c:showVal val="1"/>
            <c:showCatName val="0"/>
            <c:showSerName val="0"/>
            <c:showPercent val="0"/>
            <c:showBubbleSize val="0"/>
            <c:showLeaderLines val="0"/>
          </c:dLbls>
          <c:cat>
            <c:strRef>
              <c:f>Лист1!$A$2:$A$7</c:f>
              <c:strCache>
                <c:ptCount val="6"/>
                <c:pt idx="0">
                  <c:v>Ценные бумаги</c:v>
                </c:pt>
                <c:pt idx="1">
                  <c:v>Депозиты</c:v>
                </c:pt>
                <c:pt idx="2">
                  <c:v>Операции с ин. валютой</c:v>
                </c:pt>
                <c:pt idx="3">
                  <c:v>Товары и услуги</c:v>
                </c:pt>
                <c:pt idx="4">
                  <c:v>Платежи в бюджет</c:v>
                </c:pt>
                <c:pt idx="5">
                  <c:v>Пенсион.платежи и пособия</c:v>
                </c:pt>
              </c:strCache>
            </c:strRef>
          </c:cat>
          <c:val>
            <c:numRef>
              <c:f>Лист1!$C$2:$C$7</c:f>
              <c:numCache>
                <c:formatCode>_-* #,##0.0_р_._-;\-* #,##0.0_р_._-;_-* "-"??_р_._-;_-@_-</c:formatCode>
                <c:ptCount val="6"/>
                <c:pt idx="0">
                  <c:v>106659.27928492955</c:v>
                </c:pt>
                <c:pt idx="1">
                  <c:v>25159.844132390823</c:v>
                </c:pt>
                <c:pt idx="2">
                  <c:v>30893.65545523839</c:v>
                </c:pt>
                <c:pt idx="3">
                  <c:v>21764.407986509192</c:v>
                </c:pt>
                <c:pt idx="4">
                  <c:v>9868.7701997944005</c:v>
                </c:pt>
                <c:pt idx="5">
                  <c:v>4866.9650089705638</c:v>
                </c:pt>
              </c:numCache>
            </c:numRef>
          </c:val>
        </c:ser>
        <c:dLbls>
          <c:showLegendKey val="0"/>
          <c:showVal val="0"/>
          <c:showCatName val="0"/>
          <c:showSerName val="0"/>
          <c:showPercent val="0"/>
          <c:showBubbleSize val="0"/>
        </c:dLbls>
        <c:gapWidth val="60"/>
        <c:axId val="160132096"/>
        <c:axId val="160326400"/>
      </c:barChart>
      <c:catAx>
        <c:axId val="160132096"/>
        <c:scaling>
          <c:orientation val="minMax"/>
        </c:scaling>
        <c:delete val="0"/>
        <c:axPos val="l"/>
        <c:majorGridlines>
          <c:spPr>
            <a:ln>
              <a:solidFill>
                <a:schemeClr val="bg1">
                  <a:lumMod val="75000"/>
                </a:schemeClr>
              </a:solidFill>
              <a:prstDash val="sysDash"/>
            </a:ln>
          </c:spPr>
        </c:majorGridlines>
        <c:majorTickMark val="out"/>
        <c:minorTickMark val="none"/>
        <c:tickLblPos val="nextTo"/>
        <c:txPr>
          <a:bodyPr/>
          <a:lstStyle/>
          <a:p>
            <a:pPr>
              <a:defRPr sz="800">
                <a:solidFill>
                  <a:srgbClr val="0E4C28"/>
                </a:solidFill>
              </a:defRPr>
            </a:pPr>
            <a:endParaRPr lang="ru-RU"/>
          </a:p>
        </c:txPr>
        <c:crossAx val="160326400"/>
        <c:crosses val="autoZero"/>
        <c:auto val="1"/>
        <c:lblAlgn val="ctr"/>
        <c:lblOffset val="100"/>
        <c:noMultiLvlLbl val="0"/>
      </c:catAx>
      <c:valAx>
        <c:axId val="160326400"/>
        <c:scaling>
          <c:orientation val="minMax"/>
        </c:scaling>
        <c:delete val="1"/>
        <c:axPos val="b"/>
        <c:numFmt formatCode="_-* #,##0.0_р_._-;\-* #,##0.0_р_._-;_-* &quot;-&quot;??_р_._-;_-@_-" sourceLinked="1"/>
        <c:majorTickMark val="out"/>
        <c:minorTickMark val="none"/>
        <c:tickLblPos val="nextTo"/>
        <c:crossAx val="160132096"/>
        <c:crosses val="autoZero"/>
        <c:crossBetween val="between"/>
      </c:valAx>
      <c:spPr>
        <a:ln>
          <a:noFill/>
        </a:ln>
      </c:spPr>
    </c:plotArea>
    <c:legend>
      <c:legendPos val="b"/>
      <c:layout>
        <c:manualLayout>
          <c:xMode val="edge"/>
          <c:yMode val="edge"/>
          <c:x val="0.30665687251566492"/>
          <c:y val="0.92222410954977085"/>
          <c:w val="0.41214503362085753"/>
          <c:h val="7.7775971551943102E-2"/>
        </c:manualLayout>
      </c:layout>
      <c:overlay val="0"/>
      <c:txPr>
        <a:bodyPr/>
        <a:lstStyle/>
        <a:p>
          <a:pPr>
            <a:defRPr sz="1050">
              <a:solidFill>
                <a:srgbClr val="0E4C28"/>
              </a:solidFill>
            </a:defRPr>
          </a:pPr>
          <a:endParaRPr lang="ru-RU"/>
        </a:p>
      </c:txPr>
    </c:legend>
    <c:plotVisOnly val="1"/>
    <c:dispBlanksAs val="gap"/>
    <c:showDLblsOverMax val="0"/>
  </c:chart>
  <c:spPr>
    <a:ln>
      <a:noFill/>
    </a:ln>
  </c:spPr>
  <c:externalData r:id="rId1">
    <c:autoUpdate val="0"/>
  </c:externalData>
  <c:userShapes r:id="rId2"/>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3333333333333331"/>
          <c:y val="3.2034224068448136E-2"/>
          <c:w val="0.6300970359161131"/>
          <c:h val="0.52748381601805228"/>
        </c:manualLayout>
      </c:layout>
      <c:barChart>
        <c:barDir val="col"/>
        <c:grouping val="clustered"/>
        <c:varyColors val="0"/>
        <c:ser>
          <c:idx val="1"/>
          <c:order val="0"/>
          <c:tx>
            <c:strRef>
              <c:f>Sheet1!$A$2</c:f>
              <c:strCache>
                <c:ptCount val="1"/>
                <c:pt idx="0">
                  <c:v>Карточки в обращении (тыс. ед.)</c:v>
                </c:pt>
              </c:strCache>
            </c:strRef>
          </c:tx>
          <c:invertIfNegative val="0"/>
          <c:cat>
            <c:numRef>
              <c:f>Sheet1!$B$1:$H$1</c:f>
              <c:numCache>
                <c:formatCode>General</c:formatCode>
                <c:ptCount val="7"/>
                <c:pt idx="0">
                  <c:v>2010</c:v>
                </c:pt>
                <c:pt idx="1">
                  <c:v>2011</c:v>
                </c:pt>
                <c:pt idx="2">
                  <c:v>2012</c:v>
                </c:pt>
                <c:pt idx="3">
                  <c:v>2013</c:v>
                </c:pt>
                <c:pt idx="4">
                  <c:v>2014</c:v>
                </c:pt>
                <c:pt idx="5">
                  <c:v>2015</c:v>
                </c:pt>
                <c:pt idx="6">
                  <c:v>2016</c:v>
                </c:pt>
              </c:numCache>
            </c:numRef>
          </c:cat>
          <c:val>
            <c:numRef>
              <c:f>Sheet1!$B$2:$H$2</c:f>
              <c:numCache>
                <c:formatCode>#,##0.0</c:formatCode>
                <c:ptCount val="7"/>
                <c:pt idx="0">
                  <c:v>8516.6</c:v>
                </c:pt>
                <c:pt idx="1">
                  <c:v>9367</c:v>
                </c:pt>
                <c:pt idx="2">
                  <c:v>11753.3</c:v>
                </c:pt>
                <c:pt idx="3">
                  <c:v>15027</c:v>
                </c:pt>
                <c:pt idx="4">
                  <c:v>16987.599999999999</c:v>
                </c:pt>
                <c:pt idx="5">
                  <c:v>16666.2</c:v>
                </c:pt>
                <c:pt idx="6">
                  <c:v>15702.796999999997</c:v>
                </c:pt>
              </c:numCache>
            </c:numRef>
          </c:val>
        </c:ser>
        <c:ser>
          <c:idx val="0"/>
          <c:order val="1"/>
          <c:tx>
            <c:strRef>
              <c:f>Sheet1!$A$3</c:f>
              <c:strCache>
                <c:ptCount val="1"/>
                <c:pt idx="0">
                  <c:v>Держатели карточек (тыс. чел.)</c:v>
                </c:pt>
              </c:strCache>
            </c:strRef>
          </c:tx>
          <c:invertIfNegative val="0"/>
          <c:cat>
            <c:numRef>
              <c:f>Sheet1!$B$1:$H$1</c:f>
              <c:numCache>
                <c:formatCode>General</c:formatCode>
                <c:ptCount val="7"/>
                <c:pt idx="0">
                  <c:v>2010</c:v>
                </c:pt>
                <c:pt idx="1">
                  <c:v>2011</c:v>
                </c:pt>
                <c:pt idx="2">
                  <c:v>2012</c:v>
                </c:pt>
                <c:pt idx="3">
                  <c:v>2013</c:v>
                </c:pt>
                <c:pt idx="4">
                  <c:v>2014</c:v>
                </c:pt>
                <c:pt idx="5">
                  <c:v>2015</c:v>
                </c:pt>
                <c:pt idx="6">
                  <c:v>2016</c:v>
                </c:pt>
              </c:numCache>
            </c:numRef>
          </c:cat>
          <c:val>
            <c:numRef>
              <c:f>Sheet1!$B$3:$H$3</c:f>
              <c:numCache>
                <c:formatCode>#,##0.0</c:formatCode>
                <c:ptCount val="7"/>
                <c:pt idx="0">
                  <c:v>7943.5</c:v>
                </c:pt>
                <c:pt idx="1">
                  <c:v>8703</c:v>
                </c:pt>
                <c:pt idx="2">
                  <c:v>10748.1</c:v>
                </c:pt>
                <c:pt idx="3">
                  <c:v>13388.3</c:v>
                </c:pt>
                <c:pt idx="4">
                  <c:v>14912.7</c:v>
                </c:pt>
                <c:pt idx="5">
                  <c:v>14546.6</c:v>
                </c:pt>
                <c:pt idx="6">
                  <c:v>14208.850999999999</c:v>
                </c:pt>
              </c:numCache>
            </c:numRef>
          </c:val>
        </c:ser>
        <c:dLbls>
          <c:showLegendKey val="0"/>
          <c:showVal val="0"/>
          <c:showCatName val="0"/>
          <c:showSerName val="0"/>
          <c:showPercent val="0"/>
          <c:showBubbleSize val="0"/>
        </c:dLbls>
        <c:gapWidth val="150"/>
        <c:axId val="214884736"/>
        <c:axId val="214886272"/>
      </c:barChart>
      <c:catAx>
        <c:axId val="214884736"/>
        <c:scaling>
          <c:orientation val="minMax"/>
        </c:scaling>
        <c:delete val="0"/>
        <c:axPos val="b"/>
        <c:numFmt formatCode="General" sourceLinked="1"/>
        <c:majorTickMark val="out"/>
        <c:minorTickMark val="none"/>
        <c:tickLblPos val="nextTo"/>
        <c:txPr>
          <a:bodyPr rot="0" vert="horz"/>
          <a:lstStyle/>
          <a:p>
            <a:pPr>
              <a:defRPr/>
            </a:pPr>
            <a:endParaRPr lang="ru-RU"/>
          </a:p>
        </c:txPr>
        <c:crossAx val="214886272"/>
        <c:crosses val="autoZero"/>
        <c:auto val="0"/>
        <c:lblAlgn val="ctr"/>
        <c:lblOffset val="100"/>
        <c:tickMarkSkip val="1"/>
        <c:noMultiLvlLbl val="0"/>
      </c:catAx>
      <c:valAx>
        <c:axId val="214886272"/>
        <c:scaling>
          <c:orientation val="minMax"/>
          <c:max val="17000"/>
          <c:min val="0"/>
        </c:scaling>
        <c:delete val="0"/>
        <c:axPos val="l"/>
        <c:title>
          <c:tx>
            <c:rich>
              <a:bodyPr rot="0" vert="horz"/>
              <a:lstStyle/>
              <a:p>
                <a:pPr algn="ctr">
                  <a:defRPr sz="1000" b="1" i="0" u="none" strike="noStrike" baseline="0">
                    <a:solidFill>
                      <a:srgbClr val="000000"/>
                    </a:solidFill>
                    <a:latin typeface="Calibri"/>
                    <a:ea typeface="Calibri"/>
                    <a:cs typeface="Calibri"/>
                  </a:defRPr>
                </a:pPr>
                <a:r>
                  <a:rPr lang="ru-RU"/>
                  <a:t>        тыс. ед.</a:t>
                </a:r>
              </a:p>
            </c:rich>
          </c:tx>
          <c:layout>
            <c:manualLayout>
              <c:xMode val="edge"/>
              <c:yMode val="edge"/>
              <c:x val="0.13029320439719572"/>
              <c:y val="0.14494364675003862"/>
            </c:manualLayout>
          </c:layout>
          <c:overlay val="0"/>
        </c:title>
        <c:numFmt formatCode="#,##0" sourceLinked="0"/>
        <c:majorTickMark val="out"/>
        <c:minorTickMark val="none"/>
        <c:tickLblPos val="nextTo"/>
        <c:txPr>
          <a:bodyPr rot="0" vert="horz"/>
          <a:lstStyle/>
          <a:p>
            <a:pPr>
              <a:defRPr/>
            </a:pPr>
            <a:endParaRPr lang="ru-RU"/>
          </a:p>
        </c:txPr>
        <c:crossAx val="214884736"/>
        <c:crosses val="autoZero"/>
        <c:crossBetween val="between"/>
        <c:majorUnit val="3000"/>
        <c:minorUnit val="1000"/>
      </c:valAx>
      <c:dTable>
        <c:showHorzBorder val="1"/>
        <c:showVertBorder val="1"/>
        <c:showOutline val="1"/>
        <c:showKeys val="1"/>
      </c:dTable>
    </c:plotArea>
    <c:plotVisOnly val="1"/>
    <c:dispBlanksAs val="gap"/>
    <c:showDLblsOverMax val="0"/>
  </c:chart>
  <c:spPr>
    <a:ln>
      <a:noFill/>
    </a:ln>
  </c:sp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6.8800032328330693E-2"/>
          <c:y val="9.9646573405881678E-2"/>
          <c:w val="0.91821655880801156"/>
          <c:h val="0.57070224300565053"/>
        </c:manualLayout>
      </c:layout>
      <c:pie3DChart>
        <c:varyColors val="1"/>
        <c:ser>
          <c:idx val="1"/>
          <c:order val="0"/>
          <c:tx>
            <c:strRef>
              <c:f>Sheet1!$B$1</c:f>
              <c:strCache>
                <c:ptCount val="1"/>
                <c:pt idx="0">
                  <c:v>2016 год</c:v>
                </c:pt>
              </c:strCache>
            </c:strRef>
          </c:tx>
          <c:dPt>
            <c:idx val="0"/>
            <c:bubble3D val="0"/>
          </c:dPt>
          <c:dPt>
            <c:idx val="1"/>
            <c:bubble3D val="0"/>
          </c:dPt>
          <c:dPt>
            <c:idx val="2"/>
            <c:bubble3D val="0"/>
          </c:dPt>
          <c:dPt>
            <c:idx val="3"/>
            <c:bubble3D val="0"/>
          </c:dPt>
          <c:dPt>
            <c:idx val="4"/>
            <c:bubble3D val="0"/>
          </c:dPt>
          <c:dPt>
            <c:idx val="5"/>
            <c:bubble3D val="0"/>
          </c:dPt>
          <c:dLbls>
            <c:dLbl>
              <c:idx val="0"/>
              <c:layout>
                <c:manualLayout>
                  <c:x val="-2.9352205523434241E-3"/>
                  <c:y val="7.1839607539171471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2.317599885297638E-2"/>
                  <c:y val="0.37921356624847391"/>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2"/>
              <c:layout>
                <c:manualLayout>
                  <c:x val="-4.1470884841684867E-2"/>
                  <c:y val="-2.8340496739217642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3"/>
              <c:layout>
                <c:manualLayout>
                  <c:x val="2.0257124348006118E-2"/>
                  <c:y val="-2.9196437781521853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4"/>
              <c:layout>
                <c:manualLayout>
                  <c:x val="4.5297841000429023E-2"/>
                  <c:y val="-1.4140348443222704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5"/>
              <c:layout>
                <c:manualLayout>
                  <c:x val="0.2265964400491445"/>
                  <c:y val="7.4729176598227962E-3"/>
                </c:manualLayout>
              </c:layout>
              <c:numFmt formatCode="0.0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Sheet1!$A$2:$A$7</c:f>
              <c:strCache>
                <c:ptCount val="6"/>
                <c:pt idx="0">
                  <c:v>Visa International</c:v>
                </c:pt>
                <c:pt idx="1">
                  <c:v>MasterCard Worldwide</c:v>
                </c:pt>
                <c:pt idx="2">
                  <c:v>American Express International</c:v>
                </c:pt>
                <c:pt idx="3">
                  <c:v>UnionPay International</c:v>
                </c:pt>
                <c:pt idx="4">
                  <c:v>Altyn Card</c:v>
                </c:pt>
                <c:pt idx="5">
                  <c:v>Карточки Ситибанка</c:v>
                </c:pt>
              </c:strCache>
            </c:strRef>
          </c:cat>
          <c:val>
            <c:numRef>
              <c:f>Sheet1!$B$2:$B$7</c:f>
              <c:numCache>
                <c:formatCode>#,##0</c:formatCode>
                <c:ptCount val="6"/>
                <c:pt idx="0">
                  <c:v>11167480</c:v>
                </c:pt>
                <c:pt idx="1">
                  <c:v>3099110</c:v>
                </c:pt>
                <c:pt idx="2">
                  <c:v>54721</c:v>
                </c:pt>
                <c:pt idx="3">
                  <c:v>1183337</c:v>
                </c:pt>
                <c:pt idx="4">
                  <c:v>197992</c:v>
                </c:pt>
                <c:pt idx="5">
                  <c:v>157</c:v>
                </c:pt>
              </c:numCache>
            </c:numRef>
          </c:val>
        </c:ser>
        <c:dLbls>
          <c:showLegendKey val="0"/>
          <c:showVal val="0"/>
          <c:showCatName val="0"/>
          <c:showSerName val="0"/>
          <c:showPercent val="0"/>
          <c:showBubbleSize val="0"/>
          <c:showLeaderLines val="0"/>
        </c:dLbls>
      </c:pie3DChart>
      <c:spPr>
        <a:noFill/>
        <a:ln w="25399">
          <a:noFill/>
        </a:ln>
      </c:spPr>
    </c:plotArea>
    <c:legend>
      <c:legendPos val="r"/>
      <c:layout>
        <c:manualLayout>
          <c:xMode val="edge"/>
          <c:yMode val="edge"/>
          <c:x val="0"/>
          <c:y val="0.70288921804336291"/>
          <c:w val="0.99503261908099427"/>
          <c:h val="0.29406621264387084"/>
        </c:manualLayout>
      </c:layout>
      <c:overlay val="1"/>
      <c:txPr>
        <a:bodyPr/>
        <a:lstStyle/>
        <a:p>
          <a:pPr>
            <a:defRPr sz="800"/>
          </a:pPr>
          <a:endParaRPr lang="ru-RU"/>
        </a:p>
      </c:txPr>
    </c:legend>
    <c:plotVisOnly val="1"/>
    <c:dispBlanksAs val="zero"/>
    <c:showDLblsOverMax val="1"/>
  </c:chart>
  <c:spPr>
    <a:ln>
      <a:noFill/>
    </a:ln>
  </c:sp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2.3132903841565247E-3"/>
          <c:y val="0.16842105263157892"/>
          <c:w val="0.99755935337628254"/>
          <c:h val="0.6277160051963202"/>
        </c:manualLayout>
      </c:layout>
      <c:pie3DChart>
        <c:varyColors val="1"/>
        <c:ser>
          <c:idx val="1"/>
          <c:order val="0"/>
          <c:tx>
            <c:strRef>
              <c:f>Sheet1!$B$1</c:f>
              <c:strCache>
                <c:ptCount val="1"/>
                <c:pt idx="0">
                  <c:v>2016 год</c:v>
                </c:pt>
              </c:strCache>
            </c:strRef>
          </c:tx>
          <c:dPt>
            <c:idx val="0"/>
            <c:bubble3D val="0"/>
          </c:dPt>
          <c:dPt>
            <c:idx val="1"/>
            <c:bubble3D val="0"/>
          </c:dPt>
          <c:dPt>
            <c:idx val="2"/>
            <c:bubble3D val="0"/>
          </c:dPt>
          <c:dLbls>
            <c:dLbl>
              <c:idx val="0"/>
              <c:layout>
                <c:manualLayout>
                  <c:x val="-4.5231448341684563E-2"/>
                  <c:y val="3.9615048118985127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2.0165397521165019E-2"/>
                  <c:y val="-6.4948302991323092E-2"/>
                </c:manualLayout>
              </c:layout>
              <c:numFmt formatCode="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Sheet1!$A$2:$A$4</c:f>
              <c:strCache>
                <c:ptCount val="3"/>
                <c:pt idx="0">
                  <c:v>Дебетные</c:v>
                </c:pt>
                <c:pt idx="1">
                  <c:v>Кредитные</c:v>
                </c:pt>
                <c:pt idx="2">
                  <c:v>Иные</c:v>
                </c:pt>
              </c:strCache>
            </c:strRef>
          </c:cat>
          <c:val>
            <c:numRef>
              <c:f>Sheet1!$B$2:$B$4</c:f>
              <c:numCache>
                <c:formatCode>#,##0</c:formatCode>
                <c:ptCount val="3"/>
                <c:pt idx="0">
                  <c:v>12722909</c:v>
                </c:pt>
                <c:pt idx="1">
                  <c:v>2374132</c:v>
                </c:pt>
                <c:pt idx="2">
                  <c:v>605756</c:v>
                </c:pt>
              </c:numCache>
            </c:numRef>
          </c:val>
        </c:ser>
        <c:dLbls>
          <c:showLegendKey val="0"/>
          <c:showVal val="0"/>
          <c:showCatName val="0"/>
          <c:showSerName val="0"/>
          <c:showPercent val="0"/>
          <c:showBubbleSize val="0"/>
          <c:showLeaderLines val="0"/>
        </c:dLbls>
      </c:pie3DChart>
      <c:spPr>
        <a:noFill/>
        <a:ln w="25401">
          <a:noFill/>
        </a:ln>
      </c:spPr>
    </c:plotArea>
    <c:legend>
      <c:legendPos val="r"/>
      <c:layout>
        <c:manualLayout>
          <c:xMode val="edge"/>
          <c:yMode val="edge"/>
          <c:x val="7.7712777100045594E-2"/>
          <c:y val="0.83720202782871322"/>
          <c:w val="0.82991201803999859"/>
          <c:h val="0.15957465933196702"/>
        </c:manualLayout>
      </c:layout>
      <c:overlay val="1"/>
    </c:legend>
    <c:plotVisOnly val="1"/>
    <c:dispBlanksAs val="zero"/>
    <c:showDLblsOverMax val="1"/>
  </c:chart>
  <c:spPr>
    <a:ln>
      <a:noFill/>
    </a:ln>
  </c:sp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solidFill>
                  <a:srgbClr val="0E4C28"/>
                </a:solidFill>
              </a:defRPr>
            </a:pPr>
            <a:r>
              <a:rPr lang="ru-RU" sz="1200">
                <a:solidFill>
                  <a:srgbClr val="0E4C28"/>
                </a:solidFill>
              </a:rPr>
              <a:t>Сумма (млрд. тенге)</a:t>
            </a:r>
          </a:p>
        </c:rich>
      </c:tx>
      <c:layout>
        <c:manualLayout>
          <c:xMode val="edge"/>
          <c:yMode val="edge"/>
          <c:x val="0.23264595303965382"/>
          <c:y val="0"/>
        </c:manualLayout>
      </c:layout>
      <c:overlay val="0"/>
    </c:title>
    <c:autoTitleDeleted val="0"/>
    <c:plotArea>
      <c:layout>
        <c:manualLayout>
          <c:layoutTarget val="inner"/>
          <c:xMode val="edge"/>
          <c:yMode val="edge"/>
          <c:x val="0.14453890065308417"/>
          <c:y val="9.3583406828376917E-2"/>
          <c:w val="0.7787181154390852"/>
          <c:h val="0.69036800913480978"/>
        </c:manualLayout>
      </c:layout>
      <c:barChart>
        <c:barDir val="bar"/>
        <c:grouping val="clustered"/>
        <c:varyColors val="0"/>
        <c:ser>
          <c:idx val="0"/>
          <c:order val="0"/>
          <c:tx>
            <c:strRef>
              <c:f>Лист1!$A$2</c:f>
              <c:strCache>
                <c:ptCount val="1"/>
                <c:pt idx="0">
                  <c:v>безналичные транзакции</c:v>
                </c:pt>
              </c:strCache>
            </c:strRef>
          </c:tx>
          <c:invertIfNegative val="0"/>
          <c:dLbls>
            <c:showLegendKey val="0"/>
            <c:showVal val="1"/>
            <c:showCatName val="0"/>
            <c:showSerName val="0"/>
            <c:showPercent val="0"/>
            <c:showBubbleSize val="0"/>
            <c:showLeaderLines val="0"/>
          </c:dLbls>
          <c:cat>
            <c:strRef>
              <c:f>Лист1!$B$1:$F$1</c:f>
              <c:strCache>
                <c:ptCount val="5"/>
                <c:pt idx="0">
                  <c:v>2012</c:v>
                </c:pt>
                <c:pt idx="1">
                  <c:v>2013</c:v>
                </c:pt>
                <c:pt idx="2">
                  <c:v>2014</c:v>
                </c:pt>
                <c:pt idx="3">
                  <c:v>2015</c:v>
                </c:pt>
                <c:pt idx="4">
                  <c:v>2016</c:v>
                </c:pt>
              </c:strCache>
            </c:strRef>
          </c:cat>
          <c:val>
            <c:numRef>
              <c:f>Лист1!$B$2:$F$2</c:f>
              <c:numCache>
                <c:formatCode>#,##0.0</c:formatCode>
                <c:ptCount val="5"/>
                <c:pt idx="0">
                  <c:v>769.41225638110006</c:v>
                </c:pt>
                <c:pt idx="1">
                  <c:v>921.77424034070998</c:v>
                </c:pt>
                <c:pt idx="2">
                  <c:v>988.94564469189982</c:v>
                </c:pt>
                <c:pt idx="3">
                  <c:v>1030.5285055199997</c:v>
                </c:pt>
                <c:pt idx="4">
                  <c:v>1620.2145364621999</c:v>
                </c:pt>
              </c:numCache>
            </c:numRef>
          </c:val>
        </c:ser>
        <c:ser>
          <c:idx val="1"/>
          <c:order val="1"/>
          <c:tx>
            <c:strRef>
              <c:f>Лист1!$A$3</c:f>
              <c:strCache>
                <c:ptCount val="1"/>
                <c:pt idx="0">
                  <c:v>снятие наличных</c:v>
                </c:pt>
              </c:strCache>
            </c:strRef>
          </c:tx>
          <c:invertIfNegative val="0"/>
          <c:dLbls>
            <c:showLegendKey val="0"/>
            <c:showVal val="1"/>
            <c:showCatName val="0"/>
            <c:showSerName val="0"/>
            <c:showPercent val="0"/>
            <c:showBubbleSize val="0"/>
            <c:showLeaderLines val="0"/>
          </c:dLbls>
          <c:cat>
            <c:strRef>
              <c:f>Лист1!$B$1:$F$1</c:f>
              <c:strCache>
                <c:ptCount val="5"/>
                <c:pt idx="0">
                  <c:v>2012</c:v>
                </c:pt>
                <c:pt idx="1">
                  <c:v>2013</c:v>
                </c:pt>
                <c:pt idx="2">
                  <c:v>2014</c:v>
                </c:pt>
                <c:pt idx="3">
                  <c:v>2015</c:v>
                </c:pt>
                <c:pt idx="4">
                  <c:v>2016</c:v>
                </c:pt>
              </c:strCache>
            </c:strRef>
          </c:cat>
          <c:val>
            <c:numRef>
              <c:f>Лист1!$B$3:$F$3</c:f>
              <c:numCache>
                <c:formatCode>#,##0.0</c:formatCode>
                <c:ptCount val="5"/>
                <c:pt idx="0">
                  <c:v>4793.1447674945803</c:v>
                </c:pt>
                <c:pt idx="1">
                  <c:v>5615.5294537466789</c:v>
                </c:pt>
                <c:pt idx="2">
                  <c:v>6745.7208793892532</c:v>
                </c:pt>
                <c:pt idx="3">
                  <c:v>7244.1641322689993</c:v>
                </c:pt>
                <c:pt idx="4">
                  <c:v>8797.8838538460986</c:v>
                </c:pt>
              </c:numCache>
            </c:numRef>
          </c:val>
        </c:ser>
        <c:dLbls>
          <c:showLegendKey val="0"/>
          <c:showVal val="0"/>
          <c:showCatName val="0"/>
          <c:showSerName val="0"/>
          <c:showPercent val="0"/>
          <c:showBubbleSize val="0"/>
        </c:dLbls>
        <c:gapWidth val="150"/>
        <c:axId val="215519232"/>
        <c:axId val="215520768"/>
      </c:barChart>
      <c:catAx>
        <c:axId val="215519232"/>
        <c:scaling>
          <c:orientation val="minMax"/>
        </c:scaling>
        <c:delete val="0"/>
        <c:axPos val="l"/>
        <c:numFmt formatCode="General" sourceLinked="1"/>
        <c:majorTickMark val="out"/>
        <c:minorTickMark val="none"/>
        <c:tickLblPos val="nextTo"/>
        <c:crossAx val="215520768"/>
        <c:crosses val="autoZero"/>
        <c:auto val="1"/>
        <c:lblAlgn val="ctr"/>
        <c:lblOffset val="100"/>
        <c:noMultiLvlLbl val="0"/>
      </c:catAx>
      <c:valAx>
        <c:axId val="215520768"/>
        <c:scaling>
          <c:orientation val="minMax"/>
        </c:scaling>
        <c:delete val="0"/>
        <c:axPos val="b"/>
        <c:numFmt formatCode="#,##0" sourceLinked="0"/>
        <c:majorTickMark val="out"/>
        <c:minorTickMark val="none"/>
        <c:tickLblPos val="nextTo"/>
        <c:crossAx val="215519232"/>
        <c:crosses val="autoZero"/>
        <c:crossBetween val="between"/>
        <c:majorUnit val="2000"/>
      </c:valAx>
    </c:plotArea>
    <c:legend>
      <c:legendPos val="r"/>
      <c:layout>
        <c:manualLayout>
          <c:xMode val="edge"/>
          <c:yMode val="edge"/>
          <c:x val="0"/>
          <c:y val="0.92545544638778554"/>
          <c:w val="0.98322728240051083"/>
          <c:h val="7.1477403820097707E-2"/>
        </c:manualLayout>
      </c:layout>
      <c:overlay val="0"/>
    </c:legend>
    <c:plotVisOnly val="1"/>
    <c:dispBlanksAs val="gap"/>
    <c:showDLblsOverMax val="0"/>
  </c:chart>
  <c:spPr>
    <a:ln>
      <a:noFill/>
    </a:ln>
  </c:sp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99">
                <a:solidFill>
                  <a:srgbClr val="0E4C28"/>
                </a:solidFill>
              </a:defRPr>
            </a:pPr>
            <a:r>
              <a:rPr lang="ru-RU" sz="1200">
                <a:solidFill>
                  <a:srgbClr val="0E4C28"/>
                </a:solidFill>
              </a:rPr>
              <a:t>Количество (млн. транз.)</a:t>
            </a:r>
          </a:p>
        </c:rich>
      </c:tx>
      <c:layout>
        <c:manualLayout>
          <c:xMode val="edge"/>
          <c:yMode val="edge"/>
          <c:x val="0.14571739853273058"/>
          <c:y val="0"/>
        </c:manualLayout>
      </c:layout>
      <c:overlay val="0"/>
    </c:title>
    <c:autoTitleDeleted val="0"/>
    <c:plotArea>
      <c:layout>
        <c:manualLayout>
          <c:layoutTarget val="inner"/>
          <c:xMode val="edge"/>
          <c:yMode val="edge"/>
          <c:x val="0.18302522354197251"/>
          <c:y val="8.5889726417649748E-2"/>
          <c:w val="0.75777122180876211"/>
          <c:h val="0.70060846251145681"/>
        </c:manualLayout>
      </c:layout>
      <c:barChart>
        <c:barDir val="bar"/>
        <c:grouping val="clustered"/>
        <c:varyColors val="0"/>
        <c:ser>
          <c:idx val="0"/>
          <c:order val="0"/>
          <c:tx>
            <c:strRef>
              <c:f>Лист1!$A$2</c:f>
              <c:strCache>
                <c:ptCount val="1"/>
                <c:pt idx="0">
                  <c:v>безналичные транзакции</c:v>
                </c:pt>
              </c:strCache>
            </c:strRef>
          </c:tx>
          <c:invertIfNegative val="0"/>
          <c:dLbls>
            <c:showLegendKey val="0"/>
            <c:showVal val="1"/>
            <c:showCatName val="0"/>
            <c:showSerName val="0"/>
            <c:showPercent val="0"/>
            <c:showBubbleSize val="0"/>
            <c:showLeaderLines val="0"/>
          </c:dLbls>
          <c:cat>
            <c:strRef>
              <c:f>Лист1!$B$1:$F$1</c:f>
              <c:strCache>
                <c:ptCount val="5"/>
                <c:pt idx="0">
                  <c:v>2012</c:v>
                </c:pt>
                <c:pt idx="1">
                  <c:v>2013</c:v>
                </c:pt>
                <c:pt idx="2">
                  <c:v>2014</c:v>
                </c:pt>
                <c:pt idx="3">
                  <c:v>2015</c:v>
                </c:pt>
                <c:pt idx="4">
                  <c:v>2016</c:v>
                </c:pt>
              </c:strCache>
            </c:strRef>
          </c:cat>
          <c:val>
            <c:numRef>
              <c:f>Лист1!$B$2:$F$2</c:f>
              <c:numCache>
                <c:formatCode>#,##0.0</c:formatCode>
                <c:ptCount val="5"/>
                <c:pt idx="0">
                  <c:v>41.214684999999996</c:v>
                </c:pt>
                <c:pt idx="1">
                  <c:v>54.099231000000003</c:v>
                </c:pt>
                <c:pt idx="2">
                  <c:v>64.746750999999989</c:v>
                </c:pt>
                <c:pt idx="3">
                  <c:v>84.586398000000003</c:v>
                </c:pt>
                <c:pt idx="4">
                  <c:v>120.54583600000001</c:v>
                </c:pt>
              </c:numCache>
            </c:numRef>
          </c:val>
        </c:ser>
        <c:ser>
          <c:idx val="1"/>
          <c:order val="1"/>
          <c:tx>
            <c:strRef>
              <c:f>Лист1!$A$3</c:f>
              <c:strCache>
                <c:ptCount val="1"/>
                <c:pt idx="0">
                  <c:v>снятие наличных</c:v>
                </c:pt>
              </c:strCache>
            </c:strRef>
          </c:tx>
          <c:invertIfNegative val="0"/>
          <c:dLbls>
            <c:showLegendKey val="0"/>
            <c:showVal val="1"/>
            <c:showCatName val="0"/>
            <c:showSerName val="0"/>
            <c:showPercent val="0"/>
            <c:showBubbleSize val="0"/>
            <c:showLeaderLines val="0"/>
          </c:dLbls>
          <c:cat>
            <c:strRef>
              <c:f>Лист1!$B$1:$F$1</c:f>
              <c:strCache>
                <c:ptCount val="5"/>
                <c:pt idx="0">
                  <c:v>2012</c:v>
                </c:pt>
                <c:pt idx="1">
                  <c:v>2013</c:v>
                </c:pt>
                <c:pt idx="2">
                  <c:v>2014</c:v>
                </c:pt>
                <c:pt idx="3">
                  <c:v>2015</c:v>
                </c:pt>
                <c:pt idx="4">
                  <c:v>2016</c:v>
                </c:pt>
              </c:strCache>
            </c:strRef>
          </c:cat>
          <c:val>
            <c:numRef>
              <c:f>Лист1!$B$3:$F$3</c:f>
              <c:numCache>
                <c:formatCode>#,##0.0</c:formatCode>
                <c:ptCount val="5"/>
                <c:pt idx="0">
                  <c:v>146.43117399999997</c:v>
                </c:pt>
                <c:pt idx="1">
                  <c:v>160.977023</c:v>
                </c:pt>
                <c:pt idx="2">
                  <c:v>175.94422499999999</c:v>
                </c:pt>
                <c:pt idx="3">
                  <c:v>186.866207</c:v>
                </c:pt>
                <c:pt idx="4">
                  <c:v>210.55898899999997</c:v>
                </c:pt>
              </c:numCache>
            </c:numRef>
          </c:val>
        </c:ser>
        <c:dLbls>
          <c:showLegendKey val="0"/>
          <c:showVal val="0"/>
          <c:showCatName val="0"/>
          <c:showSerName val="0"/>
          <c:showPercent val="0"/>
          <c:showBubbleSize val="0"/>
        </c:dLbls>
        <c:gapWidth val="150"/>
        <c:axId val="217054208"/>
        <c:axId val="218911488"/>
      </c:barChart>
      <c:catAx>
        <c:axId val="217054208"/>
        <c:scaling>
          <c:orientation val="minMax"/>
        </c:scaling>
        <c:delete val="0"/>
        <c:axPos val="l"/>
        <c:numFmt formatCode="General" sourceLinked="1"/>
        <c:majorTickMark val="out"/>
        <c:minorTickMark val="none"/>
        <c:tickLblPos val="nextTo"/>
        <c:crossAx val="218911488"/>
        <c:crosses val="autoZero"/>
        <c:auto val="1"/>
        <c:lblAlgn val="ctr"/>
        <c:lblOffset val="100"/>
        <c:noMultiLvlLbl val="0"/>
      </c:catAx>
      <c:valAx>
        <c:axId val="218911488"/>
        <c:scaling>
          <c:orientation val="minMax"/>
        </c:scaling>
        <c:delete val="0"/>
        <c:axPos val="b"/>
        <c:numFmt formatCode="#,##0" sourceLinked="0"/>
        <c:majorTickMark val="out"/>
        <c:minorTickMark val="none"/>
        <c:tickLblPos val="nextTo"/>
        <c:crossAx val="217054208"/>
        <c:crosses val="autoZero"/>
        <c:crossBetween val="between"/>
      </c:valAx>
    </c:plotArea>
    <c:legend>
      <c:legendPos val="r"/>
      <c:layout>
        <c:manualLayout>
          <c:xMode val="edge"/>
          <c:yMode val="edge"/>
          <c:x val="0"/>
          <c:y val="0.91841943347586008"/>
          <c:w val="0.9765137848334996"/>
          <c:h val="8.1580566524139919E-2"/>
        </c:manualLayout>
      </c:layout>
      <c:overlay val="0"/>
    </c:legend>
    <c:plotVisOnly val="1"/>
    <c:dispBlanksAs val="gap"/>
    <c:showDLblsOverMax val="0"/>
  </c:chart>
  <c:spPr>
    <a:ln>
      <a:noFill/>
    </a:ln>
  </c:sp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98442694663167"/>
          <c:y val="0"/>
          <c:w val="0.54435450568678911"/>
          <c:h val="0.77298683357227871"/>
        </c:manualLayout>
      </c:layout>
      <c:doughnutChart>
        <c:varyColors val="1"/>
        <c:ser>
          <c:idx val="0"/>
          <c:order val="0"/>
          <c:tx>
            <c:strRef>
              <c:f>Лист1!$B$1</c:f>
              <c:strCache>
                <c:ptCount val="1"/>
                <c:pt idx="0">
                  <c:v>тыс.тенге</c:v>
                </c:pt>
              </c:strCache>
            </c:strRef>
          </c:tx>
          <c:dPt>
            <c:idx val="0"/>
            <c:bubble3D val="0"/>
          </c:dPt>
          <c:dPt>
            <c:idx val="1"/>
            <c:bubble3D val="0"/>
          </c:dPt>
          <c:dPt>
            <c:idx val="2"/>
            <c:bubble3D val="0"/>
          </c:dPt>
          <c:dLbls>
            <c:dLbl>
              <c:idx val="0"/>
              <c:layout>
                <c:manualLayout>
                  <c:x val="0.15064352714615867"/>
                  <c:y val="-0.1192431324494895"/>
                </c:manualLayout>
              </c:layout>
              <c:showLegendKey val="0"/>
              <c:showVal val="0"/>
              <c:showCatName val="0"/>
              <c:showSerName val="0"/>
              <c:showPercent val="1"/>
              <c:showBubbleSize val="0"/>
            </c:dLbl>
            <c:dLbl>
              <c:idx val="1"/>
              <c:layout>
                <c:manualLayout>
                  <c:x val="0.14139052529624094"/>
                  <c:y val="3.2879674506690236E-2"/>
                </c:manualLayout>
              </c:layout>
              <c:showLegendKey val="0"/>
              <c:showVal val="0"/>
              <c:showCatName val="0"/>
              <c:showSerName val="0"/>
              <c:showPercent val="1"/>
              <c:showBubbleSize val="0"/>
            </c:dLbl>
            <c:dLbl>
              <c:idx val="2"/>
              <c:layout>
                <c:manualLayout>
                  <c:x val="-0.11998705161854768"/>
                  <c:y val="-0.32497946298818237"/>
                </c:manualLayout>
              </c:layout>
              <c:showLegendKey val="0"/>
              <c:showVal val="0"/>
              <c:showCatName val="0"/>
              <c:showSerName val="0"/>
              <c:showPercent val="1"/>
              <c:showBubbleSize val="0"/>
            </c:dLbl>
            <c:dLbl>
              <c:idx val="3"/>
              <c:layout>
                <c:manualLayout>
                  <c:x val="0.17538889886288575"/>
                  <c:y val="-5.228395163378928E-2"/>
                </c:manualLayout>
              </c:layout>
              <c:showLegendKey val="0"/>
              <c:showVal val="0"/>
              <c:showCatName val="0"/>
              <c:showSerName val="0"/>
              <c:showPercent val="1"/>
              <c:showBubbleSize val="0"/>
            </c:dLbl>
            <c:numFmt formatCode="0.0%" sourceLinked="0"/>
            <c:txPr>
              <a:bodyPr/>
              <a:lstStyle/>
              <a:p>
                <a:pPr>
                  <a:defRPr sz="1100" b="0"/>
                </a:pPr>
                <a:endParaRPr lang="ru-RU"/>
              </a:p>
            </c:txPr>
            <c:showLegendKey val="0"/>
            <c:showVal val="0"/>
            <c:showCatName val="0"/>
            <c:showSerName val="0"/>
            <c:showPercent val="1"/>
            <c:showBubbleSize val="0"/>
            <c:showLeaderLines val="0"/>
          </c:dLbls>
          <c:cat>
            <c:strRef>
              <c:f>Лист1!$A$2:$A$4</c:f>
              <c:strCache>
                <c:ptCount val="3"/>
                <c:pt idx="0">
                  <c:v>межбанковские платежи (МПС, H2H)</c:v>
                </c:pt>
                <c:pt idx="1">
                  <c:v>межбанковские платежи (1 PC)</c:v>
                </c:pt>
                <c:pt idx="2">
                  <c:v>в сети своего банка</c:v>
                </c:pt>
              </c:strCache>
            </c:strRef>
          </c:cat>
          <c:val>
            <c:numRef>
              <c:f>Лист1!$B$2:$B$4</c:f>
              <c:numCache>
                <c:formatCode>_(* #,##0.00_);_(* \(#,##0.00\);_(* "-"??_);_(@_)</c:formatCode>
                <c:ptCount val="3"/>
                <c:pt idx="0">
                  <c:v>518192786.10389966</c:v>
                </c:pt>
                <c:pt idx="1">
                  <c:v>124717228.90500002</c:v>
                </c:pt>
                <c:pt idx="2">
                  <c:v>8013556990.1693029</c:v>
                </c:pt>
              </c:numCache>
            </c:numRef>
          </c:val>
        </c:ser>
        <c:dLbls>
          <c:showLegendKey val="0"/>
          <c:showVal val="0"/>
          <c:showCatName val="0"/>
          <c:showSerName val="0"/>
          <c:showPercent val="0"/>
          <c:showBubbleSize val="0"/>
          <c:showLeaderLines val="0"/>
        </c:dLbls>
        <c:firstSliceAng val="63"/>
        <c:holeSize val="50"/>
      </c:doughnutChart>
      <c:spPr>
        <a:noFill/>
        <a:ln w="25399">
          <a:noFill/>
        </a:ln>
      </c:spPr>
    </c:plotArea>
    <c:legend>
      <c:legendPos val="r"/>
      <c:layout>
        <c:manualLayout>
          <c:xMode val="edge"/>
          <c:yMode val="edge"/>
          <c:x val="0"/>
          <c:y val="0.7751992108591349"/>
          <c:w val="1"/>
          <c:h val="0.22480078914086515"/>
        </c:manualLayout>
      </c:layout>
      <c:overlay val="0"/>
      <c:txPr>
        <a:bodyPr/>
        <a:lstStyle/>
        <a:p>
          <a:pPr>
            <a:defRPr sz="800"/>
          </a:pPr>
          <a:endParaRPr lang="ru-RU"/>
        </a:p>
      </c:txPr>
    </c:legend>
    <c:plotVisOnly val="1"/>
    <c:dispBlanksAs val="gap"/>
    <c:showDLblsOverMax val="0"/>
  </c:chart>
  <c:spPr>
    <a:ln>
      <a:noFill/>
    </a:ln>
  </c:sp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802445765027094"/>
          <c:y val="9.2922595201915654E-4"/>
          <c:w val="0.51622620991482182"/>
          <c:h val="0.75265717634585361"/>
        </c:manualLayout>
      </c:layout>
      <c:doughnutChart>
        <c:varyColors val="1"/>
        <c:ser>
          <c:idx val="0"/>
          <c:order val="0"/>
          <c:tx>
            <c:strRef>
              <c:f>Лист1!$B$1</c:f>
              <c:strCache>
                <c:ptCount val="1"/>
                <c:pt idx="0">
                  <c:v>тыс .тенге</c:v>
                </c:pt>
              </c:strCache>
            </c:strRef>
          </c:tx>
          <c:dPt>
            <c:idx val="0"/>
            <c:bubble3D val="0"/>
            <c:explosion val="1"/>
          </c:dPt>
          <c:dPt>
            <c:idx val="1"/>
            <c:bubble3D val="0"/>
          </c:dPt>
          <c:dPt>
            <c:idx val="2"/>
            <c:bubble3D val="0"/>
          </c:dPt>
          <c:dLbls>
            <c:dLbl>
              <c:idx val="0"/>
              <c:layout>
                <c:manualLayout>
                  <c:x val="0.12284135421002636"/>
                  <c:y val="-9.2592592592592587E-2"/>
                </c:manualLayout>
              </c:layout>
              <c:showLegendKey val="0"/>
              <c:showVal val="0"/>
              <c:showCatName val="0"/>
              <c:showSerName val="0"/>
              <c:showPercent val="1"/>
              <c:showBubbleSize val="0"/>
            </c:dLbl>
            <c:dLbl>
              <c:idx val="1"/>
              <c:layout>
                <c:manualLayout>
                  <c:x val="0.14035822226787423"/>
                  <c:y val="4.6329018107532573E-2"/>
                </c:manualLayout>
              </c:layout>
              <c:showLegendKey val="0"/>
              <c:showVal val="0"/>
              <c:showCatName val="0"/>
              <c:showSerName val="0"/>
              <c:showPercent val="1"/>
              <c:showBubbleSize val="0"/>
            </c:dLbl>
            <c:dLbl>
              <c:idx val="2"/>
              <c:layout>
                <c:manualLayout>
                  <c:x val="-0.14041970851611113"/>
                  <c:y val="-1.1155341693399436E-2"/>
                </c:manualLayout>
              </c:layout>
              <c:showLegendKey val="0"/>
              <c:showVal val="0"/>
              <c:showCatName val="0"/>
              <c:showSerName val="0"/>
              <c:showPercent val="1"/>
              <c:showBubbleSize val="0"/>
            </c:dLbl>
            <c:numFmt formatCode="0.0%" sourceLinked="0"/>
            <c:txPr>
              <a:bodyPr/>
              <a:lstStyle/>
              <a:p>
                <a:pPr>
                  <a:defRPr sz="1050" b="0"/>
                </a:pPr>
                <a:endParaRPr lang="ru-RU"/>
              </a:p>
            </c:txPr>
            <c:showLegendKey val="0"/>
            <c:showVal val="0"/>
            <c:showCatName val="0"/>
            <c:showSerName val="0"/>
            <c:showPercent val="1"/>
            <c:showBubbleSize val="0"/>
            <c:showLeaderLines val="0"/>
          </c:dLbls>
          <c:cat>
            <c:strRef>
              <c:f>Лист1!$A$2:$A$4</c:f>
              <c:strCache>
                <c:ptCount val="3"/>
                <c:pt idx="0">
                  <c:v>межбанковские платежи (МПС, H2H)</c:v>
                </c:pt>
                <c:pt idx="1">
                  <c:v>межбанковские платежи (1 PC)</c:v>
                </c:pt>
                <c:pt idx="2">
                  <c:v>в сети своего банка</c:v>
                </c:pt>
              </c:strCache>
            </c:strRef>
          </c:cat>
          <c:val>
            <c:numRef>
              <c:f>Лист1!$B$2:$B$4</c:f>
              <c:numCache>
                <c:formatCode>#,##0.0</c:formatCode>
                <c:ptCount val="3"/>
                <c:pt idx="0">
                  <c:v>441571163.17630064</c:v>
                </c:pt>
                <c:pt idx="1">
                  <c:v>53379203.341300033</c:v>
                </c:pt>
                <c:pt idx="2">
                  <c:v>834067084.11249888</c:v>
                </c:pt>
              </c:numCache>
            </c:numRef>
          </c:val>
        </c:ser>
        <c:dLbls>
          <c:showLegendKey val="0"/>
          <c:showVal val="0"/>
          <c:showCatName val="0"/>
          <c:showSerName val="0"/>
          <c:showPercent val="0"/>
          <c:showBubbleSize val="0"/>
          <c:showLeaderLines val="0"/>
        </c:dLbls>
        <c:firstSliceAng val="0"/>
        <c:holeSize val="50"/>
      </c:doughnutChart>
      <c:spPr>
        <a:noFill/>
        <a:ln w="25407">
          <a:noFill/>
        </a:ln>
      </c:spPr>
    </c:plotArea>
    <c:legend>
      <c:legendPos val="r"/>
      <c:layout>
        <c:manualLayout>
          <c:xMode val="edge"/>
          <c:yMode val="edge"/>
          <c:x val="0"/>
          <c:y val="0.75810770719750209"/>
          <c:w val="0.99137922720289884"/>
          <c:h val="0.21100922337685846"/>
        </c:manualLayout>
      </c:layout>
      <c:overlay val="0"/>
      <c:txPr>
        <a:bodyPr/>
        <a:lstStyle/>
        <a:p>
          <a:pPr>
            <a:defRPr sz="900"/>
          </a:pPr>
          <a:endParaRPr lang="ru-RU"/>
        </a:p>
      </c:txPr>
    </c:legend>
    <c:plotVisOnly val="1"/>
    <c:dispBlanksAs val="gap"/>
    <c:showDLblsOverMax val="0"/>
  </c:chart>
  <c:spPr>
    <a:ln>
      <a:noFill/>
    </a:ln>
  </c:sp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933953957112827"/>
          <c:y val="5.7399151979028562E-2"/>
          <c:w val="0.76066055849201863"/>
          <c:h val="0.82303231774024666"/>
        </c:manualLayout>
      </c:layout>
      <c:barChart>
        <c:barDir val="col"/>
        <c:grouping val="clustered"/>
        <c:varyColors val="0"/>
        <c:ser>
          <c:idx val="0"/>
          <c:order val="0"/>
          <c:tx>
            <c:strRef>
              <c:f>Лист1!$B$1</c:f>
              <c:strCache>
                <c:ptCount val="1"/>
                <c:pt idx="0">
                  <c:v>объем</c:v>
                </c:pt>
              </c:strCache>
            </c:strRef>
          </c:tx>
          <c:spPr>
            <a:solidFill>
              <a:srgbClr val="00B050"/>
            </a:solidFill>
            <a:ln>
              <a:solidFill>
                <a:srgbClr val="7030A0"/>
              </a:solidFill>
            </a:ln>
          </c:spPr>
          <c:invertIfNegative val="0"/>
          <c:dPt>
            <c:idx val="0"/>
            <c:invertIfNegative val="0"/>
            <c:bubble3D val="0"/>
          </c:dPt>
          <c:dPt>
            <c:idx val="1"/>
            <c:invertIfNegative val="0"/>
            <c:bubble3D val="0"/>
          </c:dPt>
          <c:dPt>
            <c:idx val="2"/>
            <c:invertIfNegative val="0"/>
            <c:bubble3D val="0"/>
          </c:dPt>
          <c:dLbls>
            <c:dLbl>
              <c:idx val="0"/>
              <c:spPr/>
              <c:txPr>
                <a:bodyPr/>
                <a:lstStyle/>
                <a:p>
                  <a:pPr>
                    <a:defRPr/>
                  </a:pPr>
                  <a:endParaRPr lang="ru-RU"/>
                </a:p>
              </c:txPr>
              <c:showLegendKey val="0"/>
              <c:showVal val="1"/>
              <c:showCatName val="0"/>
              <c:showSerName val="0"/>
              <c:showPercent val="0"/>
              <c:showBubbleSize val="0"/>
            </c:dLbl>
            <c:dLbl>
              <c:idx val="1"/>
              <c:spPr/>
              <c:txPr>
                <a:bodyPr/>
                <a:lstStyle/>
                <a:p>
                  <a:pPr>
                    <a:defRPr/>
                  </a:pPr>
                  <a:endParaRPr lang="ru-RU"/>
                </a:p>
              </c:txPr>
              <c:showLegendKey val="0"/>
              <c:showVal val="1"/>
              <c:showCatName val="0"/>
              <c:showSerName val="0"/>
              <c:showPercent val="0"/>
              <c:showBubbleSize val="0"/>
            </c:dLbl>
            <c:dLbl>
              <c:idx val="2"/>
              <c:spPr/>
              <c:txPr>
                <a:bodyPr/>
                <a:lstStyle/>
                <a:p>
                  <a:pPr>
                    <a:defRPr/>
                  </a:pPr>
                  <a:endParaRPr lang="ru-RU"/>
                </a:p>
              </c:txPr>
              <c:showLegendKey val="0"/>
              <c:showVal val="1"/>
              <c:showCatName val="0"/>
              <c:showSerName val="0"/>
              <c:showPercent val="0"/>
              <c:showBubbleSize val="0"/>
            </c:dLbl>
            <c:showLegendKey val="0"/>
            <c:showVal val="0"/>
            <c:showCatName val="0"/>
            <c:showSerName val="0"/>
            <c:showPercent val="0"/>
            <c:showBubbleSize val="0"/>
          </c:dLbls>
          <c:cat>
            <c:numRef>
              <c:f>Лист1!$A$2:$A$4</c:f>
              <c:numCache>
                <c:formatCode>General</c:formatCode>
                <c:ptCount val="3"/>
                <c:pt idx="0">
                  <c:v>2014</c:v>
                </c:pt>
                <c:pt idx="1">
                  <c:v>2015</c:v>
                </c:pt>
                <c:pt idx="2">
                  <c:v>2016</c:v>
                </c:pt>
              </c:numCache>
            </c:numRef>
          </c:cat>
          <c:val>
            <c:numRef>
              <c:f>Лист1!$B$2:$B$4</c:f>
              <c:numCache>
                <c:formatCode>#,##0.0</c:formatCode>
                <c:ptCount val="3"/>
                <c:pt idx="0">
                  <c:v>321.16162993010187</c:v>
                </c:pt>
                <c:pt idx="1">
                  <c:v>382.30772366785118</c:v>
                </c:pt>
                <c:pt idx="2">
                  <c:v>405.25377336673063</c:v>
                </c:pt>
              </c:numCache>
            </c:numRef>
          </c:val>
        </c:ser>
        <c:dLbls>
          <c:showLegendKey val="0"/>
          <c:showVal val="0"/>
          <c:showCatName val="0"/>
          <c:showSerName val="0"/>
          <c:showPercent val="0"/>
          <c:showBubbleSize val="0"/>
        </c:dLbls>
        <c:gapWidth val="100"/>
        <c:axId val="214830464"/>
        <c:axId val="223638656"/>
      </c:barChart>
      <c:catAx>
        <c:axId val="214830464"/>
        <c:scaling>
          <c:orientation val="minMax"/>
        </c:scaling>
        <c:delete val="0"/>
        <c:axPos val="b"/>
        <c:numFmt formatCode="General" sourceLinked="1"/>
        <c:majorTickMark val="out"/>
        <c:minorTickMark val="none"/>
        <c:tickLblPos val="nextTo"/>
        <c:crossAx val="223638656"/>
        <c:crosses val="autoZero"/>
        <c:auto val="1"/>
        <c:lblAlgn val="ctr"/>
        <c:lblOffset val="100"/>
        <c:noMultiLvlLbl val="0"/>
      </c:catAx>
      <c:valAx>
        <c:axId val="223638656"/>
        <c:scaling>
          <c:orientation val="minMax"/>
          <c:max val="500"/>
          <c:min val="0"/>
        </c:scaling>
        <c:delete val="0"/>
        <c:axPos val="l"/>
        <c:majorGridlines>
          <c:spPr>
            <a:ln>
              <a:prstDash val="sysDash"/>
            </a:ln>
          </c:spPr>
        </c:majorGridlines>
        <c:numFmt formatCode="#,##0.0" sourceLinked="1"/>
        <c:majorTickMark val="out"/>
        <c:minorTickMark val="none"/>
        <c:tickLblPos val="nextTo"/>
        <c:crossAx val="214830464"/>
        <c:crosses val="autoZero"/>
        <c:crossBetween val="between"/>
        <c:majorUnit val="100"/>
      </c:valAx>
    </c:plotArea>
    <c:plotVisOnly val="1"/>
    <c:dispBlanksAs val="gap"/>
    <c:showDLblsOverMax val="0"/>
  </c:chart>
  <c:spPr>
    <a:noFill/>
    <a:ln>
      <a:noFill/>
    </a:ln>
  </c:spPr>
  <c:txPr>
    <a:bodyPr/>
    <a:lstStyle/>
    <a:p>
      <a:pPr>
        <a:defRPr>
          <a:latin typeface="+mn-lt"/>
        </a:defRPr>
      </a:pPr>
      <a:endParaRPr lang="ru-RU"/>
    </a:p>
  </c:txPr>
  <c:externalData r:id="rId2">
    <c:autoUpdate val="0"/>
  </c:externalData>
  <c:userShapes r:id="rId3"/>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4545269817812363"/>
          <c:y val="5.0131492184166633E-2"/>
          <c:w val="0.59026065934201488"/>
          <c:h val="0.46819526226945662"/>
        </c:manualLayout>
      </c:layout>
      <c:barChart>
        <c:barDir val="col"/>
        <c:grouping val="clustered"/>
        <c:varyColors val="0"/>
        <c:ser>
          <c:idx val="1"/>
          <c:order val="0"/>
          <c:tx>
            <c:strRef>
              <c:f>Sheet1!$A$2</c:f>
              <c:strCache>
                <c:ptCount val="1"/>
                <c:pt idx="0">
                  <c:v>отправленные за рубеж</c:v>
                </c:pt>
              </c:strCache>
            </c:strRef>
          </c:tx>
          <c:spPr>
            <a:solidFill>
              <a:srgbClr val="92D050"/>
            </a:solidFill>
          </c:spPr>
          <c:invertIfNegative val="0"/>
          <c:dPt>
            <c:idx val="0"/>
            <c:invertIfNegative val="1"/>
            <c:bubble3D val="0"/>
          </c:dPt>
          <c:dPt>
            <c:idx val="1"/>
            <c:invertIfNegative val="0"/>
            <c:bubble3D val="0"/>
          </c:dPt>
          <c:dPt>
            <c:idx val="2"/>
            <c:invertIfNegative val="0"/>
            <c:bubble3D val="0"/>
          </c:dPt>
          <c:cat>
            <c:numRef>
              <c:f>Sheet1!$B$1:$D$1</c:f>
              <c:numCache>
                <c:formatCode>General</c:formatCode>
                <c:ptCount val="3"/>
                <c:pt idx="0">
                  <c:v>2014</c:v>
                </c:pt>
                <c:pt idx="1">
                  <c:v>2015</c:v>
                </c:pt>
                <c:pt idx="2">
                  <c:v>2016</c:v>
                </c:pt>
              </c:numCache>
            </c:numRef>
          </c:cat>
          <c:val>
            <c:numRef>
              <c:f>Sheet1!$B$2:$D$2</c:f>
              <c:numCache>
                <c:formatCode>#,##0.0</c:formatCode>
                <c:ptCount val="3"/>
                <c:pt idx="0">
                  <c:v>280.39999999999998</c:v>
                </c:pt>
                <c:pt idx="1">
                  <c:v>332.6</c:v>
                </c:pt>
                <c:pt idx="2">
                  <c:v>382.2</c:v>
                </c:pt>
              </c:numCache>
            </c:numRef>
          </c:val>
        </c:ser>
        <c:ser>
          <c:idx val="0"/>
          <c:order val="1"/>
          <c:tx>
            <c:strRef>
              <c:f>Sheet1!$A$3</c:f>
              <c:strCache>
                <c:ptCount val="1"/>
                <c:pt idx="0">
                  <c:v>на территории РК</c:v>
                </c:pt>
              </c:strCache>
            </c:strRef>
          </c:tx>
          <c:spPr>
            <a:solidFill>
              <a:srgbClr val="FFC000"/>
            </a:solidFill>
          </c:spPr>
          <c:invertIfNegative val="0"/>
          <c:cat>
            <c:numRef>
              <c:f>Sheet1!$B$1:$D$1</c:f>
              <c:numCache>
                <c:formatCode>General</c:formatCode>
                <c:ptCount val="3"/>
                <c:pt idx="0">
                  <c:v>2014</c:v>
                </c:pt>
                <c:pt idx="1">
                  <c:v>2015</c:v>
                </c:pt>
                <c:pt idx="2">
                  <c:v>2016</c:v>
                </c:pt>
              </c:numCache>
            </c:numRef>
          </c:cat>
          <c:val>
            <c:numRef>
              <c:f>Sheet1!$B$3:$D$3</c:f>
              <c:numCache>
                <c:formatCode>#,##0.0</c:formatCode>
                <c:ptCount val="3"/>
                <c:pt idx="0">
                  <c:v>40.799999999999997</c:v>
                </c:pt>
                <c:pt idx="1">
                  <c:v>49.7</c:v>
                </c:pt>
                <c:pt idx="2">
                  <c:v>23.1</c:v>
                </c:pt>
              </c:numCache>
            </c:numRef>
          </c:val>
        </c:ser>
        <c:dLbls>
          <c:showLegendKey val="0"/>
          <c:showVal val="0"/>
          <c:showCatName val="0"/>
          <c:showSerName val="0"/>
          <c:showPercent val="0"/>
          <c:showBubbleSize val="0"/>
        </c:dLbls>
        <c:gapWidth val="53"/>
        <c:overlap val="30"/>
        <c:axId val="224253440"/>
        <c:axId val="224254976"/>
      </c:barChart>
      <c:catAx>
        <c:axId val="224253440"/>
        <c:scaling>
          <c:orientation val="minMax"/>
        </c:scaling>
        <c:delete val="0"/>
        <c:axPos val="b"/>
        <c:numFmt formatCode="General" sourceLinked="1"/>
        <c:majorTickMark val="out"/>
        <c:minorTickMark val="none"/>
        <c:tickLblPos val="nextTo"/>
        <c:txPr>
          <a:bodyPr rot="0" vert="horz"/>
          <a:lstStyle/>
          <a:p>
            <a:pPr>
              <a:defRPr/>
            </a:pPr>
            <a:endParaRPr lang="ru-RU"/>
          </a:p>
        </c:txPr>
        <c:crossAx val="224254976"/>
        <c:crosses val="autoZero"/>
        <c:auto val="0"/>
        <c:lblAlgn val="ctr"/>
        <c:lblOffset val="100"/>
        <c:tickMarkSkip val="1"/>
        <c:noMultiLvlLbl val="0"/>
      </c:catAx>
      <c:valAx>
        <c:axId val="224254976"/>
        <c:scaling>
          <c:orientation val="minMax"/>
          <c:max val="400"/>
          <c:min val="0"/>
        </c:scaling>
        <c:delete val="0"/>
        <c:axPos val="l"/>
        <c:title>
          <c:tx>
            <c:rich>
              <a:bodyPr/>
              <a:lstStyle/>
              <a:p>
                <a:pPr>
                  <a:defRPr sz="997" b="0" i="0" u="none" strike="noStrike" baseline="0">
                    <a:solidFill>
                      <a:srgbClr val="000000"/>
                    </a:solidFill>
                    <a:latin typeface="Calibri"/>
                    <a:ea typeface="Calibri"/>
                    <a:cs typeface="Calibri"/>
                  </a:defRPr>
                </a:pPr>
                <a:r>
                  <a:rPr lang="ru-RU"/>
                  <a:t>млрд. тенге</a:t>
                </a:r>
              </a:p>
            </c:rich>
          </c:tx>
          <c:layout>
            <c:manualLayout>
              <c:xMode val="edge"/>
              <c:yMode val="edge"/>
              <c:x val="7.1651641370915592E-2"/>
              <c:y val="0.12738651692442826"/>
            </c:manualLayout>
          </c:layout>
          <c:overlay val="0"/>
          <c:spPr>
            <a:noFill/>
            <a:ln w="25330">
              <a:noFill/>
            </a:ln>
          </c:spPr>
        </c:title>
        <c:numFmt formatCode="#,##0.0" sourceLinked="1"/>
        <c:majorTickMark val="out"/>
        <c:minorTickMark val="none"/>
        <c:tickLblPos val="nextTo"/>
        <c:txPr>
          <a:bodyPr rot="0" vert="horz"/>
          <a:lstStyle/>
          <a:p>
            <a:pPr>
              <a:defRPr/>
            </a:pPr>
            <a:endParaRPr lang="ru-RU"/>
          </a:p>
        </c:txPr>
        <c:crossAx val="224253440"/>
        <c:crosses val="autoZero"/>
        <c:crossBetween val="between"/>
        <c:majorUnit val="100"/>
      </c:valAx>
      <c:dTable>
        <c:showHorzBorder val="1"/>
        <c:showVertBorder val="1"/>
        <c:showOutline val="1"/>
        <c:showKeys val="1"/>
      </c:dTable>
    </c:plotArea>
    <c:plotVisOnly val="1"/>
    <c:dispBlanksAs val="gap"/>
    <c:showDLblsOverMax val="0"/>
  </c:chart>
  <c:spPr>
    <a:ln>
      <a:noFill/>
    </a:ln>
  </c:sp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1"/>
      <c:rotY val="1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8610354223433243"/>
          <c:y val="0.08"/>
          <c:w val="0.6294277929155313"/>
          <c:h val="0.7391642745267839"/>
        </c:manualLayout>
      </c:layout>
      <c:bar3DChart>
        <c:barDir val="col"/>
        <c:grouping val="clustered"/>
        <c:varyColors val="0"/>
        <c:ser>
          <c:idx val="1"/>
          <c:order val="0"/>
          <c:tx>
            <c:strRef>
              <c:f>Sheet1!$A$2</c:f>
              <c:strCache>
                <c:ptCount val="1"/>
                <c:pt idx="0">
                  <c:v>Иные переводы</c:v>
                </c:pt>
              </c:strCache>
            </c:strRef>
          </c:tx>
          <c:spPr>
            <a:solidFill>
              <a:srgbClr val="993366"/>
            </a:solidFill>
            <a:ln w="12686">
              <a:solidFill>
                <a:srgbClr val="000000"/>
              </a:solidFill>
              <a:prstDash val="solid"/>
            </a:ln>
          </c:spPr>
          <c:invertIfNegative val="0"/>
          <c:dLbls>
            <c:dLbl>
              <c:idx val="0"/>
              <c:layout>
                <c:manualLayout>
                  <c:x val="4.768679999861386E-3"/>
                  <c:y val="-8.774562336302813E-2"/>
                </c:manualLayout>
              </c:layout>
              <c:showLegendKey val="0"/>
              <c:showVal val="1"/>
              <c:showCatName val="0"/>
              <c:showSerName val="0"/>
              <c:showPercent val="0"/>
              <c:showBubbleSize val="0"/>
            </c:dLbl>
            <c:spPr>
              <a:noFill/>
              <a:ln w="25371">
                <a:noFill/>
              </a:ln>
            </c:spPr>
            <c:txPr>
              <a:bodyPr/>
              <a:lstStyle/>
              <a:p>
                <a:pPr>
                  <a:defRPr sz="900" b="0"/>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151.19999999999999</c:v>
                </c:pt>
              </c:numCache>
            </c:numRef>
          </c:val>
        </c:ser>
        <c:ser>
          <c:idx val="2"/>
          <c:order val="1"/>
          <c:tx>
            <c:strRef>
              <c:f>Sheet1!$A$3</c:f>
              <c:strCache>
                <c:ptCount val="1"/>
                <c:pt idx="0">
                  <c:v>Безвозмездные переводы</c:v>
                </c:pt>
              </c:strCache>
            </c:strRef>
          </c:tx>
          <c:spPr>
            <a:solidFill>
              <a:srgbClr val="008000"/>
            </a:solidFill>
            <a:ln w="12686">
              <a:solidFill>
                <a:srgbClr val="000000"/>
              </a:solidFill>
              <a:prstDash val="solid"/>
            </a:ln>
          </c:spPr>
          <c:invertIfNegative val="0"/>
          <c:dPt>
            <c:idx val="0"/>
            <c:invertIfNegative val="0"/>
            <c:bubble3D val="0"/>
            <c:spPr>
              <a:solidFill>
                <a:srgbClr val="92D050"/>
              </a:solidFill>
              <a:ln w="12686">
                <a:solidFill>
                  <a:srgbClr val="000000"/>
                </a:solidFill>
                <a:prstDash val="solid"/>
              </a:ln>
            </c:spPr>
          </c:dPt>
          <c:dLbls>
            <c:dLbl>
              <c:idx val="0"/>
              <c:layout>
                <c:manualLayout>
                  <c:x val="7.853353565446114E-2"/>
                  <c:y val="-0.15667408691622428"/>
                </c:manualLayout>
              </c:layout>
              <c:showLegendKey val="0"/>
              <c:showVal val="1"/>
              <c:showCatName val="0"/>
              <c:showSerName val="0"/>
              <c:showPercent val="0"/>
              <c:showBubbleSize val="0"/>
            </c:dLbl>
            <c:numFmt formatCode="#,##0.0" sourceLinked="0"/>
            <c:spPr>
              <a:noFill/>
              <a:ln w="25371">
                <a:noFill/>
              </a:ln>
            </c:spPr>
            <c:txPr>
              <a:bodyPr/>
              <a:lstStyle/>
              <a:p>
                <a:pPr>
                  <a:defRPr sz="900" b="0"/>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#,##0.00</c:formatCode>
                <c:ptCount val="1"/>
                <c:pt idx="0">
                  <c:v>22929.4</c:v>
                </c:pt>
              </c:numCache>
            </c:numRef>
          </c:val>
        </c:ser>
        <c:dLbls>
          <c:showLegendKey val="0"/>
          <c:showVal val="0"/>
          <c:showCatName val="0"/>
          <c:showSerName val="0"/>
          <c:showPercent val="0"/>
          <c:showBubbleSize val="0"/>
        </c:dLbls>
        <c:gapWidth val="150"/>
        <c:gapDepth val="0"/>
        <c:shape val="box"/>
        <c:axId val="225868416"/>
        <c:axId val="225874304"/>
        <c:axId val="0"/>
      </c:bar3DChart>
      <c:catAx>
        <c:axId val="225868416"/>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a:pPr>
            <a:endParaRPr lang="ru-RU"/>
          </a:p>
        </c:txPr>
        <c:crossAx val="225874304"/>
        <c:crosses val="autoZero"/>
        <c:auto val="1"/>
        <c:lblAlgn val="ctr"/>
        <c:lblOffset val="100"/>
        <c:tickLblSkip val="1"/>
        <c:tickMarkSkip val="1"/>
        <c:noMultiLvlLbl val="0"/>
      </c:catAx>
      <c:valAx>
        <c:axId val="225874304"/>
        <c:scaling>
          <c:orientation val="minMax"/>
        </c:scaling>
        <c:delete val="0"/>
        <c:axPos val="l"/>
        <c:title>
          <c:tx>
            <c:rich>
              <a:bodyPr/>
              <a:lstStyle/>
              <a:p>
                <a:pPr>
                  <a:defRPr b="0"/>
                </a:pPr>
                <a:r>
                  <a:rPr lang="ru-RU" b="0"/>
                  <a:t>млн. тенге</a:t>
                </a:r>
              </a:p>
            </c:rich>
          </c:tx>
          <c:layout>
            <c:manualLayout>
              <c:xMode val="edge"/>
              <c:yMode val="edge"/>
              <c:x val="4.0871934604904632E-2"/>
              <c:y val="0.28000000000000003"/>
            </c:manualLayout>
          </c:layout>
          <c:overlay val="0"/>
          <c:spPr>
            <a:noFill/>
            <a:ln w="25371">
              <a:noFill/>
            </a:ln>
          </c:spPr>
        </c:title>
        <c:numFmt formatCode="General" sourceLinked="1"/>
        <c:majorTickMark val="out"/>
        <c:minorTickMark val="none"/>
        <c:tickLblPos val="nextTo"/>
        <c:spPr>
          <a:ln w="3171">
            <a:solidFill>
              <a:srgbClr val="000000"/>
            </a:solidFill>
            <a:prstDash val="solid"/>
          </a:ln>
        </c:spPr>
        <c:txPr>
          <a:bodyPr rot="0" vert="horz"/>
          <a:lstStyle/>
          <a:p>
            <a:pPr>
              <a:defRPr b="0"/>
            </a:pPr>
            <a:endParaRPr lang="ru-RU"/>
          </a:p>
        </c:txPr>
        <c:crossAx val="225868416"/>
        <c:crosses val="autoZero"/>
        <c:crossBetween val="between"/>
      </c:valAx>
      <c:spPr>
        <a:noFill/>
        <a:ln w="25371">
          <a:noFill/>
        </a:ln>
      </c:spPr>
    </c:plotArea>
    <c:legend>
      <c:legendPos val="r"/>
      <c:layout>
        <c:manualLayout>
          <c:xMode val="edge"/>
          <c:yMode val="edge"/>
          <c:x val="1.5611181790049175E-2"/>
          <c:y val="0.85116221928485458"/>
          <c:w val="0.97820836221776064"/>
          <c:h val="0.10873751458151064"/>
        </c:manualLayout>
      </c:layout>
      <c:overlay val="0"/>
      <c:spPr>
        <a:noFill/>
        <a:ln w="25371">
          <a:noFill/>
        </a:ln>
      </c:spPr>
      <c:txPr>
        <a:bodyPr/>
        <a:lstStyle/>
        <a:p>
          <a:pPr>
            <a:defRPr sz="900" b="0"/>
          </a:pPr>
          <a:endParaRPr lang="ru-RU"/>
        </a:p>
      </c:txPr>
    </c:legend>
    <c:plotVisOnly val="1"/>
    <c:dispBlanksAs val="gap"/>
    <c:showDLblsOverMax val="0"/>
  </c:chart>
  <c:spPr>
    <a:noFill/>
    <a:ln>
      <a:noFill/>
    </a:ln>
  </c:spPr>
  <c:txPr>
    <a:bodyPr/>
    <a:lstStyle/>
    <a:p>
      <a:pPr>
        <a:defRPr sz="10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a:solidFill>
                  <a:srgbClr val="0E4C28"/>
                </a:solidFill>
              </a:defRPr>
            </a:pPr>
            <a:r>
              <a:rPr lang="ru-RU" sz="1200" b="1">
                <a:solidFill>
                  <a:srgbClr val="0E4C28"/>
                </a:solidFill>
              </a:rPr>
              <a:t>Объем платежей в МСПД и СМК</a:t>
            </a:r>
          </a:p>
        </c:rich>
      </c:tx>
      <c:layout>
        <c:manualLayout>
          <c:xMode val="edge"/>
          <c:yMode val="edge"/>
          <c:x val="0.11884525522912753"/>
          <c:y val="0"/>
        </c:manualLayout>
      </c:layout>
      <c:overlay val="0"/>
    </c:title>
    <c:autoTitleDeleted val="0"/>
    <c:view3D>
      <c:rotX val="30"/>
      <c:rotY val="50"/>
      <c:rAngAx val="0"/>
      <c:perspective val="30"/>
    </c:view3D>
    <c:floor>
      <c:thickness val="0"/>
    </c:floor>
    <c:sideWall>
      <c:thickness val="0"/>
    </c:sideWall>
    <c:backWall>
      <c:thickness val="0"/>
    </c:backWall>
    <c:plotArea>
      <c:layout>
        <c:manualLayout>
          <c:layoutTarget val="inner"/>
          <c:xMode val="edge"/>
          <c:yMode val="edge"/>
          <c:x val="7.4714528314929585E-2"/>
          <c:y val="0.2449421247422936"/>
          <c:w val="0.8277358244002424"/>
          <c:h val="0.74695646971656304"/>
        </c:manualLayout>
      </c:layout>
      <c:pie3DChart>
        <c:varyColors val="1"/>
        <c:ser>
          <c:idx val="0"/>
          <c:order val="0"/>
          <c:tx>
            <c:strRef>
              <c:f>Лист1!$B$1</c:f>
              <c:strCache>
                <c:ptCount val="1"/>
                <c:pt idx="0">
                  <c:v>Объем проведенных платежей через МСПД и СМК (трлн. тенге)</c:v>
                </c:pt>
              </c:strCache>
            </c:strRef>
          </c:tx>
          <c:dPt>
            <c:idx val="0"/>
            <c:bubble3D val="0"/>
            <c:spPr>
              <a:solidFill>
                <a:srgbClr val="92D050"/>
              </a:solidFill>
            </c:spPr>
          </c:dPt>
          <c:dPt>
            <c:idx val="1"/>
            <c:bubble3D val="0"/>
          </c:dPt>
          <c:dLbls>
            <c:dLbl>
              <c:idx val="0"/>
              <c:dLblPos val="bestFit"/>
              <c:showLegendKey val="0"/>
              <c:showVal val="0"/>
              <c:showCatName val="0"/>
              <c:showSerName val="0"/>
              <c:showPercent val="1"/>
              <c:showBubbleSize val="0"/>
            </c:dLbl>
            <c:dLbl>
              <c:idx val="1"/>
              <c:layout>
                <c:manualLayout>
                  <c:x val="3.6994433417068741E-2"/>
                  <c:y val="-2.7061663451403116E-2"/>
                </c:manualLayout>
              </c:layout>
              <c:dLblPos val="bestFit"/>
              <c:showLegendKey val="0"/>
              <c:showVal val="0"/>
              <c:showCatName val="0"/>
              <c:showSerName val="0"/>
              <c:showPercent val="1"/>
              <c:showBubbleSize val="0"/>
            </c:dLbl>
            <c:spPr>
              <a:noFill/>
            </c:spPr>
            <c:txPr>
              <a:bodyPr/>
              <a:lstStyle/>
              <a:p>
                <a:pPr>
                  <a:defRPr sz="1050"/>
                </a:pPr>
                <a:endParaRPr lang="ru-RU"/>
              </a:p>
            </c:txPr>
            <c:showLegendKey val="0"/>
            <c:showVal val="0"/>
            <c:showCatName val="0"/>
            <c:showSerName val="0"/>
            <c:showPercent val="1"/>
            <c:showBubbleSize val="0"/>
            <c:showLeaderLines val="0"/>
          </c:dLbls>
          <c:cat>
            <c:strRef>
              <c:f>Лист1!$A$2:$A$3</c:f>
              <c:strCache>
                <c:ptCount val="2"/>
                <c:pt idx="0">
                  <c:v>МСПД</c:v>
                </c:pt>
                <c:pt idx="1">
                  <c:v>СМК</c:v>
                </c:pt>
              </c:strCache>
            </c:strRef>
          </c:cat>
          <c:val>
            <c:numRef>
              <c:f>Лист1!$B$2:$B$3</c:f>
              <c:numCache>
                <c:formatCode>_-* #,##0.0_р_._-;\-* #,##0.0_р_._-;_-* "-"??_р_._-;_-@_-</c:formatCode>
                <c:ptCount val="2"/>
                <c:pt idx="0">
                  <c:v>584671.70828339504</c:v>
                </c:pt>
                <c:pt idx="1">
                  <c:v>6015.3973144424899</c:v>
                </c:pt>
              </c:numCache>
            </c:numRef>
          </c:val>
        </c:ser>
        <c:dLbls>
          <c:showLegendKey val="0"/>
          <c:showVal val="0"/>
          <c:showCatName val="0"/>
          <c:showSerName val="0"/>
          <c:showPercent val="0"/>
          <c:showBubbleSize val="0"/>
          <c:showLeaderLines val="0"/>
        </c:dLbls>
      </c:pie3DChart>
      <c:spPr>
        <a:noFill/>
        <a:ln w="25391">
          <a:noFill/>
        </a:ln>
      </c:spPr>
    </c:plotArea>
    <c:legend>
      <c:legendPos val="r"/>
      <c:layout>
        <c:manualLayout>
          <c:xMode val="edge"/>
          <c:yMode val="edge"/>
          <c:x val="0.79728845741940335"/>
          <c:y val="0.69942745721453592"/>
          <c:w val="0.19406223441835702"/>
          <c:h val="0.21315355941522196"/>
        </c:manualLayout>
      </c:layout>
      <c:overlay val="0"/>
      <c:txPr>
        <a:bodyPr/>
        <a:lstStyle/>
        <a:p>
          <a:pPr>
            <a:defRPr sz="1050"/>
          </a:pPr>
          <a:endParaRPr lang="ru-RU"/>
        </a:p>
      </c:txPr>
    </c:legend>
    <c:plotVisOnly val="1"/>
    <c:dispBlanksAs val="gap"/>
    <c:showDLblsOverMax val="0"/>
  </c:chart>
  <c:spPr>
    <a:ln>
      <a:noFill/>
    </a:ln>
  </c:sp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7.1895424836601357E-2"/>
          <c:y val="0.1641025641025641"/>
          <c:w val="0.85620915032679756"/>
          <c:h val="0.53333333333333333"/>
        </c:manualLayout>
      </c:layout>
      <c:pie3DChart>
        <c:varyColors val="1"/>
        <c:ser>
          <c:idx val="1"/>
          <c:order val="0"/>
          <c:tx>
            <c:strRef>
              <c:f>Sheet1!$B$1</c:f>
              <c:strCache>
                <c:ptCount val="1"/>
                <c:pt idx="0">
                  <c:v>2016</c:v>
                </c:pt>
              </c:strCache>
            </c:strRef>
          </c:tx>
          <c:dPt>
            <c:idx val="0"/>
            <c:bubble3D val="0"/>
          </c:dPt>
          <c:dPt>
            <c:idx val="1"/>
            <c:bubble3D val="0"/>
          </c:dPt>
          <c:dPt>
            <c:idx val="2"/>
            <c:bubble3D val="0"/>
          </c:dPt>
          <c:dPt>
            <c:idx val="3"/>
            <c:bubble3D val="0"/>
          </c:dPt>
          <c:dLbls>
            <c:dLbl>
              <c:idx val="0"/>
              <c:layout>
                <c:manualLayout>
                  <c:x val="0.26531579122229987"/>
                  <c:y val="9.0908392548492527E-3"/>
                </c:manualLayout>
              </c:layout>
              <c:dLblPos val="bestFit"/>
              <c:showLegendKey val="1"/>
              <c:showVal val="0"/>
              <c:showCatName val="0"/>
              <c:showSerName val="0"/>
              <c:showPercent val="1"/>
              <c:showBubbleSize val="0"/>
            </c:dLbl>
            <c:dLbl>
              <c:idx val="1"/>
              <c:layout>
                <c:manualLayout>
                  <c:x val="-5.9071729957805928E-2"/>
                  <c:y val="3.9140644004865242E-2"/>
                </c:manualLayout>
              </c:layout>
              <c:dLblPos val="bestFit"/>
              <c:showLegendKey val="1"/>
              <c:showVal val="0"/>
              <c:showCatName val="0"/>
              <c:showSerName val="0"/>
              <c:showPercent val="1"/>
              <c:showBubbleSize val="0"/>
            </c:dLbl>
            <c:dLbl>
              <c:idx val="2"/>
              <c:layout>
                <c:manualLayout>
                  <c:x val="0"/>
                  <c:y val="-4.7553933807054624E-2"/>
                </c:manualLayout>
              </c:layout>
              <c:dLblPos val="bestFit"/>
              <c:showLegendKey val="1"/>
              <c:showVal val="0"/>
              <c:showCatName val="0"/>
              <c:showSerName val="0"/>
              <c:showPercent val="1"/>
              <c:showBubbleSize val="0"/>
            </c:dLbl>
            <c:dLbl>
              <c:idx val="3"/>
              <c:layout>
                <c:manualLayout>
                  <c:x val="6.6848068042127687E-2"/>
                  <c:y val="-5.6046603930606273E-2"/>
                </c:manualLayout>
              </c:layout>
              <c:dLblPos val="bestFit"/>
              <c:showLegendKey val="1"/>
              <c:showVal val="0"/>
              <c:showCatName val="0"/>
              <c:showSerName val="0"/>
              <c:showPercent val="1"/>
              <c:showBubbleSize val="0"/>
            </c:dLbl>
            <c:dLbl>
              <c:idx val="4"/>
              <c:layout>
                <c:manualLayout>
                  <c:x val="0.28957008538489676"/>
                  <c:y val="-0.14889037932172181"/>
                </c:manualLayout>
              </c:layout>
              <c:numFmt formatCode="0.00%" sourceLinked="0"/>
              <c:spPr>
                <a:noFill/>
                <a:ln w="25440">
                  <a:noFill/>
                </a:ln>
              </c:spPr>
              <c:txPr>
                <a:bodyPr/>
                <a:lstStyle/>
                <a:p>
                  <a:pPr>
                    <a:defRPr sz="10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numFmt formatCode="0.0%" sourceLinked="0"/>
            <c:spPr>
              <a:noFill/>
              <a:ln w="25440">
                <a:noFill/>
              </a:ln>
            </c:spPr>
            <c:txPr>
              <a:bodyPr/>
              <a:lstStyle/>
              <a:p>
                <a:pPr>
                  <a:defRPr sz="10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0"/>
          </c:dLbls>
          <c:cat>
            <c:strRef>
              <c:f>Sheet1!$A$2:$A$5</c:f>
              <c:strCache>
                <c:ptCount val="4"/>
                <c:pt idx="0">
                  <c:v>EUR</c:v>
                </c:pt>
                <c:pt idx="1">
                  <c:v>KZT</c:v>
                </c:pt>
                <c:pt idx="2">
                  <c:v>RUB</c:v>
                </c:pt>
                <c:pt idx="3">
                  <c:v>USD</c:v>
                </c:pt>
              </c:strCache>
            </c:strRef>
          </c:cat>
          <c:val>
            <c:numRef>
              <c:f>Sheet1!$B$2:$B$5</c:f>
              <c:numCache>
                <c:formatCode>_(* #,##0.00_);_(* \(#,##0.00\);_(* "-"??_);_(@_)</c:formatCode>
                <c:ptCount val="4"/>
                <c:pt idx="0">
                  <c:v>784</c:v>
                </c:pt>
                <c:pt idx="1">
                  <c:v>193506.98</c:v>
                </c:pt>
                <c:pt idx="2">
                  <c:v>8318</c:v>
                </c:pt>
                <c:pt idx="3">
                  <c:v>28097</c:v>
                </c:pt>
              </c:numCache>
            </c:numRef>
          </c:val>
        </c:ser>
        <c:dLbls>
          <c:showLegendKey val="0"/>
          <c:showVal val="0"/>
          <c:showCatName val="0"/>
          <c:showSerName val="0"/>
          <c:showPercent val="0"/>
          <c:showBubbleSize val="0"/>
          <c:showLeaderLines val="0"/>
        </c:dLbls>
      </c:pie3DChart>
      <c:spPr>
        <a:noFill/>
        <a:ln w="25390">
          <a:noFill/>
        </a:ln>
      </c:spPr>
    </c:plotArea>
    <c:legend>
      <c:legendPos val="r"/>
      <c:layout>
        <c:manualLayout>
          <c:xMode val="edge"/>
          <c:yMode val="edge"/>
          <c:x val="0.10456485205536359"/>
          <c:y val="0.78144910195049144"/>
          <c:w val="0.77831309755345324"/>
          <c:h val="0.11764705882352944"/>
        </c:manualLayout>
      </c:layout>
      <c:overlay val="1"/>
      <c:spPr>
        <a:noFill/>
        <a:ln w="3180">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7.1895424836601357E-2"/>
          <c:y val="0.1641025641025641"/>
          <c:w val="0.85620915032679756"/>
          <c:h val="0.53333333333333333"/>
        </c:manualLayout>
      </c:layout>
      <c:pie3DChart>
        <c:varyColors val="1"/>
        <c:ser>
          <c:idx val="1"/>
          <c:order val="0"/>
          <c:tx>
            <c:strRef>
              <c:f>Sheet1!$B$1</c:f>
              <c:strCache>
                <c:ptCount val="1"/>
                <c:pt idx="0">
                  <c:v> Сумма платежа (тенге)</c:v>
                </c:pt>
              </c:strCache>
            </c:strRef>
          </c:tx>
          <c:dPt>
            <c:idx val="0"/>
            <c:bubble3D val="0"/>
          </c:dPt>
          <c:dPt>
            <c:idx val="1"/>
            <c:bubble3D val="0"/>
          </c:dPt>
          <c:dPt>
            <c:idx val="2"/>
            <c:bubble3D val="0"/>
          </c:dPt>
          <c:dPt>
            <c:idx val="3"/>
            <c:bubble3D val="0"/>
          </c:dPt>
          <c:dLbls>
            <c:dLbl>
              <c:idx val="0"/>
              <c:layout>
                <c:manualLayout>
                  <c:x val="-8.3333147123521273E-2"/>
                  <c:y val="-7.4606586935995036E-3"/>
                </c:manualLayout>
              </c:layout>
              <c:dLblPos val="bestFit"/>
              <c:showLegendKey val="1"/>
              <c:showVal val="0"/>
              <c:showCatName val="0"/>
              <c:showSerName val="0"/>
              <c:showPercent val="1"/>
              <c:showBubbleSize val="0"/>
            </c:dLbl>
            <c:dLbl>
              <c:idx val="1"/>
              <c:layout>
                <c:manualLayout>
                  <c:x val="-6.1898679041962432E-2"/>
                  <c:y val="0.36865246076729974"/>
                </c:manualLayout>
              </c:layout>
              <c:dLblPos val="bestFit"/>
              <c:showLegendKey val="1"/>
              <c:showVal val="0"/>
              <c:showCatName val="0"/>
              <c:showSerName val="0"/>
              <c:showPercent val="1"/>
              <c:showBubbleSize val="0"/>
            </c:dLbl>
            <c:dLbl>
              <c:idx val="2"/>
              <c:layout>
                <c:manualLayout>
                  <c:x val="4.4429235536365658E-2"/>
                  <c:y val="-2.2120667308317559E-2"/>
                </c:manualLayout>
              </c:layout>
              <c:dLblPos val="bestFit"/>
              <c:showLegendKey val="1"/>
              <c:showVal val="0"/>
              <c:showCatName val="0"/>
              <c:showSerName val="0"/>
              <c:showPercent val="1"/>
              <c:showBubbleSize val="0"/>
            </c:dLbl>
            <c:dLbl>
              <c:idx val="3"/>
              <c:layout>
                <c:manualLayout>
                  <c:x val="6.6848068042127659E-2"/>
                  <c:y val="-0.1145831892964599"/>
                </c:manualLayout>
              </c:layout>
              <c:dLblPos val="bestFit"/>
              <c:showLegendKey val="1"/>
              <c:showVal val="0"/>
              <c:showCatName val="0"/>
              <c:showSerName val="0"/>
              <c:showPercent val="1"/>
              <c:showBubbleSize val="0"/>
            </c:dLbl>
            <c:dLbl>
              <c:idx val="4"/>
              <c:layout>
                <c:manualLayout>
                  <c:x val="0.28957008538489676"/>
                  <c:y val="-0.14889037932172181"/>
                </c:manualLayout>
              </c:layout>
              <c:numFmt formatCode="0.00%" sourceLinked="0"/>
              <c:spPr>
                <a:noFill/>
                <a:ln w="25382">
                  <a:noFill/>
                </a:ln>
              </c:spPr>
              <c:txPr>
                <a:bodyPr/>
                <a:lstStyle/>
                <a:p>
                  <a:pPr>
                    <a:defRPr sz="10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numFmt formatCode="0.0%" sourceLinked="0"/>
            <c:spPr>
              <a:noFill/>
              <a:ln w="25382">
                <a:noFill/>
              </a:ln>
            </c:spPr>
            <c:txPr>
              <a:bodyPr/>
              <a:lstStyle/>
              <a:p>
                <a:pPr>
                  <a:defRPr sz="10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0"/>
          </c:dLbls>
          <c:cat>
            <c:strRef>
              <c:f>Sheet1!$A$2:$A$5</c:f>
              <c:strCache>
                <c:ptCount val="4"/>
                <c:pt idx="0">
                  <c:v>EUR</c:v>
                </c:pt>
                <c:pt idx="1">
                  <c:v>KZT</c:v>
                </c:pt>
                <c:pt idx="2">
                  <c:v>RUB</c:v>
                </c:pt>
                <c:pt idx="3">
                  <c:v>USD</c:v>
                </c:pt>
              </c:strCache>
            </c:strRef>
          </c:cat>
          <c:val>
            <c:numRef>
              <c:f>Sheet1!$B$2:$B$5</c:f>
              <c:numCache>
                <c:formatCode>_(* #,##0.00_);_(* \(#,##0.00\);_(* "-"??_);_(@_)</c:formatCode>
                <c:ptCount val="4"/>
                <c:pt idx="0">
                  <c:v>367205450.81000018</c:v>
                </c:pt>
                <c:pt idx="1">
                  <c:v>10327540098.739996</c:v>
                </c:pt>
                <c:pt idx="2">
                  <c:v>1358926731.7799995</c:v>
                </c:pt>
                <c:pt idx="3">
                  <c:v>11026984911.370005</c:v>
                </c:pt>
              </c:numCache>
            </c:numRef>
          </c:val>
        </c:ser>
        <c:dLbls>
          <c:showLegendKey val="0"/>
          <c:showVal val="0"/>
          <c:showCatName val="0"/>
          <c:showSerName val="0"/>
          <c:showPercent val="0"/>
          <c:showBubbleSize val="0"/>
          <c:showLeaderLines val="0"/>
        </c:dLbls>
      </c:pie3DChart>
      <c:spPr>
        <a:noFill/>
        <a:ln w="25402">
          <a:noFill/>
        </a:ln>
      </c:spPr>
    </c:plotArea>
    <c:legend>
      <c:legendPos val="r"/>
      <c:layout>
        <c:manualLayout>
          <c:xMode val="edge"/>
          <c:yMode val="edge"/>
          <c:x val="0.11435538331146107"/>
          <c:y val="0.79104477611940305"/>
          <c:w val="0.77858876038932634"/>
          <c:h val="0.11940298507462688"/>
        </c:manualLayout>
      </c:layout>
      <c:overlay val="1"/>
      <c:spPr>
        <a:noFill/>
        <a:ln w="3173">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solidFill>
                  <a:srgbClr val="0E4C28"/>
                </a:solidFill>
              </a:defRPr>
            </a:pPr>
            <a:r>
              <a:rPr lang="ru-RU" sz="1200">
                <a:solidFill>
                  <a:srgbClr val="0E4C28"/>
                </a:solidFill>
              </a:rPr>
              <a:t>Объем полученных и отправленных переводов через СДП в 2016 году</a:t>
            </a:r>
          </a:p>
        </c:rich>
      </c:tx>
      <c:layout>
        <c:manualLayout>
          <c:xMode val="edge"/>
          <c:yMode val="edge"/>
          <c:x val="0.15238734150768468"/>
          <c:y val="5.363108020588335E-3"/>
        </c:manualLayout>
      </c:layout>
      <c:overlay val="0"/>
    </c:title>
    <c:autoTitleDeleted val="0"/>
    <c:view3D>
      <c:rotX val="30"/>
      <c:rotY val="80"/>
      <c:depthPercent val="100"/>
      <c:rAngAx val="1"/>
    </c:view3D>
    <c:floor>
      <c:thickness val="0"/>
    </c:floor>
    <c:sideWall>
      <c:thickness val="0"/>
      <c:spPr>
        <a:ln>
          <a:noFill/>
        </a:ln>
      </c:spPr>
    </c:sideWall>
    <c:backWall>
      <c:thickness val="0"/>
      <c:spPr>
        <a:ln>
          <a:noFill/>
        </a:ln>
      </c:spPr>
    </c:backWall>
    <c:plotArea>
      <c:layout>
        <c:manualLayout>
          <c:layoutTarget val="inner"/>
          <c:xMode val="edge"/>
          <c:yMode val="edge"/>
          <c:x val="6.7688759778814056E-2"/>
          <c:y val="3.8497698998387529E-2"/>
          <c:w val="0.82891560058930758"/>
          <c:h val="0.73321049443718311"/>
        </c:manualLayout>
      </c:layout>
      <c:bar3DChart>
        <c:barDir val="col"/>
        <c:grouping val="standard"/>
        <c:varyColors val="0"/>
        <c:ser>
          <c:idx val="0"/>
          <c:order val="0"/>
          <c:tx>
            <c:strRef>
              <c:f>Лист1!$B$1</c:f>
              <c:strCache>
                <c:ptCount val="1"/>
                <c:pt idx="0">
                  <c:v>Объем полученных переводов (млрд. тенге)</c:v>
                </c:pt>
              </c:strCache>
            </c:strRef>
          </c:tx>
          <c:invertIfNegative val="0"/>
          <c:cat>
            <c:strRef>
              <c:f>Лист1!$A$2:$A$13</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Лист1!$B$2:$B$13</c:f>
              <c:numCache>
                <c:formatCode>General</c:formatCode>
                <c:ptCount val="12"/>
                <c:pt idx="0">
                  <c:v>12.658436663030001</c:v>
                </c:pt>
                <c:pt idx="1">
                  <c:v>14.951623455839998</c:v>
                </c:pt>
                <c:pt idx="2">
                  <c:v>16.722060343639988</c:v>
                </c:pt>
                <c:pt idx="3">
                  <c:v>19.788518447469997</c:v>
                </c:pt>
                <c:pt idx="4">
                  <c:v>21.570768225110019</c:v>
                </c:pt>
                <c:pt idx="5">
                  <c:v>25.164676433809959</c:v>
                </c:pt>
                <c:pt idx="6">
                  <c:v>24.910753581369988</c:v>
                </c:pt>
                <c:pt idx="7">
                  <c:v>25.327744750139988</c:v>
                </c:pt>
                <c:pt idx="8">
                  <c:v>23.089745851709964</c:v>
                </c:pt>
                <c:pt idx="9">
                  <c:v>22.707590195850006</c:v>
                </c:pt>
                <c:pt idx="10">
                  <c:v>20.580722355829934</c:v>
                </c:pt>
                <c:pt idx="11">
                  <c:v>21.04424328649003</c:v>
                </c:pt>
              </c:numCache>
            </c:numRef>
          </c:val>
        </c:ser>
        <c:ser>
          <c:idx val="1"/>
          <c:order val="1"/>
          <c:tx>
            <c:strRef>
              <c:f>Лист1!$C$1</c:f>
              <c:strCache>
                <c:ptCount val="1"/>
                <c:pt idx="0">
                  <c:v>Объем отправленных переводов (млрд. тенге)</c:v>
                </c:pt>
              </c:strCache>
            </c:strRef>
          </c:tx>
          <c:invertIfNegative val="0"/>
          <c:cat>
            <c:strRef>
              <c:f>Лист1!$A$2:$A$13</c:f>
              <c:strCache>
                <c:ptCount val="12"/>
                <c:pt idx="0">
                  <c:v>янв</c:v>
                </c:pt>
                <c:pt idx="1">
                  <c:v>фев</c:v>
                </c:pt>
                <c:pt idx="2">
                  <c:v>мар</c:v>
                </c:pt>
                <c:pt idx="3">
                  <c:v>апр</c:v>
                </c:pt>
                <c:pt idx="4">
                  <c:v>май</c:v>
                </c:pt>
                <c:pt idx="5">
                  <c:v>июн</c:v>
                </c:pt>
                <c:pt idx="6">
                  <c:v>июл</c:v>
                </c:pt>
                <c:pt idx="7">
                  <c:v>авг</c:v>
                </c:pt>
                <c:pt idx="8">
                  <c:v>сен</c:v>
                </c:pt>
                <c:pt idx="9">
                  <c:v>окт</c:v>
                </c:pt>
                <c:pt idx="10">
                  <c:v>ноя</c:v>
                </c:pt>
                <c:pt idx="11">
                  <c:v>дек</c:v>
                </c:pt>
              </c:strCache>
            </c:strRef>
          </c:cat>
          <c:val>
            <c:numRef>
              <c:f>Лист1!$C$2:$C$13</c:f>
              <c:numCache>
                <c:formatCode>General</c:formatCode>
                <c:ptCount val="12"/>
                <c:pt idx="0">
                  <c:v>20.208925494920031</c:v>
                </c:pt>
                <c:pt idx="1">
                  <c:v>23.152532872169946</c:v>
                </c:pt>
                <c:pt idx="2">
                  <c:v>25.75992495610997</c:v>
                </c:pt>
                <c:pt idx="3">
                  <c:v>28.229271305810006</c:v>
                </c:pt>
                <c:pt idx="4">
                  <c:v>28.587296904159977</c:v>
                </c:pt>
                <c:pt idx="5">
                  <c:v>35.725403534930031</c:v>
                </c:pt>
                <c:pt idx="6">
                  <c:v>35.333887571080005</c:v>
                </c:pt>
                <c:pt idx="7">
                  <c:v>41.027213767189956</c:v>
                </c:pt>
                <c:pt idx="8">
                  <c:v>38.38500109901004</c:v>
                </c:pt>
                <c:pt idx="9">
                  <c:v>37.950881370610041</c:v>
                </c:pt>
                <c:pt idx="10">
                  <c:v>34.030310224019985</c:v>
                </c:pt>
                <c:pt idx="11">
                  <c:v>33.782467074020033</c:v>
                </c:pt>
              </c:numCache>
            </c:numRef>
          </c:val>
        </c:ser>
        <c:dLbls>
          <c:showLegendKey val="0"/>
          <c:showVal val="0"/>
          <c:showCatName val="0"/>
          <c:showSerName val="0"/>
          <c:showPercent val="0"/>
          <c:showBubbleSize val="0"/>
        </c:dLbls>
        <c:gapWidth val="0"/>
        <c:gapDepth val="16"/>
        <c:shape val="cylinder"/>
        <c:axId val="226826496"/>
        <c:axId val="226840576"/>
        <c:axId val="225873408"/>
      </c:bar3DChart>
      <c:catAx>
        <c:axId val="226826496"/>
        <c:scaling>
          <c:orientation val="minMax"/>
        </c:scaling>
        <c:delete val="0"/>
        <c:axPos val="b"/>
        <c:numFmt formatCode="#,##0;[Red]#,##0" sourceLinked="0"/>
        <c:majorTickMark val="none"/>
        <c:minorTickMark val="none"/>
        <c:tickLblPos val="low"/>
        <c:crossAx val="226840576"/>
        <c:crosses val="autoZero"/>
        <c:auto val="1"/>
        <c:lblAlgn val="ctr"/>
        <c:lblOffset val="100"/>
        <c:noMultiLvlLbl val="0"/>
      </c:catAx>
      <c:valAx>
        <c:axId val="226840576"/>
        <c:scaling>
          <c:orientation val="minMax"/>
          <c:max val="40"/>
        </c:scaling>
        <c:delete val="0"/>
        <c:axPos val="r"/>
        <c:numFmt formatCode="#,##0.00" sourceLinked="0"/>
        <c:majorTickMark val="cross"/>
        <c:minorTickMark val="none"/>
        <c:tickLblPos val="nextTo"/>
        <c:crossAx val="226826496"/>
        <c:crosses val="max"/>
        <c:crossBetween val="between"/>
      </c:valAx>
      <c:serAx>
        <c:axId val="225873408"/>
        <c:scaling>
          <c:orientation val="minMax"/>
        </c:scaling>
        <c:delete val="1"/>
        <c:axPos val="b"/>
        <c:majorTickMark val="out"/>
        <c:minorTickMark val="none"/>
        <c:tickLblPos val="nextTo"/>
        <c:crossAx val="226840576"/>
        <c:crosses val="autoZero"/>
      </c:serAx>
      <c:spPr>
        <a:noFill/>
        <a:ln w="25400">
          <a:noFill/>
        </a:ln>
      </c:spPr>
    </c:plotArea>
    <c:legend>
      <c:legendPos val="r"/>
      <c:layout>
        <c:manualLayout>
          <c:xMode val="edge"/>
          <c:yMode val="edge"/>
          <c:x val="2.679287290581215E-2"/>
          <c:y val="0.85534478644714862"/>
          <c:w val="0.95429479897102421"/>
          <c:h val="0.1223825714967447"/>
        </c:manualLayout>
      </c:layout>
      <c:overlay val="0"/>
    </c:legend>
    <c:plotVisOnly val="1"/>
    <c:dispBlanksAs val="gap"/>
    <c:showDLblsOverMax val="0"/>
  </c:chart>
  <c:spPr>
    <a:ln>
      <a:noFill/>
    </a:ln>
  </c:sp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6"/>
      <c:rotY val="1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0980926430517713"/>
          <c:y val="8.3720930232558124E-2"/>
          <c:w val="0.70572207084468663"/>
          <c:h val="0.71080551550774462"/>
        </c:manualLayout>
      </c:layout>
      <c:bar3DChart>
        <c:barDir val="col"/>
        <c:grouping val="clustered"/>
        <c:varyColors val="0"/>
        <c:ser>
          <c:idx val="1"/>
          <c:order val="0"/>
          <c:tx>
            <c:strRef>
              <c:f>Sheet1!$A$2</c:f>
              <c:strCache>
                <c:ptCount val="1"/>
                <c:pt idx="0">
                  <c:v>Иные переводы</c:v>
                </c:pt>
              </c:strCache>
            </c:strRef>
          </c:tx>
          <c:spPr>
            <a:solidFill>
              <a:srgbClr val="993366"/>
            </a:solidFill>
            <a:ln w="12687">
              <a:solidFill>
                <a:srgbClr val="000000"/>
              </a:solidFill>
              <a:prstDash val="solid"/>
            </a:ln>
          </c:spPr>
          <c:invertIfNegative val="0"/>
          <c:dLbls>
            <c:dLbl>
              <c:idx val="0"/>
              <c:layout>
                <c:manualLayout>
                  <c:x val="2.3864699557153941E-2"/>
                  <c:y val="-0.10811443320051815"/>
                </c:manualLayout>
              </c:layout>
              <c:showLegendKey val="0"/>
              <c:showVal val="1"/>
              <c:showCatName val="0"/>
              <c:showSerName val="0"/>
              <c:showPercent val="0"/>
              <c:showBubbleSize val="0"/>
            </c:dLbl>
            <c:spPr>
              <a:noFill/>
              <a:ln w="25374">
                <a:noFill/>
              </a:ln>
            </c:sp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2.6</c:v>
                </c:pt>
              </c:numCache>
            </c:numRef>
          </c:val>
        </c:ser>
        <c:ser>
          <c:idx val="2"/>
          <c:order val="1"/>
          <c:tx>
            <c:strRef>
              <c:f>Sheet1!$A$3</c:f>
              <c:strCache>
                <c:ptCount val="1"/>
                <c:pt idx="0">
                  <c:v>Безвозмездные переводы</c:v>
                </c:pt>
              </c:strCache>
            </c:strRef>
          </c:tx>
          <c:spPr>
            <a:solidFill>
              <a:srgbClr val="92D050"/>
            </a:solidFill>
            <a:ln w="12687">
              <a:solidFill>
                <a:srgbClr val="000000"/>
              </a:solidFill>
              <a:prstDash val="solid"/>
            </a:ln>
          </c:spPr>
          <c:invertIfNegative val="0"/>
          <c:dLbls>
            <c:dLbl>
              <c:idx val="0"/>
              <c:layout>
                <c:manualLayout>
                  <c:x val="2.968939409625437E-2"/>
                  <c:y val="-9.0143686418759694E-2"/>
                </c:manualLayout>
              </c:layout>
              <c:numFmt formatCode="#,##0.0" sourceLinked="0"/>
              <c:spPr>
                <a:noFill/>
                <a:ln w="25374">
                  <a:noFill/>
                </a:ln>
              </c:spPr>
              <c:txPr>
                <a:bodyPr/>
                <a:lstStyle/>
                <a:p>
                  <a:pPr>
                    <a:defRPr/>
                  </a:pPr>
                  <a:endParaRPr lang="ru-RU"/>
                </a:p>
              </c:txPr>
              <c:showLegendKey val="0"/>
              <c:showVal val="1"/>
              <c:showCatName val="0"/>
              <c:showSerName val="0"/>
              <c:showPercent val="0"/>
              <c:showBubbleSize val="0"/>
            </c:dLbl>
            <c:spPr>
              <a:noFill/>
              <a:ln w="25374">
                <a:noFill/>
              </a:ln>
            </c:sp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#,##0.00</c:formatCode>
                <c:ptCount val="1"/>
                <c:pt idx="0">
                  <c:v>379.5</c:v>
                </c:pt>
              </c:numCache>
            </c:numRef>
          </c:val>
        </c:ser>
        <c:dLbls>
          <c:showLegendKey val="0"/>
          <c:showVal val="0"/>
          <c:showCatName val="0"/>
          <c:showSerName val="0"/>
          <c:showPercent val="0"/>
          <c:showBubbleSize val="0"/>
        </c:dLbls>
        <c:gapWidth val="150"/>
        <c:gapDepth val="0"/>
        <c:shape val="box"/>
        <c:axId val="226872704"/>
        <c:axId val="226874496"/>
        <c:axId val="0"/>
      </c:bar3DChart>
      <c:catAx>
        <c:axId val="226872704"/>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a:pPr>
            <a:endParaRPr lang="ru-RU"/>
          </a:p>
        </c:txPr>
        <c:crossAx val="226874496"/>
        <c:crosses val="autoZero"/>
        <c:auto val="1"/>
        <c:lblAlgn val="ctr"/>
        <c:lblOffset val="100"/>
        <c:tickLblSkip val="1"/>
        <c:tickMarkSkip val="1"/>
        <c:noMultiLvlLbl val="0"/>
      </c:catAx>
      <c:valAx>
        <c:axId val="226874496"/>
        <c:scaling>
          <c:orientation val="minMax"/>
        </c:scaling>
        <c:delete val="0"/>
        <c:axPos val="l"/>
        <c:title>
          <c:tx>
            <c:rich>
              <a:bodyPr/>
              <a:lstStyle/>
              <a:p>
                <a:pPr>
                  <a:defRPr/>
                </a:pPr>
                <a:r>
                  <a:rPr lang="ru-RU"/>
                  <a:t>млрд. тенге</a:t>
                </a:r>
              </a:p>
            </c:rich>
          </c:tx>
          <c:layout>
            <c:manualLayout>
              <c:xMode val="edge"/>
              <c:yMode val="edge"/>
              <c:x val="4.3596730245231606E-2"/>
              <c:y val="0.24651162790697673"/>
            </c:manualLayout>
          </c:layout>
          <c:overlay val="0"/>
          <c:spPr>
            <a:noFill/>
            <a:ln w="25374">
              <a:noFill/>
            </a:ln>
          </c:spPr>
        </c:title>
        <c:numFmt formatCode="General" sourceLinked="1"/>
        <c:majorTickMark val="out"/>
        <c:minorTickMark val="none"/>
        <c:tickLblPos val="nextTo"/>
        <c:spPr>
          <a:ln w="3172">
            <a:solidFill>
              <a:srgbClr val="000000"/>
            </a:solidFill>
            <a:prstDash val="solid"/>
          </a:ln>
        </c:spPr>
        <c:txPr>
          <a:bodyPr rot="0" vert="horz"/>
          <a:lstStyle/>
          <a:p>
            <a:pPr>
              <a:defRPr/>
            </a:pPr>
            <a:endParaRPr lang="ru-RU"/>
          </a:p>
        </c:txPr>
        <c:crossAx val="226872704"/>
        <c:crosses val="autoZero"/>
        <c:crossBetween val="between"/>
      </c:valAx>
      <c:spPr>
        <a:noFill/>
        <a:ln w="25374">
          <a:noFill/>
        </a:ln>
      </c:spPr>
    </c:plotArea>
    <c:legend>
      <c:legendPos val="r"/>
      <c:layout>
        <c:manualLayout>
          <c:xMode val="edge"/>
          <c:yMode val="edge"/>
          <c:x val="3.7743822871142259E-2"/>
          <c:y val="0.85520991214126407"/>
          <c:w val="0.93616908942059751"/>
          <c:h val="0.1261857232634653"/>
        </c:manualLayout>
      </c:layout>
      <c:overlay val="0"/>
      <c:spPr>
        <a:noFill/>
        <a:ln w="25374">
          <a:noFill/>
        </a:ln>
      </c:spPr>
    </c:legend>
    <c:plotVisOnly val="1"/>
    <c:dispBlanksAs val="gap"/>
    <c:showDLblsOverMax val="0"/>
  </c:chart>
  <c:spPr>
    <a:noFill/>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2016</c:v>
                </c:pt>
              </c:strCache>
            </c:strRef>
          </c:tx>
          <c:dPt>
            <c:idx val="0"/>
            <c:bubble3D val="0"/>
          </c:dPt>
          <c:dPt>
            <c:idx val="1"/>
            <c:bubble3D val="0"/>
          </c:dPt>
          <c:dPt>
            <c:idx val="2"/>
            <c:bubble3D val="0"/>
          </c:dPt>
          <c:dPt>
            <c:idx val="3"/>
            <c:bubble3D val="0"/>
          </c:dPt>
          <c:dPt>
            <c:idx val="4"/>
            <c:bubble3D val="0"/>
          </c:dPt>
          <c:dPt>
            <c:idx val="5"/>
            <c:bubble3D val="0"/>
          </c:dPt>
          <c:dPt>
            <c:idx val="6"/>
            <c:bubble3D val="0"/>
          </c:dPt>
          <c:dLbls>
            <c:dLbl>
              <c:idx val="1"/>
              <c:layout>
                <c:manualLayout>
                  <c:x val="-0.10887684493983701"/>
                  <c:y val="2.6218372703412082E-2"/>
                </c:manualLayout>
              </c:layout>
              <c:numFmt formatCode="0.0%" sourceLinked="0"/>
              <c:spPr>
                <a:noFill/>
                <a:ln w="25393">
                  <a:noFill/>
                </a:ln>
              </c:spPr>
              <c:txPr>
                <a:bodyPr/>
                <a:lstStyle/>
                <a:p>
                  <a:pPr>
                    <a:defRPr/>
                  </a:pPr>
                  <a:endParaRPr lang="ru-RU"/>
                </a:p>
              </c:txPr>
              <c:dLblPos val="bestFit"/>
              <c:showLegendKey val="1"/>
              <c:showVal val="0"/>
              <c:showCatName val="0"/>
              <c:showSerName val="0"/>
              <c:showPercent val="1"/>
              <c:showBubbleSize val="0"/>
            </c:dLbl>
            <c:numFmt formatCode="0.0%" sourceLinked="0"/>
            <c:spPr>
              <a:noFill/>
              <a:ln w="25393">
                <a:noFill/>
              </a:ln>
            </c:spPr>
            <c:showLegendKey val="1"/>
            <c:showVal val="0"/>
            <c:showCatName val="0"/>
            <c:showSerName val="0"/>
            <c:showPercent val="1"/>
            <c:showBubbleSize val="0"/>
            <c:showLeaderLines val="0"/>
          </c:dLbls>
          <c:cat>
            <c:strRef>
              <c:f>Sheet1!$A$2:$A$8</c:f>
              <c:strCache>
                <c:ptCount val="7"/>
                <c:pt idx="0">
                  <c:v>Золотая корона</c:v>
                </c:pt>
                <c:pt idx="1">
                  <c:v>Western Union</c:v>
                </c:pt>
                <c:pt idx="2">
                  <c:v>Contact</c:v>
                </c:pt>
                <c:pt idx="3">
                  <c:v>Юнистрим</c:v>
                </c:pt>
                <c:pt idx="4">
                  <c:v>Блиц</c:v>
                </c:pt>
                <c:pt idx="5">
                  <c:v>Faster</c:v>
                </c:pt>
                <c:pt idx="6">
                  <c:v>Прочие</c:v>
                </c:pt>
              </c:strCache>
            </c:strRef>
          </c:cat>
          <c:val>
            <c:numRef>
              <c:f>Sheet1!$B$2:$B$8</c:f>
              <c:numCache>
                <c:formatCode>_-* #,##0.0_р_._-;\-* #,##0.0_р_._-;_-* "-"??_р_._-;_-@_-</c:formatCode>
                <c:ptCount val="7"/>
                <c:pt idx="0">
                  <c:v>910.97900000000004</c:v>
                </c:pt>
                <c:pt idx="1">
                  <c:v>262.79700000000003</c:v>
                </c:pt>
                <c:pt idx="2">
                  <c:v>156.25899999999999</c:v>
                </c:pt>
                <c:pt idx="3">
                  <c:v>233.29</c:v>
                </c:pt>
                <c:pt idx="4">
                  <c:v>278.553</c:v>
                </c:pt>
                <c:pt idx="5" formatCode="General">
                  <c:v>189.54253299999999</c:v>
                </c:pt>
                <c:pt idx="6" formatCode="General">
                  <c:v>105.41199999999999</c:v>
                </c:pt>
              </c:numCache>
            </c:numRef>
          </c:val>
        </c:ser>
        <c:dLbls>
          <c:showLegendKey val="0"/>
          <c:showVal val="0"/>
          <c:showCatName val="0"/>
          <c:showSerName val="0"/>
          <c:showPercent val="0"/>
          <c:showBubbleSize val="0"/>
          <c:showLeaderLines val="0"/>
        </c:dLbls>
      </c:pie3DChart>
      <c:spPr>
        <a:noFill/>
        <a:ln w="25393">
          <a:noFill/>
        </a:ln>
      </c:spPr>
    </c:plotArea>
    <c:legend>
      <c:legendPos val="r"/>
      <c:layout>
        <c:manualLayout>
          <c:xMode val="edge"/>
          <c:yMode val="edge"/>
          <c:x val="6.6496163682864456E-2"/>
          <c:y val="0.71604938271604945"/>
          <c:w val="0.87468030690537091"/>
          <c:h val="0.27983539094650206"/>
        </c:manualLayout>
      </c:layout>
      <c:overlay val="1"/>
    </c:legend>
    <c:plotVisOnly val="1"/>
    <c:dispBlanksAs val="zero"/>
    <c:showDLblsOverMax val="1"/>
  </c:chart>
  <c:spPr>
    <a:ln>
      <a:noFill/>
    </a:ln>
  </c:spPr>
  <c:txPr>
    <a:bodyPr/>
    <a:lstStyle/>
    <a:p>
      <a:pPr>
        <a:defRPr sz="1000"/>
      </a:pPr>
      <a:endParaRPr lang="ru-RU"/>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7478808959069603"/>
          <c:y val="0.18091994665494848"/>
          <c:w val="0.75566455807451549"/>
          <c:h val="0.46841605052450852"/>
        </c:manualLayout>
      </c:layout>
      <c:pie3DChart>
        <c:varyColors val="1"/>
        <c:ser>
          <c:idx val="1"/>
          <c:order val="0"/>
          <c:tx>
            <c:strRef>
              <c:f>Sheet1!$B$1</c:f>
              <c:strCache>
                <c:ptCount val="1"/>
                <c:pt idx="0">
                  <c:v>2016</c:v>
                </c:pt>
              </c:strCache>
            </c:strRef>
          </c:tx>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9.5741885633991802E-2"/>
                  <c:y val="-7.9789417083103775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0.11171255972416623"/>
                  <c:y val="-1.1020024480544338E-3"/>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6"/>
              <c:layout>
                <c:manualLayout>
                  <c:x val="0.13856188430991581"/>
                  <c:y val="-8.0484514435695501E-2"/>
                </c:manualLayout>
              </c:layout>
              <c:numFmt formatCode="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Sheet1!$A$2:$A$8</c:f>
              <c:strCache>
                <c:ptCount val="7"/>
                <c:pt idx="0">
                  <c:v>Золотая корона</c:v>
                </c:pt>
                <c:pt idx="1">
                  <c:v>Western Union</c:v>
                </c:pt>
                <c:pt idx="2">
                  <c:v>Contact</c:v>
                </c:pt>
                <c:pt idx="3">
                  <c:v>Юнистрим</c:v>
                </c:pt>
                <c:pt idx="4">
                  <c:v>Блиц</c:v>
                </c:pt>
                <c:pt idx="5">
                  <c:v>Faster</c:v>
                </c:pt>
                <c:pt idx="6">
                  <c:v>Прочие</c:v>
                </c:pt>
              </c:strCache>
            </c:strRef>
          </c:cat>
          <c:val>
            <c:numRef>
              <c:f>Sheet1!$B$2:$B$8</c:f>
              <c:numCache>
                <c:formatCode>#,##0.0</c:formatCode>
                <c:ptCount val="7"/>
                <c:pt idx="0">
                  <c:v>150432.85194118996</c:v>
                </c:pt>
                <c:pt idx="1">
                  <c:v>78340.999854220034</c:v>
                </c:pt>
                <c:pt idx="2">
                  <c:v>44941.35508726001</c:v>
                </c:pt>
                <c:pt idx="3">
                  <c:v>41147.859456090002</c:v>
                </c:pt>
                <c:pt idx="4">
                  <c:v>29048.506021989993</c:v>
                </c:pt>
                <c:pt idx="5">
                  <c:v>23792.941327199995</c:v>
                </c:pt>
                <c:pt idx="6">
                  <c:v>14468.602486079999</c:v>
                </c:pt>
              </c:numCache>
            </c:numRef>
          </c:val>
        </c:ser>
        <c:dLbls>
          <c:showLegendKey val="0"/>
          <c:showVal val="0"/>
          <c:showCatName val="0"/>
          <c:showSerName val="0"/>
          <c:showPercent val="0"/>
          <c:showBubbleSize val="0"/>
          <c:showLeaderLines val="0"/>
        </c:dLbls>
      </c:pie3DChart>
      <c:spPr>
        <a:noFill/>
        <a:ln w="25393">
          <a:noFill/>
        </a:ln>
      </c:spPr>
    </c:plotArea>
    <c:legend>
      <c:legendPos val="r"/>
      <c:layout>
        <c:manualLayout>
          <c:xMode val="edge"/>
          <c:yMode val="edge"/>
          <c:x val="1.3963759337775087E-2"/>
          <c:y val="0.7088358553946188"/>
          <c:w val="0.94107936027227368"/>
          <c:h val="0.28033008219651556"/>
        </c:manualLayout>
      </c:layout>
      <c:overlay val="1"/>
    </c:legend>
    <c:plotVisOnly val="1"/>
    <c:dispBlanksAs val="zero"/>
    <c:showDLblsOverMax val="1"/>
  </c:chart>
  <c:spPr>
    <a:ln>
      <a:noFill/>
    </a:ln>
  </c:spPr>
  <c:txPr>
    <a:bodyPr/>
    <a:lstStyle/>
    <a:p>
      <a:pPr>
        <a:defRPr sz="1000"/>
      </a:pPr>
      <a:endParaRPr lang="ru-RU"/>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2016г.</c:v>
                </c:pt>
              </c:strCache>
            </c:strRef>
          </c:tx>
          <c:dPt>
            <c:idx val="0"/>
            <c:bubble3D val="0"/>
          </c:dPt>
          <c:dPt>
            <c:idx val="1"/>
            <c:bubble3D val="0"/>
          </c:dPt>
          <c:dPt>
            <c:idx val="2"/>
            <c:bubble3D val="0"/>
          </c:dPt>
          <c:dPt>
            <c:idx val="3"/>
            <c:bubble3D val="0"/>
          </c:dPt>
          <c:dPt>
            <c:idx val="4"/>
            <c:bubble3D val="0"/>
          </c:dPt>
          <c:dLbls>
            <c:dLbl>
              <c:idx val="0"/>
              <c:layout>
                <c:manualLayout>
                  <c:x val="-7.8959679062308052E-2"/>
                  <c:y val="-5.7569340136506345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0.1084048545042637"/>
                  <c:y val="1.1488050968706809E-3"/>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3"/>
              <c:layout>
                <c:manualLayout>
                  <c:x val="2.6360331905207579E-3"/>
                  <c:y val="-7.6768482016366282E-2"/>
                </c:manualLayout>
              </c:layout>
              <c:numFmt formatCode="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Sheet1!$A$2:$A$6</c:f>
              <c:strCache>
                <c:ptCount val="5"/>
                <c:pt idx="0">
                  <c:v>Золотая корона</c:v>
                </c:pt>
                <c:pt idx="1">
                  <c:v>Western Union</c:v>
                </c:pt>
                <c:pt idx="2">
                  <c:v>Юнистрим</c:v>
                </c:pt>
                <c:pt idx="3">
                  <c:v>Faster</c:v>
                </c:pt>
                <c:pt idx="4">
                  <c:v>Прочие</c:v>
                </c:pt>
              </c:strCache>
            </c:strRef>
          </c:cat>
          <c:val>
            <c:numRef>
              <c:f>Sheet1!$B$2:$B$6</c:f>
              <c:numCache>
                <c:formatCode>#,##0.00</c:formatCode>
                <c:ptCount val="5"/>
                <c:pt idx="0">
                  <c:v>417.24599999999998</c:v>
                </c:pt>
                <c:pt idx="1">
                  <c:v>287.22899999999998</c:v>
                </c:pt>
                <c:pt idx="2">
                  <c:v>65.683999999999997</c:v>
                </c:pt>
                <c:pt idx="3">
                  <c:v>94.201679999999996</c:v>
                </c:pt>
                <c:pt idx="4">
                  <c:v>339.44500000000005</c:v>
                </c:pt>
              </c:numCache>
            </c:numRef>
          </c:val>
        </c:ser>
        <c:dLbls>
          <c:showLegendKey val="0"/>
          <c:showVal val="0"/>
          <c:showCatName val="0"/>
          <c:showSerName val="0"/>
          <c:showPercent val="0"/>
          <c:showBubbleSize val="0"/>
          <c:showLeaderLines val="0"/>
        </c:dLbls>
      </c:pie3DChart>
      <c:spPr>
        <a:noFill/>
        <a:ln w="25386">
          <a:noFill/>
        </a:ln>
      </c:spPr>
    </c:plotArea>
    <c:legend>
      <c:legendPos val="r"/>
      <c:layout>
        <c:manualLayout>
          <c:xMode val="edge"/>
          <c:yMode val="edge"/>
          <c:x val="0.14045748945560912"/>
          <c:y val="0.72177987606321004"/>
          <c:w val="0.71789575743330603"/>
          <c:h val="0.25046285708062421"/>
        </c:manualLayout>
      </c:layout>
      <c:overlay val="1"/>
    </c:legend>
    <c:plotVisOnly val="1"/>
    <c:dispBlanksAs val="zero"/>
    <c:showDLblsOverMax val="1"/>
  </c:chart>
  <c:spPr>
    <a:ln>
      <a:noFill/>
    </a:ln>
  </c:sp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8791946308724855"/>
          <c:y val="0.16842105263157892"/>
          <c:w val="0.76578221027039928"/>
          <c:h val="0.47815012026890896"/>
        </c:manualLayout>
      </c:layout>
      <c:pie3DChart>
        <c:varyColors val="1"/>
        <c:ser>
          <c:idx val="1"/>
          <c:order val="0"/>
          <c:tx>
            <c:strRef>
              <c:f>Sheet1!$B$1</c:f>
              <c:strCache>
                <c:ptCount val="1"/>
                <c:pt idx="0">
                  <c:v>2016г.</c:v>
                </c:pt>
              </c:strCache>
            </c:strRef>
          </c:tx>
          <c:dPt>
            <c:idx val="0"/>
            <c:bubble3D val="0"/>
          </c:dPt>
          <c:dPt>
            <c:idx val="1"/>
            <c:bubble3D val="0"/>
          </c:dPt>
          <c:dPt>
            <c:idx val="2"/>
            <c:bubble3D val="0"/>
          </c:dPt>
          <c:dPt>
            <c:idx val="3"/>
            <c:bubble3D val="0"/>
          </c:dPt>
          <c:dPt>
            <c:idx val="4"/>
            <c:bubble3D val="0"/>
          </c:dPt>
          <c:dLbls>
            <c:dLbl>
              <c:idx val="0"/>
              <c:layout>
                <c:manualLayout>
                  <c:x val="-0.16996118199366339"/>
                  <c:y val="-0.10868433686507908"/>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4.3365921918926444E-2"/>
                  <c:y val="9.0277167124451843E-3"/>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2"/>
              <c:layout>
                <c:manualLayout>
                  <c:x val="1.8641420780370507E-2"/>
                  <c:y val="-9.3713696470129448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3"/>
              <c:layout>
                <c:manualLayout>
                  <c:x val="4.8181330366976589E-2"/>
                  <c:y val="-4.3761677891460946E-2"/>
                </c:manualLayout>
              </c:layout>
              <c:numFmt formatCode="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Sheet1!$A$2:$A$6</c:f>
              <c:strCache>
                <c:ptCount val="5"/>
                <c:pt idx="0">
                  <c:v>Золотая корона</c:v>
                </c:pt>
                <c:pt idx="1">
                  <c:v>Western Union</c:v>
                </c:pt>
                <c:pt idx="2">
                  <c:v>Юнистрим</c:v>
                </c:pt>
                <c:pt idx="3">
                  <c:v>Faster</c:v>
                </c:pt>
                <c:pt idx="4">
                  <c:v>Прочие</c:v>
                </c:pt>
              </c:strCache>
            </c:strRef>
          </c:cat>
          <c:val>
            <c:numRef>
              <c:f>Sheet1!$B$2:$B$6</c:f>
              <c:numCache>
                <c:formatCode>#,##0.00</c:formatCode>
                <c:ptCount val="5"/>
                <c:pt idx="0">
                  <c:v>117600.69219021006</c:v>
                </c:pt>
                <c:pt idx="1">
                  <c:v>49418.962641409918</c:v>
                </c:pt>
                <c:pt idx="2">
                  <c:v>25518.637848390008</c:v>
                </c:pt>
                <c:pt idx="3">
                  <c:v>18932.281587730002</c:v>
                </c:pt>
                <c:pt idx="4">
                  <c:v>37046.309322549998</c:v>
                </c:pt>
              </c:numCache>
            </c:numRef>
          </c:val>
        </c:ser>
        <c:dLbls>
          <c:showLegendKey val="0"/>
          <c:showVal val="0"/>
          <c:showCatName val="0"/>
          <c:showSerName val="0"/>
          <c:showPercent val="0"/>
          <c:showBubbleSize val="0"/>
          <c:showLeaderLines val="0"/>
        </c:dLbls>
      </c:pie3DChart>
      <c:spPr>
        <a:noFill/>
        <a:ln w="25400">
          <a:noFill/>
        </a:ln>
      </c:spPr>
    </c:plotArea>
    <c:legend>
      <c:legendPos val="r"/>
      <c:layout>
        <c:manualLayout>
          <c:xMode val="edge"/>
          <c:yMode val="edge"/>
          <c:x val="0.1224579751958486"/>
          <c:y val="0.72320438679604893"/>
          <c:w val="0.85509640493411609"/>
          <c:h val="0.23806373269731329"/>
        </c:manualLayout>
      </c:layout>
      <c:overlay val="1"/>
    </c:legend>
    <c:plotVisOnly val="1"/>
    <c:dispBlanksAs val="zero"/>
    <c:showDLblsOverMax val="1"/>
  </c:chart>
  <c:spPr>
    <a:ln>
      <a:noFill/>
    </a:ln>
  </c:sp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4022022321273237"/>
          <c:y val="0"/>
        </c:manualLayout>
      </c:layout>
      <c:overlay val="0"/>
    </c:title>
    <c:autoTitleDeleted val="0"/>
    <c:plotArea>
      <c:layout>
        <c:manualLayout>
          <c:layoutTarget val="inner"/>
          <c:xMode val="edge"/>
          <c:yMode val="edge"/>
          <c:x val="0.23240761211544023"/>
          <c:y val="0.23948950651562148"/>
          <c:w val="0.75690438306610641"/>
          <c:h val="0.59550207964667712"/>
        </c:manualLayout>
      </c:layout>
      <c:barChart>
        <c:barDir val="col"/>
        <c:grouping val="clustered"/>
        <c:varyColors val="0"/>
        <c:ser>
          <c:idx val="0"/>
          <c:order val="0"/>
          <c:tx>
            <c:strRef>
              <c:f>Лист1!$B$1</c:f>
              <c:strCache>
                <c:ptCount val="1"/>
                <c:pt idx="0">
                  <c:v>Количество</c:v>
                </c:pt>
              </c:strCache>
            </c:strRef>
          </c:tx>
          <c:spPr>
            <a:solidFill>
              <a:srgbClr val="F79646">
                <a:lumMod val="40000"/>
                <a:lumOff val="60000"/>
              </a:srgbClr>
            </a:solidFill>
          </c:spPr>
          <c:invertIfNegative val="0"/>
          <c:dLbls>
            <c:showLegendKey val="0"/>
            <c:showVal val="1"/>
            <c:showCatName val="0"/>
            <c:showSerName val="0"/>
            <c:showPercent val="0"/>
            <c:showBubbleSize val="0"/>
            <c:showLeaderLines val="0"/>
          </c:dLbls>
          <c:cat>
            <c:numRef>
              <c:f>Лист1!$A$2:$A$4</c:f>
              <c:numCache>
                <c:formatCode>General</c:formatCode>
                <c:ptCount val="3"/>
                <c:pt idx="0">
                  <c:v>2014</c:v>
                </c:pt>
                <c:pt idx="1">
                  <c:v>2015</c:v>
                </c:pt>
                <c:pt idx="2">
                  <c:v>2016</c:v>
                </c:pt>
              </c:numCache>
            </c:numRef>
          </c:cat>
          <c:val>
            <c:numRef>
              <c:f>Лист1!$B$2:$B$4</c:f>
              <c:numCache>
                <c:formatCode>General</c:formatCode>
                <c:ptCount val="3"/>
                <c:pt idx="0">
                  <c:v>8713.2000000000007</c:v>
                </c:pt>
                <c:pt idx="1">
                  <c:v>9567</c:v>
                </c:pt>
                <c:pt idx="2">
                  <c:v>9200.6</c:v>
                </c:pt>
              </c:numCache>
            </c:numRef>
          </c:val>
        </c:ser>
        <c:dLbls>
          <c:showLegendKey val="0"/>
          <c:showVal val="0"/>
          <c:showCatName val="0"/>
          <c:showSerName val="0"/>
          <c:showPercent val="0"/>
          <c:showBubbleSize val="0"/>
        </c:dLbls>
        <c:gapWidth val="70"/>
        <c:axId val="253155584"/>
        <c:axId val="253231104"/>
      </c:barChart>
      <c:catAx>
        <c:axId val="253155584"/>
        <c:scaling>
          <c:orientation val="minMax"/>
        </c:scaling>
        <c:delete val="0"/>
        <c:axPos val="b"/>
        <c:numFmt formatCode="General" sourceLinked="1"/>
        <c:majorTickMark val="none"/>
        <c:minorTickMark val="none"/>
        <c:tickLblPos val="nextTo"/>
        <c:crossAx val="253231104"/>
        <c:crosses val="autoZero"/>
        <c:auto val="1"/>
        <c:lblAlgn val="ctr"/>
        <c:lblOffset val="100"/>
        <c:noMultiLvlLbl val="0"/>
      </c:catAx>
      <c:valAx>
        <c:axId val="253231104"/>
        <c:scaling>
          <c:orientation val="minMax"/>
          <c:max val="10000"/>
          <c:min val="0"/>
        </c:scaling>
        <c:delete val="0"/>
        <c:axPos val="l"/>
        <c:title>
          <c:tx>
            <c:rich>
              <a:bodyPr/>
              <a:lstStyle/>
              <a:p>
                <a:pPr>
                  <a:defRPr/>
                </a:pPr>
                <a:r>
                  <a:rPr lang="ru-RU"/>
                  <a:t>тыс. транзакций</a:t>
                </a:r>
              </a:p>
            </c:rich>
          </c:tx>
          <c:layout>
            <c:manualLayout>
              <c:xMode val="edge"/>
              <c:yMode val="edge"/>
              <c:x val="8.6355785837651123E-3"/>
              <c:y val="0.23356280233578597"/>
            </c:manualLayout>
          </c:layout>
          <c:overlay val="0"/>
        </c:title>
        <c:numFmt formatCode="General" sourceLinked="1"/>
        <c:majorTickMark val="out"/>
        <c:minorTickMark val="none"/>
        <c:tickLblPos val="nextTo"/>
        <c:crossAx val="253155584"/>
        <c:crosses val="autoZero"/>
        <c:crossBetween val="between"/>
        <c:majorUnit val="2000"/>
      </c:valAx>
    </c:plotArea>
    <c:plotVisOnly val="1"/>
    <c:dispBlanksAs val="gap"/>
    <c:showDLblsOverMax val="0"/>
  </c:chart>
  <c:spPr>
    <a:ln>
      <a:noFill/>
    </a:ln>
  </c:spPr>
  <c:txPr>
    <a:bodyPr/>
    <a:lstStyle/>
    <a:p>
      <a:pPr>
        <a:defRPr sz="1000" b="0"/>
      </a:pPr>
      <a:endParaRPr lang="ru-RU"/>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41955230734965715"/>
          <c:y val="0"/>
        </c:manualLayout>
      </c:layout>
      <c:overlay val="0"/>
    </c:title>
    <c:autoTitleDeleted val="0"/>
    <c:plotArea>
      <c:layout>
        <c:manualLayout>
          <c:layoutTarget val="inner"/>
          <c:xMode val="edge"/>
          <c:yMode val="edge"/>
          <c:x val="0.26941132000248236"/>
          <c:y val="0.10561023622047244"/>
          <c:w val="0.7239315178725868"/>
          <c:h val="0.7406194806715608"/>
        </c:manualLayout>
      </c:layout>
      <c:barChart>
        <c:barDir val="col"/>
        <c:grouping val="clustered"/>
        <c:varyColors val="1"/>
        <c:ser>
          <c:idx val="0"/>
          <c:order val="0"/>
          <c:tx>
            <c:strRef>
              <c:f>Лист1!$B$1</c:f>
              <c:strCache>
                <c:ptCount val="1"/>
                <c:pt idx="0">
                  <c:v>Сумма</c:v>
                </c:pt>
              </c:strCache>
            </c:strRef>
          </c:tx>
          <c:spPr>
            <a:solidFill>
              <a:srgbClr val="9BBB59">
                <a:lumMod val="50000"/>
              </a:srgbClr>
            </a:solidFill>
          </c:spPr>
          <c:invertIfNegative val="0"/>
          <c:dPt>
            <c:idx val="0"/>
            <c:invertIfNegative val="0"/>
            <c:bubble3D val="0"/>
            <c:spPr>
              <a:solidFill>
                <a:srgbClr val="9BBB59">
                  <a:lumMod val="50000"/>
                </a:srgbClr>
              </a:solidFill>
            </c:spPr>
          </c:dPt>
          <c:dPt>
            <c:idx val="1"/>
            <c:invertIfNegative val="0"/>
            <c:bubble3D val="0"/>
          </c:dPt>
          <c:dPt>
            <c:idx val="2"/>
            <c:invertIfNegative val="0"/>
            <c:bubble3D val="0"/>
          </c:dPt>
          <c:dLbls>
            <c:dLbl>
              <c:idx val="4"/>
              <c:layout>
                <c:manualLayout>
                  <c:x val="0"/>
                  <c:y val="0"/>
                </c:manualLayout>
              </c:layout>
              <c:spPr/>
              <c:txPr>
                <a:bodyPr/>
                <a:lstStyle/>
                <a:p>
                  <a:pPr>
                    <a:defRPr/>
                  </a:pPr>
                  <a:endParaRPr lang="ru-RU"/>
                </a:p>
              </c:txPr>
              <c:dLblPos val="outEnd"/>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Лист1!$A$2:$A$4</c:f>
              <c:numCache>
                <c:formatCode>General</c:formatCode>
                <c:ptCount val="3"/>
                <c:pt idx="0">
                  <c:v>2014</c:v>
                </c:pt>
                <c:pt idx="1">
                  <c:v>2015</c:v>
                </c:pt>
                <c:pt idx="2">
                  <c:v>2016</c:v>
                </c:pt>
              </c:numCache>
            </c:numRef>
          </c:cat>
          <c:val>
            <c:numRef>
              <c:f>Лист1!$B$2:$B$4</c:f>
              <c:numCache>
                <c:formatCode>#,##0.0</c:formatCode>
                <c:ptCount val="3"/>
                <c:pt idx="0">
                  <c:v>126.9</c:v>
                </c:pt>
                <c:pt idx="1">
                  <c:v>160.80000000000001</c:v>
                </c:pt>
                <c:pt idx="2">
                  <c:v>229.9</c:v>
                </c:pt>
              </c:numCache>
            </c:numRef>
          </c:val>
        </c:ser>
        <c:dLbls>
          <c:showLegendKey val="0"/>
          <c:showVal val="0"/>
          <c:showCatName val="0"/>
          <c:showSerName val="0"/>
          <c:showPercent val="0"/>
          <c:showBubbleSize val="0"/>
        </c:dLbls>
        <c:gapWidth val="70"/>
        <c:axId val="190243968"/>
        <c:axId val="190245504"/>
      </c:barChart>
      <c:catAx>
        <c:axId val="190243968"/>
        <c:scaling>
          <c:orientation val="minMax"/>
        </c:scaling>
        <c:delete val="0"/>
        <c:axPos val="b"/>
        <c:numFmt formatCode="General" sourceLinked="1"/>
        <c:majorTickMark val="none"/>
        <c:minorTickMark val="none"/>
        <c:tickLblPos val="nextTo"/>
        <c:crossAx val="190245504"/>
        <c:crosses val="autoZero"/>
        <c:auto val="1"/>
        <c:lblAlgn val="ctr"/>
        <c:lblOffset val="100"/>
        <c:noMultiLvlLbl val="0"/>
      </c:catAx>
      <c:valAx>
        <c:axId val="190245504"/>
        <c:scaling>
          <c:orientation val="minMax"/>
          <c:max val="300"/>
        </c:scaling>
        <c:delete val="0"/>
        <c:axPos val="l"/>
        <c:title>
          <c:tx>
            <c:rich>
              <a:bodyPr/>
              <a:lstStyle/>
              <a:p>
                <a:pPr>
                  <a:defRPr/>
                </a:pPr>
                <a:r>
                  <a:rPr lang="ru-RU"/>
                  <a:t>трлн. тенге</a:t>
                </a:r>
              </a:p>
            </c:rich>
          </c:tx>
          <c:layout>
            <c:manualLayout>
              <c:xMode val="edge"/>
              <c:yMode val="edge"/>
              <c:x val="1.7472869616226339E-2"/>
              <c:y val="0.25103689625003772"/>
            </c:manualLayout>
          </c:layout>
          <c:overlay val="0"/>
        </c:title>
        <c:numFmt formatCode="#,##0.0" sourceLinked="1"/>
        <c:majorTickMark val="out"/>
        <c:minorTickMark val="none"/>
        <c:tickLblPos val="nextTo"/>
        <c:crossAx val="190243968"/>
        <c:crosses val="autoZero"/>
        <c:crossBetween val="between"/>
        <c:majorUnit val="60"/>
      </c:valAx>
    </c:plotArea>
    <c:plotVisOnly val="1"/>
    <c:dispBlanksAs val="gap"/>
    <c:showDLblsOverMax val="0"/>
  </c:chart>
  <c:spPr>
    <a:ln>
      <a:noFill/>
    </a:ln>
  </c:spPr>
  <c:txPr>
    <a:bodyPr/>
    <a:lstStyle/>
    <a:p>
      <a:pPr>
        <a:defRPr sz="1000" b="0">
          <a:solidFill>
            <a:srgbClr val="0E4C28"/>
          </a:solidFill>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9" b="1">
                <a:solidFill>
                  <a:srgbClr val="0E4C28"/>
                </a:solidFill>
              </a:defRPr>
            </a:pPr>
            <a:r>
              <a:rPr lang="ru-RU" sz="1200" b="1">
                <a:solidFill>
                  <a:srgbClr val="0E4C28"/>
                </a:solidFill>
              </a:rPr>
              <a:t>Количество платежей в</a:t>
            </a:r>
            <a:r>
              <a:rPr lang="ru-RU" sz="1200" b="1" baseline="0">
                <a:solidFill>
                  <a:srgbClr val="0E4C28"/>
                </a:solidFill>
              </a:rPr>
              <a:t> </a:t>
            </a:r>
            <a:r>
              <a:rPr lang="ru-RU" sz="1200" b="1">
                <a:solidFill>
                  <a:srgbClr val="0E4C28"/>
                </a:solidFill>
              </a:rPr>
              <a:t>МСПД и СМК</a:t>
            </a:r>
          </a:p>
        </c:rich>
      </c:tx>
      <c:layout>
        <c:manualLayout>
          <c:xMode val="edge"/>
          <c:yMode val="edge"/>
          <c:x val="0.10289941275326196"/>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6.9758549979858309E-2"/>
          <c:y val="0.2651534199936238"/>
          <c:w val="0.79983291453899463"/>
          <c:h val="0.72726189974916233"/>
        </c:manualLayout>
      </c:layout>
      <c:pie3DChart>
        <c:varyColors val="1"/>
        <c:ser>
          <c:idx val="0"/>
          <c:order val="0"/>
          <c:tx>
            <c:strRef>
              <c:f>Лист1!$B$1</c:f>
              <c:strCache>
                <c:ptCount val="1"/>
                <c:pt idx="0">
                  <c:v>Количество проведенных платежей через МСПД и СМК (тыс. транзакций)</c:v>
                </c:pt>
              </c:strCache>
            </c:strRef>
          </c:tx>
          <c:explosion val="5"/>
          <c:dPt>
            <c:idx val="0"/>
            <c:bubble3D val="0"/>
            <c:spPr>
              <a:solidFill>
                <a:srgbClr val="92D050"/>
              </a:solidFill>
            </c:spPr>
          </c:dPt>
          <c:dPt>
            <c:idx val="1"/>
            <c:bubble3D val="0"/>
          </c:dPt>
          <c:dLbls>
            <c:dLbl>
              <c:idx val="1"/>
              <c:layout>
                <c:manualLayout>
                  <c:x val="0.16457058296947219"/>
                  <c:y val="-0.14254436658720412"/>
                </c:manualLayout>
              </c:layout>
              <c:showLegendKey val="0"/>
              <c:showVal val="0"/>
              <c:showCatName val="0"/>
              <c:showSerName val="0"/>
              <c:showPercent val="1"/>
              <c:showBubbleSize val="0"/>
            </c:dLbl>
            <c:showLegendKey val="0"/>
            <c:showVal val="0"/>
            <c:showCatName val="0"/>
            <c:showSerName val="0"/>
            <c:showPercent val="1"/>
            <c:showBubbleSize val="0"/>
            <c:showLeaderLines val="0"/>
          </c:dLbls>
          <c:cat>
            <c:strRef>
              <c:f>Лист1!$A$2:$A$3</c:f>
              <c:strCache>
                <c:ptCount val="2"/>
                <c:pt idx="0">
                  <c:v>МСПД</c:v>
                </c:pt>
                <c:pt idx="1">
                  <c:v>СМК</c:v>
                </c:pt>
              </c:strCache>
            </c:strRef>
          </c:cat>
          <c:val>
            <c:numRef>
              <c:f>Лист1!$B$2:$B$3</c:f>
              <c:numCache>
                <c:formatCode>_-* #,##0.0_р_._-;\-* #,##0.0_р_._-;_-* "-"??_р_._-;_-@_-</c:formatCode>
                <c:ptCount val="2"/>
                <c:pt idx="0">
                  <c:v>14005.056</c:v>
                </c:pt>
                <c:pt idx="1">
                  <c:v>21301.637999999999</c:v>
                </c:pt>
              </c:numCache>
            </c:numRef>
          </c:val>
        </c:ser>
        <c:dLbls>
          <c:showLegendKey val="0"/>
          <c:showVal val="0"/>
          <c:showCatName val="0"/>
          <c:showSerName val="0"/>
          <c:showPercent val="0"/>
          <c:showBubbleSize val="0"/>
          <c:showLeaderLines val="0"/>
        </c:dLbls>
      </c:pie3DChart>
      <c:spPr>
        <a:noFill/>
        <a:ln w="25386">
          <a:noFill/>
        </a:ln>
      </c:spPr>
    </c:plotArea>
    <c:legend>
      <c:legendPos val="r"/>
      <c:layout>
        <c:manualLayout>
          <c:xMode val="edge"/>
          <c:yMode val="edge"/>
          <c:x val="0.81774926515480539"/>
          <c:y val="0.69952781637589412"/>
          <c:w val="0.17040005790643076"/>
          <c:h val="0.23559325304925116"/>
        </c:manualLayout>
      </c:layout>
      <c:overlay val="0"/>
    </c:legend>
    <c:plotVisOnly val="1"/>
    <c:dispBlanksAs val="gap"/>
    <c:showDLblsOverMax val="0"/>
  </c:chart>
  <c:spPr>
    <a:ln>
      <a:noFill/>
    </a:ln>
  </c:sp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0063751382698112"/>
          <c:y val="0.16842105263157892"/>
          <c:w val="0.85306386265307854"/>
          <c:h val="0.53398639739568976"/>
        </c:manualLayout>
      </c:layout>
      <c:pie3DChart>
        <c:varyColors val="1"/>
        <c:ser>
          <c:idx val="1"/>
          <c:order val="0"/>
          <c:tx>
            <c:strRef>
              <c:f>Sheet1!$B$1</c:f>
              <c:strCache>
                <c:ptCount val="1"/>
                <c:pt idx="0">
                  <c:v>2016г. (млрд. тенге)</c:v>
                </c:pt>
              </c:strCache>
            </c:strRef>
          </c:tx>
          <c:dPt>
            <c:idx val="0"/>
            <c:bubble3D val="0"/>
          </c:dPt>
          <c:dPt>
            <c:idx val="1"/>
            <c:bubble3D val="0"/>
          </c:dPt>
          <c:dPt>
            <c:idx val="2"/>
            <c:bubble3D val="0"/>
          </c:dPt>
          <c:dPt>
            <c:idx val="3"/>
            <c:bubble3D val="0"/>
          </c:dPt>
          <c:dPt>
            <c:idx val="4"/>
            <c:bubble3D val="0"/>
          </c:dPt>
          <c:dLbls>
            <c:dLbl>
              <c:idx val="0"/>
              <c:layout>
                <c:manualLayout>
                  <c:x val="-2.7589152752625066E-3"/>
                  <c:y val="-0.30681594576110144"/>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0"/>
                  <c:y val="-2.9320186949469595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2"/>
              <c:layout>
                <c:manualLayout>
                  <c:x val="-0.1117214487882056"/>
                  <c:y val="-4.4100713432437676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3"/>
              <c:layout>
                <c:manualLayout>
                  <c:x val="6.5563017688311256E-2"/>
                  <c:y val="-6.5952748861181507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4"/>
              <c:layout>
                <c:manualLayout>
                  <c:x val="0.12684663834493029"/>
                  <c:y val="-7.1057847494715798E-5"/>
                </c:manualLayout>
              </c:layout>
              <c:numFmt formatCode="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Sheet1!$A$2:$A$6</c:f>
              <c:strCache>
                <c:ptCount val="5"/>
                <c:pt idx="0">
                  <c:v>USD</c:v>
                </c:pt>
                <c:pt idx="1">
                  <c:v>KZT</c:v>
                </c:pt>
                <c:pt idx="2">
                  <c:v>TJS</c:v>
                </c:pt>
                <c:pt idx="3">
                  <c:v>EUR</c:v>
                </c:pt>
                <c:pt idx="4">
                  <c:v>Прочие</c:v>
                </c:pt>
              </c:strCache>
            </c:strRef>
          </c:cat>
          <c:val>
            <c:numRef>
              <c:f>Sheet1!$B$2:$B$6</c:f>
              <c:numCache>
                <c:formatCode>_(* #,##0.00_);_(* \(#,##0.00\);_(* "-"??_);_(@_)</c:formatCode>
                <c:ptCount val="5"/>
                <c:pt idx="0">
                  <c:v>11327.363050686519</c:v>
                </c:pt>
                <c:pt idx="1">
                  <c:v>6140.5196229142512</c:v>
                </c:pt>
                <c:pt idx="2">
                  <c:v>448.84623158718</c:v>
                </c:pt>
                <c:pt idx="3">
                  <c:v>208.60848571783993</c:v>
                </c:pt>
                <c:pt idx="4">
                  <c:v>138.85870963407422</c:v>
                </c:pt>
              </c:numCache>
            </c:numRef>
          </c:val>
        </c:ser>
        <c:dLbls>
          <c:showLegendKey val="0"/>
          <c:showVal val="0"/>
          <c:showCatName val="0"/>
          <c:showSerName val="0"/>
          <c:showPercent val="0"/>
          <c:showBubbleSize val="0"/>
          <c:showLeaderLines val="0"/>
        </c:dLbls>
      </c:pie3DChart>
      <c:spPr>
        <a:noFill/>
        <a:ln w="25312">
          <a:noFill/>
        </a:ln>
      </c:spPr>
    </c:plotArea>
    <c:legend>
      <c:legendPos val="r"/>
      <c:layout>
        <c:manualLayout>
          <c:xMode val="edge"/>
          <c:yMode val="edge"/>
          <c:x val="9.6100174978127728E-2"/>
          <c:y val="0.7140442617417545"/>
          <c:w val="0.85509640539203147"/>
          <c:h val="0.11185476815398075"/>
        </c:manualLayout>
      </c:layout>
      <c:overlay val="1"/>
    </c:legend>
    <c:plotVisOnly val="1"/>
    <c:dispBlanksAs val="zero"/>
    <c:showDLblsOverMax val="1"/>
  </c:chart>
  <c:spPr>
    <a:ln>
      <a:noFill/>
    </a:ln>
  </c:sp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935114749074444"/>
          <c:y val="0.11596093581633864"/>
          <c:w val="0.56612285046290123"/>
          <c:h val="0.74942631019903116"/>
        </c:manualLayout>
      </c:layout>
      <c:barChart>
        <c:barDir val="bar"/>
        <c:grouping val="clustered"/>
        <c:varyColors val="0"/>
        <c:ser>
          <c:idx val="0"/>
          <c:order val="0"/>
          <c:tx>
            <c:strRef>
              <c:f>Лист1!$B$1</c:f>
              <c:strCache>
                <c:ptCount val="1"/>
                <c:pt idx="0">
                  <c:v>2016</c:v>
                </c:pt>
              </c:strCache>
            </c:strRef>
          </c:tx>
          <c:spPr>
            <a:solidFill>
              <a:srgbClr val="00B050"/>
            </a:solidFill>
          </c:spPr>
          <c:invertIfNegative val="0"/>
          <c:cat>
            <c:strRef>
              <c:f>Лист1!$A$2:$A$7</c:f>
              <c:strCache>
                <c:ptCount val="6"/>
                <c:pt idx="0">
                  <c:v>Операции с депозитами и переводами собственных средств</c:v>
                </c:pt>
                <c:pt idx="1">
                  <c:v>Операции с ин.валютой и драг.металлами</c:v>
                </c:pt>
                <c:pt idx="2">
                  <c:v>Специфические переводы</c:v>
                </c:pt>
                <c:pt idx="3">
                  <c:v>Платежи за услуги</c:v>
                </c:pt>
                <c:pt idx="4">
                  <c:v>Платежи за товары</c:v>
                </c:pt>
                <c:pt idx="5">
                  <c:v>Прочие</c:v>
                </c:pt>
              </c:strCache>
            </c:strRef>
          </c:cat>
          <c:val>
            <c:numRef>
              <c:f>Лист1!$B$2:$B$7</c:f>
              <c:numCache>
                <c:formatCode>_-* #,##0.0_р_._-;\-* #,##0.0_р_._-;_-* "-"??_р_._-;_-@_-</c:formatCode>
                <c:ptCount val="6"/>
                <c:pt idx="0">
                  <c:v>8049.7224499341319</c:v>
                </c:pt>
                <c:pt idx="1">
                  <c:v>4059.7599685361592</c:v>
                </c:pt>
                <c:pt idx="2">
                  <c:v>3297.9020009716505</c:v>
                </c:pt>
                <c:pt idx="3">
                  <c:v>1540.7152123682608</c:v>
                </c:pt>
                <c:pt idx="4">
                  <c:v>1058.2241583783293</c:v>
                </c:pt>
                <c:pt idx="5">
                  <c:v>257.87231035133999</c:v>
                </c:pt>
              </c:numCache>
            </c:numRef>
          </c:val>
        </c:ser>
        <c:dLbls>
          <c:showLegendKey val="0"/>
          <c:showVal val="0"/>
          <c:showCatName val="0"/>
          <c:showSerName val="0"/>
          <c:showPercent val="0"/>
          <c:showBubbleSize val="0"/>
        </c:dLbls>
        <c:gapWidth val="30"/>
        <c:axId val="256928384"/>
        <c:axId val="255111552"/>
      </c:barChart>
      <c:catAx>
        <c:axId val="256928384"/>
        <c:scaling>
          <c:orientation val="minMax"/>
        </c:scaling>
        <c:delete val="0"/>
        <c:axPos val="l"/>
        <c:numFmt formatCode="General" sourceLinked="1"/>
        <c:majorTickMark val="out"/>
        <c:minorTickMark val="none"/>
        <c:tickLblPos val="nextTo"/>
        <c:txPr>
          <a:bodyPr/>
          <a:lstStyle/>
          <a:p>
            <a:pPr>
              <a:defRPr sz="799"/>
            </a:pPr>
            <a:endParaRPr lang="ru-RU"/>
          </a:p>
        </c:txPr>
        <c:crossAx val="255111552"/>
        <c:crosses val="autoZero"/>
        <c:auto val="1"/>
        <c:lblAlgn val="ctr"/>
        <c:lblOffset val="100"/>
        <c:noMultiLvlLbl val="0"/>
      </c:catAx>
      <c:valAx>
        <c:axId val="255111552"/>
        <c:scaling>
          <c:orientation val="minMax"/>
          <c:max val="8200"/>
          <c:min val="0"/>
        </c:scaling>
        <c:delete val="0"/>
        <c:axPos val="b"/>
        <c:majorGridlines/>
        <c:numFmt formatCode="#,##0" sourceLinked="0"/>
        <c:majorTickMark val="out"/>
        <c:minorTickMark val="none"/>
        <c:tickLblPos val="nextTo"/>
        <c:txPr>
          <a:bodyPr/>
          <a:lstStyle/>
          <a:p>
            <a:pPr>
              <a:defRPr sz="898"/>
            </a:pPr>
            <a:endParaRPr lang="ru-RU"/>
          </a:p>
        </c:txPr>
        <c:crossAx val="256928384"/>
        <c:crosses val="autoZero"/>
        <c:crossBetween val="between"/>
        <c:majorUnit val="2020"/>
        <c:minorUnit val="1020"/>
      </c:valAx>
    </c:plotArea>
    <c:plotVisOnly val="1"/>
    <c:dispBlanksAs val="gap"/>
    <c:showDLblsOverMax val="0"/>
  </c:chart>
  <c:spPr>
    <a:noFill/>
    <a:ln>
      <a:noFill/>
    </a:ln>
  </c:spPr>
  <c:externalData r:id="rId2">
    <c:autoUpdate val="0"/>
  </c:externalData>
  <c:userShapes r:id="rId3"/>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3843847988788985"/>
          <c:y val="0.20065242599455343"/>
          <c:w val="0.78525323023011484"/>
          <c:h val="0.51449838478341836"/>
        </c:manualLayout>
      </c:layout>
      <c:pie3DChart>
        <c:varyColors val="1"/>
        <c:ser>
          <c:idx val="1"/>
          <c:order val="0"/>
          <c:tx>
            <c:strRef>
              <c:f>Sheet1!$B$1</c:f>
              <c:strCache>
                <c:ptCount val="1"/>
                <c:pt idx="0">
                  <c:v>2016г. (млрд. тенге)</c:v>
                </c:pt>
              </c:strCache>
            </c:strRef>
          </c:tx>
          <c:dPt>
            <c:idx val="0"/>
            <c:bubble3D val="0"/>
          </c:dPt>
          <c:dPt>
            <c:idx val="1"/>
            <c:bubble3D val="0"/>
          </c:dPt>
          <c:dPt>
            <c:idx val="2"/>
            <c:bubble3D val="0"/>
          </c:dPt>
          <c:dPt>
            <c:idx val="3"/>
            <c:bubble3D val="0"/>
          </c:dPt>
          <c:dPt>
            <c:idx val="4"/>
            <c:bubble3D val="0"/>
          </c:dPt>
          <c:dLbls>
            <c:dLbl>
              <c:idx val="0"/>
              <c:layout>
                <c:manualLayout>
                  <c:x val="-9.2510225156731532E-2"/>
                  <c:y val="9.8507139071781213E-2"/>
                </c:manualLayout>
              </c:layout>
              <c:dLblPos val="bestFit"/>
              <c:showLegendKey val="1"/>
              <c:showVal val="0"/>
              <c:showCatName val="0"/>
              <c:showSerName val="0"/>
              <c:showPercent val="1"/>
              <c:showBubbleSize val="0"/>
            </c:dLbl>
            <c:dLbl>
              <c:idx val="1"/>
              <c:layout>
                <c:manualLayout>
                  <c:x val="-9.9223999371176583E-2"/>
                  <c:y val="1.5711167959616395E-2"/>
                </c:manualLayout>
              </c:layout>
              <c:dLblPos val="bestFit"/>
              <c:showLegendKey val="1"/>
              <c:showVal val="0"/>
              <c:showCatName val="0"/>
              <c:showSerName val="0"/>
              <c:showPercent val="1"/>
              <c:showBubbleSize val="0"/>
            </c:dLbl>
            <c:dLbl>
              <c:idx val="2"/>
              <c:layout>
                <c:manualLayout>
                  <c:x val="-0.1117214487882056"/>
                  <c:y val="-4.4100713432437676E-2"/>
                </c:manualLayout>
              </c:layout>
              <c:dLblPos val="bestFit"/>
              <c:showLegendKey val="1"/>
              <c:showVal val="0"/>
              <c:showCatName val="0"/>
              <c:showSerName val="0"/>
              <c:showPercent val="1"/>
              <c:showBubbleSize val="0"/>
            </c:dLbl>
            <c:dLbl>
              <c:idx val="3"/>
              <c:layout>
                <c:manualLayout>
                  <c:x val="9.6261482125965265E-3"/>
                  <c:y val="-6.5952803344109523E-2"/>
                </c:manualLayout>
              </c:layout>
              <c:dLblPos val="bestFit"/>
              <c:showLegendKey val="1"/>
              <c:showVal val="0"/>
              <c:showCatName val="0"/>
              <c:showSerName val="0"/>
              <c:showPercent val="1"/>
              <c:showBubbleSize val="0"/>
            </c:dLbl>
            <c:dLbl>
              <c:idx val="4"/>
              <c:layout>
                <c:manualLayout>
                  <c:x val="0.12684663834493029"/>
                  <c:y val="-7.1057847494715798E-5"/>
                </c:manualLayout>
              </c:layout>
              <c:dLblPos val="bestFit"/>
              <c:showLegendKey val="1"/>
              <c:showVal val="0"/>
              <c:showCatName val="0"/>
              <c:showSerName val="0"/>
              <c:showPercent val="1"/>
              <c:showBubbleSize val="0"/>
            </c:dLbl>
            <c:numFmt formatCode="0.0%" sourceLinked="0"/>
            <c:spPr>
              <a:noFill/>
              <a:ln w="25349">
                <a:noFill/>
              </a:ln>
            </c:spPr>
            <c:txPr>
              <a:bodyPr/>
              <a:lstStyle/>
              <a:p>
                <a:pPr>
                  <a:defRPr sz="1000"/>
                </a:pPr>
                <a:endParaRPr lang="ru-RU"/>
              </a:p>
            </c:txPr>
            <c:showLegendKey val="1"/>
            <c:showVal val="0"/>
            <c:showCatName val="0"/>
            <c:showSerName val="0"/>
            <c:showPercent val="1"/>
            <c:showBubbleSize val="0"/>
            <c:showLeaderLines val="0"/>
          </c:dLbls>
          <c:cat>
            <c:strRef>
              <c:f>Sheet1!$A$2:$A$6</c:f>
              <c:strCache>
                <c:ptCount val="5"/>
                <c:pt idx="0">
                  <c:v>USD</c:v>
                </c:pt>
                <c:pt idx="1">
                  <c:v>KZT</c:v>
                </c:pt>
                <c:pt idx="2">
                  <c:v>RUB</c:v>
                </c:pt>
                <c:pt idx="3">
                  <c:v>EUR</c:v>
                </c:pt>
                <c:pt idx="4">
                  <c:v>Прочие</c:v>
                </c:pt>
              </c:strCache>
            </c:strRef>
          </c:cat>
          <c:val>
            <c:numRef>
              <c:f>Sheet1!$B$2:$B$6</c:f>
              <c:numCache>
                <c:formatCode>_(* #,##0.00_);_(* \(#,##0.00\);_(* "-"??_);_(@_)</c:formatCode>
                <c:ptCount val="5"/>
                <c:pt idx="0">
                  <c:v>161289.09494168562</c:v>
                </c:pt>
                <c:pt idx="1">
                  <c:v>32786.864525209305</c:v>
                </c:pt>
                <c:pt idx="2">
                  <c:v>10396.495581146899</c:v>
                </c:pt>
                <c:pt idx="3">
                  <c:v>6248.0480876612364</c:v>
                </c:pt>
                <c:pt idx="4">
                  <c:v>907.0660075140313</c:v>
                </c:pt>
              </c:numCache>
            </c:numRef>
          </c:val>
        </c:ser>
        <c:dLbls>
          <c:showLegendKey val="0"/>
          <c:showVal val="0"/>
          <c:showCatName val="0"/>
          <c:showSerName val="0"/>
          <c:showPercent val="0"/>
          <c:showBubbleSize val="0"/>
          <c:showLeaderLines val="0"/>
        </c:dLbls>
      </c:pie3DChart>
      <c:spPr>
        <a:noFill/>
        <a:ln w="25349">
          <a:noFill/>
        </a:ln>
      </c:spPr>
    </c:plotArea>
    <c:legend>
      <c:legendPos val="r"/>
      <c:layout>
        <c:manualLayout>
          <c:xMode val="edge"/>
          <c:yMode val="edge"/>
          <c:x val="6.5321197474078121E-2"/>
          <c:y val="0.79021476241566802"/>
          <c:w val="0.85128205128205126"/>
          <c:h val="0.11302070104140208"/>
        </c:manualLayout>
      </c:layout>
      <c:overlay val="1"/>
    </c:legend>
    <c:plotVisOnly val="1"/>
    <c:dispBlanksAs val="zero"/>
    <c:showDLblsOverMax val="1"/>
  </c:chart>
  <c:spPr>
    <a:ln>
      <a:noFill/>
    </a:ln>
  </c:spPr>
  <c:txPr>
    <a:bodyPr/>
    <a:lstStyle/>
    <a:p>
      <a:pPr>
        <a:defRPr sz="1000"/>
      </a:pPr>
      <a:endParaRPr lang="ru-RU"/>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681462140992163"/>
          <c:y val="2.2988505747126436E-2"/>
          <c:w val="0.61879895561357712"/>
          <c:h val="0.78927203065134099"/>
        </c:manualLayout>
      </c:layout>
      <c:barChart>
        <c:barDir val="bar"/>
        <c:grouping val="clustered"/>
        <c:varyColors val="0"/>
        <c:ser>
          <c:idx val="0"/>
          <c:order val="0"/>
          <c:tx>
            <c:strRef>
              <c:f>Лист1!$B$1</c:f>
              <c:strCache>
                <c:ptCount val="1"/>
                <c:pt idx="0">
                  <c:v>2016</c:v>
                </c:pt>
              </c:strCache>
            </c:strRef>
          </c:tx>
          <c:spPr>
            <a:solidFill>
              <a:srgbClr val="FFC000"/>
            </a:solidFill>
          </c:spPr>
          <c:invertIfNegative val="0"/>
          <c:cat>
            <c:strRef>
              <c:f>Лист1!$A$2:$A$10</c:f>
              <c:strCache>
                <c:ptCount val="9"/>
                <c:pt idx="0">
                  <c:v>Операции с депозитами и переводами собственных средств</c:v>
                </c:pt>
                <c:pt idx="1">
                  <c:v>Операции с ин.валютой и драг.металлами</c:v>
                </c:pt>
                <c:pt idx="2">
                  <c:v>Специфические переводы</c:v>
                </c:pt>
                <c:pt idx="3">
                  <c:v>Платежи за товары</c:v>
                </c:pt>
                <c:pt idx="4">
                  <c:v>Платежи за услуги</c:v>
                </c:pt>
                <c:pt idx="5">
                  <c:v>Займы</c:v>
                </c:pt>
                <c:pt idx="6">
                  <c:v>Операции с ЦБ резидентов РК</c:v>
                </c:pt>
                <c:pt idx="7">
                  <c:v>Операции с ЦБ нерезидентов РК</c:v>
                </c:pt>
                <c:pt idx="8">
                  <c:v>Прочие</c:v>
                </c:pt>
              </c:strCache>
            </c:strRef>
          </c:cat>
          <c:val>
            <c:numRef>
              <c:f>Лист1!$B$2:$B$10</c:f>
              <c:numCache>
                <c:formatCode>_-* #,##0.0_р_._-;\-* #,##0.0_р_._-;_-* "-"??_р_._-;_-@_-</c:formatCode>
                <c:ptCount val="9"/>
                <c:pt idx="0">
                  <c:v>95437.494025055275</c:v>
                </c:pt>
                <c:pt idx="1">
                  <c:v>88202.340361890587</c:v>
                </c:pt>
                <c:pt idx="2">
                  <c:v>8805.6524466565006</c:v>
                </c:pt>
                <c:pt idx="3">
                  <c:v>7906.370949998849</c:v>
                </c:pt>
                <c:pt idx="4">
                  <c:v>3960.9668646719133</c:v>
                </c:pt>
                <c:pt idx="5">
                  <c:v>3998.0097696297489</c:v>
                </c:pt>
                <c:pt idx="6">
                  <c:v>2345.2611199726698</c:v>
                </c:pt>
                <c:pt idx="7">
                  <c:v>969.21775388228991</c:v>
                </c:pt>
                <c:pt idx="8">
                  <c:v>2.2558552659400002</c:v>
                </c:pt>
              </c:numCache>
            </c:numRef>
          </c:val>
        </c:ser>
        <c:dLbls>
          <c:showLegendKey val="0"/>
          <c:showVal val="0"/>
          <c:showCatName val="0"/>
          <c:showSerName val="0"/>
          <c:showPercent val="0"/>
          <c:showBubbleSize val="0"/>
        </c:dLbls>
        <c:gapWidth val="47"/>
        <c:axId val="141641984"/>
        <c:axId val="255107072"/>
      </c:barChart>
      <c:catAx>
        <c:axId val="141641984"/>
        <c:scaling>
          <c:orientation val="minMax"/>
        </c:scaling>
        <c:delete val="0"/>
        <c:axPos val="l"/>
        <c:numFmt formatCode="General" sourceLinked="1"/>
        <c:majorTickMark val="out"/>
        <c:minorTickMark val="none"/>
        <c:tickLblPos val="nextTo"/>
        <c:txPr>
          <a:bodyPr/>
          <a:lstStyle/>
          <a:p>
            <a:pPr>
              <a:defRPr sz="799"/>
            </a:pPr>
            <a:endParaRPr lang="ru-RU"/>
          </a:p>
        </c:txPr>
        <c:crossAx val="255107072"/>
        <c:crosses val="autoZero"/>
        <c:auto val="1"/>
        <c:lblAlgn val="ctr"/>
        <c:lblOffset val="100"/>
        <c:noMultiLvlLbl val="0"/>
      </c:catAx>
      <c:valAx>
        <c:axId val="255107072"/>
        <c:scaling>
          <c:orientation val="minMax"/>
          <c:max val="100000"/>
          <c:min val="0"/>
        </c:scaling>
        <c:delete val="0"/>
        <c:axPos val="b"/>
        <c:majorGridlines/>
        <c:numFmt formatCode="#,##0" sourceLinked="0"/>
        <c:majorTickMark val="out"/>
        <c:minorTickMark val="none"/>
        <c:tickLblPos val="nextTo"/>
        <c:txPr>
          <a:bodyPr/>
          <a:lstStyle/>
          <a:p>
            <a:pPr>
              <a:defRPr sz="899"/>
            </a:pPr>
            <a:endParaRPr lang="ru-RU"/>
          </a:p>
        </c:txPr>
        <c:crossAx val="141641984"/>
        <c:crosses val="autoZero"/>
        <c:crossBetween val="between"/>
        <c:majorUnit val="10000"/>
        <c:minorUnit val="1000"/>
      </c:valAx>
    </c:plotArea>
    <c:plotVisOnly val="1"/>
    <c:dispBlanksAs val="gap"/>
    <c:showDLblsOverMax val="0"/>
  </c:chart>
  <c:spPr>
    <a:noFill/>
    <a:ln>
      <a:noFill/>
    </a:ln>
  </c:spPr>
  <c:externalData r:id="rId2">
    <c:autoUpdate val="0"/>
  </c:externalData>
  <c:userShapes r:id="rId3"/>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641851586733478"/>
          <c:y val="4.49438202247191E-2"/>
          <c:w val="0.64671883587127277"/>
          <c:h val="0.70800053383157613"/>
        </c:manualLayout>
      </c:layout>
      <c:barChart>
        <c:barDir val="col"/>
        <c:grouping val="clustered"/>
        <c:varyColors val="1"/>
        <c:ser>
          <c:idx val="3"/>
          <c:order val="1"/>
          <c:tx>
            <c:strRef>
              <c:f>Sheet1!$A$3</c:f>
              <c:strCache>
                <c:ptCount val="1"/>
                <c:pt idx="0">
                  <c:v>Сумма</c:v>
                </c:pt>
              </c:strCache>
            </c:strRef>
          </c:tx>
          <c:spPr>
            <a:solidFill>
              <a:srgbClr val="92D050"/>
            </a:solidFill>
            <a:ln w="10861">
              <a:noFill/>
              <a:prstDash val="solid"/>
            </a:ln>
          </c:spPr>
          <c:invertIfNegative val="0"/>
          <c:dPt>
            <c:idx val="0"/>
            <c:invertIfNegative val="0"/>
            <c:bubble3D val="0"/>
            <c:spPr>
              <a:solidFill>
                <a:srgbClr val="92D050"/>
              </a:solidFill>
              <a:ln w="10861">
                <a:noFill/>
                <a:prstDash val="solid"/>
              </a:ln>
            </c:spPr>
          </c:dPt>
          <c:dPt>
            <c:idx val="1"/>
            <c:invertIfNegative val="0"/>
            <c:bubble3D val="0"/>
          </c:dPt>
          <c:dPt>
            <c:idx val="2"/>
            <c:invertIfNegative val="0"/>
            <c:bubble3D val="0"/>
          </c:dPt>
          <c:dLbls>
            <c:dLbl>
              <c:idx val="0"/>
              <c:layout>
                <c:manualLayout>
                  <c:x val="-5.5866627782638284E-3"/>
                  <c:y val="0.10305657985174387"/>
                </c:manualLayout>
              </c:layout>
              <c:tx>
                <c:rich>
                  <a:bodyPr/>
                  <a:lstStyle/>
                  <a:p>
                    <a:r>
                      <a:rPr lang="ru-RU" sz="1013"/>
                      <a:t>21,0  </a:t>
                    </a:r>
                    <a:endParaRPr lang="ru-RU"/>
                  </a:p>
                </c:rich>
              </c:tx>
              <c:dLblPos val="outEnd"/>
              <c:showLegendKey val="0"/>
              <c:showVal val="0"/>
              <c:showCatName val="0"/>
              <c:showSerName val="0"/>
              <c:showPercent val="0"/>
              <c:showBubbleSize val="0"/>
            </c:dLbl>
            <c:dLbl>
              <c:idx val="1"/>
              <c:layout>
                <c:manualLayout>
                  <c:x val="-1.4937947571368393E-4"/>
                  <c:y val="0.18641480052974335"/>
                </c:manualLayout>
              </c:layout>
              <c:dLblPos val="outEnd"/>
              <c:showLegendKey val="0"/>
              <c:showVal val="1"/>
              <c:showCatName val="0"/>
              <c:showSerName val="0"/>
              <c:showPercent val="0"/>
              <c:showBubbleSize val="0"/>
            </c:dLbl>
            <c:dLbl>
              <c:idx val="2"/>
              <c:layout>
                <c:manualLayout>
                  <c:x val="-1.2346003045915557E-2"/>
                  <c:y val="0.32675832084022149"/>
                </c:manualLayout>
              </c:layout>
              <c:tx>
                <c:rich>
                  <a:bodyPr/>
                  <a:lstStyle/>
                  <a:p>
                    <a:r>
                      <a:rPr lang="ru-RU"/>
                      <a:t> </a:t>
                    </a:r>
                    <a:r>
                      <a:rPr lang="en-US"/>
                      <a:t>154,2</a:t>
                    </a:r>
                  </a:p>
                </c:rich>
              </c:tx>
              <c:dLblPos val="outEnd"/>
              <c:showLegendKey val="0"/>
              <c:showVal val="1"/>
              <c:showCatName val="0"/>
              <c:showSerName val="0"/>
              <c:showPercent val="0"/>
              <c:showBubbleSize val="0"/>
            </c:dLbl>
            <c:spPr>
              <a:noFill/>
              <a:ln w="21434">
                <a:noFill/>
              </a:ln>
            </c:spPr>
            <c:dLblPos val="ctr"/>
            <c:showLegendKey val="0"/>
            <c:showVal val="1"/>
            <c:showCatName val="0"/>
            <c:showSerName val="0"/>
            <c:showPercent val="0"/>
            <c:showBubbleSize val="0"/>
            <c:showLeaderLines val="0"/>
          </c:dLbls>
          <c:cat>
            <c:numRef>
              <c:f>Sheet1!$B$1:$D$1</c:f>
              <c:numCache>
                <c:formatCode>General</c:formatCode>
                <c:ptCount val="3"/>
                <c:pt idx="0">
                  <c:v>2014</c:v>
                </c:pt>
                <c:pt idx="1">
                  <c:v>2015</c:v>
                </c:pt>
                <c:pt idx="2">
                  <c:v>2016</c:v>
                </c:pt>
              </c:numCache>
            </c:numRef>
          </c:cat>
          <c:val>
            <c:numRef>
              <c:f>Sheet1!$B$3:$D$3</c:f>
              <c:numCache>
                <c:formatCode>#,##0.0</c:formatCode>
                <c:ptCount val="3"/>
                <c:pt idx="0">
                  <c:v>21.04284097263</c:v>
                </c:pt>
                <c:pt idx="1">
                  <c:v>44.455551556560003</c:v>
                </c:pt>
                <c:pt idx="2">
                  <c:v>154.18981161390002</c:v>
                </c:pt>
              </c:numCache>
            </c:numRef>
          </c:val>
        </c:ser>
        <c:dLbls>
          <c:showLegendKey val="0"/>
          <c:showVal val="0"/>
          <c:showCatName val="0"/>
          <c:showSerName val="0"/>
          <c:showPercent val="0"/>
          <c:showBubbleSize val="0"/>
        </c:dLbls>
        <c:gapWidth val="47"/>
        <c:overlap val="-29"/>
        <c:axId val="188549760"/>
        <c:axId val="188572032"/>
      </c:barChart>
      <c:lineChart>
        <c:grouping val="standard"/>
        <c:varyColors val="1"/>
        <c:ser>
          <c:idx val="2"/>
          <c:order val="0"/>
          <c:tx>
            <c:strRef>
              <c:f>Sheet1!$A$2</c:f>
              <c:strCache>
                <c:ptCount val="1"/>
                <c:pt idx="0">
                  <c:v>Количество</c:v>
                </c:pt>
              </c:strCache>
            </c:strRef>
          </c:tx>
          <c:spPr>
            <a:ln w="32151">
              <a:solidFill>
                <a:schemeClr val="accent3">
                  <a:lumMod val="50000"/>
                </a:schemeClr>
              </a:solidFill>
              <a:prstDash val="solid"/>
            </a:ln>
          </c:spPr>
          <c:marker>
            <c:symbol val="triangle"/>
            <c:size val="5"/>
            <c:spPr>
              <a:solidFill>
                <a:schemeClr val="accent3">
                  <a:lumMod val="50000"/>
                </a:schemeClr>
              </a:solidFill>
              <a:ln>
                <a:solidFill>
                  <a:srgbClr val="419331"/>
                </a:solidFill>
                <a:prstDash val="solid"/>
              </a:ln>
            </c:spPr>
          </c:marker>
          <c:dPt>
            <c:idx val="0"/>
            <c:marker>
              <c:spPr>
                <a:solidFill>
                  <a:srgbClr val="C00000"/>
                </a:solidFill>
                <a:ln>
                  <a:solidFill>
                    <a:srgbClr val="419331"/>
                  </a:solidFill>
                  <a:prstDash val="solid"/>
                </a:ln>
              </c:spPr>
            </c:marker>
            <c:bubble3D val="0"/>
            <c:spPr>
              <a:ln w="32151">
                <a:solidFill>
                  <a:schemeClr val="accent3">
                    <a:lumMod val="50000"/>
                  </a:schemeClr>
                </a:solidFill>
                <a:prstDash val="solid"/>
              </a:ln>
            </c:spPr>
          </c:dPt>
          <c:dPt>
            <c:idx val="1"/>
            <c:marker>
              <c:spPr>
                <a:solidFill>
                  <a:srgbClr val="C00000"/>
                </a:solidFill>
                <a:ln>
                  <a:solidFill>
                    <a:srgbClr val="419331"/>
                  </a:solidFill>
                  <a:prstDash val="solid"/>
                </a:ln>
              </c:spPr>
            </c:marker>
            <c:bubble3D val="0"/>
            <c:spPr>
              <a:ln w="32151">
                <a:solidFill>
                  <a:srgbClr val="C00000"/>
                </a:solidFill>
                <a:prstDash val="solid"/>
              </a:ln>
            </c:spPr>
          </c:dPt>
          <c:dPt>
            <c:idx val="2"/>
            <c:marker>
              <c:spPr>
                <a:solidFill>
                  <a:srgbClr val="C00000"/>
                </a:solidFill>
                <a:ln>
                  <a:solidFill>
                    <a:srgbClr val="419331"/>
                  </a:solidFill>
                  <a:prstDash val="solid"/>
                </a:ln>
              </c:spPr>
            </c:marker>
            <c:bubble3D val="0"/>
            <c:spPr>
              <a:ln w="32151">
                <a:solidFill>
                  <a:srgbClr val="C00000"/>
                </a:solidFill>
                <a:prstDash val="solid"/>
              </a:ln>
            </c:spPr>
          </c:dPt>
          <c:dLbls>
            <c:dLbl>
              <c:idx val="0"/>
              <c:layout>
                <c:manualLayout>
                  <c:x val="-7.1857684456109655E-2"/>
                  <c:y val="-0.10148612783394034"/>
                </c:manualLayout>
              </c:layout>
              <c:spPr>
                <a:noFill/>
                <a:ln w="21434">
                  <a:noFill/>
                </a:ln>
              </c:spPr>
              <c:txPr>
                <a:bodyPr/>
                <a:lstStyle/>
                <a:p>
                  <a:pPr>
                    <a:defRPr/>
                  </a:pPr>
                  <a:endParaRPr lang="ru-RU"/>
                </a:p>
              </c:txPr>
              <c:dLblPos val="r"/>
              <c:showLegendKey val="0"/>
              <c:showVal val="1"/>
              <c:showCatName val="0"/>
              <c:showSerName val="0"/>
              <c:showPercent val="0"/>
              <c:showBubbleSize val="0"/>
            </c:dLbl>
            <c:dLbl>
              <c:idx val="1"/>
              <c:layout>
                <c:manualLayout>
                  <c:x val="-0.10390946502057613"/>
                  <c:y val="-0.12879311192901488"/>
                </c:manualLayout>
              </c:layout>
              <c:dLblPos val="r"/>
              <c:showLegendKey val="0"/>
              <c:showVal val="1"/>
              <c:showCatName val="0"/>
              <c:showSerName val="0"/>
              <c:showPercent val="0"/>
              <c:showBubbleSize val="0"/>
            </c:dLbl>
            <c:dLbl>
              <c:idx val="2"/>
              <c:layout>
                <c:manualLayout>
                  <c:x val="-0.1368312757201646"/>
                  <c:y val="-4.7750063623979079E-2"/>
                </c:manualLayout>
              </c:layout>
              <c:dLblPos val="r"/>
              <c:showLegendKey val="0"/>
              <c:showVal val="1"/>
              <c:showCatName val="0"/>
              <c:showSerName val="0"/>
              <c:showPercent val="0"/>
              <c:showBubbleSize val="0"/>
            </c:dLbl>
            <c:spPr>
              <a:noFill/>
              <a:ln w="21434">
                <a:noFill/>
              </a:ln>
            </c:spPr>
            <c:dLblPos val="b"/>
            <c:showLegendKey val="0"/>
            <c:showVal val="1"/>
            <c:showCatName val="0"/>
            <c:showSerName val="0"/>
            <c:showPercent val="0"/>
            <c:showBubbleSize val="0"/>
            <c:showLeaderLines val="0"/>
          </c:dLbls>
          <c:cat>
            <c:numRef>
              <c:f>Sheet1!$B$1:$D$1</c:f>
              <c:numCache>
                <c:formatCode>General</c:formatCode>
                <c:ptCount val="3"/>
                <c:pt idx="0">
                  <c:v>2014</c:v>
                </c:pt>
                <c:pt idx="1">
                  <c:v>2015</c:v>
                </c:pt>
                <c:pt idx="2">
                  <c:v>2016</c:v>
                </c:pt>
              </c:numCache>
            </c:numRef>
          </c:cat>
          <c:val>
            <c:numRef>
              <c:f>Sheet1!$B$2:$D$2</c:f>
              <c:numCache>
                <c:formatCode>#,##0.0</c:formatCode>
                <c:ptCount val="3"/>
                <c:pt idx="0">
                  <c:v>7.9087670000000001</c:v>
                </c:pt>
                <c:pt idx="1">
                  <c:v>15.997146000000001</c:v>
                </c:pt>
                <c:pt idx="2">
                  <c:v>43.285339</c:v>
                </c:pt>
              </c:numCache>
            </c:numRef>
          </c:val>
          <c:smooth val="1"/>
        </c:ser>
        <c:dLbls>
          <c:showLegendKey val="0"/>
          <c:showVal val="0"/>
          <c:showCatName val="0"/>
          <c:showSerName val="0"/>
          <c:showPercent val="0"/>
          <c:showBubbleSize val="0"/>
        </c:dLbls>
        <c:marker val="1"/>
        <c:smooth val="0"/>
        <c:axId val="188573952"/>
        <c:axId val="188575744"/>
      </c:lineChart>
      <c:catAx>
        <c:axId val="188549760"/>
        <c:scaling>
          <c:orientation val="minMax"/>
        </c:scaling>
        <c:delete val="0"/>
        <c:axPos val="b"/>
        <c:numFmt formatCode="General" sourceLinked="1"/>
        <c:majorTickMark val="none"/>
        <c:minorTickMark val="none"/>
        <c:tickLblPos val="nextTo"/>
        <c:spPr>
          <a:ln w="2716">
            <a:solidFill>
              <a:schemeClr val="tx1"/>
            </a:solidFill>
            <a:prstDash val="solid"/>
          </a:ln>
        </c:spPr>
        <c:txPr>
          <a:bodyPr rot="0" vert="horz"/>
          <a:lstStyle/>
          <a:p>
            <a:pPr>
              <a:defRPr/>
            </a:pPr>
            <a:endParaRPr lang="ru-RU"/>
          </a:p>
        </c:txPr>
        <c:crossAx val="188572032"/>
        <c:crosses val="autoZero"/>
        <c:auto val="1"/>
        <c:lblAlgn val="ctr"/>
        <c:lblOffset val="100"/>
        <c:tickLblSkip val="1"/>
        <c:tickMarkSkip val="1"/>
        <c:noMultiLvlLbl val="1"/>
      </c:catAx>
      <c:valAx>
        <c:axId val="188572032"/>
        <c:scaling>
          <c:orientation val="minMax"/>
          <c:max val="160"/>
        </c:scaling>
        <c:delete val="0"/>
        <c:axPos val="l"/>
        <c:majorGridlines>
          <c:spPr>
            <a:ln>
              <a:solidFill>
                <a:schemeClr val="bg1">
                  <a:lumMod val="75000"/>
                </a:schemeClr>
              </a:solidFill>
              <a:prstDash val="sysDash"/>
            </a:ln>
          </c:spPr>
        </c:majorGridlines>
        <c:title>
          <c:tx>
            <c:rich>
              <a:bodyPr/>
              <a:lstStyle/>
              <a:p>
                <a:pPr>
                  <a:defRPr/>
                </a:pPr>
                <a:r>
                  <a:rPr lang="ru-RU"/>
                  <a:t>млрд. тенге</a:t>
                </a:r>
              </a:p>
            </c:rich>
          </c:tx>
          <c:layout>
            <c:manualLayout>
              <c:xMode val="edge"/>
              <c:yMode val="edge"/>
              <c:x val="7.9745971441733936E-3"/>
              <c:y val="0.23288519018907342"/>
            </c:manualLayout>
          </c:layout>
          <c:overlay val="0"/>
          <c:spPr>
            <a:noFill/>
            <a:ln w="21434">
              <a:noFill/>
            </a:ln>
          </c:spPr>
        </c:title>
        <c:numFmt formatCode="#,##0" sourceLinked="0"/>
        <c:majorTickMark val="out"/>
        <c:minorTickMark val="none"/>
        <c:tickLblPos val="nextTo"/>
        <c:spPr>
          <a:ln w="2716">
            <a:solidFill>
              <a:schemeClr val="tx1"/>
            </a:solidFill>
            <a:prstDash val="solid"/>
          </a:ln>
        </c:spPr>
        <c:txPr>
          <a:bodyPr rot="0" vert="horz"/>
          <a:lstStyle/>
          <a:p>
            <a:pPr>
              <a:defRPr/>
            </a:pPr>
            <a:endParaRPr lang="ru-RU"/>
          </a:p>
        </c:txPr>
        <c:crossAx val="188549760"/>
        <c:crosses val="autoZero"/>
        <c:crossBetween val="between"/>
        <c:majorUnit val="40"/>
        <c:minorUnit val="30"/>
      </c:valAx>
      <c:catAx>
        <c:axId val="188573952"/>
        <c:scaling>
          <c:orientation val="minMax"/>
        </c:scaling>
        <c:delete val="1"/>
        <c:axPos val="b"/>
        <c:numFmt formatCode="General" sourceLinked="1"/>
        <c:majorTickMark val="out"/>
        <c:minorTickMark val="none"/>
        <c:tickLblPos val="nextTo"/>
        <c:crossAx val="188575744"/>
        <c:crosses val="autoZero"/>
        <c:auto val="1"/>
        <c:lblAlgn val="ctr"/>
        <c:lblOffset val="100"/>
        <c:noMultiLvlLbl val="0"/>
      </c:catAx>
      <c:valAx>
        <c:axId val="188575744"/>
        <c:scaling>
          <c:orientation val="minMax"/>
          <c:max val="60"/>
        </c:scaling>
        <c:delete val="0"/>
        <c:axPos val="r"/>
        <c:title>
          <c:tx>
            <c:rich>
              <a:bodyPr rot="5400000" vert="horz"/>
              <a:lstStyle/>
              <a:p>
                <a:pPr algn="ctr">
                  <a:defRPr/>
                </a:pPr>
                <a:r>
                  <a:rPr lang="ru-RU"/>
                  <a:t>млн. транзакций</a:t>
                </a:r>
              </a:p>
            </c:rich>
          </c:tx>
          <c:layout>
            <c:manualLayout>
              <c:xMode val="edge"/>
              <c:yMode val="edge"/>
              <c:x val="0.9044761997342925"/>
              <c:y val="0.11745842786600828"/>
            </c:manualLayout>
          </c:layout>
          <c:overlay val="0"/>
          <c:spPr>
            <a:noFill/>
            <a:ln w="21434">
              <a:noFill/>
            </a:ln>
          </c:spPr>
        </c:title>
        <c:numFmt formatCode="#,##0" sourceLinked="0"/>
        <c:majorTickMark val="out"/>
        <c:minorTickMark val="none"/>
        <c:tickLblPos val="nextTo"/>
        <c:txPr>
          <a:bodyPr rot="0" vert="horz"/>
          <a:lstStyle/>
          <a:p>
            <a:pPr>
              <a:defRPr/>
            </a:pPr>
            <a:endParaRPr lang="ru-RU"/>
          </a:p>
        </c:txPr>
        <c:crossAx val="188573952"/>
        <c:crosses val="max"/>
        <c:crossBetween val="between"/>
        <c:majorUnit val="20"/>
        <c:minorUnit val="10"/>
      </c:valAx>
      <c:spPr>
        <a:noFill/>
        <a:ln w="21434">
          <a:noFill/>
        </a:ln>
      </c:spPr>
    </c:plotArea>
    <c:legend>
      <c:legendPos val="r"/>
      <c:layout>
        <c:manualLayout>
          <c:xMode val="edge"/>
          <c:yMode val="edge"/>
          <c:x val="0.22018988367194842"/>
          <c:y val="0.86932176698251717"/>
          <c:w val="0.5221932114882506"/>
          <c:h val="0.12734082397003743"/>
        </c:manualLayout>
      </c:layout>
      <c:overlay val="0"/>
      <c:spPr>
        <a:noFill/>
        <a:ln w="21721">
          <a:noFill/>
        </a:ln>
      </c:spPr>
    </c:legend>
    <c:plotVisOnly val="1"/>
    <c:dispBlanksAs val="gap"/>
    <c:showDLblsOverMax val="1"/>
  </c:chart>
  <c:spPr>
    <a:noFill/>
    <a:ln>
      <a:noFill/>
    </a:ln>
  </c:spPr>
  <c:txPr>
    <a:bodyPr/>
    <a:lstStyle/>
    <a:p>
      <a:pPr>
        <a:defRPr sz="1000" b="0" i="0" u="none" strike="noStrike" baseline="0">
          <a:solidFill>
            <a:srgbClr val="000000"/>
          </a:solidFill>
          <a:latin typeface="+mn-lt"/>
          <a:ea typeface="Calibri"/>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753377793475024"/>
          <c:y val="0"/>
        </c:manualLayout>
      </c:layout>
      <c:overlay val="0"/>
      <c:spPr>
        <a:noFill/>
        <a:ln w="25367">
          <a:noFill/>
        </a:ln>
      </c:spPr>
      <c:txPr>
        <a:bodyPr/>
        <a:lstStyle/>
        <a:p>
          <a:pPr>
            <a:defRPr sz="1198">
              <a:solidFill>
                <a:srgbClr val="0E4C28"/>
              </a:solidFill>
            </a:defRPr>
          </a:pPr>
          <a:endParaRPr lang="ru-RU"/>
        </a:p>
      </c:txPr>
    </c:title>
    <c:autoTitleDeleted val="0"/>
    <c:plotArea>
      <c:layout>
        <c:manualLayout>
          <c:layoutTarget val="inner"/>
          <c:xMode val="edge"/>
          <c:yMode val="edge"/>
          <c:x val="0.14285714285714285"/>
          <c:y val="0.22105263157894736"/>
          <c:w val="0.80952380952380953"/>
          <c:h val="0.55789473684210522"/>
        </c:manualLayout>
      </c:layout>
      <c:barChart>
        <c:barDir val="col"/>
        <c:grouping val="clustered"/>
        <c:varyColors val="0"/>
        <c:ser>
          <c:idx val="0"/>
          <c:order val="0"/>
          <c:tx>
            <c:strRef>
              <c:f>Лист1!$B$1</c:f>
              <c:strCache>
                <c:ptCount val="1"/>
                <c:pt idx="0">
                  <c:v>Количество</c:v>
                </c:pt>
              </c:strCache>
            </c:strRef>
          </c:tx>
          <c:spPr>
            <a:solidFill>
              <a:srgbClr val="9BBB59">
                <a:lumMod val="75000"/>
              </a:srgbClr>
            </a:solidFill>
          </c:spPr>
          <c:invertIfNegative val="0"/>
          <c:dLbls>
            <c:spPr>
              <a:noFill/>
              <a:ln w="25367">
                <a:noFill/>
              </a:ln>
            </c:spPr>
            <c:showLegendKey val="0"/>
            <c:showVal val="1"/>
            <c:showCatName val="0"/>
            <c:showSerName val="0"/>
            <c:showPercent val="0"/>
            <c:showBubbleSize val="0"/>
            <c:showLeaderLines val="0"/>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12.3</c:v>
                </c:pt>
                <c:pt idx="1">
                  <c:v>13.9</c:v>
                </c:pt>
                <c:pt idx="2">
                  <c:v>14</c:v>
                </c:pt>
                <c:pt idx="3">
                  <c:v>13.5</c:v>
                </c:pt>
                <c:pt idx="4">
                  <c:v>14</c:v>
                </c:pt>
              </c:numCache>
            </c:numRef>
          </c:val>
        </c:ser>
        <c:dLbls>
          <c:showLegendKey val="0"/>
          <c:showVal val="0"/>
          <c:showCatName val="0"/>
          <c:showSerName val="0"/>
          <c:showPercent val="0"/>
          <c:showBubbleSize val="0"/>
        </c:dLbls>
        <c:gapWidth val="70"/>
        <c:axId val="187972992"/>
        <c:axId val="188056704"/>
      </c:barChart>
      <c:catAx>
        <c:axId val="187972992"/>
        <c:scaling>
          <c:orientation val="minMax"/>
        </c:scaling>
        <c:delete val="0"/>
        <c:axPos val="b"/>
        <c:numFmt formatCode="General" sourceLinked="1"/>
        <c:majorTickMark val="out"/>
        <c:minorTickMark val="none"/>
        <c:tickLblPos val="nextTo"/>
        <c:crossAx val="188056704"/>
        <c:crosses val="autoZero"/>
        <c:auto val="1"/>
        <c:lblAlgn val="ctr"/>
        <c:lblOffset val="100"/>
        <c:noMultiLvlLbl val="0"/>
      </c:catAx>
      <c:valAx>
        <c:axId val="188056704"/>
        <c:scaling>
          <c:orientation val="minMax"/>
        </c:scaling>
        <c:delete val="0"/>
        <c:axPos val="l"/>
        <c:numFmt formatCode="#,##0.0" sourceLinked="1"/>
        <c:majorTickMark val="out"/>
        <c:minorTickMark val="none"/>
        <c:tickLblPos val="nextTo"/>
        <c:crossAx val="187972992"/>
        <c:crosses val="autoZero"/>
        <c:crossBetween val="between"/>
      </c:valAx>
    </c:plotArea>
    <c:plotVisOnly val="1"/>
    <c:dispBlanksAs val="gap"/>
    <c:showDLblsOverMax val="0"/>
  </c:chart>
  <c:spPr>
    <a:ln>
      <a:noFill/>
    </a:ln>
  </c:spPr>
  <c:txPr>
    <a:bodyPr/>
    <a:lstStyle/>
    <a:p>
      <a:pPr>
        <a:defRPr sz="1000">
          <a:latin typeface="+mn-lt"/>
        </a:defRPr>
      </a:pPr>
      <a:endParaRPr lang="ru-RU"/>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41666666666666669"/>
          <c:y val="0"/>
        </c:manualLayout>
      </c:layout>
      <c:overlay val="0"/>
      <c:spPr>
        <a:noFill/>
        <a:ln w="25362">
          <a:noFill/>
        </a:ln>
      </c:spPr>
      <c:txPr>
        <a:bodyPr/>
        <a:lstStyle/>
        <a:p>
          <a:pPr>
            <a:defRPr sz="1200">
              <a:solidFill>
                <a:srgbClr val="0E4C28"/>
              </a:solidFill>
              <a:latin typeface="+mn-lt"/>
              <a:cs typeface="Times New Roman" pitchFamily="18" charset="0"/>
            </a:defRPr>
          </a:pPr>
          <a:endParaRPr lang="ru-RU"/>
        </a:p>
      </c:txPr>
    </c:title>
    <c:autoTitleDeleted val="0"/>
    <c:plotArea>
      <c:layout>
        <c:manualLayout>
          <c:layoutTarget val="inner"/>
          <c:xMode val="edge"/>
          <c:yMode val="edge"/>
          <c:x val="0.1449384211588936"/>
          <c:y val="0.15609756097560976"/>
          <c:w val="0.8298090623287474"/>
          <c:h val="0.63902439024390234"/>
        </c:manualLayout>
      </c:layout>
      <c:barChart>
        <c:barDir val="col"/>
        <c:grouping val="clustered"/>
        <c:varyColors val="0"/>
        <c:ser>
          <c:idx val="0"/>
          <c:order val="0"/>
          <c:tx>
            <c:strRef>
              <c:f>Лист1!$B$1</c:f>
              <c:strCache>
                <c:ptCount val="1"/>
                <c:pt idx="0">
                  <c:v>Сумма</c:v>
                </c:pt>
              </c:strCache>
            </c:strRef>
          </c:tx>
          <c:spPr>
            <a:solidFill>
              <a:srgbClr val="F79646">
                <a:lumMod val="40000"/>
                <a:lumOff val="60000"/>
              </a:srgbClr>
            </a:solidFill>
          </c:spPr>
          <c:invertIfNegative val="0"/>
          <c:dLbls>
            <c:spPr>
              <a:noFill/>
              <a:ln w="25362">
                <a:noFill/>
              </a:ln>
            </c:spPr>
            <c:txPr>
              <a:bodyPr/>
              <a:lstStyle/>
              <a:p>
                <a:pPr>
                  <a:defRPr>
                    <a:latin typeface="+mn-lt"/>
                    <a:cs typeface="Times New Roman" pitchFamily="18" charset="0"/>
                  </a:defRPr>
                </a:pPr>
                <a:endParaRPr lang="ru-RU"/>
              </a:p>
            </c:txPr>
            <c:showLegendKey val="0"/>
            <c:showVal val="1"/>
            <c:showCatName val="0"/>
            <c:showSerName val="0"/>
            <c:showPercent val="0"/>
            <c:showBubbleSize val="0"/>
            <c:showLeaderLines val="0"/>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166.5</c:v>
                </c:pt>
                <c:pt idx="1">
                  <c:v>172.8</c:v>
                </c:pt>
                <c:pt idx="2">
                  <c:v>197.2</c:v>
                </c:pt>
                <c:pt idx="3">
                  <c:v>226.5</c:v>
                </c:pt>
                <c:pt idx="4">
                  <c:v>584.70000000000005</c:v>
                </c:pt>
              </c:numCache>
            </c:numRef>
          </c:val>
        </c:ser>
        <c:dLbls>
          <c:showLegendKey val="0"/>
          <c:showVal val="0"/>
          <c:showCatName val="0"/>
          <c:showSerName val="0"/>
          <c:showPercent val="0"/>
          <c:showBubbleSize val="0"/>
        </c:dLbls>
        <c:gapWidth val="70"/>
        <c:axId val="166778368"/>
        <c:axId val="166779904"/>
      </c:barChart>
      <c:catAx>
        <c:axId val="166778368"/>
        <c:scaling>
          <c:orientation val="minMax"/>
        </c:scaling>
        <c:delete val="0"/>
        <c:axPos val="b"/>
        <c:numFmt formatCode="General" sourceLinked="1"/>
        <c:majorTickMark val="out"/>
        <c:minorTickMark val="none"/>
        <c:tickLblPos val="nextTo"/>
        <c:txPr>
          <a:bodyPr/>
          <a:lstStyle/>
          <a:p>
            <a:pPr>
              <a:defRPr>
                <a:latin typeface="+mn-lt"/>
                <a:cs typeface="Times New Roman" pitchFamily="18" charset="0"/>
              </a:defRPr>
            </a:pPr>
            <a:endParaRPr lang="ru-RU"/>
          </a:p>
        </c:txPr>
        <c:crossAx val="166779904"/>
        <c:crosses val="autoZero"/>
        <c:auto val="1"/>
        <c:lblAlgn val="ctr"/>
        <c:lblOffset val="100"/>
        <c:noMultiLvlLbl val="0"/>
      </c:catAx>
      <c:valAx>
        <c:axId val="166779904"/>
        <c:scaling>
          <c:orientation val="minMax"/>
        </c:scaling>
        <c:delete val="0"/>
        <c:axPos val="l"/>
        <c:numFmt formatCode="#,##0.0" sourceLinked="1"/>
        <c:majorTickMark val="out"/>
        <c:minorTickMark val="none"/>
        <c:tickLblPos val="nextTo"/>
        <c:txPr>
          <a:bodyPr/>
          <a:lstStyle/>
          <a:p>
            <a:pPr>
              <a:defRPr>
                <a:latin typeface="+mn-lt"/>
                <a:cs typeface="Times New Roman" pitchFamily="18" charset="0"/>
              </a:defRPr>
            </a:pPr>
            <a:endParaRPr lang="ru-RU"/>
          </a:p>
        </c:txPr>
        <c:crossAx val="166778368"/>
        <c:crosses val="autoZero"/>
        <c:crossBetween val="between"/>
      </c:valAx>
    </c:plotArea>
    <c:plotVisOnly val="1"/>
    <c:dispBlanksAs val="gap"/>
    <c:showDLblsOverMax val="0"/>
  </c:chart>
  <c:spPr>
    <a:ln>
      <a:noFill/>
    </a:ln>
  </c:sp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626933782839654"/>
          <c:y val="2.2308979364194088E-2"/>
          <c:w val="0.6017646288245927"/>
          <c:h val="0.81545700286630385"/>
        </c:manualLayout>
      </c:layout>
      <c:barChart>
        <c:barDir val="bar"/>
        <c:grouping val="clustered"/>
        <c:varyColors val="0"/>
        <c:ser>
          <c:idx val="0"/>
          <c:order val="0"/>
          <c:tx>
            <c:strRef>
              <c:f>Лист1!$B$1</c:f>
              <c:strCache>
                <c:ptCount val="1"/>
                <c:pt idx="0">
                  <c:v>2016</c:v>
                </c:pt>
              </c:strCache>
            </c:strRef>
          </c:tx>
          <c:spPr>
            <a:solidFill>
              <a:srgbClr val="339966"/>
            </a:solidFill>
          </c:spPr>
          <c:invertIfNegative val="0"/>
          <c:dLbls>
            <c:numFmt formatCode="#,##0" sourceLinked="0"/>
            <c:txPr>
              <a:bodyPr/>
              <a:lstStyle/>
              <a:p>
                <a:pPr>
                  <a:defRPr sz="800"/>
                </a:pPr>
                <a:endParaRPr lang="ru-RU"/>
              </a:p>
            </c:txPr>
            <c:showLegendKey val="0"/>
            <c:showVal val="1"/>
            <c:showCatName val="0"/>
            <c:showSerName val="0"/>
            <c:showPercent val="0"/>
            <c:showBubbleSize val="0"/>
            <c:showLeaderLines val="0"/>
          </c:dLbls>
          <c:cat>
            <c:strRef>
              <c:f>Лист1!$A$2:$A$7</c:f>
              <c:strCache>
                <c:ptCount val="6"/>
                <c:pt idx="0">
                  <c:v>Прочие платежи*</c:v>
                </c:pt>
                <c:pt idx="1">
                  <c:v>Ценные бумаги, векселя и депозитные сертификаты</c:v>
                </c:pt>
                <c:pt idx="2">
                  <c:v>Депозиты</c:v>
                </c:pt>
                <c:pt idx="3">
                  <c:v>Операции с иностранной валютой и драгоценными металлами</c:v>
                </c:pt>
                <c:pt idx="4">
                  <c:v>Товары, нематериальные активы и услуги</c:v>
                </c:pt>
                <c:pt idx="5">
                  <c:v>Займы</c:v>
                </c:pt>
              </c:strCache>
            </c:strRef>
          </c:cat>
          <c:val>
            <c:numRef>
              <c:f>Лист1!$B$2:$B$7</c:f>
              <c:numCache>
                <c:formatCode>_-* #,##0.0_р_._-;\-* #,##0.0_р_._-;_-* "-"??_р_._-;_-@_-</c:formatCode>
                <c:ptCount val="6"/>
                <c:pt idx="0">
                  <c:v>257232.9</c:v>
                </c:pt>
                <c:pt idx="1">
                  <c:v>201281.3</c:v>
                </c:pt>
                <c:pt idx="2">
                  <c:v>73805.8</c:v>
                </c:pt>
                <c:pt idx="3">
                  <c:v>28212.799999999999</c:v>
                </c:pt>
                <c:pt idx="4">
                  <c:v>20519.400000000001</c:v>
                </c:pt>
                <c:pt idx="5">
                  <c:v>3619.5</c:v>
                </c:pt>
              </c:numCache>
            </c:numRef>
          </c:val>
        </c:ser>
        <c:ser>
          <c:idx val="1"/>
          <c:order val="1"/>
          <c:tx>
            <c:strRef>
              <c:f>Лист1!$C$1</c:f>
              <c:strCache>
                <c:ptCount val="1"/>
                <c:pt idx="0">
                  <c:v>2015</c:v>
                </c:pt>
              </c:strCache>
            </c:strRef>
          </c:tx>
          <c:spPr>
            <a:solidFill>
              <a:srgbClr val="F2DCDB"/>
            </a:solidFill>
          </c:spPr>
          <c:invertIfNegative val="0"/>
          <c:dLbls>
            <c:numFmt formatCode="#,##0" sourceLinked="0"/>
            <c:txPr>
              <a:bodyPr/>
              <a:lstStyle/>
              <a:p>
                <a:pPr>
                  <a:defRPr sz="800"/>
                </a:pPr>
                <a:endParaRPr lang="ru-RU"/>
              </a:p>
            </c:txPr>
            <c:showLegendKey val="0"/>
            <c:showVal val="1"/>
            <c:showCatName val="0"/>
            <c:showSerName val="0"/>
            <c:showPercent val="0"/>
            <c:showBubbleSize val="0"/>
            <c:showLeaderLines val="0"/>
          </c:dLbls>
          <c:cat>
            <c:strRef>
              <c:f>Лист1!$A$2:$A$7</c:f>
              <c:strCache>
                <c:ptCount val="6"/>
                <c:pt idx="0">
                  <c:v>Прочие платежи*</c:v>
                </c:pt>
                <c:pt idx="1">
                  <c:v>Ценные бумаги, векселя и депозитные сертификаты</c:v>
                </c:pt>
                <c:pt idx="2">
                  <c:v>Депозиты</c:v>
                </c:pt>
                <c:pt idx="3">
                  <c:v>Операции с иностранной валютой и драгоценными металлами</c:v>
                </c:pt>
                <c:pt idx="4">
                  <c:v>Товары, нематериальные активы и услуги</c:v>
                </c:pt>
                <c:pt idx="5">
                  <c:v>Займы</c:v>
                </c:pt>
              </c:strCache>
            </c:strRef>
          </c:cat>
          <c:val>
            <c:numRef>
              <c:f>Лист1!$C$2:$C$7</c:f>
              <c:numCache>
                <c:formatCode>_-* #,##0.0_р_._-;\-* #,##0.0_р_._-;_-* "-"??_р_._-;_-@_-</c:formatCode>
                <c:ptCount val="6"/>
                <c:pt idx="0">
                  <c:v>43526.7</c:v>
                </c:pt>
                <c:pt idx="1">
                  <c:v>106655.4</c:v>
                </c:pt>
                <c:pt idx="2">
                  <c:v>24636.2</c:v>
                </c:pt>
                <c:pt idx="3">
                  <c:v>30893.3</c:v>
                </c:pt>
                <c:pt idx="4">
                  <c:v>18777.099999999999</c:v>
                </c:pt>
                <c:pt idx="5">
                  <c:v>1971.2</c:v>
                </c:pt>
              </c:numCache>
            </c:numRef>
          </c:val>
        </c:ser>
        <c:dLbls>
          <c:showLegendKey val="0"/>
          <c:showVal val="0"/>
          <c:showCatName val="0"/>
          <c:showSerName val="0"/>
          <c:showPercent val="0"/>
          <c:showBubbleSize val="0"/>
        </c:dLbls>
        <c:gapWidth val="61"/>
        <c:axId val="188404480"/>
        <c:axId val="188406016"/>
      </c:barChart>
      <c:catAx>
        <c:axId val="188404480"/>
        <c:scaling>
          <c:orientation val="minMax"/>
        </c:scaling>
        <c:delete val="0"/>
        <c:axPos val="l"/>
        <c:majorGridlines>
          <c:spPr>
            <a:ln>
              <a:prstDash val="sysDash"/>
            </a:ln>
          </c:spPr>
        </c:majorGridlines>
        <c:numFmt formatCode="General" sourceLinked="0"/>
        <c:majorTickMark val="out"/>
        <c:minorTickMark val="none"/>
        <c:tickLblPos val="nextTo"/>
        <c:txPr>
          <a:bodyPr anchor="ctr" anchorCtr="0"/>
          <a:lstStyle/>
          <a:p>
            <a:pPr>
              <a:defRPr sz="800"/>
            </a:pPr>
            <a:endParaRPr lang="ru-RU"/>
          </a:p>
        </c:txPr>
        <c:crossAx val="188406016"/>
        <c:crosses val="autoZero"/>
        <c:auto val="0"/>
        <c:lblAlgn val="ctr"/>
        <c:lblOffset val="100"/>
        <c:noMultiLvlLbl val="0"/>
      </c:catAx>
      <c:valAx>
        <c:axId val="188406016"/>
        <c:scaling>
          <c:orientation val="minMax"/>
          <c:max val="400000"/>
        </c:scaling>
        <c:delete val="0"/>
        <c:axPos val="b"/>
        <c:numFmt formatCode="#,##0" sourceLinked="0"/>
        <c:majorTickMark val="out"/>
        <c:minorTickMark val="none"/>
        <c:tickLblPos val="nextTo"/>
        <c:txPr>
          <a:bodyPr/>
          <a:lstStyle/>
          <a:p>
            <a:pPr>
              <a:defRPr sz="800"/>
            </a:pPr>
            <a:endParaRPr lang="ru-RU"/>
          </a:p>
        </c:txPr>
        <c:crossAx val="188404480"/>
        <c:crosses val="autoZero"/>
        <c:crossBetween val="between"/>
      </c:valAx>
    </c:plotArea>
    <c:legend>
      <c:legendPos val="b"/>
      <c:layout>
        <c:manualLayout>
          <c:xMode val="edge"/>
          <c:yMode val="edge"/>
          <c:x val="0.41315416302128899"/>
          <c:y val="0.91299981116415108"/>
          <c:w val="0.1651292350560053"/>
          <c:h val="8.7000167162727488E-2"/>
        </c:manualLayout>
      </c:layout>
      <c:overlay val="0"/>
    </c:legend>
    <c:plotVisOnly val="1"/>
    <c:dispBlanksAs val="gap"/>
    <c:showDLblsOverMax val="0"/>
  </c:chart>
  <c:spPr>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'2016'!$E$99</c:f>
              <c:strCache>
                <c:ptCount val="1"/>
                <c:pt idx="0">
                  <c:v>до 3 млн. тенге</c:v>
                </c:pt>
              </c:strCache>
            </c:strRef>
          </c:tx>
          <c:invertIfNegative val="0"/>
          <c:cat>
            <c:strRef>
              <c:f>'2016'!$F$98:$Q$98</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'2016'!$F$99:$Q$99</c:f>
              <c:numCache>
                <c:formatCode>#" "###" "###" "###" "##0</c:formatCode>
                <c:ptCount val="12"/>
                <c:pt idx="0">
                  <c:v>755904</c:v>
                </c:pt>
                <c:pt idx="1">
                  <c:v>1086761</c:v>
                </c:pt>
                <c:pt idx="2">
                  <c:v>1029921</c:v>
                </c:pt>
                <c:pt idx="3">
                  <c:v>1074247</c:v>
                </c:pt>
                <c:pt idx="4">
                  <c:v>1020561</c:v>
                </c:pt>
                <c:pt idx="5">
                  <c:v>1042875</c:v>
                </c:pt>
                <c:pt idx="6">
                  <c:v>1026689</c:v>
                </c:pt>
                <c:pt idx="7">
                  <c:v>1155256</c:v>
                </c:pt>
                <c:pt idx="8">
                  <c:v>979510</c:v>
                </c:pt>
                <c:pt idx="9">
                  <c:v>954353</c:v>
                </c:pt>
                <c:pt idx="10">
                  <c:v>997129</c:v>
                </c:pt>
                <c:pt idx="11">
                  <c:v>1120632</c:v>
                </c:pt>
              </c:numCache>
            </c:numRef>
          </c:val>
        </c:ser>
        <c:ser>
          <c:idx val="1"/>
          <c:order val="1"/>
          <c:tx>
            <c:strRef>
              <c:f>'2016'!$E$100</c:f>
              <c:strCache>
                <c:ptCount val="1"/>
                <c:pt idx="0">
                  <c:v>от 3 до 5 млн. тенге</c:v>
                </c:pt>
              </c:strCache>
            </c:strRef>
          </c:tx>
          <c:invertIfNegative val="0"/>
          <c:cat>
            <c:strRef>
              <c:f>'2016'!$F$98:$Q$98</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'2016'!$F$100:$Q$100</c:f>
              <c:numCache>
                <c:formatCode>#" "###" "###" "###" "##0</c:formatCode>
                <c:ptCount val="12"/>
                <c:pt idx="0">
                  <c:v>16863</c:v>
                </c:pt>
                <c:pt idx="1">
                  <c:v>20204</c:v>
                </c:pt>
                <c:pt idx="2">
                  <c:v>21468</c:v>
                </c:pt>
                <c:pt idx="3">
                  <c:v>23180</c:v>
                </c:pt>
                <c:pt idx="4">
                  <c:v>23785</c:v>
                </c:pt>
                <c:pt idx="5">
                  <c:v>25034</c:v>
                </c:pt>
                <c:pt idx="6">
                  <c:v>23368</c:v>
                </c:pt>
                <c:pt idx="7">
                  <c:v>25693</c:v>
                </c:pt>
                <c:pt idx="8">
                  <c:v>25534</c:v>
                </c:pt>
                <c:pt idx="9">
                  <c:v>25291</c:v>
                </c:pt>
                <c:pt idx="10">
                  <c:v>26016</c:v>
                </c:pt>
                <c:pt idx="11">
                  <c:v>29061</c:v>
                </c:pt>
              </c:numCache>
            </c:numRef>
          </c:val>
        </c:ser>
        <c:ser>
          <c:idx val="2"/>
          <c:order val="2"/>
          <c:tx>
            <c:strRef>
              <c:f>'2016'!$E$101</c:f>
              <c:strCache>
                <c:ptCount val="1"/>
                <c:pt idx="0">
                  <c:v>от 5 до 10 млн. тенге</c:v>
                </c:pt>
              </c:strCache>
            </c:strRef>
          </c:tx>
          <c:invertIfNegative val="0"/>
          <c:cat>
            <c:strRef>
              <c:f>'2016'!$F$98:$Q$98</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'2016'!$F$101:$Q$101</c:f>
              <c:numCache>
                <c:formatCode>#" "###" "###" "###" "##0</c:formatCode>
                <c:ptCount val="12"/>
                <c:pt idx="0">
                  <c:v>30665</c:v>
                </c:pt>
                <c:pt idx="1">
                  <c:v>41080</c:v>
                </c:pt>
                <c:pt idx="2">
                  <c:v>40610</c:v>
                </c:pt>
                <c:pt idx="3">
                  <c:v>44583</c:v>
                </c:pt>
                <c:pt idx="4">
                  <c:v>44807</c:v>
                </c:pt>
                <c:pt idx="5">
                  <c:v>48375</c:v>
                </c:pt>
                <c:pt idx="6">
                  <c:v>44379</c:v>
                </c:pt>
                <c:pt idx="7">
                  <c:v>49838</c:v>
                </c:pt>
                <c:pt idx="8">
                  <c:v>49630</c:v>
                </c:pt>
                <c:pt idx="9">
                  <c:v>49379</c:v>
                </c:pt>
                <c:pt idx="10">
                  <c:v>52889</c:v>
                </c:pt>
                <c:pt idx="11">
                  <c:v>59410</c:v>
                </c:pt>
              </c:numCache>
            </c:numRef>
          </c:val>
        </c:ser>
        <c:ser>
          <c:idx val="3"/>
          <c:order val="3"/>
          <c:tx>
            <c:strRef>
              <c:f>'2016'!$E$102</c:f>
              <c:strCache>
                <c:ptCount val="1"/>
                <c:pt idx="0">
                  <c:v>от 10 до 50 млн. тенге</c:v>
                </c:pt>
              </c:strCache>
            </c:strRef>
          </c:tx>
          <c:invertIfNegative val="0"/>
          <c:cat>
            <c:strRef>
              <c:f>'2016'!$F$98:$Q$98</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'2016'!$F$102:$Q$102</c:f>
              <c:numCache>
                <c:formatCode>#" "###" "###" "###" "##0</c:formatCode>
                <c:ptCount val="12"/>
                <c:pt idx="0">
                  <c:v>34185</c:v>
                </c:pt>
                <c:pt idx="1">
                  <c:v>42345</c:v>
                </c:pt>
                <c:pt idx="2">
                  <c:v>41791</c:v>
                </c:pt>
                <c:pt idx="3">
                  <c:v>46121</c:v>
                </c:pt>
                <c:pt idx="4">
                  <c:v>45666</c:v>
                </c:pt>
                <c:pt idx="5">
                  <c:v>48506</c:v>
                </c:pt>
                <c:pt idx="6">
                  <c:v>45540</c:v>
                </c:pt>
                <c:pt idx="7">
                  <c:v>50967</c:v>
                </c:pt>
                <c:pt idx="8">
                  <c:v>50295</c:v>
                </c:pt>
                <c:pt idx="9">
                  <c:v>50567</c:v>
                </c:pt>
                <c:pt idx="10">
                  <c:v>56027</c:v>
                </c:pt>
                <c:pt idx="11">
                  <c:v>60709</c:v>
                </c:pt>
              </c:numCache>
            </c:numRef>
          </c:val>
        </c:ser>
        <c:ser>
          <c:idx val="4"/>
          <c:order val="4"/>
          <c:tx>
            <c:strRef>
              <c:f>'2016'!$E$103</c:f>
              <c:strCache>
                <c:ptCount val="1"/>
                <c:pt idx="0">
                  <c:v>от 50 до 100 млн. тенге</c:v>
                </c:pt>
              </c:strCache>
            </c:strRef>
          </c:tx>
          <c:invertIfNegative val="0"/>
          <c:cat>
            <c:strRef>
              <c:f>'2016'!$F$98:$Q$98</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'2016'!$F$103:$Q$103</c:f>
              <c:numCache>
                <c:formatCode>#" "###" "###" "###" "##0</c:formatCode>
                <c:ptCount val="12"/>
                <c:pt idx="0">
                  <c:v>5988</c:v>
                </c:pt>
                <c:pt idx="1">
                  <c:v>6988</c:v>
                </c:pt>
                <c:pt idx="2">
                  <c:v>7020</c:v>
                </c:pt>
                <c:pt idx="3">
                  <c:v>7539</c:v>
                </c:pt>
                <c:pt idx="4">
                  <c:v>7403</c:v>
                </c:pt>
                <c:pt idx="5">
                  <c:v>7584</c:v>
                </c:pt>
                <c:pt idx="6">
                  <c:v>7369</c:v>
                </c:pt>
                <c:pt idx="7">
                  <c:v>8338</c:v>
                </c:pt>
                <c:pt idx="8">
                  <c:v>7989</c:v>
                </c:pt>
                <c:pt idx="9">
                  <c:v>8041</c:v>
                </c:pt>
                <c:pt idx="10">
                  <c:v>9114</c:v>
                </c:pt>
                <c:pt idx="11">
                  <c:v>10204</c:v>
                </c:pt>
              </c:numCache>
            </c:numRef>
          </c:val>
        </c:ser>
        <c:ser>
          <c:idx val="5"/>
          <c:order val="5"/>
          <c:tx>
            <c:strRef>
              <c:f>'2016'!$E$104</c:f>
              <c:strCache>
                <c:ptCount val="1"/>
                <c:pt idx="0">
                  <c:v>от 100 до 500 млн. тенге</c:v>
                </c:pt>
              </c:strCache>
            </c:strRef>
          </c:tx>
          <c:invertIfNegative val="0"/>
          <c:cat>
            <c:strRef>
              <c:f>'2016'!$F$98:$Q$98</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'2016'!$F$104:$Q$104</c:f>
              <c:numCache>
                <c:formatCode>#" "###" "###" "###" "##0</c:formatCode>
                <c:ptCount val="12"/>
                <c:pt idx="0">
                  <c:v>8137</c:v>
                </c:pt>
                <c:pt idx="1">
                  <c:v>8012</c:v>
                </c:pt>
                <c:pt idx="2">
                  <c:v>8138</c:v>
                </c:pt>
                <c:pt idx="3">
                  <c:v>8742</c:v>
                </c:pt>
                <c:pt idx="4">
                  <c:v>7511</c:v>
                </c:pt>
                <c:pt idx="5">
                  <c:v>8179</c:v>
                </c:pt>
                <c:pt idx="6">
                  <c:v>7582</c:v>
                </c:pt>
                <c:pt idx="7">
                  <c:v>8459</c:v>
                </c:pt>
                <c:pt idx="8">
                  <c:v>7865</c:v>
                </c:pt>
                <c:pt idx="9">
                  <c:v>8314</c:v>
                </c:pt>
                <c:pt idx="10">
                  <c:v>10425</c:v>
                </c:pt>
                <c:pt idx="11">
                  <c:v>13803</c:v>
                </c:pt>
              </c:numCache>
            </c:numRef>
          </c:val>
        </c:ser>
        <c:ser>
          <c:idx val="6"/>
          <c:order val="6"/>
          <c:tx>
            <c:strRef>
              <c:f>'2016'!$E$105</c:f>
              <c:strCache>
                <c:ptCount val="1"/>
                <c:pt idx="0">
                  <c:v>от 500 до 1 млрд. тенге</c:v>
                </c:pt>
              </c:strCache>
            </c:strRef>
          </c:tx>
          <c:invertIfNegative val="0"/>
          <c:cat>
            <c:strRef>
              <c:f>'2016'!$F$98:$Q$98</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'2016'!$F$105:$Q$105</c:f>
              <c:numCache>
                <c:formatCode>#" "###" "###" "###" "##0</c:formatCode>
                <c:ptCount val="12"/>
                <c:pt idx="0">
                  <c:v>5222</c:v>
                </c:pt>
                <c:pt idx="1">
                  <c:v>4253</c:v>
                </c:pt>
                <c:pt idx="2">
                  <c:v>3950</c:v>
                </c:pt>
                <c:pt idx="3">
                  <c:v>4384</c:v>
                </c:pt>
                <c:pt idx="4">
                  <c:v>3483</c:v>
                </c:pt>
                <c:pt idx="5">
                  <c:v>3640</c:v>
                </c:pt>
                <c:pt idx="6">
                  <c:v>3412</c:v>
                </c:pt>
                <c:pt idx="7">
                  <c:v>4098</c:v>
                </c:pt>
                <c:pt idx="8">
                  <c:v>3900</c:v>
                </c:pt>
                <c:pt idx="9">
                  <c:v>3346</c:v>
                </c:pt>
                <c:pt idx="10">
                  <c:v>3523</c:v>
                </c:pt>
                <c:pt idx="11">
                  <c:v>3208</c:v>
                </c:pt>
              </c:numCache>
            </c:numRef>
          </c:val>
        </c:ser>
        <c:ser>
          <c:idx val="7"/>
          <c:order val="7"/>
          <c:tx>
            <c:strRef>
              <c:f>'2016'!$E$106</c:f>
              <c:strCache>
                <c:ptCount val="1"/>
                <c:pt idx="0">
                  <c:v>свыше 1 млрд. тенге</c:v>
                </c:pt>
              </c:strCache>
            </c:strRef>
          </c:tx>
          <c:invertIfNegative val="0"/>
          <c:cat>
            <c:strRef>
              <c:f>'2016'!$F$98:$Q$98</c:f>
              <c:strCache>
                <c:ptCount val="12"/>
                <c:pt idx="0">
                  <c:v>янв</c:v>
                </c:pt>
                <c:pt idx="1">
                  <c:v>фев</c:v>
                </c:pt>
                <c:pt idx="2">
                  <c:v>март</c:v>
                </c:pt>
                <c:pt idx="3">
                  <c:v>апр</c:v>
                </c:pt>
                <c:pt idx="4">
                  <c:v>май</c:v>
                </c:pt>
                <c:pt idx="5">
                  <c:v>июнь</c:v>
                </c:pt>
                <c:pt idx="6">
                  <c:v>июль</c:v>
                </c:pt>
                <c:pt idx="7">
                  <c:v>авг</c:v>
                </c:pt>
                <c:pt idx="8">
                  <c:v>сент</c:v>
                </c:pt>
                <c:pt idx="9">
                  <c:v>окт</c:v>
                </c:pt>
                <c:pt idx="10">
                  <c:v>ноя</c:v>
                </c:pt>
                <c:pt idx="11">
                  <c:v>дек</c:v>
                </c:pt>
              </c:strCache>
            </c:strRef>
          </c:cat>
          <c:val>
            <c:numRef>
              <c:f>'2016'!$F$106:$Q$106</c:f>
              <c:numCache>
                <c:formatCode>#" "###" "###" "###" "##0</c:formatCode>
                <c:ptCount val="12"/>
                <c:pt idx="0">
                  <c:v>6113</c:v>
                </c:pt>
                <c:pt idx="1">
                  <c:v>6834</c:v>
                </c:pt>
                <c:pt idx="2">
                  <c:v>8918</c:v>
                </c:pt>
                <c:pt idx="3">
                  <c:v>9147</c:v>
                </c:pt>
                <c:pt idx="4">
                  <c:v>8593</c:v>
                </c:pt>
                <c:pt idx="5">
                  <c:v>8842</c:v>
                </c:pt>
                <c:pt idx="6">
                  <c:v>8977</c:v>
                </c:pt>
                <c:pt idx="7">
                  <c:v>10438</c:v>
                </c:pt>
                <c:pt idx="8">
                  <c:v>8616</c:v>
                </c:pt>
                <c:pt idx="9">
                  <c:v>8276</c:v>
                </c:pt>
                <c:pt idx="10">
                  <c:v>8573</c:v>
                </c:pt>
                <c:pt idx="11">
                  <c:v>8867</c:v>
                </c:pt>
              </c:numCache>
            </c:numRef>
          </c:val>
        </c:ser>
        <c:dLbls>
          <c:showLegendKey val="0"/>
          <c:showVal val="0"/>
          <c:showCatName val="0"/>
          <c:showSerName val="0"/>
          <c:showPercent val="0"/>
          <c:showBubbleSize val="0"/>
        </c:dLbls>
        <c:gapWidth val="70"/>
        <c:overlap val="100"/>
        <c:axId val="188819712"/>
        <c:axId val="188833792"/>
      </c:barChart>
      <c:catAx>
        <c:axId val="188819712"/>
        <c:scaling>
          <c:orientation val="minMax"/>
        </c:scaling>
        <c:delete val="0"/>
        <c:axPos val="b"/>
        <c:numFmt formatCode="General" sourceLinked="1"/>
        <c:majorTickMark val="out"/>
        <c:minorTickMark val="none"/>
        <c:tickLblPos val="nextTo"/>
        <c:crossAx val="188833792"/>
        <c:crosses val="autoZero"/>
        <c:auto val="1"/>
        <c:lblAlgn val="ctr"/>
        <c:lblOffset val="100"/>
        <c:noMultiLvlLbl val="0"/>
      </c:catAx>
      <c:valAx>
        <c:axId val="188833792"/>
        <c:scaling>
          <c:orientation val="minMax"/>
          <c:min val="0"/>
        </c:scaling>
        <c:delete val="0"/>
        <c:axPos val="l"/>
        <c:majorGridlines>
          <c:spPr>
            <a:ln>
              <a:prstDash val="sysDash"/>
            </a:ln>
          </c:spPr>
        </c:majorGridlines>
        <c:numFmt formatCode="0%" sourceLinked="1"/>
        <c:majorTickMark val="out"/>
        <c:minorTickMark val="none"/>
        <c:tickLblPos val="nextTo"/>
        <c:crossAx val="188819712"/>
        <c:crosses val="autoZero"/>
        <c:crossBetween val="between"/>
        <c:majorUnit val="0.2"/>
      </c:valAx>
      <c:spPr>
        <a:ln w="3175"/>
      </c:spPr>
    </c:plotArea>
    <c:legend>
      <c:legendPos val="r"/>
      <c:layout>
        <c:manualLayout>
          <c:xMode val="edge"/>
          <c:yMode val="edge"/>
          <c:x val="0.7331979250625168"/>
          <c:y val="6.0361789308710515E-2"/>
          <c:w val="0.25420364974063281"/>
          <c:h val="0.86728601370871805"/>
        </c:manualLayout>
      </c:layout>
      <c:overlay val="0"/>
    </c:legend>
    <c:plotVisOnly val="1"/>
    <c:dispBlanksAs val="gap"/>
    <c:showDLblsOverMax val="0"/>
  </c:chart>
  <c:spPr>
    <a:noFill/>
    <a:ln>
      <a:noFill/>
    </a:ln>
  </c:spPr>
  <c:txPr>
    <a:bodyPr/>
    <a:lstStyle/>
    <a:p>
      <a:pPr>
        <a:defRPr sz="1000"/>
      </a:pPr>
      <a:endParaRPr lang="ru-RU"/>
    </a:p>
  </c:txPr>
  <c:externalData r:id="rId2">
    <c:autoUpdate val="0"/>
  </c:externalData>
</c:chartSpace>
</file>

<file path=word/drawings/_rels/drawing10.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8.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9.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0.52404</cdr:x>
      <cdr:y>0.11197</cdr:y>
    </cdr:from>
    <cdr:to>
      <cdr:x>0.73026</cdr:x>
      <cdr:y>0.21121</cdr:y>
    </cdr:to>
    <cdr:sp macro="" textlink="">
      <cdr:nvSpPr>
        <cdr:cNvPr id="3" name="Надпись 2"/>
        <cdr:cNvSpPr txBox="1">
          <a:spLocks xmlns:a="http://schemas.openxmlformats.org/drawingml/2006/main" noChangeArrowheads="1"/>
        </cdr:cNvSpPr>
      </cdr:nvSpPr>
      <cdr:spPr bwMode="auto">
        <a:xfrm xmlns:a="http://schemas.openxmlformats.org/drawingml/2006/main">
          <a:off x="3054786" y="289665"/>
          <a:ext cx="1202119" cy="25673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mn-lt"/>
            </a:rPr>
            <a:t>↑</a:t>
          </a:r>
          <a:r>
            <a:rPr lang="ru-RU" sz="1000" dirty="0">
              <a:solidFill>
                <a:srgbClr val="00B050"/>
              </a:solidFill>
            </a:rPr>
            <a:t>33,5%</a:t>
          </a:r>
        </a:p>
      </cdr:txBody>
    </cdr:sp>
  </cdr:relSizeAnchor>
  <cdr:relSizeAnchor xmlns:cdr="http://schemas.openxmlformats.org/drawingml/2006/chartDrawing">
    <cdr:from>
      <cdr:x>0.52576</cdr:x>
      <cdr:y>0.23111</cdr:y>
    </cdr:from>
    <cdr:to>
      <cdr:x>0.71135</cdr:x>
      <cdr:y>0.33035</cdr:y>
    </cdr:to>
    <cdr:sp macro="" textlink="">
      <cdr:nvSpPr>
        <cdr:cNvPr id="4" name="Надпись 2"/>
        <cdr:cNvSpPr txBox="1">
          <a:spLocks xmlns:a="http://schemas.openxmlformats.org/drawingml/2006/main" noChangeArrowheads="1"/>
        </cdr:cNvSpPr>
      </cdr:nvSpPr>
      <cdr:spPr bwMode="auto">
        <a:xfrm xmlns:a="http://schemas.openxmlformats.org/drawingml/2006/main">
          <a:off x="3064813" y="597879"/>
          <a:ext cx="1081860" cy="25673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mn-lt"/>
            </a:rPr>
            <a:t>↑</a:t>
          </a:r>
          <a:r>
            <a:rPr lang="ru-RU" sz="1000" dirty="0">
              <a:solidFill>
                <a:srgbClr val="00B050"/>
              </a:solidFill>
            </a:rPr>
            <a:t>8,8%</a:t>
          </a:r>
        </a:p>
      </cdr:txBody>
    </cdr:sp>
  </cdr:relSizeAnchor>
  <cdr:relSizeAnchor xmlns:cdr="http://schemas.openxmlformats.org/drawingml/2006/chartDrawing">
    <cdr:from>
      <cdr:x>0.52656</cdr:x>
      <cdr:y>0.37433</cdr:y>
    </cdr:from>
    <cdr:to>
      <cdr:x>0.71781</cdr:x>
      <cdr:y>0.47357</cdr:y>
    </cdr:to>
    <cdr:sp macro="" textlink="">
      <cdr:nvSpPr>
        <cdr:cNvPr id="5" name="Надпись 2"/>
        <cdr:cNvSpPr txBox="1">
          <a:spLocks xmlns:a="http://schemas.openxmlformats.org/drawingml/2006/main" noChangeArrowheads="1"/>
        </cdr:cNvSpPr>
      </cdr:nvSpPr>
      <cdr:spPr bwMode="auto">
        <a:xfrm xmlns:a="http://schemas.openxmlformats.org/drawingml/2006/main">
          <a:off x="3069457" y="1027821"/>
          <a:ext cx="1114854" cy="27248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mn-lt"/>
            </a:rPr>
            <a:t>↑</a:t>
          </a:r>
          <a:r>
            <a:rPr lang="ru-RU" sz="1000" dirty="0">
              <a:solidFill>
                <a:srgbClr val="00B050"/>
              </a:solidFill>
            </a:rPr>
            <a:t>9,0%</a:t>
          </a:r>
        </a:p>
      </cdr:txBody>
    </cdr:sp>
  </cdr:relSizeAnchor>
  <cdr:relSizeAnchor xmlns:cdr="http://schemas.openxmlformats.org/drawingml/2006/chartDrawing">
    <cdr:from>
      <cdr:x>0.52617</cdr:x>
      <cdr:y>0.49922</cdr:y>
    </cdr:from>
    <cdr:to>
      <cdr:x>0.71964</cdr:x>
      <cdr:y>0.59846</cdr:y>
    </cdr:to>
    <cdr:sp macro="" textlink="">
      <cdr:nvSpPr>
        <cdr:cNvPr id="6" name="Надпись 2"/>
        <cdr:cNvSpPr txBox="1">
          <a:spLocks xmlns:a="http://schemas.openxmlformats.org/drawingml/2006/main" noChangeArrowheads="1"/>
        </cdr:cNvSpPr>
      </cdr:nvSpPr>
      <cdr:spPr bwMode="auto">
        <a:xfrm xmlns:a="http://schemas.openxmlformats.org/drawingml/2006/main">
          <a:off x="3067197" y="1370721"/>
          <a:ext cx="1127795" cy="27248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Calibri"/>
            </a:rPr>
            <a:t>↓</a:t>
          </a:r>
          <a:r>
            <a:rPr lang="ru-RU" sz="1000" dirty="0">
              <a:solidFill>
                <a:srgbClr val="00B050"/>
              </a:solidFill>
            </a:rPr>
            <a:t>8,7%</a:t>
          </a:r>
        </a:p>
      </cdr:txBody>
    </cdr:sp>
  </cdr:relSizeAnchor>
  <cdr:relSizeAnchor xmlns:cdr="http://schemas.openxmlformats.org/drawingml/2006/chartDrawing">
    <cdr:from>
      <cdr:x>0.72175</cdr:x>
      <cdr:y>0</cdr:y>
    </cdr:from>
    <cdr:to>
      <cdr:x>0.99764</cdr:x>
      <cdr:y>0.07382</cdr:y>
    </cdr:to>
    <cdr:sp macro="" textlink="">
      <cdr:nvSpPr>
        <cdr:cNvPr id="9" name="Надпись 2"/>
        <cdr:cNvSpPr txBox="1">
          <a:spLocks xmlns:a="http://schemas.openxmlformats.org/drawingml/2006/main" noChangeArrowheads="1"/>
        </cdr:cNvSpPr>
      </cdr:nvSpPr>
      <cdr:spPr bwMode="auto">
        <a:xfrm xmlns:a="http://schemas.openxmlformats.org/drawingml/2006/main">
          <a:off x="2520280" y="0"/>
          <a:ext cx="963359" cy="2616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dirty="0" smtClean="0">
              <a:solidFill>
                <a:srgbClr val="0E4C28"/>
              </a:solidFill>
            </a:rPr>
            <a:t>млрд. тенге</a:t>
          </a:r>
          <a:endParaRPr lang="ru-RU" dirty="0">
            <a:solidFill>
              <a:srgbClr val="0E4C28"/>
            </a:solidFill>
          </a:endParaRPr>
        </a:p>
      </cdr:txBody>
    </cdr:sp>
  </cdr:relSizeAnchor>
  <cdr:relSizeAnchor xmlns:cdr="http://schemas.openxmlformats.org/drawingml/2006/chartDrawing">
    <cdr:from>
      <cdr:x>0.57473</cdr:x>
      <cdr:y>0.65981</cdr:y>
    </cdr:from>
    <cdr:to>
      <cdr:x>0.83172</cdr:x>
      <cdr:y>0.75905</cdr:y>
    </cdr:to>
    <cdr:sp macro="" textlink="">
      <cdr:nvSpPr>
        <cdr:cNvPr id="10" name="Надпись 2"/>
        <cdr:cNvSpPr txBox="1">
          <a:spLocks xmlns:a="http://schemas.openxmlformats.org/drawingml/2006/main" noChangeArrowheads="1"/>
        </cdr:cNvSpPr>
      </cdr:nvSpPr>
      <cdr:spPr bwMode="auto">
        <a:xfrm xmlns:a="http://schemas.openxmlformats.org/drawingml/2006/main">
          <a:off x="3350274" y="1706922"/>
          <a:ext cx="1498071" cy="25673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b="1" dirty="0" smtClean="0">
              <a:solidFill>
                <a:srgbClr val="0070C0"/>
              </a:solidFill>
            </a:rPr>
            <a:t>↑в 3 раза</a:t>
          </a:r>
          <a:endParaRPr lang="ru-RU" sz="1000" b="1" dirty="0">
            <a:solidFill>
              <a:srgbClr val="0070C0"/>
            </a:solidFill>
          </a:endParaRPr>
        </a:p>
      </cdr:txBody>
    </cdr:sp>
  </cdr:relSizeAnchor>
  <cdr:relSizeAnchor xmlns:cdr="http://schemas.openxmlformats.org/drawingml/2006/chartDrawing">
    <cdr:from>
      <cdr:x>0.85565</cdr:x>
      <cdr:y>0.79061</cdr:y>
    </cdr:from>
    <cdr:to>
      <cdr:x>1</cdr:x>
      <cdr:y>0.88985</cdr:y>
    </cdr:to>
    <cdr:sp macro="" textlink="">
      <cdr:nvSpPr>
        <cdr:cNvPr id="11" name="Надпись 2"/>
        <cdr:cNvSpPr txBox="1">
          <a:spLocks xmlns:a="http://schemas.openxmlformats.org/drawingml/2006/main" noChangeArrowheads="1"/>
        </cdr:cNvSpPr>
      </cdr:nvSpPr>
      <cdr:spPr bwMode="auto">
        <a:xfrm xmlns:a="http://schemas.openxmlformats.org/drawingml/2006/main">
          <a:off x="4987841" y="2170821"/>
          <a:ext cx="841459" cy="27248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45720" rIns="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000" b="1" dirty="0" smtClean="0">
              <a:solidFill>
                <a:srgbClr val="0070C0"/>
              </a:solidFill>
            </a:rPr>
            <a:t>↑88,7%</a:t>
          </a:r>
          <a:endParaRPr lang="ru-RU" sz="1000" b="1" dirty="0">
            <a:solidFill>
              <a:srgbClr val="0070C0"/>
            </a:solidFill>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0.59532</cdr:x>
      <cdr:y>0.48393</cdr:y>
    </cdr:from>
    <cdr:to>
      <cdr:x>0.87501</cdr:x>
      <cdr:y>0.54803</cdr:y>
    </cdr:to>
    <cdr:sp macro="" textlink="">
      <cdr:nvSpPr>
        <cdr:cNvPr id="11" name="Поле 10"/>
        <cdr:cNvSpPr txBox="1"/>
      </cdr:nvSpPr>
      <cdr:spPr>
        <a:xfrm xmlns:a="http://schemas.openxmlformats.org/drawingml/2006/main">
          <a:off x="1842135" y="1726378"/>
          <a:ext cx="865447" cy="2286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900">
              <a:latin typeface="+mn-lt"/>
            </a:rPr>
            <a:t>в млрд. тенге</a:t>
          </a:r>
        </a:p>
      </cdr:txBody>
    </cdr:sp>
  </cdr:relSizeAnchor>
  <cdr:relSizeAnchor xmlns:cdr="http://schemas.openxmlformats.org/drawingml/2006/chartDrawing">
    <cdr:from>
      <cdr:x>0.59839</cdr:x>
      <cdr:y>0.55411</cdr:y>
    </cdr:from>
    <cdr:to>
      <cdr:x>0.99571</cdr:x>
      <cdr:y>0.97024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790450" y="1836713"/>
          <a:ext cx="1188823" cy="1379340"/>
        </a:xfrm>
        <a:prstGeom xmlns:a="http://schemas.openxmlformats.org/drawingml/2006/main" prst="rect">
          <a:avLst/>
        </a:prstGeom>
      </cdr:spPr>
    </cdr:pic>
  </cdr:relSizeAnchor>
</c:userShapes>
</file>

<file path=word/drawings/drawing11.xml><?xml version="1.0" encoding="utf-8"?>
<c:userShapes xmlns:c="http://schemas.openxmlformats.org/drawingml/2006/chart">
  <cdr:relSizeAnchor xmlns:cdr="http://schemas.openxmlformats.org/drawingml/2006/chartDrawing">
    <cdr:from>
      <cdr:x>0.00051</cdr:x>
      <cdr:y>0.12352</cdr:y>
    </cdr:from>
    <cdr:to>
      <cdr:x>0.03874</cdr:x>
      <cdr:y>0.71988</cdr:y>
    </cdr:to>
    <cdr:sp macro="" textlink="">
      <cdr:nvSpPr>
        <cdr:cNvPr id="2" name="Поле 1"/>
        <cdr:cNvSpPr txBox="1"/>
      </cdr:nvSpPr>
      <cdr:spPr>
        <a:xfrm xmlns:a="http://schemas.openxmlformats.org/drawingml/2006/main" rot="16200000">
          <a:off x="-410237" y="653191"/>
          <a:ext cx="1078703" cy="2521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000">
              <a:latin typeface="+mn-lt"/>
              <a:cs typeface="Times New Roman" panose="02020603050405020304" pitchFamily="18" charset="0"/>
            </a:rPr>
            <a:t>млрд .тенге</a:t>
          </a:r>
        </a:p>
      </cdr:txBody>
    </cdr:sp>
  </cdr:relSizeAnchor>
</c:userShapes>
</file>

<file path=word/drawings/drawing12.xml><?xml version="1.0" encoding="utf-8"?>
<c:userShapes xmlns:c="http://schemas.openxmlformats.org/drawingml/2006/chart">
  <cdr:relSizeAnchor xmlns:cdr="http://schemas.openxmlformats.org/drawingml/2006/chartDrawing">
    <cdr:from>
      <cdr:x>0.01745</cdr:x>
      <cdr:y>0.16218</cdr:y>
    </cdr:from>
    <cdr:to>
      <cdr:x>0.08444</cdr:x>
      <cdr:y>0.68826</cdr:y>
    </cdr:to>
    <cdr:sp macro="" textlink="">
      <cdr:nvSpPr>
        <cdr:cNvPr id="3" name="Поле 2"/>
        <cdr:cNvSpPr txBox="1"/>
      </cdr:nvSpPr>
      <cdr:spPr>
        <a:xfrm xmlns:a="http://schemas.openxmlformats.org/drawingml/2006/main" rot="16200000">
          <a:off x="-411083" y="808535"/>
          <a:ext cx="1122463" cy="1974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000"/>
            <a:t>в млрд.</a:t>
          </a:r>
          <a:r>
            <a:rPr lang="ru-RU" sz="1000" baseline="0"/>
            <a:t> тенге</a:t>
          </a:r>
          <a:endParaRPr lang="ru-RU" sz="1000"/>
        </a:p>
      </cdr:txBody>
    </cdr:sp>
  </cdr:relSizeAnchor>
</c:userShapes>
</file>

<file path=word/drawings/drawing13.xml><?xml version="1.0" encoding="utf-8"?>
<c:userShapes xmlns:c="http://schemas.openxmlformats.org/drawingml/2006/chart">
  <cdr:relSizeAnchor xmlns:cdr="http://schemas.openxmlformats.org/drawingml/2006/chartDrawing">
    <cdr:from>
      <cdr:x>0.84011</cdr:x>
      <cdr:y>0.01562</cdr:y>
    </cdr:from>
    <cdr:to>
      <cdr:x>1</cdr:x>
      <cdr:y>0.07463</cdr:y>
    </cdr:to>
    <cdr:sp macro="" textlink="">
      <cdr:nvSpPr>
        <cdr:cNvPr id="2" name="Надпись 2"/>
        <cdr:cNvSpPr txBox="1">
          <a:spLocks xmlns:a="http://schemas.openxmlformats.org/drawingml/2006/main" noChangeArrowheads="1"/>
        </cdr:cNvSpPr>
      </cdr:nvSpPr>
      <cdr:spPr bwMode="auto">
        <a:xfrm xmlns:a="http://schemas.openxmlformats.org/drawingml/2006/main">
          <a:off x="4651469" y="50800"/>
          <a:ext cx="877218" cy="19284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0.02877</cdr:x>
      <cdr:y>0.06794</cdr:y>
    </cdr:from>
    <cdr:to>
      <cdr:x>0.18866</cdr:x>
      <cdr:y>0.20518</cdr:y>
    </cdr:to>
    <cdr:sp macro="" textlink="">
      <cdr:nvSpPr>
        <cdr:cNvPr id="3" name="Надпись 2"/>
        <cdr:cNvSpPr txBox="1">
          <a:spLocks xmlns:a="http://schemas.openxmlformats.org/drawingml/2006/main" noChangeArrowheads="1"/>
        </cdr:cNvSpPr>
      </cdr:nvSpPr>
      <cdr:spPr bwMode="auto">
        <a:xfrm xmlns:a="http://schemas.openxmlformats.org/drawingml/2006/main">
          <a:off x="171217" y="115448"/>
          <a:ext cx="951540" cy="233205"/>
        </a:xfrm>
        <a:prstGeom xmlns:a="http://schemas.openxmlformats.org/drawingml/2006/main" prst="rect">
          <a:avLst/>
        </a:prstGeom>
        <a:solidFill xmlns:a="http://schemas.openxmlformats.org/drawingml/2006/main">
          <a:sysClr val="window" lastClr="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900"/>
            <a:t>млрд.тенге</a:t>
          </a:r>
        </a:p>
      </cdr:txBody>
    </cdr:sp>
  </cdr:relSizeAnchor>
</c:userShapes>
</file>

<file path=word/drawings/drawing14.xml><?xml version="1.0" encoding="utf-8"?>
<c:userShapes xmlns:c="http://schemas.openxmlformats.org/drawingml/2006/chart">
  <cdr:relSizeAnchor xmlns:cdr="http://schemas.openxmlformats.org/drawingml/2006/chartDrawing">
    <cdr:from>
      <cdr:x>0.84136</cdr:x>
      <cdr:y>0.01462</cdr:y>
    </cdr:from>
    <cdr:to>
      <cdr:x>1</cdr:x>
      <cdr:y>0.07738</cdr:y>
    </cdr:to>
    <cdr:sp macro="" textlink="">
      <cdr:nvSpPr>
        <cdr:cNvPr id="2" name="Надпись 2"/>
        <cdr:cNvSpPr txBox="1">
          <a:spLocks xmlns:a="http://schemas.openxmlformats.org/drawingml/2006/main" noChangeArrowheads="1"/>
        </cdr:cNvSpPr>
      </cdr:nvSpPr>
      <cdr:spPr bwMode="auto">
        <a:xfrm xmlns:a="http://schemas.openxmlformats.org/drawingml/2006/main">
          <a:off x="4651469" y="50800"/>
          <a:ext cx="877218" cy="19284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0.02575</cdr:x>
      <cdr:y>0.01425</cdr:y>
    </cdr:from>
    <cdr:to>
      <cdr:x>0.13825</cdr:x>
      <cdr:y>0.1275</cdr:y>
    </cdr:to>
    <cdr:sp macro="" textlink="">
      <cdr:nvSpPr>
        <cdr:cNvPr id="1054" name="Надпись 2"/>
        <cdr:cNvSpPr txBox="1">
          <a:spLocks xmlns:a="http://schemas.openxmlformats.org/drawingml/2006/main" noChangeArrowheads="1"/>
        </cdr:cNvSpPr>
      </cdr:nvSpPr>
      <cdr:spPr bwMode="auto">
        <a:xfrm xmlns:a="http://schemas.openxmlformats.org/drawingml/2006/main" rot="-5400000">
          <a:off x="366011" y="-187369"/>
          <a:ext cx="225234" cy="656653"/>
        </a:xfrm>
        <a:prstGeom xmlns:a="http://schemas.openxmlformats.org/drawingml/2006/main" prst="rect">
          <a:avLst/>
        </a:prstGeom>
        <a:solidFill xmlns:a="http://schemas.openxmlformats.org/drawingml/2006/main">
          <a:srgbClr val="FFFFFF"/>
        </a:solidFill>
        <a:ln xmlns:a="http://schemas.openxmlformats.org/drawingml/2006/main">
          <a:noFill/>
        </a:ln>
        <a:extLst xmlns:a="http://schemas.openxmlformats.org/drawingml/2006/main">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ru-RU" sz="900" b="0" i="0" u="none" strike="noStrike" baseline="0">
              <a:solidFill>
                <a:srgbClr val="000000"/>
              </a:solidFill>
              <a:latin typeface="Calibri"/>
              <a:cs typeface="Calibri"/>
            </a:rPr>
            <a:t>млрд.тенге</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0.31333</cdr:x>
      <cdr:y>0.17188</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0"/>
          <a:ext cx="902503"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latin typeface="+mn-lt"/>
              <a:cs typeface="Times New Roman" pitchFamily="18" charset="0"/>
            </a:rPr>
            <a:t>млн.</a:t>
          </a:r>
          <a:r>
            <a:rPr lang="ru-RU" sz="1000" baseline="0">
              <a:latin typeface="+mn-lt"/>
              <a:cs typeface="Times New Roman" pitchFamily="18" charset="0"/>
            </a:rPr>
            <a:t> тр.</a:t>
          </a:r>
          <a:endParaRPr lang="ru-RU" sz="1000">
            <a:latin typeface="+mn-lt"/>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0.31033</cdr:x>
      <cdr:y>0.15931</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0"/>
          <a:ext cx="936427"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latin typeface="+mn-lt"/>
              <a:cs typeface="Times New Roman" pitchFamily="18" charset="0"/>
            </a:rPr>
            <a:t>трлн. тг.</a:t>
          </a:r>
        </a:p>
      </cdr:txBody>
    </cdr:sp>
  </cdr:relSizeAnchor>
</c:userShapes>
</file>

<file path=word/drawings/drawing4.xml><?xml version="1.0" encoding="utf-8"?>
<c:userShapes xmlns:c="http://schemas.openxmlformats.org/drawingml/2006/chart">
  <cdr:relSizeAnchor xmlns:cdr="http://schemas.openxmlformats.org/drawingml/2006/chartDrawing">
    <cdr:from>
      <cdr:x>0.59914</cdr:x>
      <cdr:y>0.0182</cdr:y>
    </cdr:from>
    <cdr:to>
      <cdr:x>0.72066</cdr:x>
      <cdr:y>0.12625</cdr:y>
    </cdr:to>
    <cdr:sp macro="" textlink="">
      <cdr:nvSpPr>
        <cdr:cNvPr id="2" name="Надпись 2"/>
        <cdr:cNvSpPr txBox="1">
          <a:spLocks xmlns:a="http://schemas.openxmlformats.org/drawingml/2006/main" noChangeArrowheads="1"/>
        </cdr:cNvSpPr>
      </cdr:nvSpPr>
      <cdr:spPr bwMode="auto">
        <a:xfrm xmlns:a="http://schemas.openxmlformats.org/drawingml/2006/main">
          <a:off x="3457575" y="41910"/>
          <a:ext cx="701277"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rPr>
            <a:t>83,6%</a:t>
          </a:r>
        </a:p>
      </cdr:txBody>
    </cdr:sp>
  </cdr:relSizeAnchor>
  <cdr:relSizeAnchor xmlns:cdr="http://schemas.openxmlformats.org/drawingml/2006/chartDrawing">
    <cdr:from>
      <cdr:x>0.59914</cdr:x>
      <cdr:y>0.16046</cdr:y>
    </cdr:from>
    <cdr:to>
      <cdr:x>0.72067</cdr:x>
      <cdr:y>0.26851</cdr:y>
    </cdr:to>
    <cdr:sp macro="" textlink="">
      <cdr:nvSpPr>
        <cdr:cNvPr id="3" name="Надпись 2"/>
        <cdr:cNvSpPr txBox="1">
          <a:spLocks xmlns:a="http://schemas.openxmlformats.org/drawingml/2006/main" noChangeArrowheads="1"/>
        </cdr:cNvSpPr>
      </cdr:nvSpPr>
      <cdr:spPr bwMode="auto">
        <a:xfrm xmlns:a="http://schemas.openxmlformats.org/drawingml/2006/main">
          <a:off x="3457575" y="369570"/>
          <a:ext cx="701335"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9,3</a:t>
          </a:r>
          <a:r>
            <a:rPr lang="ru-RU" sz="1000">
              <a:solidFill>
                <a:srgbClr val="00B050"/>
              </a:solidFill>
            </a:rPr>
            <a:t>%</a:t>
          </a:r>
        </a:p>
      </cdr:txBody>
    </cdr:sp>
  </cdr:relSizeAnchor>
  <cdr:relSizeAnchor xmlns:cdr="http://schemas.openxmlformats.org/drawingml/2006/chartDrawing">
    <cdr:from>
      <cdr:x>0.59914</cdr:x>
      <cdr:y>0.45823</cdr:y>
    </cdr:from>
    <cdr:to>
      <cdr:x>0.75425</cdr:x>
      <cdr:y>0.56628</cdr:y>
    </cdr:to>
    <cdr:sp macro="" textlink="">
      <cdr:nvSpPr>
        <cdr:cNvPr id="5" name="Надпись 2"/>
        <cdr:cNvSpPr txBox="1">
          <a:spLocks xmlns:a="http://schemas.openxmlformats.org/drawingml/2006/main" noChangeArrowheads="1"/>
        </cdr:cNvSpPr>
      </cdr:nvSpPr>
      <cdr:spPr bwMode="auto">
        <a:xfrm xmlns:a="http://schemas.openxmlformats.org/drawingml/2006/main">
          <a:off x="3457575" y="1055370"/>
          <a:ext cx="895121"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 в 3 раза</a:t>
          </a:r>
          <a:endParaRPr lang="ru-RU" sz="1000">
            <a:solidFill>
              <a:srgbClr val="00B050"/>
            </a:solidFill>
          </a:endParaRPr>
        </a:p>
      </cdr:txBody>
    </cdr:sp>
  </cdr:relSizeAnchor>
  <cdr:relSizeAnchor xmlns:cdr="http://schemas.openxmlformats.org/drawingml/2006/chartDrawing">
    <cdr:from>
      <cdr:x>0.81701</cdr:x>
      <cdr:y>0.55749</cdr:y>
    </cdr:from>
    <cdr:to>
      <cdr:x>0.93854</cdr:x>
      <cdr:y>0.66553</cdr:y>
    </cdr:to>
    <cdr:sp macro="" textlink="">
      <cdr:nvSpPr>
        <cdr:cNvPr id="6" name="Надпись 2"/>
        <cdr:cNvSpPr txBox="1">
          <a:spLocks xmlns:a="http://schemas.openxmlformats.org/drawingml/2006/main" noChangeArrowheads="1"/>
        </cdr:cNvSpPr>
      </cdr:nvSpPr>
      <cdr:spPr bwMode="auto">
        <a:xfrm xmlns:a="http://schemas.openxmlformats.org/drawingml/2006/main">
          <a:off x="4720055" y="1223799"/>
          <a:ext cx="702106" cy="23716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88,7</a:t>
          </a:r>
          <a:r>
            <a:rPr lang="ru-RU" sz="1000">
              <a:solidFill>
                <a:srgbClr val="00B050"/>
              </a:solidFill>
            </a:rPr>
            <a:t>%</a:t>
          </a:r>
        </a:p>
      </cdr:txBody>
    </cdr:sp>
  </cdr:relSizeAnchor>
  <cdr:relSizeAnchor xmlns:cdr="http://schemas.openxmlformats.org/drawingml/2006/chartDrawing">
    <cdr:from>
      <cdr:x>0.81617</cdr:x>
      <cdr:y>0.69125</cdr:y>
    </cdr:from>
    <cdr:to>
      <cdr:x>0.9806</cdr:x>
      <cdr:y>0.7993</cdr:y>
    </cdr:to>
    <cdr:sp macro="" textlink="">
      <cdr:nvSpPr>
        <cdr:cNvPr id="7" name="Надпись 2"/>
        <cdr:cNvSpPr txBox="1">
          <a:spLocks xmlns:a="http://schemas.openxmlformats.org/drawingml/2006/main" noChangeArrowheads="1"/>
        </cdr:cNvSpPr>
      </cdr:nvSpPr>
      <cdr:spPr bwMode="auto">
        <a:xfrm xmlns:a="http://schemas.openxmlformats.org/drawingml/2006/main">
          <a:off x="4715202" y="1517429"/>
          <a:ext cx="949950" cy="23719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 в 5,9 раз</a:t>
          </a:r>
          <a:endParaRPr lang="ru-RU" sz="1000"/>
        </a:p>
      </cdr:txBody>
    </cdr:sp>
  </cdr:relSizeAnchor>
  <cdr:relSizeAnchor xmlns:cdr="http://schemas.openxmlformats.org/drawingml/2006/chartDrawing">
    <cdr:from>
      <cdr:x>0.57934</cdr:x>
      <cdr:y>0.30935</cdr:y>
    </cdr:from>
    <cdr:to>
      <cdr:x>0.74162</cdr:x>
      <cdr:y>0.41739</cdr:y>
    </cdr:to>
    <cdr:sp macro="" textlink="">
      <cdr:nvSpPr>
        <cdr:cNvPr id="9" name="Надпись 2"/>
        <cdr:cNvSpPr txBox="1">
          <a:spLocks xmlns:a="http://schemas.openxmlformats.org/drawingml/2006/main" noChangeArrowheads="1"/>
        </cdr:cNvSpPr>
      </cdr:nvSpPr>
      <cdr:spPr bwMode="auto">
        <a:xfrm xmlns:a="http://schemas.openxmlformats.org/drawingml/2006/main">
          <a:off x="3343275" y="712470"/>
          <a:ext cx="936503"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solidFill>
                <a:srgbClr val="FF0000"/>
              </a:solidFill>
              <a:latin typeface="+mn-lt"/>
            </a:rPr>
            <a:t>    </a:t>
          </a:r>
          <a:r>
            <a:rPr lang="ru-RU" sz="1000" dirty="0">
              <a:solidFill>
                <a:srgbClr val="00B050"/>
              </a:solidFill>
              <a:latin typeface="+mn-lt"/>
            </a:rPr>
            <a:t>↓</a:t>
          </a:r>
          <a:r>
            <a:rPr lang="ru-RU" sz="1000" dirty="0">
              <a:solidFill>
                <a:srgbClr val="00B050"/>
              </a:solidFill>
            </a:rPr>
            <a:t>8,7%</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0.07005</cdr:y>
    </cdr:from>
    <cdr:to>
      <cdr:x>0.31183</cdr:x>
      <cdr:y>0.24132</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98082"/>
          <a:ext cx="1000951" cy="23980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latin typeface="Times New Roman" pitchFamily="18" charset="0"/>
              <a:cs typeface="Times New Roman" pitchFamily="18" charset="0"/>
            </a:rPr>
            <a:t>млн.</a:t>
          </a:r>
          <a:r>
            <a:rPr lang="ru-RU" sz="1000" baseline="0">
              <a:latin typeface="Times New Roman" pitchFamily="18" charset="0"/>
              <a:cs typeface="Times New Roman" pitchFamily="18" charset="0"/>
            </a:rPr>
            <a:t> тр.</a:t>
          </a:r>
          <a:endParaRPr lang="ru-RU" sz="1000">
            <a:latin typeface="Times New Roman" pitchFamily="18" charset="0"/>
            <a:cs typeface="Times New Roman"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cdr:y>
    </cdr:from>
    <cdr:to>
      <cdr:x>0.31183</cdr:x>
      <cdr:y>0.15815</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0"/>
          <a:ext cx="970457" cy="25739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latin typeface="Times New Roman" pitchFamily="18" charset="0"/>
              <a:cs typeface="Times New Roman" pitchFamily="18" charset="0"/>
            </a:rPr>
            <a:t>млрд. тг.</a:t>
          </a:r>
        </a:p>
      </cdr:txBody>
    </cdr:sp>
  </cdr:relSizeAnchor>
</c:userShapes>
</file>

<file path=word/drawings/drawing7.xml><?xml version="1.0" encoding="utf-8"?>
<c:userShapes xmlns:c="http://schemas.openxmlformats.org/drawingml/2006/chart">
  <cdr:relSizeAnchor xmlns:cdr="http://schemas.openxmlformats.org/drawingml/2006/chartDrawing">
    <cdr:from>
      <cdr:x>0.66539</cdr:x>
      <cdr:y>0.49978</cdr:y>
    </cdr:from>
    <cdr:to>
      <cdr:x>0.89579</cdr:x>
      <cdr:y>0.56388</cdr:y>
    </cdr:to>
    <cdr:sp macro="" textlink="">
      <cdr:nvSpPr>
        <cdr:cNvPr id="11" name="Поле 10"/>
        <cdr:cNvSpPr txBox="1"/>
      </cdr:nvSpPr>
      <cdr:spPr>
        <a:xfrm xmlns:a="http://schemas.openxmlformats.org/drawingml/2006/main">
          <a:off x="2064873" y="1581736"/>
          <a:ext cx="714988" cy="2028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900">
              <a:latin typeface="+mn-lt"/>
            </a:rPr>
            <a:t>в млн.</a:t>
          </a:r>
          <a:r>
            <a:rPr lang="ru-RU" sz="900" baseline="0">
              <a:latin typeface="+mn-lt"/>
            </a:rPr>
            <a:t> тр.</a:t>
          </a:r>
          <a:endParaRPr lang="ru-RU" sz="900">
            <a:latin typeface="+mn-lt"/>
          </a:endParaRPr>
        </a:p>
      </cdr:txBody>
    </cdr:sp>
  </cdr:relSizeAnchor>
  <cdr:relSizeAnchor xmlns:cdr="http://schemas.openxmlformats.org/drawingml/2006/chartDrawing">
    <cdr:from>
      <cdr:x>0.67094</cdr:x>
      <cdr:y>0.57202</cdr:y>
    </cdr:from>
    <cdr:to>
      <cdr:x>1</cdr:x>
      <cdr:y>0.96929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082076" y="1810336"/>
          <a:ext cx="1021169" cy="1257300"/>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0.7203</cdr:x>
      <cdr:y>0.50386</cdr:y>
    </cdr:from>
    <cdr:to>
      <cdr:x>1</cdr:x>
      <cdr:y>0.56796</cdr:y>
    </cdr:to>
    <cdr:sp macro="" textlink="">
      <cdr:nvSpPr>
        <cdr:cNvPr id="11" name="Поле 10"/>
        <cdr:cNvSpPr txBox="1"/>
      </cdr:nvSpPr>
      <cdr:spPr>
        <a:xfrm xmlns:a="http://schemas.openxmlformats.org/drawingml/2006/main">
          <a:off x="2228407" y="1741170"/>
          <a:ext cx="865313" cy="2215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900">
              <a:latin typeface="+mn-lt"/>
            </a:rPr>
            <a:t>в млрд. тенге</a:t>
          </a:r>
        </a:p>
      </cdr:txBody>
    </cdr:sp>
  </cdr:relSizeAnchor>
  <cdr:relSizeAnchor xmlns:cdr="http://schemas.openxmlformats.org/drawingml/2006/chartDrawing">
    <cdr:from>
      <cdr:x>0.5755</cdr:x>
      <cdr:y>0.57133</cdr:y>
    </cdr:from>
    <cdr:to>
      <cdr:x>0.97282</cdr:x>
      <cdr:y>0.95854</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721973" y="1810336"/>
          <a:ext cx="1188823" cy="1226926"/>
        </a:xfrm>
        <a:prstGeom xmlns:a="http://schemas.openxmlformats.org/drawingml/2006/main" prst="rect">
          <a:avLst/>
        </a:prstGeom>
      </cdr:spPr>
    </cdr:pic>
  </cdr:relSizeAnchor>
</c:userShapes>
</file>

<file path=word/drawings/drawing9.xml><?xml version="1.0" encoding="utf-8"?>
<c:userShapes xmlns:c="http://schemas.openxmlformats.org/drawingml/2006/chart">
  <cdr:relSizeAnchor xmlns:cdr="http://schemas.openxmlformats.org/drawingml/2006/chartDrawing">
    <cdr:from>
      <cdr:x>0.70613</cdr:x>
      <cdr:y>0.48477</cdr:y>
    </cdr:from>
    <cdr:to>
      <cdr:x>0.93653</cdr:x>
      <cdr:y>0.54887</cdr:y>
    </cdr:to>
    <cdr:sp macro="" textlink="">
      <cdr:nvSpPr>
        <cdr:cNvPr id="11" name="Поле 10"/>
        <cdr:cNvSpPr txBox="1"/>
      </cdr:nvSpPr>
      <cdr:spPr>
        <a:xfrm xmlns:a="http://schemas.openxmlformats.org/drawingml/2006/main">
          <a:off x="2179173" y="1608113"/>
          <a:ext cx="711038" cy="2126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900">
              <a:latin typeface="+mn-lt"/>
            </a:rPr>
            <a:t>в млн.</a:t>
          </a:r>
          <a:r>
            <a:rPr lang="ru-RU" sz="900" baseline="0">
              <a:latin typeface="+mn-lt"/>
            </a:rPr>
            <a:t> тр.</a:t>
          </a:r>
          <a:endParaRPr lang="ru-RU" sz="900">
            <a:latin typeface="+mn-lt"/>
          </a:endParaRPr>
        </a:p>
      </cdr:txBody>
    </cdr:sp>
  </cdr:relSizeAnchor>
  <cdr:relSizeAnchor xmlns:cdr="http://schemas.openxmlformats.org/drawingml/2006/chartDrawing">
    <cdr:from>
      <cdr:x>0.63205</cdr:x>
      <cdr:y>0.55369</cdr:y>
    </cdr:from>
    <cdr:to>
      <cdr:x>0.96294</cdr:x>
      <cdr:y>0.9695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950573" y="1836713"/>
          <a:ext cx="1021169" cy="1379340"/>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55D0608-D192-4A9B-8F02-7D8259639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13787</Words>
  <Characters>78588</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92191</CharactersWithSpaces>
  <SharedDoc>false</SharedDoc>
  <HLinks>
    <vt:vector size="174" baseType="variant">
      <vt:variant>
        <vt:i4>4391005</vt:i4>
      </vt:variant>
      <vt:variant>
        <vt:i4>288</vt:i4>
      </vt:variant>
      <vt:variant>
        <vt:i4>0</vt:i4>
      </vt:variant>
      <vt:variant>
        <vt:i4>5</vt:i4>
      </vt:variant>
      <vt:variant>
        <vt:lpwstr>jl:35342935.0</vt:lpwstr>
      </vt:variant>
      <vt:variant>
        <vt:lpwstr/>
      </vt:variant>
      <vt:variant>
        <vt:i4>8192069</vt:i4>
      </vt:variant>
      <vt:variant>
        <vt:i4>256</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YANDEX_85</vt:lpwstr>
      </vt:variant>
      <vt:variant>
        <vt:i4>8192069</vt:i4>
      </vt:variant>
      <vt:variant>
        <vt:i4>254</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YANDEX_83</vt:lpwstr>
      </vt:variant>
      <vt:variant>
        <vt:i4>8192069</vt:i4>
      </vt:variant>
      <vt:variant>
        <vt:i4>251</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YANDEX_84</vt:lpwstr>
      </vt:variant>
      <vt:variant>
        <vt:i4>8192069</vt:i4>
      </vt:variant>
      <vt:variant>
        <vt:i4>249</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YANDEX_82</vt:lpwstr>
      </vt:variant>
      <vt:variant>
        <vt:i4>8192069</vt:i4>
      </vt:variant>
      <vt:variant>
        <vt:i4>246</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YANDEX_83</vt:lpwstr>
      </vt:variant>
      <vt:variant>
        <vt:i4>8192069</vt:i4>
      </vt:variant>
      <vt:variant>
        <vt:i4>243</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YANDEX_81</vt:lpwstr>
      </vt:variant>
      <vt:variant>
        <vt:i4>6750257</vt:i4>
      </vt:variant>
      <vt:variant>
        <vt:i4>129</vt:i4>
      </vt:variant>
      <vt:variant>
        <vt:i4>0</vt:i4>
      </vt:variant>
      <vt:variant>
        <vt:i4>5</vt:i4>
      </vt:variant>
      <vt:variant>
        <vt:lpwstr>http://www.kisc.kz/</vt:lpwstr>
      </vt:variant>
      <vt:variant>
        <vt:lpwstr/>
      </vt:variant>
      <vt:variant>
        <vt:i4>1179706</vt:i4>
      </vt:variant>
      <vt:variant>
        <vt:i4>122</vt:i4>
      </vt:variant>
      <vt:variant>
        <vt:i4>0</vt:i4>
      </vt:variant>
      <vt:variant>
        <vt:i4>5</vt:i4>
      </vt:variant>
      <vt:variant>
        <vt:lpwstr/>
      </vt:variant>
      <vt:variant>
        <vt:lpwstr>_Toc480772985</vt:lpwstr>
      </vt:variant>
      <vt:variant>
        <vt:i4>1179706</vt:i4>
      </vt:variant>
      <vt:variant>
        <vt:i4>116</vt:i4>
      </vt:variant>
      <vt:variant>
        <vt:i4>0</vt:i4>
      </vt:variant>
      <vt:variant>
        <vt:i4>5</vt:i4>
      </vt:variant>
      <vt:variant>
        <vt:lpwstr/>
      </vt:variant>
      <vt:variant>
        <vt:lpwstr>_Toc480772984</vt:lpwstr>
      </vt:variant>
      <vt:variant>
        <vt:i4>1179706</vt:i4>
      </vt:variant>
      <vt:variant>
        <vt:i4>110</vt:i4>
      </vt:variant>
      <vt:variant>
        <vt:i4>0</vt:i4>
      </vt:variant>
      <vt:variant>
        <vt:i4>5</vt:i4>
      </vt:variant>
      <vt:variant>
        <vt:lpwstr/>
      </vt:variant>
      <vt:variant>
        <vt:lpwstr>_Toc480772983</vt:lpwstr>
      </vt:variant>
      <vt:variant>
        <vt:i4>1179706</vt:i4>
      </vt:variant>
      <vt:variant>
        <vt:i4>104</vt:i4>
      </vt:variant>
      <vt:variant>
        <vt:i4>0</vt:i4>
      </vt:variant>
      <vt:variant>
        <vt:i4>5</vt:i4>
      </vt:variant>
      <vt:variant>
        <vt:lpwstr/>
      </vt:variant>
      <vt:variant>
        <vt:lpwstr>_Toc480772981</vt:lpwstr>
      </vt:variant>
      <vt:variant>
        <vt:i4>1179706</vt:i4>
      </vt:variant>
      <vt:variant>
        <vt:i4>98</vt:i4>
      </vt:variant>
      <vt:variant>
        <vt:i4>0</vt:i4>
      </vt:variant>
      <vt:variant>
        <vt:i4>5</vt:i4>
      </vt:variant>
      <vt:variant>
        <vt:lpwstr/>
      </vt:variant>
      <vt:variant>
        <vt:lpwstr>_Toc480772980</vt:lpwstr>
      </vt:variant>
      <vt:variant>
        <vt:i4>1900602</vt:i4>
      </vt:variant>
      <vt:variant>
        <vt:i4>92</vt:i4>
      </vt:variant>
      <vt:variant>
        <vt:i4>0</vt:i4>
      </vt:variant>
      <vt:variant>
        <vt:i4>5</vt:i4>
      </vt:variant>
      <vt:variant>
        <vt:lpwstr/>
      </vt:variant>
      <vt:variant>
        <vt:lpwstr>_Toc480772978</vt:lpwstr>
      </vt:variant>
      <vt:variant>
        <vt:i4>1900602</vt:i4>
      </vt:variant>
      <vt:variant>
        <vt:i4>86</vt:i4>
      </vt:variant>
      <vt:variant>
        <vt:i4>0</vt:i4>
      </vt:variant>
      <vt:variant>
        <vt:i4>5</vt:i4>
      </vt:variant>
      <vt:variant>
        <vt:lpwstr/>
      </vt:variant>
      <vt:variant>
        <vt:lpwstr>_Toc480772977</vt:lpwstr>
      </vt:variant>
      <vt:variant>
        <vt:i4>1900602</vt:i4>
      </vt:variant>
      <vt:variant>
        <vt:i4>80</vt:i4>
      </vt:variant>
      <vt:variant>
        <vt:i4>0</vt:i4>
      </vt:variant>
      <vt:variant>
        <vt:i4>5</vt:i4>
      </vt:variant>
      <vt:variant>
        <vt:lpwstr/>
      </vt:variant>
      <vt:variant>
        <vt:lpwstr>_Toc480772976</vt:lpwstr>
      </vt:variant>
      <vt:variant>
        <vt:i4>1900602</vt:i4>
      </vt:variant>
      <vt:variant>
        <vt:i4>74</vt:i4>
      </vt:variant>
      <vt:variant>
        <vt:i4>0</vt:i4>
      </vt:variant>
      <vt:variant>
        <vt:i4>5</vt:i4>
      </vt:variant>
      <vt:variant>
        <vt:lpwstr/>
      </vt:variant>
      <vt:variant>
        <vt:lpwstr>_Toc480772975</vt:lpwstr>
      </vt:variant>
      <vt:variant>
        <vt:i4>1900602</vt:i4>
      </vt:variant>
      <vt:variant>
        <vt:i4>68</vt:i4>
      </vt:variant>
      <vt:variant>
        <vt:i4>0</vt:i4>
      </vt:variant>
      <vt:variant>
        <vt:i4>5</vt:i4>
      </vt:variant>
      <vt:variant>
        <vt:lpwstr/>
      </vt:variant>
      <vt:variant>
        <vt:lpwstr>_Toc480772974</vt:lpwstr>
      </vt:variant>
      <vt:variant>
        <vt:i4>1900602</vt:i4>
      </vt:variant>
      <vt:variant>
        <vt:i4>62</vt:i4>
      </vt:variant>
      <vt:variant>
        <vt:i4>0</vt:i4>
      </vt:variant>
      <vt:variant>
        <vt:i4>5</vt:i4>
      </vt:variant>
      <vt:variant>
        <vt:lpwstr/>
      </vt:variant>
      <vt:variant>
        <vt:lpwstr>_Toc480772973</vt:lpwstr>
      </vt:variant>
      <vt:variant>
        <vt:i4>1900602</vt:i4>
      </vt:variant>
      <vt:variant>
        <vt:i4>56</vt:i4>
      </vt:variant>
      <vt:variant>
        <vt:i4>0</vt:i4>
      </vt:variant>
      <vt:variant>
        <vt:i4>5</vt:i4>
      </vt:variant>
      <vt:variant>
        <vt:lpwstr/>
      </vt:variant>
      <vt:variant>
        <vt:lpwstr>_Toc480772972</vt:lpwstr>
      </vt:variant>
      <vt:variant>
        <vt:i4>1900602</vt:i4>
      </vt:variant>
      <vt:variant>
        <vt:i4>50</vt:i4>
      </vt:variant>
      <vt:variant>
        <vt:i4>0</vt:i4>
      </vt:variant>
      <vt:variant>
        <vt:i4>5</vt:i4>
      </vt:variant>
      <vt:variant>
        <vt:lpwstr/>
      </vt:variant>
      <vt:variant>
        <vt:lpwstr>_Toc480772971</vt:lpwstr>
      </vt:variant>
      <vt:variant>
        <vt:i4>1900602</vt:i4>
      </vt:variant>
      <vt:variant>
        <vt:i4>44</vt:i4>
      </vt:variant>
      <vt:variant>
        <vt:i4>0</vt:i4>
      </vt:variant>
      <vt:variant>
        <vt:i4>5</vt:i4>
      </vt:variant>
      <vt:variant>
        <vt:lpwstr/>
      </vt:variant>
      <vt:variant>
        <vt:lpwstr>_Toc480772970</vt:lpwstr>
      </vt:variant>
      <vt:variant>
        <vt:i4>1835066</vt:i4>
      </vt:variant>
      <vt:variant>
        <vt:i4>38</vt:i4>
      </vt:variant>
      <vt:variant>
        <vt:i4>0</vt:i4>
      </vt:variant>
      <vt:variant>
        <vt:i4>5</vt:i4>
      </vt:variant>
      <vt:variant>
        <vt:lpwstr/>
      </vt:variant>
      <vt:variant>
        <vt:lpwstr>_Toc480772969</vt:lpwstr>
      </vt:variant>
      <vt:variant>
        <vt:i4>1835066</vt:i4>
      </vt:variant>
      <vt:variant>
        <vt:i4>32</vt:i4>
      </vt:variant>
      <vt:variant>
        <vt:i4>0</vt:i4>
      </vt:variant>
      <vt:variant>
        <vt:i4>5</vt:i4>
      </vt:variant>
      <vt:variant>
        <vt:lpwstr/>
      </vt:variant>
      <vt:variant>
        <vt:lpwstr>_Toc480772968</vt:lpwstr>
      </vt:variant>
      <vt:variant>
        <vt:i4>1835066</vt:i4>
      </vt:variant>
      <vt:variant>
        <vt:i4>26</vt:i4>
      </vt:variant>
      <vt:variant>
        <vt:i4>0</vt:i4>
      </vt:variant>
      <vt:variant>
        <vt:i4>5</vt:i4>
      </vt:variant>
      <vt:variant>
        <vt:lpwstr/>
      </vt:variant>
      <vt:variant>
        <vt:lpwstr>_Toc480772967</vt:lpwstr>
      </vt:variant>
      <vt:variant>
        <vt:i4>1966138</vt:i4>
      </vt:variant>
      <vt:variant>
        <vt:i4>20</vt:i4>
      </vt:variant>
      <vt:variant>
        <vt:i4>0</vt:i4>
      </vt:variant>
      <vt:variant>
        <vt:i4>5</vt:i4>
      </vt:variant>
      <vt:variant>
        <vt:lpwstr/>
      </vt:variant>
      <vt:variant>
        <vt:lpwstr>_Toc480772942</vt:lpwstr>
      </vt:variant>
      <vt:variant>
        <vt:i4>1966138</vt:i4>
      </vt:variant>
      <vt:variant>
        <vt:i4>14</vt:i4>
      </vt:variant>
      <vt:variant>
        <vt:i4>0</vt:i4>
      </vt:variant>
      <vt:variant>
        <vt:i4>5</vt:i4>
      </vt:variant>
      <vt:variant>
        <vt:lpwstr/>
      </vt:variant>
      <vt:variant>
        <vt:lpwstr>_Toc480772941</vt:lpwstr>
      </vt:variant>
      <vt:variant>
        <vt:i4>1966138</vt:i4>
      </vt:variant>
      <vt:variant>
        <vt:i4>8</vt:i4>
      </vt:variant>
      <vt:variant>
        <vt:i4>0</vt:i4>
      </vt:variant>
      <vt:variant>
        <vt:i4>5</vt:i4>
      </vt:variant>
      <vt:variant>
        <vt:lpwstr/>
      </vt:variant>
      <vt:variant>
        <vt:lpwstr>_Toc480772940</vt:lpwstr>
      </vt:variant>
      <vt:variant>
        <vt:i4>1638458</vt:i4>
      </vt:variant>
      <vt:variant>
        <vt:i4>2</vt:i4>
      </vt:variant>
      <vt:variant>
        <vt:i4>0</vt:i4>
      </vt:variant>
      <vt:variant>
        <vt:i4>5</vt:i4>
      </vt:variant>
      <vt:variant>
        <vt:lpwstr/>
      </vt:variant>
      <vt:variant>
        <vt:lpwstr>_Toc480772939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Raiymbek Shaimerdenov</dc:creator>
  <cp:lastModifiedBy>Raushan Kainarbayeva</cp:lastModifiedBy>
  <cp:revision>2</cp:revision>
  <dcterms:created xsi:type="dcterms:W3CDTF">2017-06-22T10:56:00Z</dcterms:created>
  <dcterms:modified xsi:type="dcterms:W3CDTF">2017-06-22T10:56:00Z</dcterms:modified>
</cp:coreProperties>
</file>