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99" w:rsidRPr="00657799" w:rsidRDefault="00657799" w:rsidP="003E36A1">
      <w:pPr>
        <w:spacing w:after="0" w:line="240" w:lineRule="auto"/>
        <w:jc w:val="center"/>
        <w:rPr>
          <w:b/>
          <w:szCs w:val="28"/>
        </w:rPr>
      </w:pPr>
      <w:bookmarkStart w:id="0" w:name="_GoBack"/>
      <w:bookmarkEnd w:id="0"/>
      <w:r w:rsidRPr="00657799">
        <w:rPr>
          <w:b/>
          <w:szCs w:val="28"/>
        </w:rPr>
        <w:t>Показатели</w:t>
      </w:r>
      <w:r w:rsidR="00E00F3E" w:rsidRPr="00657799">
        <w:rPr>
          <w:b/>
          <w:szCs w:val="28"/>
        </w:rPr>
        <w:t xml:space="preserve"> по безналичным</w:t>
      </w:r>
      <w:r w:rsidR="00DC3592" w:rsidRPr="00657799">
        <w:rPr>
          <w:b/>
          <w:szCs w:val="28"/>
        </w:rPr>
        <w:t xml:space="preserve"> платеж</w:t>
      </w:r>
      <w:r w:rsidR="00E00F3E" w:rsidRPr="00657799">
        <w:rPr>
          <w:b/>
          <w:szCs w:val="28"/>
        </w:rPr>
        <w:t>ам</w:t>
      </w:r>
      <w:r w:rsidR="00DC3592" w:rsidRPr="00657799">
        <w:rPr>
          <w:b/>
          <w:szCs w:val="28"/>
        </w:rPr>
        <w:t xml:space="preserve"> и перевод</w:t>
      </w:r>
      <w:r w:rsidR="00E00F3E" w:rsidRPr="00657799">
        <w:rPr>
          <w:b/>
          <w:szCs w:val="28"/>
        </w:rPr>
        <w:t xml:space="preserve">ам </w:t>
      </w:r>
      <w:r w:rsidR="00DC3592" w:rsidRPr="00657799">
        <w:rPr>
          <w:b/>
          <w:szCs w:val="28"/>
        </w:rPr>
        <w:t xml:space="preserve">денег </w:t>
      </w:r>
    </w:p>
    <w:p w:rsidR="00657799" w:rsidRPr="00657799" w:rsidRDefault="00386B7F" w:rsidP="003E36A1">
      <w:pPr>
        <w:spacing w:after="0" w:line="240" w:lineRule="auto"/>
        <w:jc w:val="center"/>
        <w:rPr>
          <w:b/>
          <w:szCs w:val="28"/>
        </w:rPr>
      </w:pPr>
      <w:r w:rsidRPr="00657799">
        <w:rPr>
          <w:b/>
          <w:szCs w:val="28"/>
        </w:rPr>
        <w:t xml:space="preserve">(сравнение </w:t>
      </w:r>
      <w:r w:rsidR="00DC3592" w:rsidRPr="00657799">
        <w:rPr>
          <w:b/>
          <w:szCs w:val="28"/>
        </w:rPr>
        <w:t>с использованием наличных денег</w:t>
      </w:r>
      <w:r w:rsidRPr="00657799">
        <w:rPr>
          <w:b/>
          <w:szCs w:val="28"/>
        </w:rPr>
        <w:t>)</w:t>
      </w:r>
      <w:r w:rsidR="00657799" w:rsidRPr="00657799">
        <w:rPr>
          <w:b/>
          <w:szCs w:val="28"/>
        </w:rPr>
        <w:t xml:space="preserve"> </w:t>
      </w:r>
    </w:p>
    <w:p w:rsidR="00DC3592" w:rsidRPr="00657799" w:rsidRDefault="00657799" w:rsidP="003E36A1">
      <w:pPr>
        <w:spacing w:after="0" w:line="240" w:lineRule="auto"/>
        <w:jc w:val="center"/>
        <w:rPr>
          <w:b/>
          <w:szCs w:val="28"/>
        </w:rPr>
      </w:pPr>
      <w:r w:rsidRPr="00657799">
        <w:rPr>
          <w:b/>
          <w:szCs w:val="28"/>
        </w:rPr>
        <w:t>за 2015 год</w:t>
      </w:r>
    </w:p>
    <w:p w:rsidR="00DC3592" w:rsidRPr="00657799" w:rsidRDefault="00DC3592" w:rsidP="00DC3592">
      <w:pPr>
        <w:spacing w:after="0" w:line="240" w:lineRule="auto"/>
        <w:ind w:firstLine="709"/>
        <w:jc w:val="both"/>
        <w:rPr>
          <w:b/>
          <w:szCs w:val="28"/>
        </w:rPr>
      </w:pPr>
    </w:p>
    <w:p w:rsidR="00657799" w:rsidRPr="00657799" w:rsidRDefault="00657799" w:rsidP="00657799">
      <w:pPr>
        <w:spacing w:after="0" w:line="240" w:lineRule="auto"/>
        <w:jc w:val="both"/>
        <w:rPr>
          <w:rStyle w:val="s0"/>
          <w:b/>
          <w:sz w:val="28"/>
          <w:szCs w:val="28"/>
        </w:rPr>
      </w:pPr>
      <w:r w:rsidRPr="00657799">
        <w:rPr>
          <w:rStyle w:val="s0"/>
          <w:b/>
          <w:sz w:val="28"/>
          <w:szCs w:val="28"/>
        </w:rPr>
        <w:t>1. Общий объем безналичных платежей и переводов денег за 2015 год</w:t>
      </w:r>
    </w:p>
    <w:tbl>
      <w:tblPr>
        <w:tblW w:w="0" w:type="auto"/>
        <w:tblBorders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479"/>
        <w:gridCol w:w="2092"/>
      </w:tblGrid>
      <w:tr w:rsidR="00657799" w:rsidRPr="00657799" w:rsidTr="00322DAF">
        <w:tc>
          <w:tcPr>
            <w:tcW w:w="7479" w:type="dxa"/>
            <w:shd w:val="clear" w:color="auto" w:fill="F2F2F2"/>
          </w:tcPr>
          <w:p w:rsidR="00657799" w:rsidRPr="00657799" w:rsidRDefault="00657799" w:rsidP="00322DAF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 w:rsidRPr="00657799">
              <w:rPr>
                <w:szCs w:val="28"/>
              </w:rPr>
              <w:t>Общий объем безналичных  платежей, проведенных на территории Казахстана и отправленных за рубеж</w:t>
            </w:r>
          </w:p>
        </w:tc>
        <w:tc>
          <w:tcPr>
            <w:tcW w:w="2092" w:type="dxa"/>
            <w:shd w:val="clear" w:color="auto" w:fill="F2F2F2"/>
          </w:tcPr>
          <w:p w:rsidR="00657799" w:rsidRPr="00657799" w:rsidRDefault="00203F15" w:rsidP="00203F15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>
              <w:rPr>
                <w:szCs w:val="28"/>
              </w:rPr>
              <w:t>395</w:t>
            </w:r>
            <w:r w:rsidR="00657799" w:rsidRPr="00657799">
              <w:rPr>
                <w:szCs w:val="28"/>
              </w:rPr>
              <w:t>,</w:t>
            </w:r>
            <w:r>
              <w:rPr>
                <w:szCs w:val="28"/>
              </w:rPr>
              <w:t>6</w:t>
            </w:r>
            <w:r w:rsidR="00657799" w:rsidRPr="00657799">
              <w:rPr>
                <w:szCs w:val="28"/>
              </w:rPr>
              <w:t xml:space="preserve"> трлн. тенге</w:t>
            </w:r>
          </w:p>
        </w:tc>
      </w:tr>
    </w:tbl>
    <w:p w:rsidR="00657799" w:rsidRPr="00657799" w:rsidRDefault="00657799" w:rsidP="00657799">
      <w:pPr>
        <w:tabs>
          <w:tab w:val="left" w:pos="1406"/>
        </w:tabs>
        <w:spacing w:after="0" w:line="240" w:lineRule="auto"/>
        <w:jc w:val="both"/>
        <w:rPr>
          <w:rStyle w:val="s0"/>
          <w:b/>
          <w:sz w:val="28"/>
          <w:szCs w:val="28"/>
        </w:rPr>
      </w:pPr>
    </w:p>
    <w:p w:rsidR="00657799" w:rsidRPr="00657799" w:rsidRDefault="00657799" w:rsidP="00657799">
      <w:pPr>
        <w:tabs>
          <w:tab w:val="left" w:pos="1406"/>
        </w:tabs>
        <w:spacing w:after="0" w:line="240" w:lineRule="auto"/>
        <w:jc w:val="center"/>
        <w:rPr>
          <w:b/>
          <w:sz w:val="24"/>
          <w:szCs w:val="24"/>
        </w:rPr>
      </w:pPr>
      <w:r w:rsidRPr="00657799">
        <w:rPr>
          <w:b/>
          <w:sz w:val="24"/>
          <w:szCs w:val="24"/>
        </w:rPr>
        <w:t>Объемы безналичных платежей и переводов денег по Казахстану</w:t>
      </w:r>
    </w:p>
    <w:p w:rsidR="00657799" w:rsidRPr="00657799" w:rsidRDefault="00657799" w:rsidP="00657799">
      <w:pPr>
        <w:tabs>
          <w:tab w:val="left" w:pos="1406"/>
        </w:tabs>
        <w:spacing w:after="0" w:line="240" w:lineRule="auto"/>
        <w:jc w:val="center"/>
        <w:rPr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77"/>
        <w:gridCol w:w="1799"/>
      </w:tblGrid>
      <w:tr w:rsidR="00657799" w:rsidRPr="00657799" w:rsidTr="00322DAF">
        <w:tc>
          <w:tcPr>
            <w:tcW w:w="5495" w:type="dxa"/>
            <w:shd w:val="clear" w:color="auto" w:fill="F2F2F2"/>
            <w:vAlign w:val="center"/>
          </w:tcPr>
          <w:p w:rsidR="00657799" w:rsidRPr="00657799" w:rsidRDefault="00657799" w:rsidP="00322DAF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57799">
              <w:rPr>
                <w:b/>
                <w:iCs/>
                <w:sz w:val="20"/>
                <w:szCs w:val="20"/>
              </w:rPr>
              <w:t>Системы</w:t>
            </w:r>
          </w:p>
        </w:tc>
        <w:tc>
          <w:tcPr>
            <w:tcW w:w="2277" w:type="dxa"/>
            <w:shd w:val="clear" w:color="auto" w:fill="F2F2F2"/>
            <w:vAlign w:val="center"/>
          </w:tcPr>
          <w:p w:rsidR="00657799" w:rsidRPr="00657799" w:rsidRDefault="00657799" w:rsidP="00322DAF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57799">
              <w:rPr>
                <w:b/>
                <w:iCs/>
                <w:sz w:val="20"/>
                <w:szCs w:val="20"/>
              </w:rPr>
              <w:t>Сумма</w:t>
            </w:r>
          </w:p>
          <w:p w:rsidR="00657799" w:rsidRPr="00657799" w:rsidRDefault="00657799" w:rsidP="00322DAF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57799">
              <w:rPr>
                <w:b/>
                <w:iCs/>
                <w:sz w:val="20"/>
                <w:szCs w:val="20"/>
              </w:rPr>
              <w:t>(млрд. тенге)</w:t>
            </w:r>
          </w:p>
        </w:tc>
        <w:tc>
          <w:tcPr>
            <w:tcW w:w="1799" w:type="dxa"/>
            <w:shd w:val="clear" w:color="auto" w:fill="F2F2F2"/>
            <w:vAlign w:val="center"/>
          </w:tcPr>
          <w:p w:rsidR="00657799" w:rsidRPr="00657799" w:rsidRDefault="00657799" w:rsidP="00322DAF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57799">
              <w:rPr>
                <w:b/>
                <w:iCs/>
                <w:sz w:val="20"/>
                <w:szCs w:val="20"/>
              </w:rPr>
              <w:t>Доля, в %</w:t>
            </w:r>
          </w:p>
        </w:tc>
      </w:tr>
      <w:tr w:rsidR="00203F15" w:rsidRPr="00657799" w:rsidTr="000C0C05">
        <w:tc>
          <w:tcPr>
            <w:tcW w:w="5495" w:type="dxa"/>
            <w:shd w:val="clear" w:color="auto" w:fill="auto"/>
            <w:vAlign w:val="bottom"/>
          </w:tcPr>
          <w:p w:rsidR="00203F15" w:rsidRPr="00657799" w:rsidRDefault="00203F15" w:rsidP="00322DAF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657799">
              <w:rPr>
                <w:iCs/>
                <w:sz w:val="20"/>
                <w:szCs w:val="20"/>
              </w:rPr>
              <w:t>Межбанковская система переводов денег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226 460,0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92,7%</w:t>
            </w:r>
          </w:p>
        </w:tc>
      </w:tr>
      <w:tr w:rsidR="00203F15" w:rsidRPr="00657799" w:rsidTr="000C0C05">
        <w:tc>
          <w:tcPr>
            <w:tcW w:w="5495" w:type="dxa"/>
            <w:shd w:val="clear" w:color="auto" w:fill="auto"/>
            <w:vAlign w:val="bottom"/>
          </w:tcPr>
          <w:p w:rsidR="00203F15" w:rsidRPr="00657799" w:rsidRDefault="00203F15" w:rsidP="00322DAF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657799">
              <w:rPr>
                <w:iCs/>
                <w:sz w:val="20"/>
                <w:szCs w:val="20"/>
              </w:rPr>
              <w:t>Система межбанковского клиринга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5 525,8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2,3%</w:t>
            </w:r>
          </w:p>
        </w:tc>
      </w:tr>
      <w:tr w:rsidR="00203F15" w:rsidRPr="00657799" w:rsidTr="00322DAF">
        <w:tc>
          <w:tcPr>
            <w:tcW w:w="5495" w:type="dxa"/>
            <w:shd w:val="clear" w:color="auto" w:fill="auto"/>
            <w:vAlign w:val="bottom"/>
          </w:tcPr>
          <w:p w:rsidR="00203F15" w:rsidRPr="00657799" w:rsidRDefault="00203F15" w:rsidP="00322DAF">
            <w:pPr>
              <w:spacing w:after="0" w:line="240" w:lineRule="auto"/>
              <w:rPr>
                <w:sz w:val="20"/>
                <w:szCs w:val="20"/>
              </w:rPr>
            </w:pPr>
            <w:r w:rsidRPr="00657799">
              <w:rPr>
                <w:sz w:val="20"/>
                <w:szCs w:val="20"/>
              </w:rPr>
              <w:t>Системы международных денежных переводов (Western Union, Золотая корона, Contact и пр.)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49,7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0,02%</w:t>
            </w:r>
          </w:p>
        </w:tc>
      </w:tr>
      <w:tr w:rsidR="00203F15" w:rsidRPr="00657799" w:rsidTr="00322DAF">
        <w:tc>
          <w:tcPr>
            <w:tcW w:w="5495" w:type="dxa"/>
            <w:shd w:val="clear" w:color="auto" w:fill="auto"/>
            <w:vAlign w:val="bottom"/>
          </w:tcPr>
          <w:p w:rsidR="00203F15" w:rsidRPr="00657799" w:rsidRDefault="00203F15" w:rsidP="00322DAF">
            <w:pPr>
              <w:spacing w:after="0" w:line="240" w:lineRule="auto"/>
              <w:rPr>
                <w:sz w:val="20"/>
                <w:szCs w:val="20"/>
              </w:rPr>
            </w:pPr>
            <w:r w:rsidRPr="00657799">
              <w:rPr>
                <w:sz w:val="20"/>
                <w:szCs w:val="20"/>
              </w:rPr>
              <w:t>Прямые корреспондентские счета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10 885,4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4,5%</w:t>
            </w:r>
          </w:p>
        </w:tc>
      </w:tr>
      <w:tr w:rsidR="00203F15" w:rsidRPr="00657799" w:rsidTr="000C0C05">
        <w:tc>
          <w:tcPr>
            <w:tcW w:w="5495" w:type="dxa"/>
            <w:shd w:val="clear" w:color="auto" w:fill="auto"/>
            <w:vAlign w:val="bottom"/>
          </w:tcPr>
          <w:p w:rsidR="00203F15" w:rsidRPr="00657799" w:rsidRDefault="00203F15" w:rsidP="00322DAF">
            <w:pPr>
              <w:spacing w:after="0" w:line="240" w:lineRule="auto"/>
              <w:rPr>
                <w:sz w:val="20"/>
                <w:szCs w:val="20"/>
              </w:rPr>
            </w:pPr>
            <w:r w:rsidRPr="00657799">
              <w:rPr>
                <w:sz w:val="20"/>
                <w:szCs w:val="20"/>
              </w:rPr>
              <w:t xml:space="preserve">Платежные карточки, а также без их использования через электронные терминалы и системы удаленного доступа 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1 317,0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0,5%</w:t>
            </w:r>
          </w:p>
        </w:tc>
      </w:tr>
      <w:tr w:rsidR="00203F15" w:rsidRPr="00657799" w:rsidTr="000C0C05">
        <w:tc>
          <w:tcPr>
            <w:tcW w:w="5495" w:type="dxa"/>
            <w:shd w:val="clear" w:color="auto" w:fill="auto"/>
            <w:vAlign w:val="bottom"/>
          </w:tcPr>
          <w:p w:rsidR="00203F15" w:rsidRPr="00657799" w:rsidRDefault="00203F15" w:rsidP="00322DAF">
            <w:pPr>
              <w:spacing w:after="0" w:line="240" w:lineRule="auto"/>
              <w:rPr>
                <w:sz w:val="20"/>
                <w:szCs w:val="20"/>
              </w:rPr>
            </w:pPr>
            <w:r w:rsidRPr="00657799">
              <w:rPr>
                <w:sz w:val="20"/>
                <w:szCs w:val="20"/>
              </w:rPr>
              <w:t>Электронные деньги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44,4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0,02%</w:t>
            </w:r>
          </w:p>
        </w:tc>
      </w:tr>
      <w:tr w:rsidR="00203F15" w:rsidRPr="00657799" w:rsidTr="000C0C05">
        <w:tc>
          <w:tcPr>
            <w:tcW w:w="5495" w:type="dxa"/>
            <w:shd w:val="clear" w:color="auto" w:fill="auto"/>
            <w:vAlign w:val="bottom"/>
          </w:tcPr>
          <w:p w:rsidR="00203F15" w:rsidRPr="00657799" w:rsidRDefault="00203F15" w:rsidP="00322DAF">
            <w:pPr>
              <w:spacing w:after="0" w:line="240" w:lineRule="auto"/>
              <w:rPr>
                <w:sz w:val="20"/>
                <w:szCs w:val="20"/>
              </w:rPr>
            </w:pPr>
            <w:r w:rsidRPr="00657799">
              <w:rPr>
                <w:sz w:val="20"/>
                <w:szCs w:val="20"/>
              </w:rPr>
              <w:t xml:space="preserve">Авангард </w:t>
            </w:r>
            <w:r w:rsidRPr="00657799">
              <w:rPr>
                <w:sz w:val="20"/>
                <w:szCs w:val="20"/>
                <w:lang w:val="en-US"/>
              </w:rPr>
              <w:t>Plat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65,5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0,03%</w:t>
            </w:r>
          </w:p>
        </w:tc>
      </w:tr>
      <w:tr w:rsidR="00203F15" w:rsidRPr="00657799" w:rsidTr="00322DAF">
        <w:tc>
          <w:tcPr>
            <w:tcW w:w="5495" w:type="dxa"/>
            <w:shd w:val="clear" w:color="auto" w:fill="auto"/>
            <w:vAlign w:val="bottom"/>
          </w:tcPr>
          <w:p w:rsidR="00203F15" w:rsidRPr="00657799" w:rsidRDefault="00203F15" w:rsidP="00322DA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57799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203F15">
              <w:rPr>
                <w:b/>
                <w:iCs/>
                <w:sz w:val="20"/>
                <w:szCs w:val="20"/>
              </w:rPr>
              <w:t>244 347,7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203F15">
              <w:rPr>
                <w:b/>
                <w:iCs/>
                <w:sz w:val="20"/>
                <w:szCs w:val="20"/>
              </w:rPr>
              <w:t>100%</w:t>
            </w:r>
          </w:p>
        </w:tc>
      </w:tr>
    </w:tbl>
    <w:p w:rsidR="00657799" w:rsidRPr="00657799" w:rsidRDefault="00657799" w:rsidP="00657799">
      <w:pPr>
        <w:tabs>
          <w:tab w:val="left" w:pos="1989"/>
        </w:tabs>
        <w:spacing w:after="0" w:line="240" w:lineRule="auto"/>
        <w:ind w:firstLine="284"/>
        <w:jc w:val="both"/>
        <w:rPr>
          <w:rStyle w:val="s0"/>
          <w:b/>
          <w:sz w:val="20"/>
          <w:szCs w:val="20"/>
        </w:rPr>
      </w:pPr>
      <w:r w:rsidRPr="00657799">
        <w:rPr>
          <w:rStyle w:val="s0"/>
          <w:b/>
          <w:sz w:val="20"/>
          <w:szCs w:val="20"/>
        </w:rPr>
        <w:tab/>
      </w:r>
    </w:p>
    <w:tbl>
      <w:tblPr>
        <w:tblW w:w="0" w:type="auto"/>
        <w:tblInd w:w="180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1808"/>
      </w:tblGrid>
      <w:tr w:rsidR="00203F15" w:rsidRPr="00657799" w:rsidTr="000C0C05">
        <w:tc>
          <w:tcPr>
            <w:tcW w:w="3686" w:type="dxa"/>
            <w:shd w:val="clear" w:color="auto" w:fill="auto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rStyle w:val="s0"/>
                <w:i/>
                <w:sz w:val="20"/>
                <w:szCs w:val="20"/>
              </w:rPr>
            </w:pPr>
            <w:r w:rsidRPr="00657799">
              <w:rPr>
                <w:i/>
                <w:color w:val="000000"/>
                <w:sz w:val="20"/>
                <w:szCs w:val="20"/>
              </w:rPr>
              <w:t>из них  в тенге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203F15">
              <w:rPr>
                <w:i/>
                <w:color w:val="000000"/>
                <w:sz w:val="20"/>
                <w:szCs w:val="20"/>
              </w:rPr>
              <w:t>237 986,6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203F15">
              <w:rPr>
                <w:i/>
                <w:color w:val="000000"/>
                <w:sz w:val="20"/>
                <w:szCs w:val="20"/>
              </w:rPr>
              <w:t>97,4%</w:t>
            </w:r>
          </w:p>
        </w:tc>
      </w:tr>
    </w:tbl>
    <w:p w:rsidR="00657799" w:rsidRPr="00657799" w:rsidRDefault="00657799" w:rsidP="00657799">
      <w:pPr>
        <w:tabs>
          <w:tab w:val="left" w:pos="4429"/>
        </w:tabs>
        <w:spacing w:after="0" w:line="240" w:lineRule="auto"/>
        <w:ind w:firstLine="284"/>
        <w:jc w:val="both"/>
        <w:rPr>
          <w:rStyle w:val="s0"/>
          <w:b/>
          <w:sz w:val="28"/>
          <w:szCs w:val="28"/>
        </w:rPr>
      </w:pPr>
      <w:r>
        <w:rPr>
          <w:rStyle w:val="s0"/>
          <w:b/>
          <w:sz w:val="20"/>
          <w:szCs w:val="20"/>
        </w:rPr>
        <w:tab/>
      </w:r>
    </w:p>
    <w:p w:rsidR="00657799" w:rsidRPr="00657799" w:rsidRDefault="00657799" w:rsidP="00657799">
      <w:pPr>
        <w:tabs>
          <w:tab w:val="left" w:pos="1406"/>
          <w:tab w:val="left" w:pos="2126"/>
          <w:tab w:val="center" w:pos="4819"/>
        </w:tabs>
        <w:spacing w:after="0" w:line="240" w:lineRule="auto"/>
        <w:jc w:val="center"/>
        <w:rPr>
          <w:b/>
          <w:sz w:val="24"/>
          <w:szCs w:val="24"/>
        </w:rPr>
      </w:pPr>
      <w:r w:rsidRPr="00657799">
        <w:rPr>
          <w:b/>
          <w:sz w:val="24"/>
          <w:szCs w:val="24"/>
        </w:rPr>
        <w:t>Объемы безналичных платежей и переводов денег, отправленных за рубеж</w:t>
      </w:r>
    </w:p>
    <w:p w:rsidR="00657799" w:rsidRPr="00657799" w:rsidRDefault="00657799" w:rsidP="00657799">
      <w:pPr>
        <w:tabs>
          <w:tab w:val="left" w:pos="1406"/>
          <w:tab w:val="left" w:pos="2126"/>
          <w:tab w:val="center" w:pos="4819"/>
        </w:tabs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701"/>
      </w:tblGrid>
      <w:tr w:rsidR="00657799" w:rsidRPr="00657799" w:rsidTr="00322DAF">
        <w:tc>
          <w:tcPr>
            <w:tcW w:w="5495" w:type="dxa"/>
            <w:shd w:val="clear" w:color="auto" w:fill="EEECE1"/>
            <w:vAlign w:val="center"/>
          </w:tcPr>
          <w:p w:rsidR="00657799" w:rsidRPr="00657799" w:rsidRDefault="00657799" w:rsidP="00322DAF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57799">
              <w:rPr>
                <w:b/>
                <w:iCs/>
                <w:sz w:val="20"/>
                <w:szCs w:val="20"/>
              </w:rPr>
              <w:t>Системы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657799" w:rsidRPr="00657799" w:rsidRDefault="00657799" w:rsidP="00322DAF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57799">
              <w:rPr>
                <w:b/>
                <w:iCs/>
                <w:sz w:val="20"/>
                <w:szCs w:val="20"/>
              </w:rPr>
              <w:t>Сумма</w:t>
            </w:r>
          </w:p>
          <w:p w:rsidR="00657799" w:rsidRPr="00657799" w:rsidRDefault="00657799" w:rsidP="00322DAF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57799">
              <w:rPr>
                <w:b/>
                <w:iCs/>
                <w:sz w:val="20"/>
                <w:szCs w:val="20"/>
              </w:rPr>
              <w:t>(млрд. тенге)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657799" w:rsidRPr="00657799" w:rsidRDefault="00657799" w:rsidP="00322DAF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57799">
              <w:rPr>
                <w:b/>
                <w:iCs/>
                <w:sz w:val="20"/>
                <w:szCs w:val="20"/>
              </w:rPr>
              <w:t>Доля, в %</w:t>
            </w:r>
          </w:p>
        </w:tc>
      </w:tr>
      <w:tr w:rsidR="00203F15" w:rsidRPr="00657799" w:rsidTr="00322DAF">
        <w:tc>
          <w:tcPr>
            <w:tcW w:w="5495" w:type="dxa"/>
            <w:shd w:val="clear" w:color="auto" w:fill="auto"/>
            <w:vAlign w:val="center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799">
              <w:rPr>
                <w:sz w:val="20"/>
                <w:szCs w:val="20"/>
              </w:rPr>
              <w:t>Системы международных денежных переводов (Western Union, Золотая корона, Contact и пр.)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332,6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0,2%</w:t>
            </w:r>
          </w:p>
        </w:tc>
      </w:tr>
      <w:tr w:rsidR="00203F15" w:rsidRPr="00657799" w:rsidTr="00322DAF">
        <w:tc>
          <w:tcPr>
            <w:tcW w:w="5495" w:type="dxa"/>
            <w:shd w:val="clear" w:color="auto" w:fill="auto"/>
            <w:vAlign w:val="center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 w:rsidRPr="00657799">
              <w:rPr>
                <w:sz w:val="20"/>
                <w:szCs w:val="20"/>
              </w:rPr>
              <w:t>ямые корреспондентские счета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150 731,7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99,6%</w:t>
            </w:r>
          </w:p>
        </w:tc>
      </w:tr>
      <w:tr w:rsidR="00203F15" w:rsidRPr="00657799" w:rsidTr="00322DAF">
        <w:tc>
          <w:tcPr>
            <w:tcW w:w="5495" w:type="dxa"/>
            <w:shd w:val="clear" w:color="auto" w:fill="auto"/>
            <w:vAlign w:val="center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799">
              <w:rPr>
                <w:sz w:val="20"/>
                <w:szCs w:val="20"/>
              </w:rPr>
              <w:t>Платежные карточки (использование за рубежом)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0,1%</w:t>
            </w:r>
          </w:p>
        </w:tc>
      </w:tr>
      <w:tr w:rsidR="00203F15" w:rsidRPr="00657799" w:rsidTr="000C0C05">
        <w:tc>
          <w:tcPr>
            <w:tcW w:w="5495" w:type="dxa"/>
            <w:shd w:val="clear" w:color="auto" w:fill="auto"/>
            <w:vAlign w:val="bottom"/>
          </w:tcPr>
          <w:p w:rsidR="00203F15" w:rsidRPr="00657799" w:rsidRDefault="00203F15" w:rsidP="00322D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5779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203F15">
              <w:rPr>
                <w:b/>
                <w:iCs/>
                <w:sz w:val="20"/>
                <w:szCs w:val="20"/>
              </w:rPr>
              <w:t>151 286,7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203F15">
              <w:rPr>
                <w:b/>
                <w:iCs/>
                <w:sz w:val="20"/>
                <w:szCs w:val="20"/>
              </w:rPr>
              <w:t>100,0%</w:t>
            </w:r>
          </w:p>
        </w:tc>
      </w:tr>
    </w:tbl>
    <w:p w:rsidR="00657799" w:rsidRPr="00657799" w:rsidRDefault="00657799" w:rsidP="00657799">
      <w:pPr>
        <w:tabs>
          <w:tab w:val="left" w:pos="3411"/>
        </w:tabs>
        <w:spacing w:after="0" w:line="240" w:lineRule="auto"/>
        <w:rPr>
          <w:b/>
          <w:sz w:val="20"/>
          <w:szCs w:val="20"/>
        </w:rPr>
      </w:pPr>
    </w:p>
    <w:tbl>
      <w:tblPr>
        <w:tblW w:w="0" w:type="auto"/>
        <w:tblInd w:w="180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1701"/>
      </w:tblGrid>
      <w:tr w:rsidR="00203F15" w:rsidRPr="00657799" w:rsidTr="000C0C05">
        <w:tc>
          <w:tcPr>
            <w:tcW w:w="3686" w:type="dxa"/>
            <w:shd w:val="clear" w:color="auto" w:fill="auto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rStyle w:val="s0"/>
                <w:i/>
                <w:sz w:val="20"/>
                <w:szCs w:val="20"/>
              </w:rPr>
            </w:pPr>
            <w:r w:rsidRPr="00657799">
              <w:rPr>
                <w:i/>
                <w:color w:val="000000"/>
                <w:sz w:val="20"/>
                <w:szCs w:val="20"/>
              </w:rPr>
              <w:t>из них, по прямым корр.счетам и СМДП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203F15">
              <w:rPr>
                <w:i/>
                <w:iCs/>
                <w:sz w:val="20"/>
                <w:szCs w:val="20"/>
              </w:rPr>
              <w:t>151 064,3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203F15" w:rsidRPr="00657799" w:rsidTr="00322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799">
              <w:rPr>
                <w:color w:val="000000"/>
                <w:sz w:val="20"/>
                <w:szCs w:val="20"/>
              </w:rPr>
              <w:t>в долларах США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120 339,04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79,7%</w:t>
            </w:r>
          </w:p>
        </w:tc>
      </w:tr>
      <w:tr w:rsidR="00203F15" w:rsidRPr="00657799" w:rsidTr="00322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657799">
              <w:rPr>
                <w:color w:val="000000"/>
                <w:sz w:val="20"/>
                <w:szCs w:val="20"/>
              </w:rPr>
              <w:t>в тенге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18 271,48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12,1%</w:t>
            </w:r>
          </w:p>
        </w:tc>
      </w:tr>
      <w:tr w:rsidR="00203F15" w:rsidRPr="00657799" w:rsidTr="00322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799">
              <w:rPr>
                <w:color w:val="000000"/>
                <w:sz w:val="20"/>
                <w:szCs w:val="20"/>
              </w:rPr>
              <w:t>в российских рублях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6 352,63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4,2%</w:t>
            </w:r>
          </w:p>
        </w:tc>
      </w:tr>
      <w:tr w:rsidR="00203F15" w:rsidRPr="00657799" w:rsidTr="00322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799">
              <w:rPr>
                <w:color w:val="000000"/>
                <w:sz w:val="20"/>
                <w:szCs w:val="20"/>
              </w:rPr>
              <w:t>в евро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4 899,79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3,2%</w:t>
            </w:r>
          </w:p>
        </w:tc>
      </w:tr>
      <w:tr w:rsidR="00203F15" w:rsidRPr="00657799" w:rsidTr="00322D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shd w:val="clear" w:color="auto" w:fill="auto"/>
            <w:vAlign w:val="center"/>
          </w:tcPr>
          <w:p w:rsidR="00203F15" w:rsidRPr="00657799" w:rsidRDefault="00203F15" w:rsidP="00322D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799">
              <w:rPr>
                <w:color w:val="000000"/>
                <w:sz w:val="20"/>
                <w:szCs w:val="20"/>
              </w:rPr>
              <w:t>в  иных валютах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1 201,25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15" w:rsidRPr="00203F15" w:rsidRDefault="00203F15" w:rsidP="00203F15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203F15">
              <w:rPr>
                <w:iCs/>
                <w:sz w:val="20"/>
                <w:szCs w:val="20"/>
              </w:rPr>
              <w:t>0,8%</w:t>
            </w:r>
          </w:p>
        </w:tc>
      </w:tr>
    </w:tbl>
    <w:p w:rsidR="00E00F3E" w:rsidRDefault="00E00F3E" w:rsidP="00DC3592">
      <w:pPr>
        <w:spacing w:after="0" w:line="240" w:lineRule="auto"/>
        <w:ind w:firstLine="400"/>
        <w:jc w:val="both"/>
        <w:rPr>
          <w:rStyle w:val="s0"/>
          <w:sz w:val="20"/>
          <w:szCs w:val="20"/>
        </w:rPr>
      </w:pPr>
    </w:p>
    <w:p w:rsidR="00657799" w:rsidRPr="00657799" w:rsidRDefault="00657799" w:rsidP="00DC3592">
      <w:pPr>
        <w:spacing w:after="0" w:line="240" w:lineRule="auto"/>
        <w:ind w:firstLine="400"/>
        <w:jc w:val="both"/>
        <w:rPr>
          <w:rStyle w:val="s0"/>
          <w:sz w:val="20"/>
          <w:szCs w:val="20"/>
        </w:rPr>
      </w:pPr>
    </w:p>
    <w:p w:rsidR="00657799" w:rsidRPr="00657799" w:rsidRDefault="00657799" w:rsidP="00657799">
      <w:pPr>
        <w:spacing w:after="0" w:line="240" w:lineRule="auto"/>
        <w:jc w:val="both"/>
        <w:rPr>
          <w:rStyle w:val="s0"/>
          <w:sz w:val="28"/>
          <w:szCs w:val="28"/>
          <w:u w:val="single"/>
        </w:rPr>
      </w:pPr>
      <w:r>
        <w:rPr>
          <w:rStyle w:val="s0"/>
          <w:b/>
          <w:sz w:val="28"/>
          <w:szCs w:val="28"/>
        </w:rPr>
        <w:t xml:space="preserve">2. </w:t>
      </w:r>
      <w:r w:rsidRPr="00657799">
        <w:rPr>
          <w:rStyle w:val="s0"/>
          <w:b/>
          <w:sz w:val="28"/>
          <w:szCs w:val="28"/>
        </w:rPr>
        <w:t>Безналичные платежи за товары и услуги</w:t>
      </w:r>
      <w:r>
        <w:rPr>
          <w:rStyle w:val="s0"/>
          <w:b/>
          <w:sz w:val="28"/>
          <w:szCs w:val="28"/>
        </w:rPr>
        <w:t xml:space="preserve"> за 2015 год</w:t>
      </w:r>
    </w:p>
    <w:tbl>
      <w:tblPr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85"/>
      </w:tblGrid>
      <w:tr w:rsidR="00657799" w:rsidRPr="00657799" w:rsidTr="00322DAF">
        <w:tc>
          <w:tcPr>
            <w:tcW w:w="6091" w:type="dxa"/>
            <w:shd w:val="clear" w:color="auto" w:fill="auto"/>
          </w:tcPr>
          <w:p w:rsidR="00657799" w:rsidRPr="00657799" w:rsidRDefault="00657799" w:rsidP="00322DAF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объем безналичных платежей за товары и услуги (в том числе, платежи юридических и физических лиц)</w:t>
            </w:r>
          </w:p>
        </w:tc>
        <w:tc>
          <w:tcPr>
            <w:tcW w:w="3685" w:type="dxa"/>
            <w:shd w:val="clear" w:color="auto" w:fill="auto"/>
          </w:tcPr>
          <w:p w:rsidR="00657799" w:rsidRPr="00203F15" w:rsidRDefault="00BA30DB" w:rsidP="00322DAF">
            <w:pPr>
              <w:spacing w:after="0" w:line="240" w:lineRule="auto"/>
              <w:jc w:val="both"/>
              <w:rPr>
                <w:rStyle w:val="s0"/>
                <w:sz w:val="28"/>
                <w:szCs w:val="28"/>
                <w:highlight w:val="yellow"/>
              </w:rPr>
            </w:pPr>
            <w:r w:rsidRPr="00BA30DB">
              <w:rPr>
                <w:rStyle w:val="s0"/>
                <w:sz w:val="28"/>
                <w:szCs w:val="28"/>
              </w:rPr>
              <w:t>24</w:t>
            </w:r>
            <w:r w:rsidR="00657799" w:rsidRPr="00BA30DB">
              <w:rPr>
                <w:rStyle w:val="s0"/>
                <w:sz w:val="28"/>
                <w:szCs w:val="28"/>
              </w:rPr>
              <w:t>,3 трлн. тенге</w:t>
            </w:r>
          </w:p>
        </w:tc>
      </w:tr>
      <w:tr w:rsidR="00657799" w:rsidRPr="00657799" w:rsidTr="00322DAF">
        <w:tc>
          <w:tcPr>
            <w:tcW w:w="6091" w:type="dxa"/>
            <w:shd w:val="clear" w:color="auto" w:fill="EEECE1"/>
          </w:tcPr>
          <w:p w:rsidR="00657799" w:rsidRPr="00657799" w:rsidRDefault="00657799" w:rsidP="00322DAF">
            <w:pPr>
              <w:spacing w:after="0" w:line="240" w:lineRule="auto"/>
              <w:jc w:val="both"/>
              <w:rPr>
                <w:rStyle w:val="s0"/>
                <w:i/>
                <w:sz w:val="28"/>
                <w:szCs w:val="28"/>
              </w:rPr>
            </w:pPr>
            <w:r w:rsidRPr="00657799">
              <w:rPr>
                <w:rStyle w:val="s0"/>
                <w:i/>
                <w:sz w:val="28"/>
                <w:szCs w:val="28"/>
              </w:rPr>
              <w:t>удельный вес объема безналичных платежей за товары и услуги в общем объеме платежей за товары и услуги с учетом теневой экономики</w:t>
            </w:r>
          </w:p>
        </w:tc>
        <w:tc>
          <w:tcPr>
            <w:tcW w:w="3685" w:type="dxa"/>
            <w:shd w:val="clear" w:color="auto" w:fill="EEECE1"/>
          </w:tcPr>
          <w:p w:rsidR="00657799" w:rsidRPr="00203F15" w:rsidRDefault="008C52C1" w:rsidP="00F73835">
            <w:pPr>
              <w:spacing w:after="0" w:line="240" w:lineRule="auto"/>
              <w:jc w:val="both"/>
              <w:rPr>
                <w:rStyle w:val="s0"/>
                <w:i/>
                <w:sz w:val="28"/>
                <w:szCs w:val="28"/>
                <w:highlight w:val="yellow"/>
              </w:rPr>
            </w:pPr>
            <w:r w:rsidRPr="005D7214">
              <w:rPr>
                <w:rStyle w:val="s0"/>
                <w:i/>
                <w:sz w:val="28"/>
                <w:szCs w:val="28"/>
              </w:rPr>
              <w:t>6</w:t>
            </w:r>
            <w:r w:rsidR="00F73835" w:rsidRPr="005D7214">
              <w:rPr>
                <w:rStyle w:val="s0"/>
                <w:i/>
                <w:sz w:val="28"/>
                <w:szCs w:val="28"/>
              </w:rPr>
              <w:t>8</w:t>
            </w:r>
            <w:r w:rsidR="005D7214" w:rsidRPr="005D7214">
              <w:rPr>
                <w:rStyle w:val="s0"/>
                <w:i/>
                <w:sz w:val="28"/>
                <w:szCs w:val="28"/>
              </w:rPr>
              <w:t>,4</w:t>
            </w:r>
            <w:r w:rsidR="00657799" w:rsidRPr="005D7214">
              <w:rPr>
                <w:rStyle w:val="s0"/>
                <w:i/>
                <w:sz w:val="28"/>
                <w:szCs w:val="28"/>
              </w:rPr>
              <w:t>%</w:t>
            </w:r>
            <w:r w:rsidR="00657799" w:rsidRPr="00203F15">
              <w:rPr>
                <w:rStyle w:val="s0"/>
                <w:i/>
                <w:sz w:val="28"/>
                <w:szCs w:val="28"/>
                <w:highlight w:val="yellow"/>
              </w:rPr>
              <w:t xml:space="preserve">  </w:t>
            </w:r>
          </w:p>
        </w:tc>
      </w:tr>
    </w:tbl>
    <w:p w:rsidR="00657799" w:rsidRDefault="00657799" w:rsidP="00657799">
      <w:pPr>
        <w:tabs>
          <w:tab w:val="left" w:pos="6252"/>
        </w:tabs>
        <w:spacing w:after="0" w:line="240" w:lineRule="auto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ab/>
      </w:r>
    </w:p>
    <w:p w:rsidR="00AA0918" w:rsidRDefault="00AA0918" w:rsidP="00657799">
      <w:pPr>
        <w:tabs>
          <w:tab w:val="left" w:pos="6252"/>
        </w:tabs>
        <w:spacing w:after="0" w:line="240" w:lineRule="auto"/>
        <w:jc w:val="both"/>
        <w:rPr>
          <w:rStyle w:val="s0"/>
          <w:sz w:val="28"/>
          <w:szCs w:val="28"/>
        </w:rPr>
      </w:pPr>
    </w:p>
    <w:p w:rsidR="00657799" w:rsidRDefault="00657799" w:rsidP="00657799">
      <w:pPr>
        <w:tabs>
          <w:tab w:val="left" w:pos="6252"/>
        </w:tabs>
        <w:spacing w:after="0" w:line="240" w:lineRule="auto"/>
        <w:jc w:val="both"/>
        <w:rPr>
          <w:rStyle w:val="s0"/>
          <w:sz w:val="28"/>
          <w:szCs w:val="28"/>
        </w:rPr>
      </w:pPr>
    </w:p>
    <w:tbl>
      <w:tblPr>
        <w:tblW w:w="9774" w:type="dxa"/>
        <w:tblLook w:val="04A0" w:firstRow="1" w:lastRow="0" w:firstColumn="1" w:lastColumn="0" w:noHBand="0" w:noVBand="1"/>
      </w:tblPr>
      <w:tblGrid>
        <w:gridCol w:w="4653"/>
        <w:gridCol w:w="222"/>
        <w:gridCol w:w="4899"/>
      </w:tblGrid>
      <w:tr w:rsidR="00657799" w:rsidRPr="00657799" w:rsidTr="00657799">
        <w:tc>
          <w:tcPr>
            <w:tcW w:w="4653" w:type="dxa"/>
          </w:tcPr>
          <w:p w:rsidR="00657799" w:rsidRPr="00657799" w:rsidRDefault="00657799" w:rsidP="00322DAF">
            <w:pPr>
              <w:spacing w:after="0" w:line="240" w:lineRule="auto"/>
              <w:ind w:hanging="45"/>
              <w:jc w:val="center"/>
              <w:rPr>
                <w:b/>
                <w:sz w:val="24"/>
                <w:szCs w:val="24"/>
              </w:rPr>
            </w:pPr>
            <w:r w:rsidRPr="00657799">
              <w:rPr>
                <w:b/>
                <w:sz w:val="24"/>
                <w:szCs w:val="24"/>
              </w:rPr>
              <w:t xml:space="preserve">Безналичные платежи за товары </w:t>
            </w:r>
          </w:p>
          <w:p w:rsidR="00657799" w:rsidRPr="00657799" w:rsidRDefault="00657799" w:rsidP="00322DAF">
            <w:pPr>
              <w:spacing w:after="0" w:line="240" w:lineRule="auto"/>
              <w:ind w:firstLine="96"/>
              <w:jc w:val="center"/>
              <w:rPr>
                <w:b/>
                <w:sz w:val="24"/>
                <w:szCs w:val="24"/>
              </w:rPr>
            </w:pPr>
            <w:r w:rsidRPr="00657799">
              <w:rPr>
                <w:b/>
                <w:sz w:val="24"/>
                <w:szCs w:val="24"/>
              </w:rPr>
              <w:t>и услуги за 2015 год</w:t>
            </w:r>
          </w:p>
          <w:p w:rsidR="00657799" w:rsidRPr="00657799" w:rsidRDefault="00657799" w:rsidP="00322DAF">
            <w:pPr>
              <w:spacing w:after="0" w:line="240" w:lineRule="auto"/>
              <w:ind w:firstLine="709"/>
              <w:jc w:val="right"/>
              <w:rPr>
                <w:i/>
                <w:sz w:val="20"/>
                <w:szCs w:val="20"/>
              </w:rPr>
            </w:pPr>
            <w:r w:rsidRPr="00657799">
              <w:rPr>
                <w:i/>
                <w:sz w:val="20"/>
                <w:szCs w:val="20"/>
              </w:rPr>
              <w:t>млрд. тенге</w:t>
            </w:r>
          </w:p>
          <w:tbl>
            <w:tblPr>
              <w:tblW w:w="4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1016"/>
            </w:tblGrid>
            <w:tr w:rsidR="00203F15" w:rsidRPr="00657799" w:rsidTr="00322DAF">
              <w:tc>
                <w:tcPr>
                  <w:tcW w:w="341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57799">
                    <w:rPr>
                      <w:iCs/>
                      <w:sz w:val="20"/>
                      <w:szCs w:val="20"/>
                    </w:rPr>
                    <w:t>Межбанковская система переводов денег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18 927,7</w:t>
                  </w:r>
                </w:p>
              </w:tc>
            </w:tr>
            <w:tr w:rsidR="00203F15" w:rsidRPr="00657799" w:rsidTr="00322DAF">
              <w:tc>
                <w:tcPr>
                  <w:tcW w:w="341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57799">
                    <w:rPr>
                      <w:iCs/>
                      <w:sz w:val="20"/>
                      <w:szCs w:val="20"/>
                    </w:rPr>
                    <w:t>Система межбанковского клиринга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2 999,0</w:t>
                  </w:r>
                </w:p>
              </w:tc>
            </w:tr>
            <w:tr w:rsidR="00203F15" w:rsidRPr="00657799" w:rsidTr="00322DAF">
              <w:tc>
                <w:tcPr>
                  <w:tcW w:w="341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iCs/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>Системы международных денежных переводов (Western Union, Золотая корона, Contact и пр.)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0,0</w:t>
                  </w:r>
                </w:p>
              </w:tc>
            </w:tr>
            <w:tr w:rsidR="00203F15" w:rsidRPr="00657799" w:rsidTr="00322DAF">
              <w:tc>
                <w:tcPr>
                  <w:tcW w:w="341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>Прямые корреспондентские счет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1 593,7</w:t>
                  </w:r>
                </w:p>
              </w:tc>
            </w:tr>
            <w:tr w:rsidR="00203F15" w:rsidRPr="00657799" w:rsidTr="00322DAF">
              <w:tc>
                <w:tcPr>
                  <w:tcW w:w="341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 xml:space="preserve">Платежные карточки, а также без их использования через электронные терминалы и системы удаленного доступа 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638,5</w:t>
                  </w:r>
                </w:p>
              </w:tc>
            </w:tr>
            <w:tr w:rsidR="00203F15" w:rsidRPr="00657799" w:rsidTr="00322DAF">
              <w:tc>
                <w:tcPr>
                  <w:tcW w:w="341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>Электронные деньги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44,4</w:t>
                  </w:r>
                </w:p>
              </w:tc>
            </w:tr>
            <w:tr w:rsidR="00203F15" w:rsidRPr="00657799" w:rsidTr="00322DAF">
              <w:tc>
                <w:tcPr>
                  <w:tcW w:w="341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 xml:space="preserve">Авангард </w:t>
                  </w:r>
                  <w:r w:rsidRPr="00657799">
                    <w:rPr>
                      <w:sz w:val="20"/>
                      <w:szCs w:val="20"/>
                      <w:lang w:val="en-US"/>
                    </w:rPr>
                    <w:t>Plat</w:t>
                  </w:r>
                  <w:r w:rsidRPr="00657799">
                    <w:rPr>
                      <w:rStyle w:val="a7"/>
                      <w:sz w:val="20"/>
                      <w:szCs w:val="20"/>
                      <w:lang w:val="en-US"/>
                    </w:rPr>
                    <w:footnoteReference w:id="1"/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65,5</w:t>
                  </w:r>
                </w:p>
              </w:tc>
            </w:tr>
            <w:tr w:rsidR="00203F15" w:rsidRPr="00657799" w:rsidTr="00322DAF">
              <w:tc>
                <w:tcPr>
                  <w:tcW w:w="341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657799">
                    <w:rPr>
                      <w:b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sz w:val="20"/>
                      <w:szCs w:val="20"/>
                    </w:rPr>
                    <w:t>24 268,7</w:t>
                  </w:r>
                </w:p>
              </w:tc>
            </w:tr>
          </w:tbl>
          <w:p w:rsidR="00657799" w:rsidRPr="00657799" w:rsidRDefault="00657799" w:rsidP="00322DA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657799" w:rsidRPr="00657799" w:rsidRDefault="00657799" w:rsidP="00322DAF">
            <w:pPr>
              <w:spacing w:after="0" w:line="240" w:lineRule="auto"/>
              <w:ind w:hanging="4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99" w:type="dxa"/>
          </w:tcPr>
          <w:p w:rsidR="00657799" w:rsidRPr="00657799" w:rsidRDefault="00657799" w:rsidP="00322DAF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657799">
              <w:rPr>
                <w:b/>
                <w:sz w:val="24"/>
                <w:szCs w:val="24"/>
              </w:rPr>
              <w:t xml:space="preserve">Данные Комитета по статистике </w:t>
            </w:r>
          </w:p>
          <w:p w:rsidR="00657799" w:rsidRPr="00657799" w:rsidRDefault="00657799" w:rsidP="00322DAF">
            <w:pPr>
              <w:spacing w:after="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657799">
              <w:rPr>
                <w:b/>
                <w:sz w:val="24"/>
                <w:szCs w:val="24"/>
              </w:rPr>
              <w:t>МНЭ РК за 2015 год</w:t>
            </w:r>
          </w:p>
          <w:p w:rsidR="00657799" w:rsidRPr="00657799" w:rsidRDefault="00657799" w:rsidP="00322DAF">
            <w:pPr>
              <w:spacing w:after="0" w:line="240" w:lineRule="auto"/>
              <w:ind w:firstLine="709"/>
              <w:jc w:val="right"/>
              <w:rPr>
                <w:i/>
                <w:sz w:val="20"/>
                <w:szCs w:val="20"/>
              </w:rPr>
            </w:pPr>
            <w:r w:rsidRPr="00657799">
              <w:rPr>
                <w:i/>
                <w:sz w:val="20"/>
                <w:szCs w:val="20"/>
              </w:rPr>
              <w:t>млрд. тенге</w:t>
            </w:r>
          </w:p>
          <w:tbl>
            <w:tblPr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  <w:gridCol w:w="1242"/>
            </w:tblGrid>
            <w:tr w:rsidR="00203F15" w:rsidRPr="00657799" w:rsidTr="00727F2E">
              <w:tc>
                <w:tcPr>
                  <w:tcW w:w="343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>Объем розничной торговли</w:t>
                  </w:r>
                </w:p>
              </w:tc>
              <w:tc>
                <w:tcPr>
                  <w:tcW w:w="1242" w:type="dxa"/>
                  <w:vAlign w:val="bottom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6 369,6</w:t>
                  </w:r>
                </w:p>
              </w:tc>
            </w:tr>
            <w:tr w:rsidR="00203F15" w:rsidRPr="00657799" w:rsidTr="00727F2E">
              <w:tc>
                <w:tcPr>
                  <w:tcW w:w="343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>Объем оптовой торговли</w:t>
                  </w:r>
                </w:p>
              </w:tc>
              <w:tc>
                <w:tcPr>
                  <w:tcW w:w="1242" w:type="dxa"/>
                  <w:vAlign w:val="bottom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16 393,0</w:t>
                  </w:r>
                </w:p>
              </w:tc>
            </w:tr>
            <w:tr w:rsidR="00203F15" w:rsidRPr="00657799" w:rsidTr="00727F2E">
              <w:tc>
                <w:tcPr>
                  <w:tcW w:w="343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>Объем услуг по предоставлению продуктов питания и напитков (общественное питание)</w:t>
                  </w:r>
                </w:p>
              </w:tc>
              <w:tc>
                <w:tcPr>
                  <w:tcW w:w="1242" w:type="dxa"/>
                  <w:vAlign w:val="bottom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296,6</w:t>
                  </w:r>
                </w:p>
              </w:tc>
            </w:tr>
            <w:tr w:rsidR="00203F15" w:rsidRPr="00657799" w:rsidTr="00727F2E">
              <w:tc>
                <w:tcPr>
                  <w:tcW w:w="3431" w:type="dxa"/>
                  <w:shd w:val="clear" w:color="auto" w:fill="auto"/>
                  <w:vAlign w:val="bottom"/>
                </w:tcPr>
                <w:p w:rsidR="00203F15" w:rsidRPr="00657799" w:rsidRDefault="00203F15" w:rsidP="008C52C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>Общий объем оказанных услуг и индексы физического объема</w:t>
                  </w:r>
                </w:p>
              </w:tc>
              <w:tc>
                <w:tcPr>
                  <w:tcW w:w="1242" w:type="dxa"/>
                  <w:vAlign w:val="bottom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3 461,0</w:t>
                  </w:r>
                </w:p>
              </w:tc>
            </w:tr>
            <w:tr w:rsidR="00203F15" w:rsidRPr="00657799" w:rsidTr="00727F2E">
              <w:tc>
                <w:tcPr>
                  <w:tcW w:w="343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Объем услуг по техническом</w:t>
                  </w:r>
                  <w:r w:rsidRPr="00657799">
                    <w:rPr>
                      <w:sz w:val="20"/>
                      <w:szCs w:val="20"/>
                    </w:rPr>
                    <w:t>у обслуживани</w:t>
                  </w:r>
                  <w:r w:rsidRPr="00657799">
                    <w:rPr>
                      <w:sz w:val="20"/>
                      <w:szCs w:val="20"/>
                    </w:rPr>
                    <w:cr/>
                    <w:t xml:space="preserve"> и ремонту автомобилей,</w:t>
                  </w:r>
                  <w:r w:rsidRPr="00657799">
                    <w:rPr>
                      <w:sz w:val="20"/>
                      <w:szCs w:val="20"/>
                    </w:rPr>
                    <w:cr/>
                    <w:t>мотоциклов</w:t>
                  </w:r>
                </w:p>
              </w:tc>
              <w:tc>
                <w:tcPr>
                  <w:tcW w:w="1242" w:type="dxa"/>
                  <w:vAlign w:val="bottom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63,8</w:t>
                  </w:r>
                </w:p>
              </w:tc>
            </w:tr>
            <w:tr w:rsidR="00203F15" w:rsidRPr="00657799" w:rsidTr="00727F2E">
              <w:trPr>
                <w:trHeight w:val="362"/>
              </w:trPr>
              <w:tc>
                <w:tcPr>
                  <w:tcW w:w="3431" w:type="dxa"/>
                  <w:shd w:val="clear" w:color="auto" w:fill="auto"/>
                  <w:vAlign w:val="bottom"/>
                </w:tcPr>
                <w:p w:rsidR="00203F15" w:rsidRPr="00657799" w:rsidRDefault="00203F15" w:rsidP="00322DA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57799">
                    <w:rPr>
                      <w:sz w:val="20"/>
                      <w:szCs w:val="20"/>
                    </w:rPr>
                    <w:t>Инвес</w:t>
                  </w:r>
                  <w:r w:rsidRPr="00657799">
                    <w:rPr>
                      <w:sz w:val="20"/>
                      <w:szCs w:val="20"/>
                    </w:rPr>
                    <w:cr/>
                    <w:t xml:space="preserve">иции в жилищное строительство </w:t>
                  </w:r>
                </w:p>
              </w:tc>
              <w:tc>
                <w:tcPr>
                  <w:tcW w:w="1242" w:type="dxa"/>
                  <w:vAlign w:val="bottom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719,2</w:t>
                  </w:r>
                </w:p>
              </w:tc>
            </w:tr>
            <w:tr w:rsidR="00203F15" w:rsidRPr="00657799" w:rsidTr="00727F2E">
              <w:trPr>
                <w:trHeight w:val="169"/>
              </w:trPr>
              <w:tc>
                <w:tcPr>
                  <w:tcW w:w="3431" w:type="dxa"/>
                  <w:shd w:val="clear" w:color="auto" w:fill="auto"/>
                  <w:vAlign w:val="center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b/>
                      <w:i/>
                      <w:sz w:val="20"/>
                      <w:szCs w:val="20"/>
                    </w:rPr>
                  </w:pPr>
                  <w:r w:rsidRPr="00657799">
                    <w:rPr>
                      <w:b/>
                      <w:i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42" w:type="dxa"/>
                  <w:vAlign w:val="bottom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27 303,2</w:t>
                  </w:r>
                </w:p>
              </w:tc>
            </w:tr>
            <w:tr w:rsidR="00203F15" w:rsidRPr="00657799" w:rsidTr="00727F2E">
              <w:trPr>
                <w:trHeight w:val="169"/>
              </w:trPr>
              <w:tc>
                <w:tcPr>
                  <w:tcW w:w="3431" w:type="dxa"/>
                  <w:shd w:val="clear" w:color="auto" w:fill="auto"/>
                  <w:vAlign w:val="center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657799">
                    <w:rPr>
                      <w:i/>
                      <w:sz w:val="20"/>
                      <w:szCs w:val="20"/>
                    </w:rPr>
                    <w:t>Объем теневой экономки</w:t>
                  </w:r>
                  <w:r w:rsidRPr="00657799">
                    <w:rPr>
                      <w:rStyle w:val="a7"/>
                      <w:i/>
                      <w:sz w:val="20"/>
                      <w:szCs w:val="20"/>
                    </w:rPr>
                    <w:footnoteReference w:id="2"/>
                  </w:r>
                </w:p>
              </w:tc>
              <w:tc>
                <w:tcPr>
                  <w:tcW w:w="1242" w:type="dxa"/>
                  <w:vAlign w:val="bottom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203F15">
                    <w:rPr>
                      <w:iCs/>
                      <w:sz w:val="20"/>
                      <w:szCs w:val="20"/>
                    </w:rPr>
                    <w:t>8 152,3</w:t>
                  </w:r>
                </w:p>
              </w:tc>
            </w:tr>
            <w:tr w:rsidR="00203F15" w:rsidRPr="00657799" w:rsidTr="00727F2E">
              <w:trPr>
                <w:trHeight w:val="169"/>
              </w:trPr>
              <w:tc>
                <w:tcPr>
                  <w:tcW w:w="3431" w:type="dxa"/>
                  <w:shd w:val="clear" w:color="auto" w:fill="auto"/>
                  <w:vAlign w:val="center"/>
                </w:tcPr>
                <w:p w:rsidR="00203F15" w:rsidRPr="00657799" w:rsidRDefault="00203F15" w:rsidP="00322DAF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657799">
                    <w:rPr>
                      <w:b/>
                      <w:sz w:val="20"/>
                      <w:szCs w:val="20"/>
                    </w:rPr>
                    <w:t>Итого с учетом теневой экономики</w:t>
                  </w:r>
                </w:p>
              </w:tc>
              <w:tc>
                <w:tcPr>
                  <w:tcW w:w="1242" w:type="dxa"/>
                  <w:vAlign w:val="bottom"/>
                </w:tcPr>
                <w:p w:rsidR="00203F15" w:rsidRPr="00203F15" w:rsidRDefault="00203F15" w:rsidP="00203F15">
                  <w:pPr>
                    <w:spacing w:after="0" w:line="240" w:lineRule="auto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203F15">
                    <w:rPr>
                      <w:b/>
                      <w:iCs/>
                      <w:sz w:val="20"/>
                      <w:szCs w:val="20"/>
                    </w:rPr>
                    <w:t>35 455,5</w:t>
                  </w:r>
                </w:p>
              </w:tc>
            </w:tr>
          </w:tbl>
          <w:p w:rsidR="00657799" w:rsidRPr="00657799" w:rsidRDefault="00657799" w:rsidP="00322DA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657799" w:rsidRDefault="00657799" w:rsidP="00657799">
      <w:pPr>
        <w:tabs>
          <w:tab w:val="left" w:pos="2643"/>
        </w:tabs>
        <w:spacing w:after="0" w:line="235" w:lineRule="auto"/>
        <w:jc w:val="both"/>
        <w:rPr>
          <w:rStyle w:val="s0"/>
          <w:b/>
          <w:sz w:val="28"/>
          <w:szCs w:val="28"/>
        </w:rPr>
      </w:pPr>
    </w:p>
    <w:p w:rsidR="008C52C1" w:rsidRPr="00657799" w:rsidRDefault="008C52C1" w:rsidP="00657799">
      <w:pPr>
        <w:tabs>
          <w:tab w:val="left" w:pos="2643"/>
        </w:tabs>
        <w:spacing w:after="0" w:line="235" w:lineRule="auto"/>
        <w:jc w:val="both"/>
        <w:rPr>
          <w:rStyle w:val="s0"/>
          <w:b/>
          <w:sz w:val="28"/>
          <w:szCs w:val="28"/>
        </w:rPr>
      </w:pPr>
    </w:p>
    <w:p w:rsidR="00657799" w:rsidRPr="00657799" w:rsidRDefault="00657799" w:rsidP="00657799">
      <w:pPr>
        <w:tabs>
          <w:tab w:val="left" w:pos="2643"/>
        </w:tabs>
        <w:spacing w:after="0" w:line="235" w:lineRule="auto"/>
        <w:jc w:val="both"/>
        <w:rPr>
          <w:rStyle w:val="s0"/>
          <w:b/>
          <w:sz w:val="28"/>
          <w:szCs w:val="28"/>
        </w:rPr>
      </w:pPr>
      <w:r>
        <w:rPr>
          <w:rStyle w:val="s0"/>
          <w:b/>
          <w:sz w:val="28"/>
          <w:szCs w:val="28"/>
        </w:rPr>
        <w:t xml:space="preserve">3. </w:t>
      </w:r>
      <w:r w:rsidRPr="00657799">
        <w:rPr>
          <w:rStyle w:val="s0"/>
          <w:b/>
          <w:sz w:val="28"/>
          <w:szCs w:val="28"/>
        </w:rPr>
        <w:t>Розничные безналичные платеж</w:t>
      </w:r>
      <w:r w:rsidR="00DE6B0C">
        <w:rPr>
          <w:rStyle w:val="s0"/>
          <w:b/>
          <w:sz w:val="28"/>
          <w:szCs w:val="28"/>
        </w:rPr>
        <w:t>и</w:t>
      </w:r>
      <w:r w:rsidRPr="00657799">
        <w:rPr>
          <w:rStyle w:val="s0"/>
          <w:b/>
          <w:sz w:val="28"/>
          <w:szCs w:val="28"/>
        </w:rPr>
        <w:t xml:space="preserve"> физических лиц за товары за </w:t>
      </w:r>
      <w:r w:rsidR="00203F15">
        <w:rPr>
          <w:rStyle w:val="s0"/>
          <w:b/>
          <w:sz w:val="28"/>
          <w:szCs w:val="28"/>
        </w:rPr>
        <w:t>2015 год</w:t>
      </w:r>
    </w:p>
    <w:tbl>
      <w:tblPr>
        <w:tblW w:w="965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567"/>
      </w:tblGrid>
      <w:tr w:rsidR="002A5B81" w:rsidRPr="00657799" w:rsidTr="002A5B81">
        <w:tc>
          <w:tcPr>
            <w:tcW w:w="6091" w:type="dxa"/>
            <w:shd w:val="clear" w:color="auto" w:fill="auto"/>
          </w:tcPr>
          <w:p w:rsidR="002A5B81" w:rsidRPr="00657799" w:rsidRDefault="002A5B81" w:rsidP="00322DAF">
            <w:pPr>
              <w:spacing w:after="0" w:line="235" w:lineRule="auto"/>
              <w:jc w:val="both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 xml:space="preserve">объем розничных безналичных платежей физических лиц за товары </w:t>
            </w:r>
          </w:p>
        </w:tc>
        <w:tc>
          <w:tcPr>
            <w:tcW w:w="3567" w:type="dxa"/>
            <w:vAlign w:val="center"/>
          </w:tcPr>
          <w:p w:rsidR="002A5B81" w:rsidRPr="002A5B81" w:rsidRDefault="00203F15" w:rsidP="003B3929">
            <w:pPr>
              <w:spacing w:after="0" w:line="235" w:lineRule="auto"/>
              <w:rPr>
                <w:rStyle w:val="s0"/>
                <w:sz w:val="28"/>
                <w:szCs w:val="28"/>
              </w:rPr>
            </w:pPr>
            <w:r w:rsidRPr="00203F15">
              <w:rPr>
                <w:rStyle w:val="s0"/>
                <w:sz w:val="28"/>
                <w:szCs w:val="28"/>
              </w:rPr>
              <w:t>1 318,0</w:t>
            </w:r>
            <w:r>
              <w:rPr>
                <w:rStyle w:val="s0"/>
                <w:sz w:val="28"/>
                <w:szCs w:val="28"/>
              </w:rPr>
              <w:t xml:space="preserve"> </w:t>
            </w:r>
            <w:r w:rsidR="002A5B81" w:rsidRPr="002A5B81">
              <w:rPr>
                <w:rStyle w:val="s0"/>
                <w:sz w:val="28"/>
                <w:szCs w:val="28"/>
              </w:rPr>
              <w:t>млрд. тенге</w:t>
            </w:r>
          </w:p>
        </w:tc>
      </w:tr>
      <w:tr w:rsidR="002A5B81" w:rsidRPr="00657799" w:rsidTr="002A5B81">
        <w:tc>
          <w:tcPr>
            <w:tcW w:w="6091" w:type="dxa"/>
            <w:shd w:val="clear" w:color="auto" w:fill="auto"/>
            <w:vAlign w:val="bottom"/>
          </w:tcPr>
          <w:p w:rsidR="002A5B81" w:rsidRPr="00657799" w:rsidRDefault="002A5B81" w:rsidP="00322DAF">
            <w:pPr>
              <w:pStyle w:val="Default"/>
              <w:spacing w:line="235" w:lineRule="auto"/>
              <w:rPr>
                <w:sz w:val="28"/>
                <w:szCs w:val="28"/>
              </w:rPr>
            </w:pPr>
            <w:r w:rsidRPr="00657799">
              <w:rPr>
                <w:sz w:val="28"/>
                <w:szCs w:val="28"/>
              </w:rPr>
              <w:t>объем розничной торговли</w:t>
            </w:r>
          </w:p>
        </w:tc>
        <w:tc>
          <w:tcPr>
            <w:tcW w:w="3567" w:type="dxa"/>
            <w:vAlign w:val="center"/>
          </w:tcPr>
          <w:p w:rsidR="002A5B81" w:rsidRPr="002A5B81" w:rsidRDefault="00EC6C4A" w:rsidP="003B3929">
            <w:pPr>
              <w:spacing w:after="0" w:line="235" w:lineRule="auto"/>
              <w:rPr>
                <w:rStyle w:val="s0"/>
                <w:sz w:val="28"/>
                <w:szCs w:val="28"/>
              </w:rPr>
            </w:pPr>
            <w:r w:rsidRPr="00203F15">
              <w:rPr>
                <w:rStyle w:val="s0"/>
                <w:sz w:val="28"/>
                <w:szCs w:val="28"/>
              </w:rPr>
              <w:t xml:space="preserve">6 369,6 </w:t>
            </w:r>
            <w:r w:rsidR="002A5B81" w:rsidRPr="002A5B81">
              <w:rPr>
                <w:rStyle w:val="s0"/>
                <w:sz w:val="28"/>
                <w:szCs w:val="28"/>
              </w:rPr>
              <w:t>млрд. тенге</w:t>
            </w:r>
          </w:p>
        </w:tc>
      </w:tr>
      <w:tr w:rsidR="002A5B81" w:rsidRPr="00657799" w:rsidTr="002A5B81">
        <w:tc>
          <w:tcPr>
            <w:tcW w:w="6091" w:type="dxa"/>
            <w:shd w:val="clear" w:color="auto" w:fill="auto"/>
            <w:vAlign w:val="center"/>
          </w:tcPr>
          <w:p w:rsidR="002A5B81" w:rsidRPr="00657799" w:rsidRDefault="002A5B81" w:rsidP="00322DAF">
            <w:pPr>
              <w:spacing w:after="0" w:line="235" w:lineRule="auto"/>
              <w:rPr>
                <w:i/>
                <w:szCs w:val="28"/>
              </w:rPr>
            </w:pPr>
            <w:r w:rsidRPr="00657799">
              <w:rPr>
                <w:color w:val="000000"/>
                <w:szCs w:val="28"/>
                <w:lang w:eastAsia="ru-RU"/>
              </w:rPr>
              <w:t>объем теневой экономки</w:t>
            </w:r>
          </w:p>
        </w:tc>
        <w:tc>
          <w:tcPr>
            <w:tcW w:w="3567" w:type="dxa"/>
            <w:vAlign w:val="center"/>
          </w:tcPr>
          <w:p w:rsidR="002A5B81" w:rsidRPr="002A5B81" w:rsidRDefault="00EC6C4A" w:rsidP="003B3929">
            <w:pPr>
              <w:spacing w:after="0" w:line="235" w:lineRule="auto"/>
              <w:rPr>
                <w:rStyle w:val="s0"/>
                <w:sz w:val="28"/>
                <w:szCs w:val="28"/>
              </w:rPr>
            </w:pPr>
            <w:r w:rsidRPr="00203F15">
              <w:rPr>
                <w:rStyle w:val="s0"/>
                <w:sz w:val="28"/>
                <w:szCs w:val="28"/>
              </w:rPr>
              <w:t xml:space="preserve">8 152,3 </w:t>
            </w:r>
            <w:r w:rsidR="002A5B81" w:rsidRPr="002A5B81">
              <w:rPr>
                <w:rStyle w:val="s0"/>
                <w:sz w:val="28"/>
                <w:szCs w:val="28"/>
              </w:rPr>
              <w:t>млрд. тенге</w:t>
            </w:r>
          </w:p>
        </w:tc>
      </w:tr>
      <w:tr w:rsidR="002A5B81" w:rsidRPr="00657799" w:rsidTr="002A5B81">
        <w:trPr>
          <w:trHeight w:val="1096"/>
        </w:trPr>
        <w:tc>
          <w:tcPr>
            <w:tcW w:w="6091" w:type="dxa"/>
            <w:shd w:val="clear" w:color="auto" w:fill="EEECE1"/>
          </w:tcPr>
          <w:p w:rsidR="002A5B81" w:rsidRPr="00657799" w:rsidRDefault="002A5B81" w:rsidP="00322DAF">
            <w:pPr>
              <w:spacing w:after="0" w:line="235" w:lineRule="auto"/>
              <w:jc w:val="both"/>
              <w:rPr>
                <w:rStyle w:val="s0"/>
                <w:i/>
                <w:sz w:val="28"/>
                <w:szCs w:val="28"/>
              </w:rPr>
            </w:pPr>
            <w:r w:rsidRPr="00657799">
              <w:rPr>
                <w:rStyle w:val="s0"/>
                <w:i/>
                <w:sz w:val="28"/>
                <w:szCs w:val="28"/>
              </w:rPr>
              <w:t>удельный вес объема безналичных платежей и переводов денег физических лиц за товары от общего объема розничной торговли с учетом объемов теневой экономики Казахстана</w:t>
            </w:r>
          </w:p>
        </w:tc>
        <w:tc>
          <w:tcPr>
            <w:tcW w:w="3567" w:type="dxa"/>
            <w:shd w:val="clear" w:color="auto" w:fill="EEECE1"/>
            <w:vAlign w:val="center"/>
          </w:tcPr>
          <w:p w:rsidR="002A5B81" w:rsidRPr="002A5B81" w:rsidRDefault="002A5B81" w:rsidP="00203F15">
            <w:pPr>
              <w:spacing w:after="0" w:line="235" w:lineRule="auto"/>
              <w:rPr>
                <w:rStyle w:val="s0"/>
                <w:i/>
                <w:sz w:val="28"/>
                <w:szCs w:val="28"/>
              </w:rPr>
            </w:pPr>
            <w:r w:rsidRPr="002A5B81">
              <w:rPr>
                <w:rStyle w:val="s0"/>
                <w:i/>
                <w:sz w:val="28"/>
                <w:szCs w:val="28"/>
              </w:rPr>
              <w:t>9,</w:t>
            </w:r>
            <w:r w:rsidR="00203F15">
              <w:rPr>
                <w:rStyle w:val="s0"/>
                <w:i/>
                <w:sz w:val="28"/>
                <w:szCs w:val="28"/>
              </w:rPr>
              <w:t>1</w:t>
            </w:r>
            <w:r w:rsidRPr="002A5B81">
              <w:rPr>
                <w:rStyle w:val="s0"/>
                <w:i/>
                <w:sz w:val="28"/>
                <w:szCs w:val="28"/>
              </w:rPr>
              <w:t>%</w:t>
            </w:r>
          </w:p>
        </w:tc>
      </w:tr>
    </w:tbl>
    <w:p w:rsidR="00657799" w:rsidRDefault="00657799" w:rsidP="00657799">
      <w:pPr>
        <w:tabs>
          <w:tab w:val="left" w:pos="1385"/>
        </w:tabs>
        <w:spacing w:after="0" w:line="235" w:lineRule="auto"/>
        <w:ind w:firstLine="400"/>
        <w:jc w:val="both"/>
        <w:rPr>
          <w:rStyle w:val="s0"/>
          <w:b/>
          <w:sz w:val="28"/>
          <w:szCs w:val="28"/>
        </w:rPr>
      </w:pPr>
      <w:r>
        <w:rPr>
          <w:rStyle w:val="s0"/>
          <w:b/>
          <w:sz w:val="28"/>
          <w:szCs w:val="28"/>
        </w:rPr>
        <w:tab/>
      </w:r>
    </w:p>
    <w:p w:rsidR="00657799" w:rsidRPr="00657799" w:rsidRDefault="00657799" w:rsidP="00657799">
      <w:pPr>
        <w:tabs>
          <w:tab w:val="left" w:pos="1385"/>
        </w:tabs>
        <w:spacing w:after="0" w:line="235" w:lineRule="auto"/>
        <w:ind w:firstLine="400"/>
        <w:jc w:val="both"/>
        <w:rPr>
          <w:rStyle w:val="s0"/>
          <w:b/>
          <w:sz w:val="28"/>
          <w:szCs w:val="28"/>
        </w:rPr>
      </w:pPr>
    </w:p>
    <w:p w:rsidR="00657799" w:rsidRPr="00657799" w:rsidRDefault="00657799" w:rsidP="00657799">
      <w:pPr>
        <w:spacing w:after="0" w:line="235" w:lineRule="auto"/>
        <w:jc w:val="both"/>
        <w:rPr>
          <w:rStyle w:val="s0"/>
          <w:sz w:val="28"/>
          <w:szCs w:val="28"/>
          <w:u w:val="single"/>
        </w:rPr>
      </w:pPr>
      <w:r>
        <w:rPr>
          <w:rStyle w:val="s0"/>
          <w:b/>
          <w:sz w:val="28"/>
          <w:szCs w:val="28"/>
        </w:rPr>
        <w:t xml:space="preserve">4. </w:t>
      </w:r>
      <w:r w:rsidRPr="00657799">
        <w:rPr>
          <w:rStyle w:val="s0"/>
          <w:b/>
          <w:sz w:val="28"/>
          <w:szCs w:val="28"/>
        </w:rPr>
        <w:t xml:space="preserve">Платежи и переводы денег с использованием платежных карточек, осуществленные  через электронные терминалы и системы удаленного доступа, за </w:t>
      </w:r>
      <w:r w:rsidR="00884A00">
        <w:rPr>
          <w:rStyle w:val="s0"/>
          <w:b/>
          <w:sz w:val="28"/>
          <w:szCs w:val="28"/>
        </w:rPr>
        <w:t>2015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3"/>
        <w:gridCol w:w="2081"/>
        <w:gridCol w:w="1231"/>
      </w:tblGrid>
      <w:tr w:rsidR="00657799" w:rsidRPr="00657799" w:rsidTr="00322DAF">
        <w:trPr>
          <w:trHeight w:val="625"/>
        </w:trPr>
        <w:tc>
          <w:tcPr>
            <w:tcW w:w="6033" w:type="dxa"/>
            <w:shd w:val="clear" w:color="auto" w:fill="EEECE1"/>
            <w:vAlign w:val="center"/>
          </w:tcPr>
          <w:p w:rsidR="00657799" w:rsidRPr="00657799" w:rsidRDefault="00657799" w:rsidP="00322DAF">
            <w:pPr>
              <w:spacing w:after="0" w:line="235" w:lineRule="auto"/>
              <w:jc w:val="center"/>
              <w:rPr>
                <w:rStyle w:val="s0"/>
                <w:b/>
                <w:sz w:val="28"/>
                <w:szCs w:val="28"/>
              </w:rPr>
            </w:pPr>
            <w:r w:rsidRPr="00657799">
              <w:rPr>
                <w:rStyle w:val="s0"/>
                <w:b/>
                <w:sz w:val="28"/>
                <w:szCs w:val="28"/>
              </w:rPr>
              <w:t>Показатель</w:t>
            </w:r>
          </w:p>
        </w:tc>
        <w:tc>
          <w:tcPr>
            <w:tcW w:w="2081" w:type="dxa"/>
            <w:shd w:val="clear" w:color="auto" w:fill="EEECE1"/>
            <w:vAlign w:val="center"/>
          </w:tcPr>
          <w:p w:rsidR="00657799" w:rsidRPr="00657799" w:rsidRDefault="00657799" w:rsidP="00322DAF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объем</w:t>
            </w:r>
          </w:p>
          <w:p w:rsidR="00657799" w:rsidRPr="00657799" w:rsidRDefault="00657799" w:rsidP="00322DAF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(млрд. тенге)</w:t>
            </w:r>
          </w:p>
        </w:tc>
        <w:tc>
          <w:tcPr>
            <w:tcW w:w="1231" w:type="dxa"/>
            <w:shd w:val="clear" w:color="auto" w:fill="EEECE1"/>
            <w:vAlign w:val="center"/>
          </w:tcPr>
          <w:p w:rsidR="00657799" w:rsidRPr="00657799" w:rsidRDefault="00657799" w:rsidP="00322DAF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Доля, в %</w:t>
            </w:r>
          </w:p>
        </w:tc>
      </w:tr>
      <w:tr w:rsidR="00515FA3" w:rsidRPr="00657799" w:rsidTr="00322DAF">
        <w:tc>
          <w:tcPr>
            <w:tcW w:w="6033" w:type="dxa"/>
            <w:shd w:val="clear" w:color="auto" w:fill="auto"/>
          </w:tcPr>
          <w:p w:rsidR="00515FA3" w:rsidRPr="00657799" w:rsidRDefault="00515FA3" w:rsidP="00322DAF">
            <w:pPr>
              <w:spacing w:after="0" w:line="235" w:lineRule="auto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Безналичные платежи и переводы денег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15FA3" w:rsidRPr="00515FA3" w:rsidRDefault="00515FA3" w:rsidP="00884A00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831,6</w:t>
            </w:r>
          </w:p>
        </w:tc>
        <w:tc>
          <w:tcPr>
            <w:tcW w:w="1231" w:type="dxa"/>
            <w:shd w:val="clear" w:color="auto" w:fill="F2F2F2"/>
            <w:vAlign w:val="center"/>
          </w:tcPr>
          <w:p w:rsidR="00515FA3" w:rsidRPr="00515FA3" w:rsidRDefault="00515FA3" w:rsidP="00884A00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515FA3">
              <w:rPr>
                <w:rStyle w:val="s0"/>
                <w:sz w:val="28"/>
                <w:szCs w:val="28"/>
              </w:rPr>
              <w:t>10,4%</w:t>
            </w:r>
          </w:p>
        </w:tc>
      </w:tr>
      <w:tr w:rsidR="00515FA3" w:rsidRPr="00657799" w:rsidTr="00322DAF">
        <w:tc>
          <w:tcPr>
            <w:tcW w:w="6033" w:type="dxa"/>
            <w:shd w:val="clear" w:color="auto" w:fill="auto"/>
          </w:tcPr>
          <w:p w:rsidR="00515FA3" w:rsidRPr="00657799" w:rsidRDefault="00515FA3" w:rsidP="00322DAF">
            <w:pPr>
              <w:spacing w:after="0" w:line="235" w:lineRule="auto"/>
              <w:rPr>
                <w:rStyle w:val="s0"/>
                <w:b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Операции по снятию наличных денег через банкоматы и иные устройства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15FA3" w:rsidRPr="00515FA3" w:rsidRDefault="00515FA3" w:rsidP="00884A00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7 178,5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5FA3" w:rsidRPr="00515FA3" w:rsidRDefault="00515FA3" w:rsidP="00884A00">
            <w:pPr>
              <w:spacing w:after="0" w:line="235" w:lineRule="auto"/>
              <w:jc w:val="center"/>
              <w:rPr>
                <w:rStyle w:val="s0"/>
                <w:sz w:val="28"/>
                <w:szCs w:val="28"/>
              </w:rPr>
            </w:pPr>
            <w:r w:rsidRPr="00515FA3">
              <w:rPr>
                <w:rStyle w:val="s0"/>
                <w:sz w:val="28"/>
                <w:szCs w:val="28"/>
              </w:rPr>
              <w:t>89,6%</w:t>
            </w:r>
          </w:p>
        </w:tc>
      </w:tr>
      <w:tr w:rsidR="00515FA3" w:rsidRPr="00657799" w:rsidTr="00322DAF">
        <w:tc>
          <w:tcPr>
            <w:tcW w:w="6033" w:type="dxa"/>
            <w:shd w:val="clear" w:color="auto" w:fill="auto"/>
          </w:tcPr>
          <w:p w:rsidR="00515FA3" w:rsidRPr="00657799" w:rsidRDefault="00515FA3" w:rsidP="00322DAF">
            <w:pPr>
              <w:spacing w:after="0" w:line="235" w:lineRule="auto"/>
              <w:rPr>
                <w:rStyle w:val="s0"/>
                <w:b/>
                <w:sz w:val="28"/>
                <w:szCs w:val="28"/>
              </w:rPr>
            </w:pPr>
            <w:r w:rsidRPr="00657799">
              <w:rPr>
                <w:rStyle w:val="s0"/>
                <w:b/>
                <w:sz w:val="28"/>
                <w:szCs w:val="28"/>
              </w:rPr>
              <w:t>Итого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515FA3" w:rsidRPr="00515FA3" w:rsidRDefault="00515FA3" w:rsidP="00884A00">
            <w:pPr>
              <w:spacing w:after="0" w:line="235" w:lineRule="auto"/>
              <w:jc w:val="center"/>
              <w:rPr>
                <w:rStyle w:val="s0"/>
                <w:b/>
                <w:sz w:val="28"/>
                <w:szCs w:val="28"/>
              </w:rPr>
            </w:pPr>
            <w:r w:rsidRPr="00515FA3">
              <w:rPr>
                <w:rStyle w:val="s0"/>
                <w:b/>
                <w:sz w:val="28"/>
                <w:szCs w:val="28"/>
              </w:rPr>
              <w:t>8 010,1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15FA3" w:rsidRPr="00515FA3" w:rsidRDefault="00515FA3" w:rsidP="00884A00">
            <w:pPr>
              <w:spacing w:after="0" w:line="235" w:lineRule="auto"/>
              <w:jc w:val="center"/>
              <w:rPr>
                <w:rStyle w:val="s0"/>
                <w:b/>
                <w:sz w:val="28"/>
                <w:szCs w:val="28"/>
              </w:rPr>
            </w:pPr>
            <w:r w:rsidRPr="00515FA3">
              <w:rPr>
                <w:rStyle w:val="s0"/>
                <w:b/>
                <w:sz w:val="28"/>
                <w:szCs w:val="28"/>
              </w:rPr>
              <w:t>100,0%</w:t>
            </w:r>
          </w:p>
        </w:tc>
      </w:tr>
    </w:tbl>
    <w:p w:rsidR="00657799" w:rsidRPr="00657799" w:rsidRDefault="00657799" w:rsidP="00DC3592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:rsidR="00657799" w:rsidRPr="00657799" w:rsidRDefault="00657799" w:rsidP="00657799">
      <w:pPr>
        <w:spacing w:after="0" w:line="240" w:lineRule="auto"/>
        <w:ind w:firstLine="284"/>
        <w:jc w:val="both"/>
        <w:rPr>
          <w:rStyle w:val="s0"/>
          <w:b/>
          <w:sz w:val="28"/>
          <w:szCs w:val="28"/>
        </w:rPr>
      </w:pPr>
      <w:r>
        <w:rPr>
          <w:rStyle w:val="s0"/>
          <w:b/>
          <w:sz w:val="28"/>
          <w:szCs w:val="28"/>
        </w:rPr>
        <w:t xml:space="preserve">5. </w:t>
      </w:r>
      <w:r w:rsidRPr="00657799">
        <w:rPr>
          <w:rStyle w:val="s0"/>
          <w:b/>
          <w:sz w:val="28"/>
          <w:szCs w:val="28"/>
        </w:rPr>
        <w:t xml:space="preserve">Ликвидность населения и небанковских юридических лиц для осуществления безналичных платежей и переводов денег по состоянию на 1 </w:t>
      </w:r>
      <w:r w:rsidR="00203F15">
        <w:rPr>
          <w:rStyle w:val="s0"/>
          <w:b/>
          <w:sz w:val="28"/>
          <w:szCs w:val="28"/>
        </w:rPr>
        <w:t>января</w:t>
      </w:r>
      <w:r w:rsidRPr="00657799">
        <w:rPr>
          <w:rStyle w:val="s0"/>
          <w:b/>
          <w:sz w:val="28"/>
          <w:szCs w:val="28"/>
        </w:rPr>
        <w:t xml:space="preserve"> 201</w:t>
      </w:r>
      <w:r w:rsidR="00203F15">
        <w:rPr>
          <w:rStyle w:val="s0"/>
          <w:b/>
          <w:sz w:val="28"/>
          <w:szCs w:val="28"/>
        </w:rPr>
        <w:t>6</w:t>
      </w:r>
      <w:r w:rsidRPr="00657799">
        <w:rPr>
          <w:rStyle w:val="s0"/>
          <w:b/>
          <w:sz w:val="28"/>
          <w:szCs w:val="28"/>
        </w:rPr>
        <w:t xml:space="preserve"> года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1"/>
      </w:tblGrid>
      <w:tr w:rsidR="00657799" w:rsidRPr="00657799" w:rsidTr="00322DAF">
        <w:tc>
          <w:tcPr>
            <w:tcW w:w="4830" w:type="dxa"/>
            <w:shd w:val="clear" w:color="auto" w:fill="auto"/>
          </w:tcPr>
          <w:p w:rsidR="00657799" w:rsidRPr="00657799" w:rsidRDefault="00657799" w:rsidP="00322DAF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 w:rsidRPr="00657799">
              <w:rPr>
                <w:szCs w:val="28"/>
              </w:rPr>
              <w:lastRenderedPageBreak/>
              <w:t xml:space="preserve">объем </w:t>
            </w:r>
            <w:r w:rsidRPr="00657799">
              <w:rPr>
                <w:rStyle w:val="s0"/>
                <w:sz w:val="28"/>
                <w:szCs w:val="28"/>
              </w:rPr>
              <w:t>остатков денег на текущих банковских счетах населения и небанковских юридических лиц</w:t>
            </w:r>
            <w:r>
              <w:rPr>
                <w:rStyle w:val="a7"/>
                <w:color w:val="000000"/>
                <w:szCs w:val="28"/>
              </w:rPr>
              <w:footnoteReference w:id="3"/>
            </w:r>
          </w:p>
        </w:tc>
        <w:tc>
          <w:tcPr>
            <w:tcW w:w="4830" w:type="dxa"/>
            <w:shd w:val="clear" w:color="auto" w:fill="auto"/>
          </w:tcPr>
          <w:p w:rsidR="00657799" w:rsidRPr="00657799" w:rsidRDefault="006E6048" w:rsidP="00322DAF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4 206,6</w:t>
            </w:r>
            <w:r w:rsidR="00203F15">
              <w:rPr>
                <w:rStyle w:val="s0"/>
                <w:sz w:val="28"/>
                <w:szCs w:val="28"/>
              </w:rPr>
              <w:t xml:space="preserve"> </w:t>
            </w:r>
            <w:r w:rsidR="00657799" w:rsidRPr="00657799">
              <w:rPr>
                <w:rStyle w:val="s0"/>
                <w:sz w:val="28"/>
                <w:szCs w:val="28"/>
              </w:rPr>
              <w:t xml:space="preserve">млрд. тенге </w:t>
            </w:r>
          </w:p>
          <w:p w:rsidR="00657799" w:rsidRPr="00657799" w:rsidRDefault="00657799" w:rsidP="006E6048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 w:rsidRPr="00657799">
              <w:rPr>
                <w:szCs w:val="28"/>
              </w:rPr>
              <w:t xml:space="preserve">(прирост с начала года на </w:t>
            </w:r>
            <w:r w:rsidR="006E6048">
              <w:rPr>
                <w:szCs w:val="28"/>
              </w:rPr>
              <w:t>20,0</w:t>
            </w:r>
            <w:r w:rsidRPr="00657799">
              <w:rPr>
                <w:szCs w:val="28"/>
              </w:rPr>
              <w:t>%)</w:t>
            </w:r>
          </w:p>
        </w:tc>
      </w:tr>
      <w:tr w:rsidR="00657799" w:rsidRPr="00657799" w:rsidTr="00322DAF">
        <w:tc>
          <w:tcPr>
            <w:tcW w:w="4830" w:type="dxa"/>
            <w:shd w:val="clear" w:color="auto" w:fill="EEECE1"/>
          </w:tcPr>
          <w:p w:rsidR="00657799" w:rsidRPr="00657799" w:rsidRDefault="00657799" w:rsidP="00322DAF">
            <w:pPr>
              <w:spacing w:after="0" w:line="240" w:lineRule="auto"/>
              <w:jc w:val="both"/>
              <w:rPr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удельный вес объема остатков денег на текущих банковских счетах населения и небанковских юридических лиц от  общего объема денежной массы</w:t>
            </w:r>
          </w:p>
        </w:tc>
        <w:tc>
          <w:tcPr>
            <w:tcW w:w="4830" w:type="dxa"/>
            <w:shd w:val="clear" w:color="auto" w:fill="EEECE1"/>
          </w:tcPr>
          <w:p w:rsidR="00657799" w:rsidRPr="00657799" w:rsidRDefault="009C31BF" w:rsidP="00322DAF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26,3</w:t>
            </w:r>
            <w:r w:rsidR="00657799" w:rsidRPr="00657799">
              <w:rPr>
                <w:szCs w:val="28"/>
              </w:rPr>
              <w:t xml:space="preserve">% </w:t>
            </w:r>
          </w:p>
          <w:p w:rsidR="00657799" w:rsidRPr="00657799" w:rsidRDefault="00657799" w:rsidP="00322DAF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657799" w:rsidRPr="00657799" w:rsidTr="00322DAF">
        <w:tc>
          <w:tcPr>
            <w:tcW w:w="4830" w:type="dxa"/>
            <w:shd w:val="clear" w:color="auto" w:fill="auto"/>
          </w:tcPr>
          <w:p w:rsidR="00657799" w:rsidRPr="00657799" w:rsidRDefault="00657799" w:rsidP="00322DAF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общий объем безналичных платежей и переводов денег населения и небанковских юридических лиц</w:t>
            </w:r>
          </w:p>
        </w:tc>
        <w:tc>
          <w:tcPr>
            <w:tcW w:w="4830" w:type="dxa"/>
            <w:shd w:val="clear" w:color="auto" w:fill="auto"/>
          </w:tcPr>
          <w:p w:rsidR="00657799" w:rsidRPr="00203F15" w:rsidRDefault="005B1A68" w:rsidP="00322DAF">
            <w:pPr>
              <w:spacing w:after="0" w:line="240" w:lineRule="auto"/>
              <w:jc w:val="both"/>
              <w:rPr>
                <w:rStyle w:val="s0"/>
                <w:sz w:val="28"/>
                <w:szCs w:val="28"/>
                <w:highlight w:val="yellow"/>
              </w:rPr>
            </w:pPr>
            <w:r w:rsidRPr="005B1A68">
              <w:rPr>
                <w:rStyle w:val="s0"/>
                <w:sz w:val="28"/>
                <w:szCs w:val="28"/>
              </w:rPr>
              <w:t xml:space="preserve">126 399,3 </w:t>
            </w:r>
            <w:r w:rsidR="00657799" w:rsidRPr="005B1A68">
              <w:rPr>
                <w:rStyle w:val="s0"/>
                <w:sz w:val="28"/>
                <w:szCs w:val="28"/>
              </w:rPr>
              <w:t>млрд. тенге</w:t>
            </w:r>
          </w:p>
        </w:tc>
      </w:tr>
      <w:tr w:rsidR="00657799" w:rsidRPr="00657799" w:rsidTr="00322DAF">
        <w:tc>
          <w:tcPr>
            <w:tcW w:w="4830" w:type="dxa"/>
            <w:shd w:val="clear" w:color="auto" w:fill="auto"/>
          </w:tcPr>
          <w:p w:rsidR="00657799" w:rsidRPr="00657799" w:rsidRDefault="00657799" w:rsidP="00322DAF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оборачиваемость денег по безналичным платежам и переводам денег населения и небанковских юридических лиц</w:t>
            </w:r>
          </w:p>
        </w:tc>
        <w:tc>
          <w:tcPr>
            <w:tcW w:w="4830" w:type="dxa"/>
            <w:shd w:val="clear" w:color="auto" w:fill="auto"/>
          </w:tcPr>
          <w:p w:rsidR="00657799" w:rsidRDefault="006E6048" w:rsidP="005B1A68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>
              <w:rPr>
                <w:rStyle w:val="s0"/>
                <w:sz w:val="28"/>
                <w:szCs w:val="28"/>
              </w:rPr>
              <w:t>32,6</w:t>
            </w:r>
            <w:r w:rsidR="00657799" w:rsidRPr="005B1A68">
              <w:rPr>
                <w:rStyle w:val="s0"/>
                <w:sz w:val="28"/>
                <w:szCs w:val="28"/>
              </w:rPr>
              <w:t xml:space="preserve"> раз</w:t>
            </w:r>
          </w:p>
          <w:p w:rsidR="006E6048" w:rsidRDefault="006E6048" w:rsidP="005B1A68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</w:p>
          <w:p w:rsidR="006E6048" w:rsidRPr="00203F15" w:rsidRDefault="006E6048" w:rsidP="005B1A68">
            <w:pPr>
              <w:spacing w:after="0" w:line="240" w:lineRule="auto"/>
              <w:jc w:val="both"/>
              <w:rPr>
                <w:rStyle w:val="s0"/>
                <w:sz w:val="28"/>
                <w:szCs w:val="28"/>
                <w:highlight w:val="yellow"/>
              </w:rPr>
            </w:pPr>
          </w:p>
        </w:tc>
      </w:tr>
      <w:tr w:rsidR="00657799" w:rsidRPr="00657799" w:rsidTr="00322DAF">
        <w:tc>
          <w:tcPr>
            <w:tcW w:w="4830" w:type="dxa"/>
            <w:shd w:val="clear" w:color="auto" w:fill="auto"/>
          </w:tcPr>
          <w:p w:rsidR="00657799" w:rsidRPr="00657799" w:rsidRDefault="00657799" w:rsidP="00322DAF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оборачиваемость наличных денег через кассы банков</w:t>
            </w:r>
          </w:p>
        </w:tc>
        <w:tc>
          <w:tcPr>
            <w:tcW w:w="4830" w:type="dxa"/>
            <w:shd w:val="clear" w:color="auto" w:fill="auto"/>
          </w:tcPr>
          <w:p w:rsidR="00657799" w:rsidRPr="00657799" w:rsidRDefault="00657799" w:rsidP="00203F15">
            <w:pPr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657799">
              <w:rPr>
                <w:rStyle w:val="s0"/>
                <w:sz w:val="28"/>
                <w:szCs w:val="28"/>
              </w:rPr>
              <w:t>1</w:t>
            </w:r>
            <w:r w:rsidR="00203F15">
              <w:rPr>
                <w:rStyle w:val="s0"/>
                <w:sz w:val="28"/>
                <w:szCs w:val="28"/>
              </w:rPr>
              <w:t>5,8</w:t>
            </w:r>
            <w:r w:rsidRPr="00657799">
              <w:rPr>
                <w:rStyle w:val="s0"/>
                <w:sz w:val="28"/>
                <w:szCs w:val="28"/>
              </w:rPr>
              <w:t xml:space="preserve"> раз</w:t>
            </w:r>
          </w:p>
        </w:tc>
      </w:tr>
    </w:tbl>
    <w:p w:rsidR="005F06A5" w:rsidRPr="00657799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:rsidR="005F06A5" w:rsidRPr="00657799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:rsidR="005F06A5" w:rsidRPr="00657799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:rsidR="005F06A5" w:rsidRPr="00657799" w:rsidRDefault="005F06A5" w:rsidP="00F95545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</w:p>
    <w:p w:rsidR="00E34F43" w:rsidRPr="00657799" w:rsidRDefault="00E34F43" w:rsidP="00AE4746">
      <w:pPr>
        <w:spacing w:after="0" w:line="240" w:lineRule="auto"/>
        <w:jc w:val="center"/>
        <w:rPr>
          <w:b/>
          <w:spacing w:val="-4"/>
          <w:szCs w:val="28"/>
        </w:rPr>
      </w:pPr>
    </w:p>
    <w:sectPr w:rsidR="00E34F43" w:rsidRPr="00657799" w:rsidSect="00657799">
      <w:headerReference w:type="default" r:id="rId8"/>
      <w:pgSz w:w="11906" w:h="16838"/>
      <w:pgMar w:top="1135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39" w:rsidRDefault="00D16039" w:rsidP="00623FF2">
      <w:pPr>
        <w:spacing w:after="0" w:line="240" w:lineRule="auto"/>
      </w:pPr>
      <w:r>
        <w:separator/>
      </w:r>
    </w:p>
  </w:endnote>
  <w:endnote w:type="continuationSeparator" w:id="0">
    <w:p w:rsidR="00D16039" w:rsidRDefault="00D16039" w:rsidP="0062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39" w:rsidRDefault="00D16039" w:rsidP="00623FF2">
      <w:pPr>
        <w:spacing w:after="0" w:line="240" w:lineRule="auto"/>
      </w:pPr>
      <w:r>
        <w:separator/>
      </w:r>
    </w:p>
  </w:footnote>
  <w:footnote w:type="continuationSeparator" w:id="0">
    <w:p w:rsidR="00D16039" w:rsidRDefault="00D16039" w:rsidP="00623FF2">
      <w:pPr>
        <w:spacing w:after="0" w:line="240" w:lineRule="auto"/>
      </w:pPr>
      <w:r>
        <w:continuationSeparator/>
      </w:r>
    </w:p>
  </w:footnote>
  <w:footnote w:id="1">
    <w:p w:rsidR="00203F15" w:rsidRPr="003A2C17" w:rsidRDefault="00203F15" w:rsidP="00657799">
      <w:pPr>
        <w:pStyle w:val="a5"/>
        <w:spacing w:after="0" w:line="216" w:lineRule="auto"/>
        <w:jc w:val="both"/>
        <w:rPr>
          <w:sz w:val="16"/>
          <w:szCs w:val="16"/>
        </w:rPr>
      </w:pPr>
      <w:r w:rsidRPr="003A2C17">
        <w:rPr>
          <w:rStyle w:val="a7"/>
          <w:sz w:val="16"/>
          <w:szCs w:val="16"/>
        </w:rPr>
        <w:footnoteRef/>
      </w:r>
      <w:r w:rsidRPr="003A2C17">
        <w:rPr>
          <w:sz w:val="16"/>
          <w:szCs w:val="16"/>
        </w:rPr>
        <w:t xml:space="preserve"> По Авангард </w:t>
      </w:r>
      <w:r w:rsidRPr="003A2C17">
        <w:rPr>
          <w:sz w:val="16"/>
          <w:szCs w:val="16"/>
          <w:lang w:val="en-US"/>
        </w:rPr>
        <w:t>Plat</w:t>
      </w:r>
      <w:r w:rsidRPr="003A2C17">
        <w:rPr>
          <w:sz w:val="16"/>
          <w:szCs w:val="16"/>
        </w:rPr>
        <w:t xml:space="preserve"> отсутствует возможность выделения отдельно платежей за товары и услуги, в связи с чем, в соответствии с основным назначением системы использован весь объем данных через систему.</w:t>
      </w:r>
    </w:p>
  </w:footnote>
  <w:footnote w:id="2">
    <w:p w:rsidR="00203F15" w:rsidRDefault="00203F15" w:rsidP="002A5B81">
      <w:pPr>
        <w:pStyle w:val="a5"/>
        <w:spacing w:after="0" w:line="216" w:lineRule="auto"/>
        <w:jc w:val="both"/>
      </w:pPr>
      <w:r w:rsidRPr="003A2C17">
        <w:rPr>
          <w:rStyle w:val="a7"/>
          <w:sz w:val="16"/>
          <w:szCs w:val="16"/>
        </w:rPr>
        <w:footnoteRef/>
      </w:r>
      <w:r w:rsidRPr="003A2C17">
        <w:rPr>
          <w:sz w:val="16"/>
          <w:szCs w:val="16"/>
        </w:rPr>
        <w:t xml:space="preserve"> В объеме платежей за товары и услуги учитывается дополнительно объем теневой экономики, </w:t>
      </w:r>
      <w:r>
        <w:rPr>
          <w:sz w:val="16"/>
          <w:szCs w:val="16"/>
        </w:rPr>
        <w:t>к</w:t>
      </w:r>
      <w:r w:rsidRPr="003A2C17">
        <w:rPr>
          <w:sz w:val="16"/>
          <w:szCs w:val="16"/>
        </w:rPr>
        <w:t>оторый согласно оце</w:t>
      </w:r>
      <w:r>
        <w:rPr>
          <w:sz w:val="16"/>
          <w:szCs w:val="16"/>
        </w:rPr>
        <w:t>нкам (</w:t>
      </w:r>
      <w:r w:rsidRPr="003A2C17">
        <w:rPr>
          <w:sz w:val="16"/>
          <w:szCs w:val="16"/>
        </w:rPr>
        <w:t>в интервью газете «Свобода Слова» (18.05.2015 года)</w:t>
      </w:r>
      <w:r>
        <w:rPr>
          <w:sz w:val="16"/>
          <w:szCs w:val="16"/>
        </w:rPr>
        <w:t xml:space="preserve"> составляет около 20% от ВВП </w:t>
      </w:r>
      <w:r w:rsidR="00293BAF">
        <w:rPr>
          <w:sz w:val="16"/>
          <w:szCs w:val="16"/>
        </w:rPr>
        <w:t xml:space="preserve"> (8</w:t>
      </w:r>
      <w:r w:rsidRPr="003A2C17">
        <w:rPr>
          <w:sz w:val="16"/>
          <w:szCs w:val="16"/>
        </w:rPr>
        <w:t>,</w:t>
      </w:r>
      <w:r w:rsidR="00293BAF">
        <w:rPr>
          <w:sz w:val="16"/>
          <w:szCs w:val="16"/>
        </w:rPr>
        <w:t>2</w:t>
      </w:r>
      <w:r w:rsidRPr="003A2C17">
        <w:rPr>
          <w:sz w:val="16"/>
          <w:szCs w:val="16"/>
        </w:rPr>
        <w:t xml:space="preserve"> трлн. тенге</w:t>
      </w:r>
      <w:r>
        <w:rPr>
          <w:sz w:val="16"/>
          <w:szCs w:val="16"/>
        </w:rPr>
        <w:t xml:space="preserve">  - 20% от ВВП за 2015 год</w:t>
      </w:r>
      <w:r w:rsidRPr="003A2C17">
        <w:rPr>
          <w:sz w:val="16"/>
          <w:szCs w:val="16"/>
        </w:rPr>
        <w:t>).</w:t>
      </w:r>
    </w:p>
  </w:footnote>
  <w:footnote w:id="3">
    <w:p w:rsidR="00657799" w:rsidRDefault="00657799" w:rsidP="00657799">
      <w:pPr>
        <w:pStyle w:val="a5"/>
        <w:spacing w:after="0" w:line="240" w:lineRule="auto"/>
        <w:jc w:val="both"/>
      </w:pPr>
      <w:r>
        <w:rPr>
          <w:rStyle w:val="a7"/>
        </w:rPr>
        <w:footnoteRef/>
      </w:r>
      <w:r>
        <w:t xml:space="preserve"> За исключением банков второго уровня РК и Национального Банка Республики Казахстан.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72" w:rsidRDefault="00196B7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141E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45F9"/>
    <w:multiLevelType w:val="hybridMultilevel"/>
    <w:tmpl w:val="502405A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24404C"/>
    <w:multiLevelType w:val="hybridMultilevel"/>
    <w:tmpl w:val="BDF86D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CA2A5A"/>
    <w:multiLevelType w:val="hybridMultilevel"/>
    <w:tmpl w:val="17F43B0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C44767A"/>
    <w:multiLevelType w:val="hybridMultilevel"/>
    <w:tmpl w:val="D110D6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258B1"/>
    <w:multiLevelType w:val="hybridMultilevel"/>
    <w:tmpl w:val="A1802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5E5973"/>
    <w:multiLevelType w:val="hybridMultilevel"/>
    <w:tmpl w:val="C7964CF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8E066A"/>
    <w:multiLevelType w:val="hybridMultilevel"/>
    <w:tmpl w:val="71DA1D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91"/>
    <w:rsid w:val="00003F23"/>
    <w:rsid w:val="00014445"/>
    <w:rsid w:val="000218D8"/>
    <w:rsid w:val="0003344D"/>
    <w:rsid w:val="00034485"/>
    <w:rsid w:val="00040D3A"/>
    <w:rsid w:val="000415BC"/>
    <w:rsid w:val="00042A11"/>
    <w:rsid w:val="00043373"/>
    <w:rsid w:val="00056973"/>
    <w:rsid w:val="000613AC"/>
    <w:rsid w:val="00063EDF"/>
    <w:rsid w:val="0007423E"/>
    <w:rsid w:val="00075BEA"/>
    <w:rsid w:val="00077283"/>
    <w:rsid w:val="00077FC0"/>
    <w:rsid w:val="000A707D"/>
    <w:rsid w:val="000B03CA"/>
    <w:rsid w:val="000B33EA"/>
    <w:rsid w:val="000B5DC1"/>
    <w:rsid w:val="000B7F83"/>
    <w:rsid w:val="000C0C05"/>
    <w:rsid w:val="000C2F4D"/>
    <w:rsid w:val="000C474D"/>
    <w:rsid w:val="000D2DAB"/>
    <w:rsid w:val="000D4D03"/>
    <w:rsid w:val="000E54B1"/>
    <w:rsid w:val="000F2E84"/>
    <w:rsid w:val="000F62B5"/>
    <w:rsid w:val="00110C93"/>
    <w:rsid w:val="00110DE7"/>
    <w:rsid w:val="00110EED"/>
    <w:rsid w:val="0014255D"/>
    <w:rsid w:val="0015261A"/>
    <w:rsid w:val="00174FAC"/>
    <w:rsid w:val="00180746"/>
    <w:rsid w:val="001843A4"/>
    <w:rsid w:val="00186EA6"/>
    <w:rsid w:val="00196B72"/>
    <w:rsid w:val="001B550B"/>
    <w:rsid w:val="001B64D6"/>
    <w:rsid w:val="001B6FFE"/>
    <w:rsid w:val="001C4697"/>
    <w:rsid w:val="001C5A75"/>
    <w:rsid w:val="001D004A"/>
    <w:rsid w:val="001D06A2"/>
    <w:rsid w:val="001E7762"/>
    <w:rsid w:val="001F1515"/>
    <w:rsid w:val="001F1AC5"/>
    <w:rsid w:val="00203F15"/>
    <w:rsid w:val="002070A2"/>
    <w:rsid w:val="0020766A"/>
    <w:rsid w:val="002152AA"/>
    <w:rsid w:val="002224EE"/>
    <w:rsid w:val="00223858"/>
    <w:rsid w:val="00223ACE"/>
    <w:rsid w:val="00225F65"/>
    <w:rsid w:val="0024744B"/>
    <w:rsid w:val="002717C9"/>
    <w:rsid w:val="00271CFC"/>
    <w:rsid w:val="0027691F"/>
    <w:rsid w:val="00291D59"/>
    <w:rsid w:val="00292C33"/>
    <w:rsid w:val="00293BAF"/>
    <w:rsid w:val="002A0639"/>
    <w:rsid w:val="002A1C8D"/>
    <w:rsid w:val="002A2AEF"/>
    <w:rsid w:val="002A3EF4"/>
    <w:rsid w:val="002A4F0D"/>
    <w:rsid w:val="002A5B81"/>
    <w:rsid w:val="002A5D01"/>
    <w:rsid w:val="002B231E"/>
    <w:rsid w:val="002B3829"/>
    <w:rsid w:val="002B7C8E"/>
    <w:rsid w:val="002C175C"/>
    <w:rsid w:val="002C199D"/>
    <w:rsid w:val="002D1D24"/>
    <w:rsid w:val="002E2068"/>
    <w:rsid w:val="00300F9E"/>
    <w:rsid w:val="00305243"/>
    <w:rsid w:val="00312204"/>
    <w:rsid w:val="00322DAF"/>
    <w:rsid w:val="0032352F"/>
    <w:rsid w:val="00326067"/>
    <w:rsid w:val="003538E9"/>
    <w:rsid w:val="003641C3"/>
    <w:rsid w:val="0037718B"/>
    <w:rsid w:val="00386B7F"/>
    <w:rsid w:val="00393996"/>
    <w:rsid w:val="003B3929"/>
    <w:rsid w:val="003B635B"/>
    <w:rsid w:val="003C0C24"/>
    <w:rsid w:val="003D08DC"/>
    <w:rsid w:val="003D1D5A"/>
    <w:rsid w:val="003D3E9D"/>
    <w:rsid w:val="003D5453"/>
    <w:rsid w:val="003E36A1"/>
    <w:rsid w:val="003E4775"/>
    <w:rsid w:val="003E6FBE"/>
    <w:rsid w:val="003F37AD"/>
    <w:rsid w:val="003F4660"/>
    <w:rsid w:val="003F4FD1"/>
    <w:rsid w:val="0040068B"/>
    <w:rsid w:val="0040663D"/>
    <w:rsid w:val="00407CE9"/>
    <w:rsid w:val="0042345F"/>
    <w:rsid w:val="0042543E"/>
    <w:rsid w:val="004354B9"/>
    <w:rsid w:val="00435A96"/>
    <w:rsid w:val="004362D6"/>
    <w:rsid w:val="00436366"/>
    <w:rsid w:val="00437091"/>
    <w:rsid w:val="004370C5"/>
    <w:rsid w:val="00455671"/>
    <w:rsid w:val="00461455"/>
    <w:rsid w:val="00464B23"/>
    <w:rsid w:val="004661D3"/>
    <w:rsid w:val="00472F94"/>
    <w:rsid w:val="00475C6A"/>
    <w:rsid w:val="00482C85"/>
    <w:rsid w:val="00484B27"/>
    <w:rsid w:val="00485C64"/>
    <w:rsid w:val="00487EE8"/>
    <w:rsid w:val="004922FA"/>
    <w:rsid w:val="00492BF4"/>
    <w:rsid w:val="004B2BDB"/>
    <w:rsid w:val="004C2946"/>
    <w:rsid w:val="004C377A"/>
    <w:rsid w:val="004C50BE"/>
    <w:rsid w:val="004C5CB3"/>
    <w:rsid w:val="004C6523"/>
    <w:rsid w:val="004E24AF"/>
    <w:rsid w:val="004E4CDC"/>
    <w:rsid w:val="004E5F77"/>
    <w:rsid w:val="004E74BE"/>
    <w:rsid w:val="004F0278"/>
    <w:rsid w:val="00506BE2"/>
    <w:rsid w:val="00506D1B"/>
    <w:rsid w:val="00512F01"/>
    <w:rsid w:val="0051506B"/>
    <w:rsid w:val="00515FA3"/>
    <w:rsid w:val="0051699F"/>
    <w:rsid w:val="00521844"/>
    <w:rsid w:val="00525C3E"/>
    <w:rsid w:val="005332E0"/>
    <w:rsid w:val="005334EB"/>
    <w:rsid w:val="00534E50"/>
    <w:rsid w:val="00535799"/>
    <w:rsid w:val="00535883"/>
    <w:rsid w:val="0053639D"/>
    <w:rsid w:val="005500D9"/>
    <w:rsid w:val="00550D14"/>
    <w:rsid w:val="00551F25"/>
    <w:rsid w:val="005616EA"/>
    <w:rsid w:val="00564364"/>
    <w:rsid w:val="005708BB"/>
    <w:rsid w:val="00573064"/>
    <w:rsid w:val="00581190"/>
    <w:rsid w:val="005817AA"/>
    <w:rsid w:val="00587E26"/>
    <w:rsid w:val="00595689"/>
    <w:rsid w:val="005956E9"/>
    <w:rsid w:val="005B1A68"/>
    <w:rsid w:val="005B5AC3"/>
    <w:rsid w:val="005D5620"/>
    <w:rsid w:val="005D7214"/>
    <w:rsid w:val="005F06A5"/>
    <w:rsid w:val="005F14A0"/>
    <w:rsid w:val="00600E7F"/>
    <w:rsid w:val="006023FF"/>
    <w:rsid w:val="00603064"/>
    <w:rsid w:val="006047B7"/>
    <w:rsid w:val="006049C6"/>
    <w:rsid w:val="006072B7"/>
    <w:rsid w:val="00612E75"/>
    <w:rsid w:val="00623FF2"/>
    <w:rsid w:val="00632AE2"/>
    <w:rsid w:val="0063797C"/>
    <w:rsid w:val="00645E66"/>
    <w:rsid w:val="006503FA"/>
    <w:rsid w:val="006518CD"/>
    <w:rsid w:val="006573EF"/>
    <w:rsid w:val="00657799"/>
    <w:rsid w:val="006625B7"/>
    <w:rsid w:val="0066504F"/>
    <w:rsid w:val="00672566"/>
    <w:rsid w:val="0067772A"/>
    <w:rsid w:val="00677ECC"/>
    <w:rsid w:val="00680EC6"/>
    <w:rsid w:val="00684A01"/>
    <w:rsid w:val="006A120D"/>
    <w:rsid w:val="006A24E6"/>
    <w:rsid w:val="006A4D6B"/>
    <w:rsid w:val="006A7F60"/>
    <w:rsid w:val="006B47CE"/>
    <w:rsid w:val="006C0FC0"/>
    <w:rsid w:val="006C370D"/>
    <w:rsid w:val="006D2A3F"/>
    <w:rsid w:val="006E2195"/>
    <w:rsid w:val="006E6048"/>
    <w:rsid w:val="006F170D"/>
    <w:rsid w:val="006F2F95"/>
    <w:rsid w:val="00702662"/>
    <w:rsid w:val="00714816"/>
    <w:rsid w:val="00721ED2"/>
    <w:rsid w:val="00727B9E"/>
    <w:rsid w:val="00727F2E"/>
    <w:rsid w:val="007368DD"/>
    <w:rsid w:val="00752299"/>
    <w:rsid w:val="0075712A"/>
    <w:rsid w:val="007607F4"/>
    <w:rsid w:val="007653A6"/>
    <w:rsid w:val="00766B55"/>
    <w:rsid w:val="007807EF"/>
    <w:rsid w:val="00782DA1"/>
    <w:rsid w:val="0079684A"/>
    <w:rsid w:val="007A56AF"/>
    <w:rsid w:val="007B1C09"/>
    <w:rsid w:val="007B2B00"/>
    <w:rsid w:val="007B3704"/>
    <w:rsid w:val="007C1501"/>
    <w:rsid w:val="007C1CA4"/>
    <w:rsid w:val="007C3FD3"/>
    <w:rsid w:val="007C5178"/>
    <w:rsid w:val="007C5E40"/>
    <w:rsid w:val="007D32E2"/>
    <w:rsid w:val="007D75B3"/>
    <w:rsid w:val="007F1CA0"/>
    <w:rsid w:val="007F4280"/>
    <w:rsid w:val="007F5ED4"/>
    <w:rsid w:val="00811AC7"/>
    <w:rsid w:val="008143F6"/>
    <w:rsid w:val="00830E63"/>
    <w:rsid w:val="00833715"/>
    <w:rsid w:val="008372FD"/>
    <w:rsid w:val="00843D68"/>
    <w:rsid w:val="00846A78"/>
    <w:rsid w:val="00861FF0"/>
    <w:rsid w:val="00867544"/>
    <w:rsid w:val="00877A8B"/>
    <w:rsid w:val="008823EB"/>
    <w:rsid w:val="00884A00"/>
    <w:rsid w:val="008863C8"/>
    <w:rsid w:val="0089017E"/>
    <w:rsid w:val="00891AC0"/>
    <w:rsid w:val="008950D1"/>
    <w:rsid w:val="00896115"/>
    <w:rsid w:val="008A2D28"/>
    <w:rsid w:val="008A3295"/>
    <w:rsid w:val="008A3A18"/>
    <w:rsid w:val="008A5362"/>
    <w:rsid w:val="008A5A47"/>
    <w:rsid w:val="008A5EBB"/>
    <w:rsid w:val="008B26ED"/>
    <w:rsid w:val="008C52C1"/>
    <w:rsid w:val="008D1F32"/>
    <w:rsid w:val="008D4B09"/>
    <w:rsid w:val="008E0F76"/>
    <w:rsid w:val="008E55BA"/>
    <w:rsid w:val="008E5688"/>
    <w:rsid w:val="008F38ED"/>
    <w:rsid w:val="009051C9"/>
    <w:rsid w:val="009107C1"/>
    <w:rsid w:val="00912ABA"/>
    <w:rsid w:val="009145BA"/>
    <w:rsid w:val="00923983"/>
    <w:rsid w:val="00923DAD"/>
    <w:rsid w:val="009276E2"/>
    <w:rsid w:val="00930F6B"/>
    <w:rsid w:val="00935ADE"/>
    <w:rsid w:val="00935D0A"/>
    <w:rsid w:val="00944003"/>
    <w:rsid w:val="009512C1"/>
    <w:rsid w:val="00960432"/>
    <w:rsid w:val="0096550F"/>
    <w:rsid w:val="0097409B"/>
    <w:rsid w:val="009957AD"/>
    <w:rsid w:val="00997DD1"/>
    <w:rsid w:val="009A2AA7"/>
    <w:rsid w:val="009A6099"/>
    <w:rsid w:val="009A66E4"/>
    <w:rsid w:val="009B47A9"/>
    <w:rsid w:val="009C31BF"/>
    <w:rsid w:val="009D63B4"/>
    <w:rsid w:val="009F4DBB"/>
    <w:rsid w:val="00A017B3"/>
    <w:rsid w:val="00A165A0"/>
    <w:rsid w:val="00A20391"/>
    <w:rsid w:val="00A24E44"/>
    <w:rsid w:val="00A2663B"/>
    <w:rsid w:val="00A27432"/>
    <w:rsid w:val="00A46805"/>
    <w:rsid w:val="00A500C4"/>
    <w:rsid w:val="00A56D91"/>
    <w:rsid w:val="00A578EC"/>
    <w:rsid w:val="00A77685"/>
    <w:rsid w:val="00A82136"/>
    <w:rsid w:val="00AA0918"/>
    <w:rsid w:val="00AA29FD"/>
    <w:rsid w:val="00AB1AB9"/>
    <w:rsid w:val="00AC211B"/>
    <w:rsid w:val="00AE371B"/>
    <w:rsid w:val="00AE4746"/>
    <w:rsid w:val="00AE547D"/>
    <w:rsid w:val="00B0480F"/>
    <w:rsid w:val="00B1173C"/>
    <w:rsid w:val="00B14089"/>
    <w:rsid w:val="00B141E7"/>
    <w:rsid w:val="00B235BB"/>
    <w:rsid w:val="00B26910"/>
    <w:rsid w:val="00B35555"/>
    <w:rsid w:val="00B35D4B"/>
    <w:rsid w:val="00B36ABA"/>
    <w:rsid w:val="00B373BA"/>
    <w:rsid w:val="00B41027"/>
    <w:rsid w:val="00B44E4D"/>
    <w:rsid w:val="00B541C1"/>
    <w:rsid w:val="00B55C62"/>
    <w:rsid w:val="00B621D9"/>
    <w:rsid w:val="00B635B9"/>
    <w:rsid w:val="00B751B2"/>
    <w:rsid w:val="00B77DC7"/>
    <w:rsid w:val="00B80288"/>
    <w:rsid w:val="00B83C5B"/>
    <w:rsid w:val="00B85F69"/>
    <w:rsid w:val="00B92EED"/>
    <w:rsid w:val="00BA30DB"/>
    <w:rsid w:val="00BB7452"/>
    <w:rsid w:val="00BC1A91"/>
    <w:rsid w:val="00BC1ED0"/>
    <w:rsid w:val="00BC4958"/>
    <w:rsid w:val="00BD3525"/>
    <w:rsid w:val="00BF4357"/>
    <w:rsid w:val="00BF5EC1"/>
    <w:rsid w:val="00BF653B"/>
    <w:rsid w:val="00C04367"/>
    <w:rsid w:val="00C12D3D"/>
    <w:rsid w:val="00C168EF"/>
    <w:rsid w:val="00C169A8"/>
    <w:rsid w:val="00C23C98"/>
    <w:rsid w:val="00C27E1B"/>
    <w:rsid w:val="00C33942"/>
    <w:rsid w:val="00C3636B"/>
    <w:rsid w:val="00C4680E"/>
    <w:rsid w:val="00C51228"/>
    <w:rsid w:val="00C65A0D"/>
    <w:rsid w:val="00C91FB6"/>
    <w:rsid w:val="00C92D49"/>
    <w:rsid w:val="00CA35FB"/>
    <w:rsid w:val="00CA39DF"/>
    <w:rsid w:val="00CB64A6"/>
    <w:rsid w:val="00CB70DF"/>
    <w:rsid w:val="00CC1F07"/>
    <w:rsid w:val="00CC3E66"/>
    <w:rsid w:val="00CD2003"/>
    <w:rsid w:val="00CD5656"/>
    <w:rsid w:val="00CE70A3"/>
    <w:rsid w:val="00D048BA"/>
    <w:rsid w:val="00D16039"/>
    <w:rsid w:val="00D173AE"/>
    <w:rsid w:val="00D25AF3"/>
    <w:rsid w:val="00D25B05"/>
    <w:rsid w:val="00D34B51"/>
    <w:rsid w:val="00D37115"/>
    <w:rsid w:val="00D44B3A"/>
    <w:rsid w:val="00D518F8"/>
    <w:rsid w:val="00D51CB0"/>
    <w:rsid w:val="00D52D89"/>
    <w:rsid w:val="00D57ED7"/>
    <w:rsid w:val="00D63010"/>
    <w:rsid w:val="00D86F41"/>
    <w:rsid w:val="00DA240C"/>
    <w:rsid w:val="00DA5AE5"/>
    <w:rsid w:val="00DA717E"/>
    <w:rsid w:val="00DB1FFD"/>
    <w:rsid w:val="00DB5DB9"/>
    <w:rsid w:val="00DB63D6"/>
    <w:rsid w:val="00DC3592"/>
    <w:rsid w:val="00DD25C2"/>
    <w:rsid w:val="00DD4CC9"/>
    <w:rsid w:val="00DE312D"/>
    <w:rsid w:val="00DE6B0C"/>
    <w:rsid w:val="00DF75AE"/>
    <w:rsid w:val="00E00F3E"/>
    <w:rsid w:val="00E03A5E"/>
    <w:rsid w:val="00E03DB0"/>
    <w:rsid w:val="00E03E46"/>
    <w:rsid w:val="00E22740"/>
    <w:rsid w:val="00E32709"/>
    <w:rsid w:val="00E32B18"/>
    <w:rsid w:val="00E34F43"/>
    <w:rsid w:val="00E35820"/>
    <w:rsid w:val="00E37D1C"/>
    <w:rsid w:val="00E537A8"/>
    <w:rsid w:val="00E5483E"/>
    <w:rsid w:val="00E564BE"/>
    <w:rsid w:val="00E6151C"/>
    <w:rsid w:val="00E66509"/>
    <w:rsid w:val="00E66C7D"/>
    <w:rsid w:val="00E70406"/>
    <w:rsid w:val="00E72FDB"/>
    <w:rsid w:val="00E8223B"/>
    <w:rsid w:val="00E860DE"/>
    <w:rsid w:val="00EA2274"/>
    <w:rsid w:val="00EA45ED"/>
    <w:rsid w:val="00EA759C"/>
    <w:rsid w:val="00EB1390"/>
    <w:rsid w:val="00EB36E1"/>
    <w:rsid w:val="00EC5004"/>
    <w:rsid w:val="00EC6C4A"/>
    <w:rsid w:val="00EC7A5F"/>
    <w:rsid w:val="00EE077B"/>
    <w:rsid w:val="00EF0DA7"/>
    <w:rsid w:val="00EF1E15"/>
    <w:rsid w:val="00EF3576"/>
    <w:rsid w:val="00EF4EC6"/>
    <w:rsid w:val="00F02ABE"/>
    <w:rsid w:val="00F05752"/>
    <w:rsid w:val="00F17C9D"/>
    <w:rsid w:val="00F17F06"/>
    <w:rsid w:val="00F20201"/>
    <w:rsid w:val="00F24DCC"/>
    <w:rsid w:val="00F250E1"/>
    <w:rsid w:val="00F26D54"/>
    <w:rsid w:val="00F306C4"/>
    <w:rsid w:val="00F50B4A"/>
    <w:rsid w:val="00F605E8"/>
    <w:rsid w:val="00F71075"/>
    <w:rsid w:val="00F72BD4"/>
    <w:rsid w:val="00F73835"/>
    <w:rsid w:val="00F85022"/>
    <w:rsid w:val="00F87EB3"/>
    <w:rsid w:val="00F93BF9"/>
    <w:rsid w:val="00F95545"/>
    <w:rsid w:val="00FA1E60"/>
    <w:rsid w:val="00FA46A8"/>
    <w:rsid w:val="00FA53C6"/>
    <w:rsid w:val="00FB2259"/>
    <w:rsid w:val="00FB4F7D"/>
    <w:rsid w:val="00FB696B"/>
    <w:rsid w:val="00FB7BDD"/>
    <w:rsid w:val="00FE6899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FB25D-AF8F-45CB-8D0A-5F993952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3A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2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5708BB"/>
    <w:rPr>
      <w:color w:val="0000FF"/>
      <w:u w:val="single"/>
    </w:rPr>
  </w:style>
  <w:style w:type="character" w:customStyle="1" w:styleId="s0">
    <w:name w:val="s0"/>
    <w:rsid w:val="00DC359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DC35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50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23FF2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623FF2"/>
    <w:rPr>
      <w:rFonts w:ascii="Times New Roman" w:hAnsi="Times New Roman"/>
      <w:lang w:eastAsia="en-US"/>
    </w:rPr>
  </w:style>
  <w:style w:type="character" w:styleId="a7">
    <w:name w:val="footnote reference"/>
    <w:uiPriority w:val="99"/>
    <w:semiHidden/>
    <w:unhideWhenUsed/>
    <w:rsid w:val="00623FF2"/>
    <w:rPr>
      <w:vertAlign w:val="superscript"/>
    </w:rPr>
  </w:style>
  <w:style w:type="paragraph" w:styleId="2">
    <w:name w:val="Body Text Indent 2"/>
    <w:basedOn w:val="a"/>
    <w:link w:val="20"/>
    <w:rsid w:val="00A578EC"/>
    <w:pPr>
      <w:spacing w:after="0" w:line="240" w:lineRule="auto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A578EC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rsid w:val="003E36A1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rsid w:val="003E36A1"/>
    <w:rPr>
      <w:rFonts w:ascii="Times New Roman" w:eastAsia="Times New Roman" w:hAnsi="Times New Roman"/>
    </w:rPr>
  </w:style>
  <w:style w:type="paragraph" w:styleId="aa">
    <w:name w:val="header"/>
    <w:basedOn w:val="a"/>
    <w:link w:val="ab"/>
    <w:uiPriority w:val="99"/>
    <w:unhideWhenUsed/>
    <w:rsid w:val="003E36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E36A1"/>
    <w:rPr>
      <w:rFonts w:ascii="Times New Roman" w:hAnsi="Times New Roman"/>
      <w:sz w:val="28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5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569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9B69F1-7AED-49A9-95DE-0A8D8151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Raiymbek Shaimerdenov</dc:creator>
  <cp:keywords/>
  <cp:lastModifiedBy>Владимир Мушегов</cp:lastModifiedBy>
  <cp:revision>2</cp:revision>
  <cp:lastPrinted>2015-11-27T12:59:00Z</cp:lastPrinted>
  <dcterms:created xsi:type="dcterms:W3CDTF">2019-11-14T10:54:00Z</dcterms:created>
  <dcterms:modified xsi:type="dcterms:W3CDTF">2019-11-14T10:54:00Z</dcterms:modified>
</cp:coreProperties>
</file>