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drawings/drawing4.xml" ContentType="application/vnd.openxmlformats-officedocument.drawingml.chartshapes+xml"/>
  <Override PartName="/word/charts/chart20.xml" ContentType="application/vnd.openxmlformats-officedocument.drawingml.chart+xml"/>
  <Override PartName="/word/theme/themeOverride20.xml" ContentType="application/vnd.openxmlformats-officedocument.themeOverride+xml"/>
  <Override PartName="/word/drawings/drawing5.xml" ContentType="application/vnd.openxmlformats-officedocument.drawingml.chartshapes+xml"/>
  <Override PartName="/word/charts/chart21.xml" ContentType="application/vnd.openxmlformats-officedocument.drawingml.chart+xml"/>
  <Override PartName="/word/theme/themeOverride2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4"/>
      </w:tblGrid>
      <w:tr w:rsidR="00617F41" w:rsidRPr="008B22CB" w:rsidTr="008B22CB">
        <w:trPr>
          <w:trHeight w:val="13940"/>
        </w:trPr>
        <w:tc>
          <w:tcPr>
            <w:tcW w:w="11054" w:type="dxa"/>
            <w:shd w:val="clear" w:color="auto" w:fill="F7FFF7"/>
          </w:tcPr>
          <w:p w:rsidR="00617F41" w:rsidRPr="008B22CB" w:rsidRDefault="00786A4E" w:rsidP="006702BF">
            <w:pPr>
              <w:ind w:right="-185" w:hanging="180"/>
              <w:jc w:val="center"/>
              <w:rPr>
                <w:rFonts w:eastAsia="MS Mincho"/>
                <w:sz w:val="26"/>
                <w:szCs w:val="26"/>
                <w:lang w:eastAsia="ja-JP"/>
              </w:rPr>
            </w:pPr>
            <w:bookmarkStart w:id="0" w:name="_GoBack"/>
            <w:bookmarkEnd w:id="0"/>
            <w:r w:rsidRPr="007A05EB">
              <w:rPr>
                <w:rFonts w:eastAsia="MS Mincho"/>
                <w:noProof/>
                <w:sz w:val="26"/>
                <w:szCs w:val="26"/>
              </w:rPr>
              <w:drawing>
                <wp:inline distT="0" distB="0" distL="0" distR="0">
                  <wp:extent cx="6915150" cy="904875"/>
                  <wp:effectExtent l="0" t="0" r="0" b="0"/>
                  <wp:docPr id="1" name="Рисунок 10" descr="Описание: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eader"/>
                          <pic:cNvPicPr>
                            <a:picLocks noChangeAspect="1" noChangeArrowheads="1"/>
                          </pic:cNvPicPr>
                        </pic:nvPicPr>
                        <pic:blipFill>
                          <a:blip r:embed="rId8">
                            <a:lum bright="24000"/>
                            <a:extLst>
                              <a:ext uri="{28A0092B-C50C-407E-A947-70E740481C1C}">
                                <a14:useLocalDpi xmlns:a14="http://schemas.microsoft.com/office/drawing/2010/main" val="0"/>
                              </a:ext>
                            </a:extLst>
                          </a:blip>
                          <a:srcRect/>
                          <a:stretch>
                            <a:fillRect/>
                          </a:stretch>
                        </pic:blipFill>
                        <pic:spPr bwMode="auto">
                          <a:xfrm>
                            <a:off x="0" y="0"/>
                            <a:ext cx="6915150" cy="904875"/>
                          </a:xfrm>
                          <a:prstGeom prst="rect">
                            <a:avLst/>
                          </a:prstGeom>
                          <a:noFill/>
                          <a:ln>
                            <a:noFill/>
                          </a:ln>
                        </pic:spPr>
                      </pic:pic>
                    </a:graphicData>
                  </a:graphic>
                </wp:inline>
              </w:drawing>
            </w: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ind w:firstLine="37"/>
              <w:jc w:val="center"/>
              <w:rPr>
                <w:rFonts w:eastAsia="MS Mincho"/>
                <w:sz w:val="26"/>
                <w:szCs w:val="26"/>
                <w:lang w:eastAsia="ja-JP"/>
              </w:rPr>
            </w:pPr>
          </w:p>
          <w:p w:rsidR="00617F41" w:rsidRPr="008B22CB" w:rsidRDefault="00617F41" w:rsidP="006702BF">
            <w:pPr>
              <w:jc w:val="center"/>
              <w:rPr>
                <w:b/>
                <w:color w:val="003300"/>
                <w:spacing w:val="4"/>
                <w:sz w:val="40"/>
                <w:szCs w:val="40"/>
              </w:rPr>
            </w:pPr>
            <w:r w:rsidRPr="008B22CB">
              <w:rPr>
                <w:b/>
                <w:color w:val="003300"/>
                <w:spacing w:val="4"/>
                <w:sz w:val="40"/>
                <w:szCs w:val="40"/>
              </w:rPr>
              <w:t>ИТОГИ НАДЗОРА (</w:t>
            </w:r>
            <w:r w:rsidRPr="008B22CB">
              <w:rPr>
                <w:b/>
                <w:color w:val="003300"/>
                <w:spacing w:val="4"/>
                <w:sz w:val="40"/>
                <w:szCs w:val="40"/>
                <w:lang w:val="en-US"/>
              </w:rPr>
              <w:t>OVERSIGHT</w:t>
            </w:r>
            <w:r w:rsidRPr="008B22CB">
              <w:rPr>
                <w:b/>
                <w:color w:val="003300"/>
                <w:spacing w:val="4"/>
                <w:sz w:val="40"/>
                <w:szCs w:val="40"/>
              </w:rPr>
              <w:t xml:space="preserve">) </w:t>
            </w:r>
          </w:p>
          <w:p w:rsidR="00617F41" w:rsidRPr="008B22CB" w:rsidRDefault="00617F41" w:rsidP="006702BF">
            <w:pPr>
              <w:jc w:val="center"/>
              <w:rPr>
                <w:b/>
                <w:color w:val="003300"/>
                <w:spacing w:val="4"/>
                <w:sz w:val="40"/>
                <w:szCs w:val="40"/>
              </w:rPr>
            </w:pPr>
            <w:r w:rsidRPr="008B22CB">
              <w:rPr>
                <w:b/>
                <w:color w:val="003300"/>
                <w:spacing w:val="4"/>
                <w:sz w:val="40"/>
                <w:szCs w:val="40"/>
              </w:rPr>
              <w:t>ПЛАТЕЖНЫХ СИСТЕМ И РЫНКА ЭЛЕКТРОННЫХ БАНКОВСКИХ УСЛУГ ЗА 2014 ГОД</w:t>
            </w:r>
          </w:p>
          <w:p w:rsidR="00617F41" w:rsidRPr="008B22CB" w:rsidRDefault="00617F41" w:rsidP="006702BF">
            <w:pPr>
              <w:jc w:val="center"/>
              <w:rPr>
                <w:b/>
                <w:color w:val="F9EE59"/>
                <w:spacing w:val="4"/>
                <w:sz w:val="26"/>
                <w:szCs w:val="26"/>
              </w:rPr>
            </w:pP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786A4E" w:rsidP="006702BF">
            <w:pPr>
              <w:jc w:val="center"/>
              <w:rPr>
                <w:rFonts w:eastAsia="MS Mincho"/>
                <w:sz w:val="26"/>
                <w:szCs w:val="26"/>
                <w:lang w:eastAsia="ja-JP"/>
              </w:rPr>
            </w:pPr>
            <w:r w:rsidRPr="007A05EB">
              <w:rPr>
                <w:rFonts w:eastAsia="MS Mincho"/>
                <w:noProof/>
                <w:sz w:val="26"/>
                <w:szCs w:val="26"/>
              </w:rPr>
              <w:drawing>
                <wp:inline distT="0" distB="0" distL="0" distR="0">
                  <wp:extent cx="2819400" cy="1971675"/>
                  <wp:effectExtent l="0" t="0" r="0" b="0"/>
                  <wp:docPr id="2" name="Рисунок 46" descr="Описание: 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писание: Рисунок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971675"/>
                          </a:xfrm>
                          <a:prstGeom prst="rect">
                            <a:avLst/>
                          </a:prstGeom>
                          <a:noFill/>
                          <a:ln>
                            <a:noFill/>
                          </a:ln>
                        </pic:spPr>
                      </pic:pic>
                    </a:graphicData>
                  </a:graphic>
                </wp:inline>
              </w:drawing>
            </w:r>
          </w:p>
          <w:p w:rsidR="00617F41" w:rsidRPr="008B22CB" w:rsidRDefault="00617F41" w:rsidP="006702BF">
            <w:pPr>
              <w:jc w:val="center"/>
              <w:rPr>
                <w:rFonts w:eastAsia="MS Mincho"/>
                <w:sz w:val="26"/>
                <w:szCs w:val="26"/>
                <w:lang w:eastAsia="ja-JP"/>
              </w:rPr>
            </w:pPr>
          </w:p>
          <w:p w:rsidR="00617F41" w:rsidRPr="008B22CB" w:rsidRDefault="00617F41" w:rsidP="006702BF">
            <w:pPr>
              <w:jc w:val="center"/>
              <w:rPr>
                <w:rFonts w:eastAsia="MS Mincho"/>
                <w:sz w:val="26"/>
                <w:szCs w:val="26"/>
                <w:lang w:eastAsia="ja-JP"/>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617F41" w:rsidRPr="008B22CB" w:rsidRDefault="00617F41" w:rsidP="006702BF">
            <w:pPr>
              <w:ind w:right="397"/>
              <w:jc w:val="right"/>
              <w:rPr>
                <w:b/>
                <w:sz w:val="26"/>
                <w:szCs w:val="26"/>
              </w:rPr>
            </w:pPr>
          </w:p>
          <w:p w:rsidR="00617F41" w:rsidRPr="008B22CB" w:rsidRDefault="00617F41" w:rsidP="006702BF">
            <w:pPr>
              <w:jc w:val="center"/>
              <w:rPr>
                <w:b/>
                <w:color w:val="003300"/>
                <w:spacing w:val="4"/>
                <w:sz w:val="32"/>
                <w:szCs w:val="32"/>
              </w:rPr>
            </w:pPr>
            <w:r w:rsidRPr="008B22CB">
              <w:rPr>
                <w:b/>
                <w:color w:val="003300"/>
                <w:spacing w:val="4"/>
                <w:sz w:val="32"/>
                <w:szCs w:val="32"/>
              </w:rPr>
              <w:t>Департамент развития и управления платежными системами Национального Банка Республики Казахстан</w:t>
            </w:r>
          </w:p>
          <w:p w:rsidR="00617F41" w:rsidRPr="008B22CB" w:rsidRDefault="00617F41" w:rsidP="006702BF">
            <w:pPr>
              <w:jc w:val="center"/>
              <w:rPr>
                <w:rFonts w:eastAsia="MS Mincho"/>
                <w:i/>
                <w:color w:val="003300"/>
                <w:sz w:val="32"/>
                <w:szCs w:val="32"/>
                <w:lang w:eastAsia="ja-JP"/>
              </w:rPr>
            </w:pPr>
          </w:p>
          <w:p w:rsidR="00617F41" w:rsidRPr="008B22CB" w:rsidRDefault="00617F41" w:rsidP="006702BF">
            <w:pPr>
              <w:jc w:val="center"/>
              <w:rPr>
                <w:rFonts w:eastAsia="MS Mincho"/>
                <w:color w:val="003300"/>
                <w:sz w:val="32"/>
                <w:szCs w:val="32"/>
                <w:lang w:eastAsia="ja-JP"/>
              </w:rPr>
            </w:pPr>
          </w:p>
          <w:p w:rsidR="00617F41" w:rsidRPr="008B22CB" w:rsidRDefault="00617F41" w:rsidP="006702BF">
            <w:pPr>
              <w:jc w:val="center"/>
              <w:rPr>
                <w:rFonts w:eastAsia="MS Mincho"/>
                <w:color w:val="003300"/>
                <w:sz w:val="32"/>
                <w:szCs w:val="32"/>
                <w:lang w:eastAsia="ja-JP"/>
              </w:rPr>
            </w:pPr>
          </w:p>
          <w:p w:rsidR="00617F41" w:rsidRPr="008B22CB" w:rsidRDefault="00617F41" w:rsidP="006702BF">
            <w:pPr>
              <w:jc w:val="center"/>
              <w:rPr>
                <w:rFonts w:eastAsia="MS Mincho"/>
                <w:color w:val="003300"/>
                <w:sz w:val="32"/>
                <w:szCs w:val="32"/>
                <w:lang w:eastAsia="ja-JP"/>
              </w:rPr>
            </w:pPr>
          </w:p>
          <w:p w:rsidR="00617F41" w:rsidRPr="008B22CB" w:rsidRDefault="00617F41" w:rsidP="006702BF">
            <w:pPr>
              <w:jc w:val="center"/>
              <w:rPr>
                <w:b/>
                <w:color w:val="003300"/>
                <w:spacing w:val="4"/>
                <w:sz w:val="32"/>
                <w:szCs w:val="32"/>
              </w:rPr>
            </w:pPr>
            <w:r w:rsidRPr="008B22CB">
              <w:rPr>
                <w:b/>
                <w:color w:val="003300"/>
                <w:spacing w:val="4"/>
                <w:sz w:val="32"/>
                <w:szCs w:val="32"/>
              </w:rPr>
              <w:t>Алматы, февраль 2015 года</w:t>
            </w:r>
          </w:p>
          <w:p w:rsidR="00617F41" w:rsidRPr="008B22CB" w:rsidRDefault="00617F41" w:rsidP="006702BF">
            <w:pPr>
              <w:jc w:val="center"/>
              <w:rPr>
                <w:rFonts w:eastAsia="MS Mincho"/>
                <w:sz w:val="26"/>
                <w:szCs w:val="26"/>
                <w:lang w:eastAsia="ja-JP"/>
              </w:rPr>
            </w:pPr>
          </w:p>
        </w:tc>
      </w:tr>
    </w:tbl>
    <w:p w:rsidR="00617F41" w:rsidRDefault="00617F41" w:rsidP="006702BF">
      <w:pPr>
        <w:pStyle w:val="afb"/>
        <w:suppressAutoHyphens/>
        <w:rPr>
          <w:color w:val="008000"/>
          <w:sz w:val="32"/>
          <w:szCs w:val="32"/>
        </w:rPr>
      </w:pPr>
    </w:p>
    <w:p w:rsidR="00617F41" w:rsidRDefault="00617F41" w:rsidP="006702BF">
      <w:pPr>
        <w:pStyle w:val="afb"/>
        <w:suppressAutoHyphens/>
        <w:rPr>
          <w:color w:val="008000"/>
          <w:sz w:val="32"/>
          <w:szCs w:val="32"/>
        </w:rPr>
      </w:pPr>
    </w:p>
    <w:p w:rsidR="00617F41" w:rsidRPr="00615D54" w:rsidRDefault="00617F41" w:rsidP="006702BF">
      <w:pPr>
        <w:pStyle w:val="afb"/>
        <w:suppressAutoHyphens/>
        <w:spacing w:after="120"/>
        <w:rPr>
          <w:rFonts w:ascii="Cambria" w:hAnsi="Cambria"/>
          <w:color w:val="4F6228"/>
          <w:sz w:val="40"/>
          <w:szCs w:val="40"/>
        </w:rPr>
      </w:pPr>
      <w:r w:rsidRPr="00615D54">
        <w:rPr>
          <w:rFonts w:ascii="Cambria" w:hAnsi="Cambria"/>
          <w:color w:val="4F6228"/>
          <w:sz w:val="40"/>
          <w:szCs w:val="40"/>
        </w:rPr>
        <w:lastRenderedPageBreak/>
        <w:t>ОГЛАВЛЕНИЕ</w:t>
      </w:r>
    </w:p>
    <w:p w:rsidR="00617F41" w:rsidRPr="00615D54" w:rsidRDefault="00617F41" w:rsidP="006702BF">
      <w:pPr>
        <w:pStyle w:val="afb"/>
        <w:suppressAutoHyphens/>
        <w:spacing w:after="120"/>
        <w:rPr>
          <w:rFonts w:ascii="Cambria" w:hAnsi="Cambria"/>
          <w:color w:val="4F6228"/>
          <w:sz w:val="26"/>
          <w:szCs w:val="26"/>
        </w:rPr>
      </w:pPr>
    </w:p>
    <w:p w:rsidR="00617F41" w:rsidRPr="00682759" w:rsidRDefault="00617F41">
      <w:pPr>
        <w:pStyle w:val="aff0"/>
        <w:tabs>
          <w:tab w:val="right" w:leader="dot" w:pos="9628"/>
        </w:tabs>
        <w:rPr>
          <w:noProof/>
          <w:color w:val="4F6228"/>
          <w:sz w:val="32"/>
          <w:szCs w:val="32"/>
        </w:rPr>
      </w:pPr>
      <w:r w:rsidRPr="00682759">
        <w:rPr>
          <w:bCs/>
          <w:caps/>
          <w:noProof/>
          <w:color w:val="4F6228"/>
          <w:sz w:val="32"/>
          <w:szCs w:val="32"/>
          <w:lang w:eastAsia="en-US"/>
        </w:rPr>
        <w:fldChar w:fldCharType="begin"/>
      </w:r>
      <w:r w:rsidRPr="00682759">
        <w:rPr>
          <w:bCs/>
          <w:caps/>
          <w:noProof/>
          <w:color w:val="4F6228"/>
          <w:sz w:val="32"/>
          <w:szCs w:val="32"/>
          <w:lang w:eastAsia="en-US"/>
        </w:rPr>
        <w:instrText xml:space="preserve"> TOC \o "1-1" \a \a \a </w:instrText>
      </w:r>
      <w:r w:rsidRPr="00682759">
        <w:rPr>
          <w:bCs/>
          <w:caps/>
          <w:noProof/>
          <w:color w:val="4F6228"/>
          <w:sz w:val="32"/>
          <w:szCs w:val="32"/>
          <w:lang w:eastAsia="en-US"/>
        </w:rPr>
        <w:fldChar w:fldCharType="separate"/>
      </w:r>
      <w:r w:rsidRPr="00682759">
        <w:rPr>
          <w:noProof/>
          <w:snapToGrid w:val="0"/>
          <w:color w:val="4F6228"/>
          <w:spacing w:val="-2"/>
          <w:sz w:val="32"/>
          <w:szCs w:val="32"/>
        </w:rPr>
        <w:t>ПЛАТЕЖНЫЕ СИСТЕМЫ (МСПД И СМК)</w:t>
      </w:r>
      <w:r w:rsidRPr="00682759">
        <w:rPr>
          <w:noProof/>
          <w:color w:val="4F6228"/>
          <w:sz w:val="32"/>
          <w:szCs w:val="32"/>
        </w:rPr>
        <w:tab/>
      </w:r>
      <w:r w:rsidRPr="00682759">
        <w:rPr>
          <w:noProof/>
          <w:color w:val="4F6228"/>
          <w:sz w:val="32"/>
          <w:szCs w:val="32"/>
        </w:rPr>
        <w:fldChar w:fldCharType="begin"/>
      </w:r>
      <w:r w:rsidRPr="00682759">
        <w:rPr>
          <w:noProof/>
          <w:color w:val="4F6228"/>
          <w:sz w:val="32"/>
          <w:szCs w:val="32"/>
        </w:rPr>
        <w:instrText xml:space="preserve"> PAGEREF _Toc412583014 \h </w:instrText>
      </w:r>
      <w:r w:rsidR="006A124B" w:rsidRPr="00682759">
        <w:rPr>
          <w:noProof/>
          <w:color w:val="4F6228"/>
          <w:sz w:val="32"/>
          <w:szCs w:val="32"/>
        </w:rPr>
      </w:r>
      <w:r w:rsidRPr="00682759">
        <w:rPr>
          <w:noProof/>
          <w:color w:val="4F6228"/>
          <w:sz w:val="32"/>
          <w:szCs w:val="32"/>
        </w:rPr>
        <w:fldChar w:fldCharType="separate"/>
      </w:r>
      <w:r w:rsidR="00682759">
        <w:rPr>
          <w:noProof/>
          <w:color w:val="4F6228"/>
          <w:sz w:val="32"/>
          <w:szCs w:val="32"/>
        </w:rPr>
        <w:t>2</w:t>
      </w:r>
      <w:r w:rsidRPr="00682759">
        <w:rPr>
          <w:noProof/>
          <w:color w:val="4F6228"/>
          <w:sz w:val="32"/>
          <w:szCs w:val="32"/>
        </w:rPr>
        <w:fldChar w:fldCharType="end"/>
      </w:r>
    </w:p>
    <w:p w:rsidR="00617F41" w:rsidRPr="00682759" w:rsidRDefault="00617F41">
      <w:pPr>
        <w:pStyle w:val="aff0"/>
        <w:tabs>
          <w:tab w:val="right" w:leader="dot" w:pos="9628"/>
        </w:tabs>
        <w:rPr>
          <w:noProof/>
          <w:color w:val="4F6228"/>
          <w:sz w:val="32"/>
          <w:szCs w:val="32"/>
        </w:rPr>
      </w:pPr>
      <w:r w:rsidRPr="00682759">
        <w:rPr>
          <w:noProof/>
          <w:snapToGrid w:val="0"/>
          <w:color w:val="4F6228"/>
          <w:spacing w:val="-2"/>
          <w:sz w:val="32"/>
          <w:szCs w:val="32"/>
        </w:rPr>
        <w:t>РЫНОК ЭЛЕКТРОННЫХ БАНКОВСКИХ УСЛУГ</w:t>
      </w:r>
      <w:r w:rsidRPr="00682759">
        <w:rPr>
          <w:noProof/>
          <w:color w:val="4F6228"/>
          <w:sz w:val="32"/>
          <w:szCs w:val="32"/>
        </w:rPr>
        <w:tab/>
      </w:r>
      <w:r w:rsidRPr="00682759">
        <w:rPr>
          <w:noProof/>
          <w:color w:val="4F6228"/>
          <w:sz w:val="32"/>
          <w:szCs w:val="32"/>
        </w:rPr>
        <w:fldChar w:fldCharType="begin"/>
      </w:r>
      <w:r w:rsidRPr="00682759">
        <w:rPr>
          <w:noProof/>
          <w:color w:val="4F6228"/>
          <w:sz w:val="32"/>
          <w:szCs w:val="32"/>
        </w:rPr>
        <w:instrText xml:space="preserve"> PAGEREF _Toc412583015 \h </w:instrText>
      </w:r>
      <w:r w:rsidR="006A124B" w:rsidRPr="00682759">
        <w:rPr>
          <w:noProof/>
          <w:color w:val="4F6228"/>
          <w:sz w:val="32"/>
          <w:szCs w:val="32"/>
        </w:rPr>
      </w:r>
      <w:r w:rsidRPr="00682759">
        <w:rPr>
          <w:noProof/>
          <w:color w:val="4F6228"/>
          <w:sz w:val="32"/>
          <w:szCs w:val="32"/>
        </w:rPr>
        <w:fldChar w:fldCharType="separate"/>
      </w:r>
      <w:r w:rsidR="00682759">
        <w:rPr>
          <w:noProof/>
          <w:color w:val="4F6228"/>
          <w:sz w:val="32"/>
          <w:szCs w:val="32"/>
        </w:rPr>
        <w:t>11</w:t>
      </w:r>
      <w:r w:rsidRPr="00682759">
        <w:rPr>
          <w:noProof/>
          <w:color w:val="4F6228"/>
          <w:sz w:val="32"/>
          <w:szCs w:val="32"/>
        </w:rPr>
        <w:fldChar w:fldCharType="end"/>
      </w:r>
    </w:p>
    <w:p w:rsidR="00617F41" w:rsidRPr="00682759" w:rsidRDefault="00617F41">
      <w:pPr>
        <w:pStyle w:val="aff0"/>
        <w:tabs>
          <w:tab w:val="right" w:leader="dot" w:pos="9628"/>
        </w:tabs>
        <w:rPr>
          <w:noProof/>
          <w:color w:val="4F6228"/>
          <w:sz w:val="32"/>
          <w:szCs w:val="32"/>
        </w:rPr>
      </w:pPr>
      <w:r w:rsidRPr="00682759">
        <w:rPr>
          <w:noProof/>
          <w:snapToGrid w:val="0"/>
          <w:color w:val="4F6228"/>
          <w:spacing w:val="-2"/>
          <w:sz w:val="32"/>
          <w:szCs w:val="32"/>
        </w:rPr>
        <w:t>СИСТЕМЫ МЕЖДУНАРОДНЫХ ДЕНЕЖНЫХ ПЕРЕВОДОВ</w:t>
      </w:r>
      <w:r w:rsidRPr="00682759">
        <w:rPr>
          <w:noProof/>
          <w:color w:val="4F6228"/>
          <w:sz w:val="32"/>
          <w:szCs w:val="32"/>
        </w:rPr>
        <w:tab/>
      </w:r>
      <w:r w:rsidRPr="00682759">
        <w:rPr>
          <w:noProof/>
          <w:color w:val="4F6228"/>
          <w:sz w:val="32"/>
          <w:szCs w:val="32"/>
        </w:rPr>
        <w:fldChar w:fldCharType="begin"/>
      </w:r>
      <w:r w:rsidRPr="00682759">
        <w:rPr>
          <w:noProof/>
          <w:color w:val="4F6228"/>
          <w:sz w:val="32"/>
          <w:szCs w:val="32"/>
        </w:rPr>
        <w:instrText xml:space="preserve"> PAGEREF _Toc412583016 \h </w:instrText>
      </w:r>
      <w:r w:rsidR="006A124B" w:rsidRPr="00682759">
        <w:rPr>
          <w:noProof/>
          <w:color w:val="4F6228"/>
          <w:sz w:val="32"/>
          <w:szCs w:val="32"/>
        </w:rPr>
      </w:r>
      <w:r w:rsidRPr="00682759">
        <w:rPr>
          <w:noProof/>
          <w:color w:val="4F6228"/>
          <w:sz w:val="32"/>
          <w:szCs w:val="32"/>
        </w:rPr>
        <w:fldChar w:fldCharType="separate"/>
      </w:r>
      <w:r w:rsidR="00682759">
        <w:rPr>
          <w:noProof/>
          <w:color w:val="4F6228"/>
          <w:sz w:val="32"/>
          <w:szCs w:val="32"/>
        </w:rPr>
        <w:t>1</w:t>
      </w:r>
      <w:r w:rsidRPr="00682759">
        <w:rPr>
          <w:noProof/>
          <w:color w:val="4F6228"/>
          <w:sz w:val="32"/>
          <w:szCs w:val="32"/>
        </w:rPr>
        <w:fldChar w:fldCharType="end"/>
      </w:r>
      <w:r w:rsidR="00682759">
        <w:rPr>
          <w:noProof/>
          <w:color w:val="4F6228"/>
          <w:sz w:val="32"/>
          <w:szCs w:val="32"/>
        </w:rPr>
        <w:t>7</w:t>
      </w:r>
    </w:p>
    <w:p w:rsidR="00617F41" w:rsidRPr="00682759" w:rsidRDefault="00617F41">
      <w:pPr>
        <w:pStyle w:val="aff0"/>
        <w:tabs>
          <w:tab w:val="right" w:leader="dot" w:pos="9628"/>
        </w:tabs>
        <w:rPr>
          <w:noProof/>
          <w:color w:val="4F6228"/>
          <w:sz w:val="32"/>
          <w:szCs w:val="32"/>
        </w:rPr>
      </w:pPr>
      <w:r w:rsidRPr="00682759">
        <w:rPr>
          <w:noProof/>
          <w:snapToGrid w:val="0"/>
          <w:color w:val="4F6228"/>
          <w:spacing w:val="-2"/>
          <w:sz w:val="32"/>
          <w:szCs w:val="32"/>
        </w:rPr>
        <w:t>РЫНОК ЭЛЕКТРОННЫХ ДЕНЕГ</w:t>
      </w:r>
      <w:r w:rsidRPr="00682759">
        <w:rPr>
          <w:noProof/>
          <w:color w:val="4F6228"/>
          <w:sz w:val="32"/>
          <w:szCs w:val="32"/>
        </w:rPr>
        <w:tab/>
      </w:r>
      <w:r w:rsidRPr="00682759">
        <w:rPr>
          <w:noProof/>
          <w:color w:val="4F6228"/>
          <w:sz w:val="32"/>
          <w:szCs w:val="32"/>
        </w:rPr>
        <w:fldChar w:fldCharType="begin"/>
      </w:r>
      <w:r w:rsidRPr="00682759">
        <w:rPr>
          <w:noProof/>
          <w:color w:val="4F6228"/>
          <w:sz w:val="32"/>
          <w:szCs w:val="32"/>
        </w:rPr>
        <w:instrText xml:space="preserve"> PAGEREF _Toc412583017 \h </w:instrText>
      </w:r>
      <w:r w:rsidR="006A124B" w:rsidRPr="00682759">
        <w:rPr>
          <w:noProof/>
          <w:color w:val="4F6228"/>
          <w:sz w:val="32"/>
          <w:szCs w:val="32"/>
        </w:rPr>
      </w:r>
      <w:r w:rsidRPr="00682759">
        <w:rPr>
          <w:noProof/>
          <w:color w:val="4F6228"/>
          <w:sz w:val="32"/>
          <w:szCs w:val="32"/>
        </w:rPr>
        <w:fldChar w:fldCharType="separate"/>
      </w:r>
      <w:r w:rsidR="00682759">
        <w:rPr>
          <w:noProof/>
          <w:color w:val="4F6228"/>
          <w:sz w:val="32"/>
          <w:szCs w:val="32"/>
        </w:rPr>
        <w:t>25</w:t>
      </w:r>
      <w:r w:rsidRPr="00682759">
        <w:rPr>
          <w:noProof/>
          <w:color w:val="4F6228"/>
          <w:sz w:val="32"/>
          <w:szCs w:val="32"/>
        </w:rPr>
        <w:fldChar w:fldCharType="end"/>
      </w:r>
    </w:p>
    <w:p w:rsidR="00617F41" w:rsidRPr="00682759" w:rsidRDefault="00617F41">
      <w:pPr>
        <w:pStyle w:val="aff0"/>
        <w:tabs>
          <w:tab w:val="right" w:leader="dot" w:pos="9628"/>
        </w:tabs>
        <w:rPr>
          <w:noProof/>
          <w:color w:val="4F6228"/>
          <w:sz w:val="32"/>
          <w:szCs w:val="32"/>
        </w:rPr>
      </w:pPr>
      <w:r w:rsidRPr="00682759">
        <w:rPr>
          <w:noProof/>
          <w:snapToGrid w:val="0"/>
          <w:color w:val="4F6228"/>
          <w:spacing w:val="-2"/>
          <w:sz w:val="32"/>
          <w:szCs w:val="32"/>
        </w:rPr>
        <w:t>ПЛАТЕЖНЫЕ ИНСТРУМЕНТЫ</w:t>
      </w:r>
      <w:r w:rsidRPr="00682759">
        <w:rPr>
          <w:noProof/>
          <w:color w:val="4F6228"/>
          <w:sz w:val="32"/>
          <w:szCs w:val="32"/>
        </w:rPr>
        <w:tab/>
      </w:r>
      <w:r w:rsidRPr="00682759">
        <w:rPr>
          <w:noProof/>
          <w:color w:val="4F6228"/>
          <w:sz w:val="32"/>
          <w:szCs w:val="32"/>
        </w:rPr>
        <w:fldChar w:fldCharType="begin"/>
      </w:r>
      <w:r w:rsidRPr="00682759">
        <w:rPr>
          <w:noProof/>
          <w:color w:val="4F6228"/>
          <w:sz w:val="32"/>
          <w:szCs w:val="32"/>
        </w:rPr>
        <w:instrText xml:space="preserve"> PAGEREF _Toc412583018 \h </w:instrText>
      </w:r>
      <w:r w:rsidR="006A124B" w:rsidRPr="00682759">
        <w:rPr>
          <w:noProof/>
          <w:color w:val="4F6228"/>
          <w:sz w:val="32"/>
          <w:szCs w:val="32"/>
        </w:rPr>
      </w:r>
      <w:r w:rsidRPr="00682759">
        <w:rPr>
          <w:noProof/>
          <w:color w:val="4F6228"/>
          <w:sz w:val="32"/>
          <w:szCs w:val="32"/>
        </w:rPr>
        <w:fldChar w:fldCharType="separate"/>
      </w:r>
      <w:r w:rsidR="00682759">
        <w:rPr>
          <w:noProof/>
          <w:color w:val="4F6228"/>
          <w:sz w:val="32"/>
          <w:szCs w:val="32"/>
        </w:rPr>
        <w:t>27</w:t>
      </w:r>
      <w:r w:rsidRPr="00682759">
        <w:rPr>
          <w:noProof/>
          <w:color w:val="4F6228"/>
          <w:sz w:val="32"/>
          <w:szCs w:val="32"/>
        </w:rPr>
        <w:fldChar w:fldCharType="end"/>
      </w:r>
    </w:p>
    <w:p w:rsidR="00617F41" w:rsidRPr="00682759" w:rsidRDefault="00617F41" w:rsidP="006702BF">
      <w:pPr>
        <w:tabs>
          <w:tab w:val="right" w:leader="dot" w:pos="9724"/>
        </w:tabs>
        <w:spacing w:after="120"/>
        <w:outlineLvl w:val="1"/>
        <w:rPr>
          <w:color w:val="4F6228"/>
          <w:sz w:val="32"/>
          <w:szCs w:val="32"/>
          <w:lang w:val="kk-KZ"/>
        </w:rPr>
      </w:pPr>
      <w:r w:rsidRPr="00682759">
        <w:rPr>
          <w:bCs/>
          <w:caps/>
          <w:noProof/>
          <w:color w:val="4F6228"/>
          <w:sz w:val="32"/>
          <w:szCs w:val="32"/>
          <w:lang w:eastAsia="en-US"/>
        </w:rPr>
        <w:fldChar w:fldCharType="end"/>
      </w:r>
    </w:p>
    <w:p w:rsidR="00617F41" w:rsidRPr="00586448" w:rsidRDefault="00617F41" w:rsidP="006702BF">
      <w:pPr>
        <w:jc w:val="center"/>
        <w:rPr>
          <w:rFonts w:ascii="Cambria" w:hAnsi="Cambria"/>
          <w:b/>
          <w:color w:val="9BBB59"/>
          <w:sz w:val="26"/>
          <w:szCs w:val="26"/>
          <w:lang w:val="kk-KZ"/>
        </w:rPr>
      </w:pPr>
    </w:p>
    <w:p w:rsidR="00617F41" w:rsidRDefault="00617F41" w:rsidP="006702BF">
      <w:pPr>
        <w:jc w:val="center"/>
        <w:rPr>
          <w:rFonts w:ascii="Cambria" w:hAnsi="Cambria"/>
          <w:b/>
          <w:color w:val="4F6228"/>
          <w:sz w:val="26"/>
          <w:szCs w:val="26"/>
          <w:lang w:val="kk-KZ"/>
        </w:rPr>
      </w:pPr>
    </w:p>
    <w:p w:rsidR="00617F41" w:rsidRPr="00586448" w:rsidRDefault="00617F41" w:rsidP="006702BF">
      <w:pPr>
        <w:jc w:val="center"/>
        <w:rPr>
          <w:rFonts w:ascii="Cambria" w:hAnsi="Cambria"/>
          <w:b/>
          <w:color w:val="4F6228"/>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rFonts w:ascii="Cambria" w:hAnsi="Cambria"/>
          <w:b/>
          <w:sz w:val="26"/>
          <w:szCs w:val="26"/>
          <w:lang w:val="kk-KZ"/>
        </w:rPr>
      </w:pPr>
    </w:p>
    <w:p w:rsidR="00617F41" w:rsidRPr="000D49E5"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Default="00617F41" w:rsidP="006702BF">
      <w:pPr>
        <w:jc w:val="center"/>
        <w:rPr>
          <w:b/>
          <w:sz w:val="26"/>
          <w:szCs w:val="26"/>
          <w:lang w:val="kk-KZ"/>
        </w:rPr>
      </w:pPr>
    </w:p>
    <w:p w:rsidR="00617F41" w:rsidRPr="00D21767" w:rsidRDefault="00617F41" w:rsidP="006702BF">
      <w:pPr>
        <w:shd w:val="clear" w:color="auto" w:fill="FFFFFF"/>
        <w:ind w:firstLine="709"/>
        <w:jc w:val="both"/>
        <w:rPr>
          <w:sz w:val="28"/>
          <w:szCs w:val="28"/>
        </w:rPr>
      </w:pPr>
    </w:p>
    <w:p w:rsidR="00617F41" w:rsidRPr="00D21767" w:rsidRDefault="00617F41" w:rsidP="006702BF">
      <w:pPr>
        <w:shd w:val="clear" w:color="auto" w:fill="FFFFFF"/>
        <w:ind w:firstLine="709"/>
        <w:jc w:val="both"/>
        <w:rPr>
          <w:sz w:val="28"/>
          <w:szCs w:val="28"/>
        </w:rPr>
      </w:pPr>
    </w:p>
    <w:p w:rsidR="00617F41" w:rsidRPr="000D49E5" w:rsidRDefault="00617F41" w:rsidP="009F240E">
      <w:pPr>
        <w:pStyle w:val="1"/>
        <w:tabs>
          <w:tab w:val="left" w:pos="561"/>
        </w:tabs>
        <w:spacing w:before="0" w:after="0" w:line="233" w:lineRule="auto"/>
        <w:jc w:val="center"/>
        <w:rPr>
          <w:bCs w:val="0"/>
          <w:snapToGrid w:val="0"/>
          <w:color w:val="008000"/>
          <w:spacing w:val="-2"/>
          <w:kern w:val="0"/>
          <w:sz w:val="36"/>
          <w:szCs w:val="36"/>
        </w:rPr>
      </w:pPr>
      <w:bookmarkStart w:id="1" w:name="_Toc412583014"/>
      <w:bookmarkStart w:id="2" w:name="Итоги"/>
      <w:r w:rsidRPr="000D49E5">
        <w:rPr>
          <w:bCs w:val="0"/>
          <w:snapToGrid w:val="0"/>
          <w:color w:val="008000"/>
          <w:spacing w:val="-2"/>
          <w:kern w:val="0"/>
          <w:sz w:val="36"/>
          <w:szCs w:val="36"/>
        </w:rPr>
        <w:lastRenderedPageBreak/>
        <w:t>ПЛАТЕЖНЫЕ СИСТЕМЫ (МСПД И СМК)</w:t>
      </w:r>
      <w:bookmarkEnd w:id="1"/>
    </w:p>
    <w:p w:rsidR="00617F41" w:rsidRDefault="00617F41" w:rsidP="009F240E">
      <w:pPr>
        <w:pStyle w:val="ad"/>
        <w:rPr>
          <w:color w:val="008000"/>
          <w:sz w:val="32"/>
          <w:szCs w:val="32"/>
        </w:rPr>
      </w:pPr>
    </w:p>
    <w:p w:rsidR="00617F41" w:rsidRDefault="00617F41" w:rsidP="00D21767">
      <w:pPr>
        <w:pStyle w:val="ad"/>
        <w:rPr>
          <w:szCs w:val="28"/>
        </w:rPr>
      </w:pPr>
      <w:r w:rsidRPr="00D21767">
        <w:rPr>
          <w:szCs w:val="28"/>
        </w:rPr>
        <w:t xml:space="preserve">Действующие в настоящее время в Казахстане национальные платежные системы, оператором которых является </w:t>
      </w:r>
      <w:r>
        <w:rPr>
          <w:szCs w:val="28"/>
        </w:rPr>
        <w:t>Республиканское государственное предприятие на праве хозяйственного ведения «Казахстанский центр межбанковских расчетов Национального Банка РК» (МСПД</w:t>
      </w:r>
      <w:r w:rsidRPr="00D21767">
        <w:rPr>
          <w:vertAlign w:val="superscript"/>
        </w:rPr>
        <w:footnoteReference w:id="1"/>
      </w:r>
      <w:r>
        <w:rPr>
          <w:szCs w:val="28"/>
        </w:rPr>
        <w:t xml:space="preserve"> и СМК</w:t>
      </w:r>
      <w:r w:rsidRPr="00D21767">
        <w:rPr>
          <w:vertAlign w:val="superscript"/>
        </w:rPr>
        <w:footnoteReference w:id="2"/>
      </w:r>
      <w:r>
        <w:rPr>
          <w:szCs w:val="28"/>
        </w:rPr>
        <w:t xml:space="preserve">) </w:t>
      </w:r>
      <w:r w:rsidRPr="00D21767">
        <w:rPr>
          <w:szCs w:val="28"/>
        </w:rPr>
        <w:t xml:space="preserve"> характеризуются </w:t>
      </w:r>
      <w:r>
        <w:rPr>
          <w:szCs w:val="28"/>
        </w:rPr>
        <w:t>наличием значительной и полной правовой базой</w:t>
      </w:r>
      <w:r w:rsidRPr="00D21767">
        <w:rPr>
          <w:szCs w:val="28"/>
        </w:rPr>
        <w:t xml:space="preserve">, </w:t>
      </w:r>
      <w:r>
        <w:rPr>
          <w:szCs w:val="28"/>
        </w:rPr>
        <w:t>высокой степенью безопасности и надежности используемых информационных решений</w:t>
      </w:r>
      <w:r w:rsidRPr="00D21767">
        <w:rPr>
          <w:szCs w:val="28"/>
        </w:rPr>
        <w:t xml:space="preserve">. </w:t>
      </w:r>
      <w:r>
        <w:rPr>
          <w:szCs w:val="28"/>
        </w:rPr>
        <w:t>Так, в 2014 году</w:t>
      </w:r>
      <w:r w:rsidRPr="00EC4F4E">
        <w:rPr>
          <w:szCs w:val="28"/>
        </w:rPr>
        <w:t xml:space="preserve"> коэффициент </w:t>
      </w:r>
      <w:r>
        <w:rPr>
          <w:szCs w:val="28"/>
        </w:rPr>
        <w:t>беспрерывности работы (</w:t>
      </w:r>
      <w:r w:rsidRPr="00EC4F4E">
        <w:rPr>
          <w:szCs w:val="28"/>
        </w:rPr>
        <w:t>работоспособности</w:t>
      </w:r>
      <w:r>
        <w:rPr>
          <w:szCs w:val="28"/>
        </w:rPr>
        <w:t>)</w:t>
      </w:r>
      <w:r w:rsidRPr="00EC4F4E">
        <w:rPr>
          <w:szCs w:val="28"/>
        </w:rPr>
        <w:t xml:space="preserve"> МСПД составил 99,949%, коэффициент работоспособности </w:t>
      </w:r>
      <w:r>
        <w:rPr>
          <w:szCs w:val="28"/>
        </w:rPr>
        <w:t>СМК</w:t>
      </w:r>
      <w:r w:rsidRPr="00EC4F4E">
        <w:rPr>
          <w:szCs w:val="28"/>
        </w:rPr>
        <w:t xml:space="preserve"> составил 99,997</w:t>
      </w:r>
      <w:r>
        <w:rPr>
          <w:szCs w:val="28"/>
        </w:rPr>
        <w:t xml:space="preserve">%, что </w:t>
      </w:r>
      <w:r w:rsidRPr="00EC4F4E">
        <w:rPr>
          <w:szCs w:val="28"/>
        </w:rPr>
        <w:t>характеризует высокую эффективность функционирующих в стране систем</w:t>
      </w:r>
      <w:r>
        <w:rPr>
          <w:szCs w:val="28"/>
        </w:rPr>
        <w:t>.</w:t>
      </w:r>
    </w:p>
    <w:p w:rsidR="00617F41" w:rsidRDefault="00617F41" w:rsidP="00D21767">
      <w:pPr>
        <w:pStyle w:val="ad"/>
        <w:rPr>
          <w:szCs w:val="28"/>
        </w:rPr>
      </w:pPr>
      <w:r>
        <w:rPr>
          <w:szCs w:val="28"/>
        </w:rPr>
        <w:t xml:space="preserve">При этом указанные платежные системы основаны на внутренних программных продуктах и используют локальную систему обмена сообщениями, что позволяет своевременно проводить необходимые настройки и доработки систем в целях полного удовлетворения </w:t>
      </w:r>
      <w:r w:rsidRPr="00D21767">
        <w:rPr>
          <w:szCs w:val="28"/>
        </w:rPr>
        <w:t>потребн</w:t>
      </w:r>
      <w:r>
        <w:rPr>
          <w:szCs w:val="28"/>
        </w:rPr>
        <w:t xml:space="preserve">остям пользователей систем. </w:t>
      </w:r>
    </w:p>
    <w:p w:rsidR="00617F41" w:rsidRPr="00223D1D" w:rsidRDefault="00617F41" w:rsidP="009F240E">
      <w:pPr>
        <w:pStyle w:val="ad"/>
        <w:rPr>
          <w:szCs w:val="28"/>
        </w:rPr>
      </w:pPr>
      <w:r>
        <w:rPr>
          <w:szCs w:val="28"/>
        </w:rPr>
        <w:t xml:space="preserve">Ввиду высокого уровня надежности и безопасности действующих платежных систем сохраняется тенденция ежегодного роста объемов платежей в указанных системах, так в 2014 году </w:t>
      </w:r>
      <w:r w:rsidRPr="00223D1D">
        <w:rPr>
          <w:szCs w:val="28"/>
        </w:rPr>
        <w:t xml:space="preserve">через </w:t>
      </w:r>
      <w:r>
        <w:rPr>
          <w:szCs w:val="28"/>
        </w:rPr>
        <w:t>МСПД и СМК</w:t>
      </w:r>
      <w:r w:rsidRPr="00223D1D">
        <w:rPr>
          <w:szCs w:val="28"/>
        </w:rPr>
        <w:t xml:space="preserve"> было проведено </w:t>
      </w:r>
      <w:r w:rsidRPr="004D2550">
        <w:rPr>
          <w:szCs w:val="28"/>
        </w:rPr>
        <w:t xml:space="preserve">34,7 </w:t>
      </w:r>
      <w:r w:rsidRPr="00223D1D">
        <w:rPr>
          <w:szCs w:val="28"/>
        </w:rPr>
        <w:t xml:space="preserve">млн. транзакций на сумму </w:t>
      </w:r>
      <w:r w:rsidRPr="004D2550">
        <w:rPr>
          <w:szCs w:val="28"/>
        </w:rPr>
        <w:t>202,6</w:t>
      </w:r>
      <w:r w:rsidRPr="00D7097B">
        <w:rPr>
          <w:szCs w:val="28"/>
        </w:rPr>
        <w:t xml:space="preserve"> </w:t>
      </w:r>
      <w:r w:rsidRPr="00223D1D">
        <w:rPr>
          <w:szCs w:val="28"/>
        </w:rPr>
        <w:t xml:space="preserve">трлн. тенге. По сравнению с </w:t>
      </w:r>
      <w:r>
        <w:rPr>
          <w:szCs w:val="28"/>
        </w:rPr>
        <w:t>2013</w:t>
      </w:r>
      <w:r w:rsidRPr="00223D1D">
        <w:rPr>
          <w:szCs w:val="28"/>
        </w:rPr>
        <w:t xml:space="preserve"> годом количество платежей в платежных системах </w:t>
      </w:r>
      <w:r w:rsidRPr="004D2550">
        <w:rPr>
          <w:szCs w:val="28"/>
        </w:rPr>
        <w:t>уменьшилось на 1,6%</w:t>
      </w:r>
      <w:r>
        <w:rPr>
          <w:szCs w:val="28"/>
        </w:rPr>
        <w:t xml:space="preserve">, а </w:t>
      </w:r>
      <w:r w:rsidRPr="004D2550">
        <w:rPr>
          <w:szCs w:val="28"/>
        </w:rPr>
        <w:t>сумма</w:t>
      </w:r>
      <w:r>
        <w:rPr>
          <w:szCs w:val="28"/>
        </w:rPr>
        <w:t xml:space="preserve"> платежей увеличилась на 14,1%</w:t>
      </w:r>
      <w:r w:rsidRPr="004D2550">
        <w:rPr>
          <w:szCs w:val="28"/>
        </w:rPr>
        <w:t>.</w:t>
      </w:r>
    </w:p>
    <w:p w:rsidR="00617F41" w:rsidRPr="000364FD" w:rsidRDefault="00617F41" w:rsidP="009F240E">
      <w:pPr>
        <w:autoSpaceDE w:val="0"/>
        <w:autoSpaceDN w:val="0"/>
        <w:adjustRightInd w:val="0"/>
        <w:ind w:firstLine="709"/>
        <w:jc w:val="center"/>
        <w:rPr>
          <w:rFonts w:eastAsia="MS Mincho"/>
          <w:b/>
          <w:color w:val="000000"/>
          <w:lang w:eastAsia="ja-JP"/>
        </w:rPr>
      </w:pPr>
      <w:r w:rsidRPr="000364FD">
        <w:rPr>
          <w:rFonts w:eastAsia="MS Mincho"/>
          <w:b/>
          <w:color w:val="000000"/>
          <w:lang w:eastAsia="ja-JP"/>
        </w:rPr>
        <w:t xml:space="preserve">Динамика потоков платежей в МСПД и СМК </w:t>
      </w:r>
    </w:p>
    <w:p w:rsidR="00617F41" w:rsidRDefault="00786A4E" w:rsidP="009F240E">
      <w:pPr>
        <w:spacing w:line="228" w:lineRule="auto"/>
        <w:jc w:val="both"/>
        <w:rPr>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-66675</wp:posOffset>
                </wp:positionH>
                <wp:positionV relativeFrom="paragraph">
                  <wp:posOffset>78105</wp:posOffset>
                </wp:positionV>
                <wp:extent cx="871855" cy="252095"/>
                <wp:effectExtent l="0" t="2540" r="0" b="254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5DF" w:rsidRPr="00226772" w:rsidRDefault="00AB15DF" w:rsidP="009F240E">
                            <w:pPr>
                              <w:rPr>
                                <w:sz w:val="22"/>
                                <w:szCs w:val="22"/>
                              </w:rPr>
                            </w:pPr>
                            <w:r w:rsidRPr="00226772">
                              <w:rPr>
                                <w:sz w:val="22"/>
                                <w:szCs w:val="22"/>
                              </w:rPr>
                              <w:t>млн. тр.</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25pt;margin-top:6.15pt;width:68.65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" filled="f" stroked="f">
                <v:textbox style="mso-fit-shape-to-text:t">
                  <w:txbxContent>
                    <w:p w:rsidR="00AB15DF" w:rsidRPr="00226772" w:rsidRDefault="00AB15DF" w:rsidP="009F240E">
                      <w:pPr>
                        <w:rPr>
                          <w:sz w:val="22"/>
                          <w:szCs w:val="22"/>
                        </w:rPr>
                      </w:pPr>
                      <w:r w:rsidRPr="00226772">
                        <w:rPr>
                          <w:sz w:val="22"/>
                          <w:szCs w:val="22"/>
                        </w:rPr>
                        <w:t>млн. тр.</w:t>
                      </w:r>
                    </w:p>
                  </w:txbxContent>
                </v:textbox>
              </v:shape>
            </w:pict>
          </mc:Fallback>
        </mc:AlternateContent>
      </w:r>
      <w:r w:rsidR="007C7F20">
        <w:object w:dxaOrig="4800" w:dyaOrig="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9pt;height:184.2pt" o:ole="">
            <v:imagedata r:id="rId10" o:title="" croptop="-4275f" cropbottom="-3728f" cropleft="-1748f" cropright="-5686f"/>
            <o:lock v:ext="edit" aspectratio="f"/>
          </v:shape>
          <o:OLEObject Type="Embed" ProgID="Excel.Sheet.12" ShapeID="_x0000_i1027" DrawAspect="Icon" ObjectID="_1635255218" r:id="rId11"/>
        </w:object>
      </w:r>
      <w:r w:rsidR="00D565DB">
        <w:object w:dxaOrig="4785" w:dyaOrig="3630">
          <v:shape id="_x0000_i1028" type="#_x0000_t75" style="width:228pt;height:184.6pt" o:ole="">
            <v:imagedata r:id="rId12" o:title="" croptop="-5326f" cropbottom="-3784f" cropleft="-1608f" cropright="-5446f"/>
            <o:lock v:ext="edit" aspectratio="f"/>
          </v:shape>
          <o:OLEObject Type="Embed" ProgID="Excel.Sheet.12" ShapeID="_x0000_i1028" DrawAspect="Icon" ObjectID="_1635255219" r:id="rId13"/>
        </w:object>
      </w:r>
    </w:p>
    <w:p w:rsidR="00617F41" w:rsidRPr="006A124B" w:rsidRDefault="00617F41" w:rsidP="009F240E">
      <w:pPr>
        <w:autoSpaceDE w:val="0"/>
        <w:autoSpaceDN w:val="0"/>
        <w:adjustRightInd w:val="0"/>
        <w:ind w:firstLine="709"/>
        <w:jc w:val="both"/>
        <w:rPr>
          <w:sz w:val="28"/>
          <w:szCs w:val="28"/>
        </w:rPr>
      </w:pPr>
      <w:r>
        <w:rPr>
          <w:sz w:val="28"/>
          <w:szCs w:val="28"/>
        </w:rPr>
        <w:t>После спада объемов платежей в 2012 году, что было обусловлено уменьшением объемов платежей по операциям с депозитами и ценными бумагами, объемы платежей через МСПД и СМК в 2014 году продолжили динамику роста и достигли максимального уровня за все время работы платежных систем.</w:t>
      </w:r>
    </w:p>
    <w:p w:rsidR="00020A82" w:rsidRPr="006A124B" w:rsidRDefault="00020A82" w:rsidP="00020A82">
      <w:pPr>
        <w:autoSpaceDE w:val="0"/>
        <w:autoSpaceDN w:val="0"/>
        <w:adjustRightInd w:val="0"/>
        <w:ind w:firstLine="709"/>
        <w:jc w:val="both"/>
        <w:rPr>
          <w:sz w:val="28"/>
          <w:szCs w:val="28"/>
        </w:rPr>
      </w:pPr>
      <w:r w:rsidRPr="006A124B">
        <w:rPr>
          <w:sz w:val="28"/>
          <w:szCs w:val="28"/>
        </w:rPr>
        <w:lastRenderedPageBreak/>
        <w:t>В среднем за день через платежные системы в 2014 году проводилось 141,5 тыс. транзакций на сумму 826,9 млрд. тенге, что меньше в сравнении с 2013 годом по количеству платежей на 1,2% и больше по сумме на 14,5%.</w:t>
      </w:r>
    </w:p>
    <w:p w:rsidR="00020A82" w:rsidRPr="006A124B" w:rsidRDefault="00020A82" w:rsidP="00020A82">
      <w:pPr>
        <w:autoSpaceDE w:val="0"/>
        <w:autoSpaceDN w:val="0"/>
        <w:adjustRightInd w:val="0"/>
        <w:ind w:firstLine="709"/>
        <w:jc w:val="both"/>
        <w:rPr>
          <w:sz w:val="28"/>
          <w:szCs w:val="28"/>
        </w:rPr>
      </w:pPr>
      <w:r w:rsidRPr="006A124B">
        <w:rPr>
          <w:sz w:val="28"/>
          <w:szCs w:val="28"/>
        </w:rPr>
        <w:t>Максимальный пик объема проведенных платежей за один день зафиксирован 31 декабря 2014 года и составил 2 752,2 млрд. тенге, что больше средней суммы проведенных платежей за 2014 года в 3,3 раза.</w:t>
      </w:r>
    </w:p>
    <w:p w:rsidR="00A95B3A" w:rsidRPr="006A124B" w:rsidRDefault="00AC7D0E" w:rsidP="00AC7D0E">
      <w:pPr>
        <w:ind w:firstLine="708"/>
        <w:jc w:val="both"/>
        <w:rPr>
          <w:sz w:val="28"/>
          <w:szCs w:val="28"/>
        </w:rPr>
      </w:pPr>
      <w:r w:rsidRPr="006A124B">
        <w:rPr>
          <w:sz w:val="28"/>
          <w:szCs w:val="28"/>
        </w:rPr>
        <w:t>При этом через МСПД в</w:t>
      </w:r>
      <w:r w:rsidR="00020A82" w:rsidRPr="006A124B">
        <w:rPr>
          <w:sz w:val="28"/>
          <w:szCs w:val="28"/>
        </w:rPr>
        <w:t xml:space="preserve"> среднем за день в 2014 году проходило 57,1 тыс. транзакций на сумму 804,9 млрд. тенге, что больше в сравнении с 2013 годом по количеству на 1,2% и по сумме на 14,6%. </w:t>
      </w:r>
      <w:r w:rsidRPr="006A124B">
        <w:rPr>
          <w:sz w:val="28"/>
          <w:szCs w:val="28"/>
        </w:rPr>
        <w:t xml:space="preserve">Через клиринговую систему в </w:t>
      </w:r>
      <w:r w:rsidR="00020A82" w:rsidRPr="006A124B">
        <w:rPr>
          <w:sz w:val="28"/>
          <w:szCs w:val="28"/>
        </w:rPr>
        <w:t xml:space="preserve"> среднем за день за 2014 год проходило 84,4 тыс. платежных сообщений на сумму 22,0 млрд. тенге, что по сравнению с 2013 годом меньше по количеству платежей на 2,7%  и больше по сумме платежей – на 12,4%. </w:t>
      </w:r>
    </w:p>
    <w:p w:rsidR="00A95B3A" w:rsidRDefault="00A95B3A" w:rsidP="00A95B3A">
      <w:pPr>
        <w:autoSpaceDE w:val="0"/>
        <w:autoSpaceDN w:val="0"/>
        <w:adjustRightInd w:val="0"/>
        <w:spacing w:line="226" w:lineRule="auto"/>
        <w:ind w:firstLine="709"/>
        <w:jc w:val="both"/>
        <w:rPr>
          <w:sz w:val="28"/>
          <w:szCs w:val="28"/>
        </w:rPr>
      </w:pPr>
      <w:r>
        <w:rPr>
          <w:sz w:val="28"/>
          <w:szCs w:val="28"/>
        </w:rPr>
        <w:t xml:space="preserve">Клиент, обращаясь в банк, может выбрать МСПД или СМК для осуществления платежей. Для срочных и высокоприоритетных платежей на крупные суммы, требующих незамедлительного расчета, предпочтение отдается </w:t>
      </w:r>
      <w:r w:rsidRPr="009A21C9">
        <w:rPr>
          <w:b/>
          <w:i/>
          <w:sz w:val="28"/>
          <w:szCs w:val="28"/>
        </w:rPr>
        <w:t>МСПД</w:t>
      </w:r>
      <w:r>
        <w:rPr>
          <w:sz w:val="28"/>
          <w:szCs w:val="28"/>
        </w:rPr>
        <w:t>. В связи с чем, через данную систему обрабатывается основной</w:t>
      </w:r>
    </w:p>
    <w:tbl>
      <w:tblPr>
        <w:tblW w:w="10664" w:type="dxa"/>
        <w:tblLook w:val="00A0" w:firstRow="1" w:lastRow="0" w:firstColumn="1" w:lastColumn="0" w:noHBand="0" w:noVBand="0"/>
      </w:tblPr>
      <w:tblGrid>
        <w:gridCol w:w="4928"/>
        <w:gridCol w:w="5736"/>
      </w:tblGrid>
      <w:tr w:rsidR="00A95B3A" w:rsidTr="00AC7D0E">
        <w:trPr>
          <w:trHeight w:val="3163"/>
        </w:trPr>
        <w:tc>
          <w:tcPr>
            <w:tcW w:w="4928" w:type="dxa"/>
          </w:tcPr>
          <w:p w:rsidR="00A95B3A" w:rsidRPr="007A05EB" w:rsidRDefault="00A95B3A" w:rsidP="00B82DD5">
            <w:pPr>
              <w:autoSpaceDE w:val="0"/>
              <w:autoSpaceDN w:val="0"/>
              <w:adjustRightInd w:val="0"/>
              <w:spacing w:line="228" w:lineRule="auto"/>
              <w:jc w:val="both"/>
              <w:rPr>
                <w:sz w:val="28"/>
                <w:szCs w:val="28"/>
              </w:rPr>
            </w:pPr>
            <w:r w:rsidRPr="007A05EB">
              <w:rPr>
                <w:sz w:val="28"/>
                <w:szCs w:val="28"/>
              </w:rPr>
              <w:t>объем платежей в стране (97,3% от общего объема платежей и 40,3% от их общего количества), в частности, это операции с финансовыми инструментами.</w:t>
            </w:r>
          </w:p>
          <w:p w:rsidR="00A95B3A" w:rsidRPr="007A05EB" w:rsidRDefault="00A95B3A" w:rsidP="00B82DD5">
            <w:pPr>
              <w:spacing w:line="228" w:lineRule="auto"/>
              <w:ind w:firstLine="709"/>
              <w:jc w:val="both"/>
              <w:rPr>
                <w:sz w:val="28"/>
                <w:szCs w:val="28"/>
              </w:rPr>
            </w:pPr>
            <w:r w:rsidRPr="007A05EB">
              <w:rPr>
                <w:sz w:val="28"/>
                <w:szCs w:val="28"/>
              </w:rPr>
              <w:t>Так, 38,8% от общей суммы платежей в МСПД занимают платежи по операциям с ценными бумагами. Операции с иностранной валютой и драгоценными металлами составляют 17,2%, с депозитами – 16,7%.</w:t>
            </w:r>
          </w:p>
        </w:tc>
        <w:tc>
          <w:tcPr>
            <w:tcW w:w="5736" w:type="dxa"/>
          </w:tcPr>
          <w:p w:rsidR="00A95B3A" w:rsidRPr="007A05EB" w:rsidRDefault="005F44A4" w:rsidP="00B82DD5">
            <w:pPr>
              <w:spacing w:line="228" w:lineRule="auto"/>
              <w:jc w:val="both"/>
              <w:rPr>
                <w:sz w:val="28"/>
                <w:szCs w:val="28"/>
              </w:rPr>
            </w:pPr>
            <w:r>
              <w:object w:dxaOrig="5520" w:dyaOrig="3405">
                <v:shape id="_x0000_i1029" type="#_x0000_t75" style="width:262.75pt;height:164.8pt" o:ole="">
                  <v:imagedata r:id="rId14" o:title="" croptop="-1888f" cropbottom="-7309f" cropleft="-457f" cropright="-349f"/>
                  <o:lock v:ext="edit" aspectratio="f"/>
                </v:shape>
                <o:OLEObject Type="Embed" ProgID="Excel.Sheet.12" ShapeID="_x0000_i1029" DrawAspect="Icon" ObjectID="_1635255220" r:id="rId15"/>
              </w:object>
            </w:r>
          </w:p>
        </w:tc>
      </w:tr>
    </w:tbl>
    <w:p w:rsidR="00A95B3A" w:rsidRDefault="00A95B3A" w:rsidP="00A95B3A">
      <w:pPr>
        <w:autoSpaceDE w:val="0"/>
        <w:autoSpaceDN w:val="0"/>
        <w:adjustRightInd w:val="0"/>
        <w:spacing w:line="228" w:lineRule="auto"/>
        <w:ind w:firstLine="709"/>
        <w:jc w:val="both"/>
        <w:rPr>
          <w:sz w:val="28"/>
          <w:szCs w:val="28"/>
        </w:rPr>
      </w:pPr>
      <w:r>
        <w:rPr>
          <w:sz w:val="28"/>
          <w:szCs w:val="28"/>
        </w:rPr>
        <w:t xml:space="preserve">При выборе </w:t>
      </w:r>
      <w:r w:rsidRPr="009A21C9">
        <w:rPr>
          <w:b/>
          <w:i/>
          <w:sz w:val="28"/>
          <w:szCs w:val="28"/>
        </w:rPr>
        <w:t>Системы межбанковского клиринга</w:t>
      </w:r>
      <w:r w:rsidRPr="009A21C9">
        <w:rPr>
          <w:i/>
          <w:sz w:val="28"/>
          <w:szCs w:val="28"/>
        </w:rPr>
        <w:t xml:space="preserve"> </w:t>
      </w:r>
      <w:r>
        <w:rPr>
          <w:sz w:val="28"/>
          <w:szCs w:val="28"/>
        </w:rPr>
        <w:t xml:space="preserve">следует иметь ввиду, что расчет платежей в данной системе осуществляется только один раз в день (с 15:00 до 16:00 часов), следовательно, при представлении платежного указания в банк ближе или после 15:00 часов расчет   платежа   будет  осуществлен   только  на следующий операционный   день.    Вместе с   тем,   тарифы в   данной системе значительно    </w:t>
      </w:r>
    </w:p>
    <w:tbl>
      <w:tblPr>
        <w:tblW w:w="10589" w:type="dxa"/>
        <w:tblLook w:val="00A0" w:firstRow="1" w:lastRow="0" w:firstColumn="1" w:lastColumn="0" w:noHBand="0" w:noVBand="0"/>
      </w:tblPr>
      <w:tblGrid>
        <w:gridCol w:w="4893"/>
        <w:gridCol w:w="5696"/>
      </w:tblGrid>
      <w:tr w:rsidR="00A95B3A" w:rsidTr="00B82DD5">
        <w:trPr>
          <w:trHeight w:val="3104"/>
        </w:trPr>
        <w:tc>
          <w:tcPr>
            <w:tcW w:w="4893" w:type="dxa"/>
          </w:tcPr>
          <w:p w:rsidR="00A95B3A" w:rsidRPr="007A05EB" w:rsidRDefault="00A95B3A" w:rsidP="00B82DD5">
            <w:pPr>
              <w:spacing w:line="228" w:lineRule="auto"/>
              <w:jc w:val="both"/>
              <w:rPr>
                <w:sz w:val="28"/>
                <w:szCs w:val="28"/>
              </w:rPr>
            </w:pPr>
            <w:r w:rsidRPr="007A05EB">
              <w:rPr>
                <w:sz w:val="28"/>
                <w:szCs w:val="28"/>
              </w:rPr>
              <w:t>ниже стоимости услуг в МСПД, в связи  с чем,  на данную  систему  приходится основной поток мелких платежей (59,7% от общего количества платежей и всего 2,7% от их суммы). Доминирующую долю в СМК занимают платежи за товары, нематериальные активы и услуги. Также значительна доля платежей в бюджет</w:t>
            </w:r>
            <w:r w:rsidR="006A124B">
              <w:rPr>
                <w:sz w:val="28"/>
                <w:szCs w:val="28"/>
              </w:rPr>
              <w:t xml:space="preserve"> и выплат из бюджета, пенсионных</w:t>
            </w:r>
            <w:r w:rsidRPr="007A05EB">
              <w:rPr>
                <w:sz w:val="28"/>
                <w:szCs w:val="28"/>
              </w:rPr>
              <w:t xml:space="preserve"> платежей и пособий.</w:t>
            </w:r>
          </w:p>
        </w:tc>
        <w:tc>
          <w:tcPr>
            <w:tcW w:w="5696" w:type="dxa"/>
          </w:tcPr>
          <w:p w:rsidR="00A95B3A" w:rsidRPr="007A05EB" w:rsidRDefault="005F44A4" w:rsidP="00B82DD5">
            <w:pPr>
              <w:spacing w:line="228" w:lineRule="auto"/>
              <w:jc w:val="both"/>
              <w:rPr>
                <w:sz w:val="28"/>
                <w:szCs w:val="28"/>
              </w:rPr>
            </w:pPr>
            <w:r>
              <w:object w:dxaOrig="5220" w:dyaOrig="3225">
                <v:shape id="_x0000_i1030" type="#_x0000_t75" style="width:255pt;height:168.2pt" o:ole="">
                  <v:imagedata r:id="rId16" o:title="" croptop="-1823f" cropbottom="-997f" cropleft="-483f" cropright="-330f"/>
                  <o:lock v:ext="edit" aspectratio="f"/>
                </v:shape>
                <o:OLEObject Type="Embed" ProgID="Excel.Sheet.12" ShapeID="_x0000_i1030" DrawAspect="Icon" ObjectID="_1635255221" r:id="rId17"/>
              </w:object>
            </w:r>
          </w:p>
        </w:tc>
      </w:tr>
    </w:tbl>
    <w:p w:rsidR="00A95B3A" w:rsidRDefault="00A95B3A" w:rsidP="00A95B3A">
      <w:pPr>
        <w:ind w:firstLine="709"/>
        <w:jc w:val="both"/>
        <w:rPr>
          <w:sz w:val="28"/>
          <w:szCs w:val="28"/>
        </w:rPr>
      </w:pPr>
      <w:r w:rsidRPr="004D2550">
        <w:rPr>
          <w:sz w:val="28"/>
          <w:szCs w:val="28"/>
        </w:rPr>
        <w:t xml:space="preserve">За 2014 год </w:t>
      </w:r>
      <w:r>
        <w:rPr>
          <w:sz w:val="28"/>
          <w:szCs w:val="28"/>
        </w:rPr>
        <w:t xml:space="preserve">сумма проведенных </w:t>
      </w:r>
      <w:r w:rsidRPr="004D2550">
        <w:rPr>
          <w:sz w:val="28"/>
          <w:szCs w:val="28"/>
        </w:rPr>
        <w:t xml:space="preserve">безналичных платежей в </w:t>
      </w:r>
      <w:r>
        <w:rPr>
          <w:sz w:val="28"/>
          <w:szCs w:val="28"/>
        </w:rPr>
        <w:t>платежных системах</w:t>
      </w:r>
      <w:r w:rsidRPr="004D2550">
        <w:rPr>
          <w:sz w:val="28"/>
          <w:szCs w:val="28"/>
        </w:rPr>
        <w:t xml:space="preserve"> через МСПД</w:t>
      </w:r>
      <w:r>
        <w:rPr>
          <w:sz w:val="28"/>
          <w:szCs w:val="28"/>
        </w:rPr>
        <w:t xml:space="preserve"> составила </w:t>
      </w:r>
      <w:r w:rsidRPr="004D2550">
        <w:rPr>
          <w:sz w:val="28"/>
          <w:szCs w:val="28"/>
        </w:rPr>
        <w:t>97,3%</w:t>
      </w:r>
      <w:r>
        <w:rPr>
          <w:sz w:val="28"/>
          <w:szCs w:val="28"/>
        </w:rPr>
        <w:t xml:space="preserve"> от общей суммы платежей через МСПД </w:t>
      </w:r>
      <w:r>
        <w:rPr>
          <w:sz w:val="28"/>
          <w:szCs w:val="28"/>
        </w:rPr>
        <w:lastRenderedPageBreak/>
        <w:t>и СМК, через Систему межбанковского клиринга – 2,7% соответственно.</w:t>
      </w:r>
      <w:r w:rsidRPr="004D2550">
        <w:rPr>
          <w:sz w:val="28"/>
          <w:szCs w:val="28"/>
        </w:rPr>
        <w:t xml:space="preserve"> </w:t>
      </w:r>
      <w:r>
        <w:rPr>
          <w:sz w:val="28"/>
          <w:szCs w:val="28"/>
        </w:rPr>
        <w:t>Количество проведенных платежей в МСПД составило</w:t>
      </w:r>
      <w:r w:rsidRPr="004D2550">
        <w:rPr>
          <w:sz w:val="28"/>
          <w:szCs w:val="28"/>
        </w:rPr>
        <w:t xml:space="preserve"> 40,3%</w:t>
      </w:r>
      <w:r>
        <w:rPr>
          <w:sz w:val="28"/>
          <w:szCs w:val="28"/>
        </w:rPr>
        <w:t>, в Системе межбанковского клиринга – 59,7%</w:t>
      </w:r>
      <w:r w:rsidRPr="004D2550">
        <w:rPr>
          <w:sz w:val="28"/>
          <w:szCs w:val="28"/>
        </w:rPr>
        <w:t>.</w:t>
      </w:r>
    </w:p>
    <w:p w:rsidR="00A95B3A" w:rsidRPr="004D2550" w:rsidRDefault="00971F36" w:rsidP="00A95B3A">
      <w:pPr>
        <w:jc w:val="both"/>
        <w:rPr>
          <w:sz w:val="28"/>
          <w:szCs w:val="28"/>
        </w:rPr>
      </w:pPr>
      <w:r>
        <w:object w:dxaOrig="4785" w:dyaOrig="3690">
          <v:shape id="_x0000_i1031" type="#_x0000_t75" style="width:239.25pt;height:184.5pt" o:ole="">
            <v:imagedata r:id="rId18" o:title="" cropbottom="-71f" cropright="-55f"/>
            <o:lock v:ext="edit" aspectratio="f"/>
          </v:shape>
          <o:OLEObject Type="Embed" ProgID="Excel.Sheet.12" ShapeID="_x0000_i1031" DrawAspect="Icon" ObjectID="_1635255222" r:id="rId19"/>
        </w:object>
      </w:r>
      <w:r>
        <w:object w:dxaOrig="4785" w:dyaOrig="3690">
          <v:shape id="_x0000_i1032" type="#_x0000_t75" style="width:239.25pt;height:184.5pt" o:ole="">
            <v:imagedata r:id="rId20" o:title="" cropbottom="-71f"/>
            <o:lock v:ext="edit" aspectratio="f"/>
          </v:shape>
          <o:OLEObject Type="Embed" ProgID="Excel.Sheet.12" ShapeID="_x0000_i1032" DrawAspect="Icon" ObjectID="_1635255223" r:id="rId21"/>
        </w:object>
      </w:r>
    </w:p>
    <w:p w:rsidR="00A95B3A" w:rsidRDefault="00786A4E" w:rsidP="00A95B3A">
      <w:pPr>
        <w:ind w:firstLine="709"/>
        <w:jc w:val="both"/>
        <w:rPr>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1985645</wp:posOffset>
                </wp:positionH>
                <wp:positionV relativeFrom="paragraph">
                  <wp:posOffset>137795</wp:posOffset>
                </wp:positionV>
                <wp:extent cx="2443480" cy="26670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266700"/>
                        </a:xfrm>
                        <a:prstGeom prst="rect">
                          <a:avLst/>
                        </a:prstGeom>
                        <a:solidFill>
                          <a:sysClr val="window" lastClr="FFFFFF"/>
                        </a:solidFill>
                        <a:ln w="25400" cap="flat" cmpd="sng" algn="ctr">
                          <a:noFill/>
                          <a:prstDash val="solid"/>
                          <a:headEnd/>
                          <a:tailEnd/>
                        </a:ln>
                        <a:effectLst/>
                      </wps:spPr>
                      <wps:txbx>
                        <w:txbxContent>
                          <w:p w:rsidR="00AB15DF" w:rsidRPr="00166465" w:rsidRDefault="00AB15DF" w:rsidP="00020A82">
                            <w:pPr>
                              <w:rPr>
                                <w:b/>
                                <w:i/>
                              </w:rPr>
                            </w:pPr>
                            <w:r w:rsidRPr="00166465">
                              <w:rPr>
                                <w:b/>
                                <w:i/>
                              </w:rPr>
                              <w:t>Средняя сумма одного платежа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56.35pt;margin-top:10.85pt;width:192.4pt;height:21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" fillcolor="window" stroked="f" strokeweight="2pt">
                <v:textbox style="mso-fit-shape-to-text:t">
                  <w:txbxContent>
                    <w:p w:rsidR="00AB15DF" w:rsidRPr="00166465" w:rsidRDefault="00AB15DF" w:rsidP="00020A82">
                      <w:pPr>
                        <w:rPr>
                          <w:b/>
                          <w:i/>
                        </w:rPr>
                      </w:pPr>
                      <w:r w:rsidRPr="00166465">
                        <w:rPr>
                          <w:b/>
                          <w:i/>
                        </w:rPr>
                        <w:t>Средняя сумма одного платежа</w:t>
                      </w:r>
                    </w:p>
                  </w:txbxContent>
                </v:textbox>
              </v:shape>
            </w:pict>
          </mc:Fallback>
        </mc:AlternateContent>
      </w:r>
    </w:p>
    <w:p w:rsidR="00A95B3A" w:rsidRDefault="00786A4E" w:rsidP="00A95B3A">
      <w:pPr>
        <w:ind w:firstLine="709"/>
        <w:jc w:val="center"/>
        <w:rPr>
          <w:sz w:val="28"/>
          <w:szCs w:val="28"/>
        </w:rPr>
      </w:pPr>
      <w:r>
        <w:rPr>
          <w:noProof/>
        </w:rPr>
        <mc:AlternateContent>
          <mc:Choice Requires="wpg">
            <w:drawing>
              <wp:anchor distT="0" distB="0" distL="114300" distR="114300" simplePos="0" relativeHeight="251657728" behindDoc="0" locked="0" layoutInCell="1" allowOverlap="1">
                <wp:simplePos x="0" y="0"/>
                <wp:positionH relativeFrom="column">
                  <wp:posOffset>794385</wp:posOffset>
                </wp:positionH>
                <wp:positionV relativeFrom="paragraph">
                  <wp:posOffset>18415</wp:posOffset>
                </wp:positionV>
                <wp:extent cx="4752975" cy="1090930"/>
                <wp:effectExtent l="9525" t="8255" r="952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1090930"/>
                          <a:chOff x="2385" y="10067"/>
                          <a:chExt cx="7485" cy="1718"/>
                        </a:xfrm>
                      </wpg:grpSpPr>
                      <wps:wsp>
                        <wps:cNvPr id="4" name="Овал 5"/>
                        <wps:cNvSpPr>
                          <a:spLocks noChangeArrowheads="1"/>
                        </wps:cNvSpPr>
                        <wps:spPr bwMode="auto">
                          <a:xfrm>
                            <a:off x="2910" y="10353"/>
                            <a:ext cx="3270" cy="1005"/>
                          </a:xfrm>
                          <a:prstGeom prst="ellipse">
                            <a:avLst/>
                          </a:prstGeom>
                          <a:solidFill>
                            <a:srgbClr val="4F81BD"/>
                          </a:solidFill>
                          <a:ln w="25400" algn="ctr">
                            <a:solidFill>
                              <a:srgbClr val="385D8A"/>
                            </a:solidFill>
                            <a:round/>
                            <a:headEnd/>
                            <a:tailEnd/>
                          </a:ln>
                        </wps:spPr>
                        <wps:txbx>
                          <w:txbxContent>
                            <w:p w:rsidR="00AB15DF" w:rsidRPr="00CB01C8" w:rsidRDefault="00AB15DF" w:rsidP="00A95B3A">
                              <w:pPr>
                                <w:jc w:val="center"/>
                                <w:rPr>
                                  <w:sz w:val="20"/>
                                  <w:szCs w:val="20"/>
                                </w:rPr>
                              </w:pPr>
                              <w:r w:rsidRPr="00CB01C8">
                                <w:rPr>
                                  <w:sz w:val="20"/>
                                  <w:szCs w:val="20"/>
                                </w:rPr>
                                <w:t>14 107,2 тыс. тенге</w:t>
                              </w:r>
                            </w:p>
                          </w:txbxContent>
                        </wps:txbx>
                        <wps:bodyPr rot="0" vert="horz" wrap="square" lIns="91440" tIns="45720" rIns="91440" bIns="45720" anchor="ctr" anchorCtr="0" upright="1">
                          <a:noAutofit/>
                        </wps:bodyPr>
                      </wps:wsp>
                      <wps:wsp>
                        <wps:cNvPr id="5" name="Овал 6"/>
                        <wps:cNvSpPr>
                          <a:spLocks noChangeArrowheads="1"/>
                        </wps:cNvSpPr>
                        <wps:spPr bwMode="auto">
                          <a:xfrm>
                            <a:off x="7065" y="10923"/>
                            <a:ext cx="645" cy="345"/>
                          </a:xfrm>
                          <a:prstGeom prst="ellipse">
                            <a:avLst/>
                          </a:prstGeom>
                          <a:solidFill>
                            <a:srgbClr val="4F81BD"/>
                          </a:solidFill>
                          <a:ln w="25400" algn="ctr">
                            <a:solidFill>
                              <a:srgbClr val="385D8A"/>
                            </a:solidFill>
                            <a:round/>
                            <a:headEnd/>
                            <a:tailEnd/>
                          </a:ln>
                        </wps:spPr>
                        <wps:txbx>
                          <w:txbxContent>
                            <w:p w:rsidR="00AB15DF" w:rsidRDefault="00AB15DF" w:rsidP="00A95B3A">
                              <w:pPr>
                                <w:jc w:val="center"/>
                              </w:pPr>
                            </w:p>
                          </w:txbxContent>
                        </wps:txbx>
                        <wps:bodyPr rot="0" vert="horz" wrap="square" lIns="91440" tIns="45720" rIns="91440" bIns="45720" anchor="ctr" anchorCtr="0" upright="1">
                          <a:noAutofit/>
                        </wps:bodyPr>
                      </wps:wsp>
                      <wps:wsp>
                        <wps:cNvPr id="6" name="Двойные фигурные скобки 7"/>
                        <wps:cNvSpPr>
                          <a:spLocks noChangeArrowheads="1"/>
                        </wps:cNvSpPr>
                        <wps:spPr bwMode="auto">
                          <a:xfrm>
                            <a:off x="2385" y="10067"/>
                            <a:ext cx="7485" cy="1410"/>
                          </a:xfrm>
                          <a:prstGeom prst="bracePair">
                            <a:avLst>
                              <a:gd name="adj" fmla="val 8333"/>
                            </a:avLst>
                          </a:prstGeom>
                          <a:noFill/>
                          <a:ln w="9525" algn="ctr">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Надпись 2"/>
                        <wps:cNvSpPr txBox="1">
                          <a:spLocks noChangeArrowheads="1"/>
                        </wps:cNvSpPr>
                        <wps:spPr bwMode="auto">
                          <a:xfrm>
                            <a:off x="3990" y="11365"/>
                            <a:ext cx="1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5DF" w:rsidRPr="00CB01C8" w:rsidRDefault="00AB15DF" w:rsidP="00A95B3A">
                              <w:pPr>
                                <w:jc w:val="center"/>
                                <w:rPr>
                                  <w:b/>
                                </w:rPr>
                              </w:pPr>
                              <w:r w:rsidRPr="00CB01C8">
                                <w:rPr>
                                  <w:b/>
                                </w:rPr>
                                <w:t>МСПД</w:t>
                              </w:r>
                            </w:p>
                          </w:txbxContent>
                        </wps:txbx>
                        <wps:bodyPr rot="0" vert="horz" wrap="square" lIns="91440" tIns="45720" rIns="91440" bIns="45720" anchor="t" anchorCtr="0" upright="1">
                          <a:spAutoFit/>
                        </wps:bodyPr>
                      </wps:wsp>
                      <wps:wsp>
                        <wps:cNvPr id="8" name="Надпись 2"/>
                        <wps:cNvSpPr txBox="1">
                          <a:spLocks noChangeArrowheads="1"/>
                        </wps:cNvSpPr>
                        <wps:spPr bwMode="auto">
                          <a:xfrm>
                            <a:off x="6735" y="11350"/>
                            <a:ext cx="1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5DF" w:rsidRPr="00CB01C8" w:rsidRDefault="00AB15DF" w:rsidP="00A95B3A">
                              <w:pPr>
                                <w:jc w:val="center"/>
                                <w:rPr>
                                  <w:b/>
                                </w:rPr>
                              </w:pPr>
                              <w:r>
                                <w:rPr>
                                  <w:b/>
                                </w:rPr>
                                <w:t>СМК</w:t>
                              </w:r>
                            </w:p>
                          </w:txbxContent>
                        </wps:txbx>
                        <wps:bodyPr rot="0" vert="horz" wrap="square" lIns="91440" tIns="45720" rIns="91440" bIns="45720" anchor="t" anchorCtr="0" upright="1">
                          <a:spAutoFit/>
                        </wps:bodyPr>
                      </wps:wsp>
                      <wps:wsp>
                        <wps:cNvPr id="9" name="Скругленная прямоугольная выноска 13"/>
                        <wps:cNvSpPr>
                          <a:spLocks noChangeArrowheads="1"/>
                        </wps:cNvSpPr>
                        <wps:spPr bwMode="auto">
                          <a:xfrm>
                            <a:off x="7830" y="10353"/>
                            <a:ext cx="1725" cy="675"/>
                          </a:xfrm>
                          <a:prstGeom prst="wedgeRoundRectCallout">
                            <a:avLst>
                              <a:gd name="adj1" fmla="val -71778"/>
                              <a:gd name="adj2" fmla="val 46713"/>
                              <a:gd name="adj3" fmla="val 16667"/>
                            </a:avLst>
                          </a:prstGeom>
                          <a:gradFill rotWithShape="1">
                            <a:gsLst>
                              <a:gs pos="0">
                                <a:srgbClr val="BCBCBC"/>
                              </a:gs>
                              <a:gs pos="35001">
                                <a:srgbClr val="D0D0D0"/>
                              </a:gs>
                              <a:gs pos="100000">
                                <a:srgbClr val="EDEDED"/>
                              </a:gs>
                            </a:gsLst>
                            <a:lin ang="162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AB15DF" w:rsidRPr="00CB01C8" w:rsidRDefault="00AB15DF" w:rsidP="00A95B3A">
                              <w:pPr>
                                <w:jc w:val="center"/>
                                <w:rPr>
                                  <w:sz w:val="20"/>
                                  <w:szCs w:val="20"/>
                                </w:rPr>
                              </w:pPr>
                              <w:r w:rsidRPr="00CB01C8">
                                <w:rPr>
                                  <w:sz w:val="20"/>
                                  <w:szCs w:val="20"/>
                                </w:rPr>
                                <w:t>260,5 тыс. тенге</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8" style="position:absolute;left:0;text-align:left;margin-left:62.55pt;margin-top:1.45pt;width:374.25pt;height:85.9pt;z-index:251657728" coordorigin="2385,10067" coordsize="7485,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">
                <v:oval id="Овал 5" o:spid="_x0000_s1029" style="position:absolute;left:2910;top:10353;width:3270;height:1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" fillcolor="#4f81bd" strokecolor="#385d8a" strokeweight="2pt">
                  <v:textbox>
                    <w:txbxContent>
                      <w:p w:rsidR="00AB15DF" w:rsidRPr="00CB01C8" w:rsidRDefault="00AB15DF" w:rsidP="00A95B3A">
                        <w:pPr>
                          <w:jc w:val="center"/>
                          <w:rPr>
                            <w:sz w:val="20"/>
                            <w:szCs w:val="20"/>
                          </w:rPr>
                        </w:pPr>
                        <w:r w:rsidRPr="00CB01C8">
                          <w:rPr>
                            <w:sz w:val="20"/>
                            <w:szCs w:val="20"/>
                          </w:rPr>
                          <w:t>14 107,2 тыс. тенге</w:t>
                        </w:r>
                      </w:p>
                    </w:txbxContent>
                  </v:textbox>
                </v:oval>
                <v:oval id="Овал 6" o:spid="_x0000_s1030" style="position:absolute;left:7065;top:10923;width:645;height: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" fillcolor="#4f81bd" strokecolor="#385d8a" strokeweight="2pt">
                  <v:textbox>
                    <w:txbxContent>
                      <w:p w:rsidR="00AB15DF" w:rsidRDefault="00AB15DF" w:rsidP="00A95B3A">
                        <w:pPr>
                          <w:jc w:val="center"/>
                        </w:pPr>
                      </w:p>
                    </w:txbxContent>
                  </v:textbox>
                </v:oval>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7" o:spid="_x0000_s1031" type="#_x0000_t186" style="position:absolute;left:2385;top:10067;width:7485;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" strokecolor="#4a7ebb"/>
                <v:shape id="_x0000_s1032" type="#_x0000_t202" style="position:absolute;left:3990;top:11365;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AB15DF" w:rsidRPr="00CB01C8" w:rsidRDefault="00AB15DF" w:rsidP="00A95B3A">
                        <w:pPr>
                          <w:jc w:val="center"/>
                          <w:rPr>
                            <w:b/>
                          </w:rPr>
                        </w:pPr>
                        <w:r w:rsidRPr="00CB01C8">
                          <w:rPr>
                            <w:b/>
                          </w:rPr>
                          <w:t>МСПД</w:t>
                        </w:r>
                      </w:p>
                    </w:txbxContent>
                  </v:textbox>
                </v:shape>
                <v:shape id="_x0000_s1033" type="#_x0000_t202" style="position:absolute;left:6735;top:11350;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rsidR="00AB15DF" w:rsidRPr="00CB01C8" w:rsidRDefault="00AB15DF" w:rsidP="00A95B3A">
                        <w:pPr>
                          <w:jc w:val="center"/>
                          <w:rPr>
                            <w:b/>
                          </w:rPr>
                        </w:pPr>
                        <w:r>
                          <w:rPr>
                            <w:b/>
                          </w:rPr>
                          <w:t>СМК</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13" o:spid="_x0000_s1034" type="#_x0000_t62" style="position:absolute;left:7830;top:10353;width:1725;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" adj="-4704,20890" fillcolor="#bcbcbc">
                  <v:fill color2="#ededed" rotate="t" angle="180" colors="0 #bcbcbc;22938f #d0d0d0;1 #ededed" focus="100%" type="gradient"/>
                  <v:shadow on="t" color="black" opacity="24903f" origin=",.5" offset="0,.55556mm"/>
                  <v:textbox>
                    <w:txbxContent>
                      <w:p w:rsidR="00AB15DF" w:rsidRPr="00CB01C8" w:rsidRDefault="00AB15DF" w:rsidP="00A95B3A">
                        <w:pPr>
                          <w:jc w:val="center"/>
                          <w:rPr>
                            <w:sz w:val="20"/>
                            <w:szCs w:val="20"/>
                          </w:rPr>
                        </w:pPr>
                        <w:r w:rsidRPr="00CB01C8">
                          <w:rPr>
                            <w:sz w:val="20"/>
                            <w:szCs w:val="20"/>
                          </w:rPr>
                          <w:t>260,5 тыс. тенге</w:t>
                        </w:r>
                      </w:p>
                    </w:txbxContent>
                  </v:textbox>
                </v:shape>
              </v:group>
            </w:pict>
          </mc:Fallback>
        </mc:AlternateContent>
      </w:r>
    </w:p>
    <w:p w:rsidR="00A95B3A" w:rsidRDefault="00A95B3A" w:rsidP="00A95B3A">
      <w:pPr>
        <w:ind w:firstLine="709"/>
        <w:jc w:val="both"/>
        <w:rPr>
          <w:sz w:val="28"/>
          <w:szCs w:val="28"/>
        </w:rPr>
      </w:pPr>
    </w:p>
    <w:p w:rsidR="00A95B3A" w:rsidRDefault="00A95B3A" w:rsidP="00A95B3A">
      <w:pPr>
        <w:ind w:firstLine="709"/>
        <w:jc w:val="both"/>
        <w:rPr>
          <w:sz w:val="28"/>
          <w:szCs w:val="28"/>
        </w:rPr>
      </w:pPr>
    </w:p>
    <w:p w:rsidR="00A95B3A" w:rsidRDefault="00A95B3A" w:rsidP="00A95B3A">
      <w:pPr>
        <w:ind w:firstLine="709"/>
        <w:jc w:val="both"/>
        <w:rPr>
          <w:sz w:val="28"/>
          <w:szCs w:val="28"/>
        </w:rPr>
      </w:pPr>
    </w:p>
    <w:p w:rsidR="00A95B3A" w:rsidRDefault="00A95B3A" w:rsidP="00A95B3A">
      <w:pPr>
        <w:jc w:val="both"/>
        <w:rPr>
          <w:sz w:val="28"/>
          <w:szCs w:val="28"/>
        </w:rPr>
      </w:pPr>
    </w:p>
    <w:p w:rsidR="00A95B3A" w:rsidRPr="00AC7D0E" w:rsidRDefault="00AC7D0E" w:rsidP="00AC7D0E">
      <w:pPr>
        <w:ind w:firstLine="708"/>
        <w:jc w:val="both"/>
        <w:rPr>
          <w:sz w:val="28"/>
          <w:szCs w:val="28"/>
        </w:rPr>
      </w:pPr>
      <w:r w:rsidRPr="006A124B">
        <w:rPr>
          <w:sz w:val="28"/>
          <w:szCs w:val="28"/>
        </w:rPr>
        <w:t>Средняя сумма одного платежного документа в МСПД за 2014 год составила 14,1 млн. тенге и увеличилась по сравнению с 2013 годом на 13,2% (на 1,7 млн. тенге). Средняя сумма одного платежного сообщения в Системе межбанковского клиринга за 2014 год составила 260,5 тыс. тенге, увеличившись по сравнению с 2013 годом на 15,5% (на 35,0 тыс. тенге).</w:t>
      </w:r>
    </w:p>
    <w:p w:rsidR="00617F41" w:rsidRPr="008B22CB" w:rsidRDefault="00A95B3A" w:rsidP="00A95B3A">
      <w:pPr>
        <w:ind w:firstLine="708"/>
        <w:jc w:val="both"/>
        <w:rPr>
          <w:sz w:val="28"/>
          <w:szCs w:val="28"/>
        </w:rPr>
      </w:pPr>
      <w:r w:rsidRPr="008B22CB">
        <w:rPr>
          <w:sz w:val="28"/>
          <w:szCs w:val="28"/>
        </w:rPr>
        <w:t>Рост объемов</w:t>
      </w:r>
      <w:r>
        <w:rPr>
          <w:sz w:val="28"/>
          <w:szCs w:val="28"/>
        </w:rPr>
        <w:t xml:space="preserve">   </w:t>
      </w:r>
      <w:r w:rsidRPr="008B22CB">
        <w:rPr>
          <w:sz w:val="28"/>
          <w:szCs w:val="28"/>
        </w:rPr>
        <w:t xml:space="preserve"> платежей</w:t>
      </w:r>
      <w:r>
        <w:rPr>
          <w:sz w:val="28"/>
          <w:szCs w:val="28"/>
        </w:rPr>
        <w:t xml:space="preserve">  </w:t>
      </w:r>
      <w:r w:rsidRPr="008B22CB">
        <w:rPr>
          <w:sz w:val="28"/>
          <w:szCs w:val="28"/>
        </w:rPr>
        <w:t xml:space="preserve"> в основном </w:t>
      </w:r>
      <w:r>
        <w:rPr>
          <w:sz w:val="28"/>
          <w:szCs w:val="28"/>
        </w:rPr>
        <w:t xml:space="preserve">  </w:t>
      </w:r>
      <w:r w:rsidRPr="008B22CB">
        <w:rPr>
          <w:sz w:val="28"/>
          <w:szCs w:val="28"/>
        </w:rPr>
        <w:t xml:space="preserve">был </w:t>
      </w:r>
      <w:r>
        <w:rPr>
          <w:sz w:val="28"/>
          <w:szCs w:val="28"/>
        </w:rPr>
        <w:t xml:space="preserve">     </w:t>
      </w:r>
      <w:r w:rsidRPr="008B22CB">
        <w:rPr>
          <w:sz w:val="28"/>
          <w:szCs w:val="28"/>
        </w:rPr>
        <w:t xml:space="preserve">обусловлен </w:t>
      </w:r>
      <w:r w:rsidR="00617F41" w:rsidRPr="008B22CB">
        <w:rPr>
          <w:sz w:val="28"/>
          <w:szCs w:val="28"/>
        </w:rPr>
        <w:t>увеличением суммы платежей по операциям с депозитами на 4</w:t>
      </w:r>
      <w:r w:rsidR="00617F41">
        <w:rPr>
          <w:sz w:val="28"/>
          <w:szCs w:val="28"/>
        </w:rPr>
        <w:t>2</w:t>
      </w:r>
      <w:r w:rsidR="00617F41" w:rsidRPr="008B22CB">
        <w:rPr>
          <w:sz w:val="28"/>
          <w:szCs w:val="28"/>
        </w:rPr>
        <w:t>,</w:t>
      </w:r>
      <w:r w:rsidR="00617F41">
        <w:rPr>
          <w:sz w:val="28"/>
          <w:szCs w:val="28"/>
        </w:rPr>
        <w:t>3</w:t>
      </w:r>
      <w:r w:rsidR="00617F41" w:rsidRPr="008B22CB">
        <w:rPr>
          <w:sz w:val="28"/>
          <w:szCs w:val="28"/>
        </w:rPr>
        <w:t>%, а также операциям с иностранной валютой и драгоценными металлами - на 31,7%. При этом доля указанных операций от общего объема роста составила 6</w:t>
      </w:r>
      <w:r w:rsidR="00617F41">
        <w:rPr>
          <w:sz w:val="28"/>
          <w:szCs w:val="28"/>
        </w:rPr>
        <w:t>0</w:t>
      </w:r>
      <w:r w:rsidR="00617F41" w:rsidRPr="008B22CB">
        <w:rPr>
          <w:sz w:val="28"/>
          <w:szCs w:val="28"/>
        </w:rPr>
        <w:t>,</w:t>
      </w:r>
      <w:r w:rsidR="00617F41">
        <w:rPr>
          <w:sz w:val="28"/>
          <w:szCs w:val="28"/>
        </w:rPr>
        <w:t>6</w:t>
      </w:r>
      <w:r w:rsidR="00617F41" w:rsidRPr="008B22CB">
        <w:rPr>
          <w:sz w:val="28"/>
          <w:szCs w:val="28"/>
        </w:rPr>
        <w:t>%.</w:t>
      </w:r>
    </w:p>
    <w:p w:rsidR="00617F41" w:rsidRPr="000364FD" w:rsidRDefault="00617F41" w:rsidP="000364FD">
      <w:pPr>
        <w:jc w:val="center"/>
        <w:rPr>
          <w:b/>
        </w:rPr>
      </w:pPr>
      <w:r w:rsidRPr="000364FD">
        <w:rPr>
          <w:b/>
        </w:rPr>
        <w:t xml:space="preserve">Объемы платежей в разрезе видов назначения платежей </w:t>
      </w:r>
      <w:r>
        <w:rPr>
          <w:b/>
        </w:rPr>
        <w:t>в МСПД и СМК</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1418"/>
        <w:gridCol w:w="1275"/>
        <w:gridCol w:w="1276"/>
        <w:gridCol w:w="970"/>
      </w:tblGrid>
      <w:tr w:rsidR="00617F41" w:rsidRPr="0051729B" w:rsidTr="00D21767">
        <w:trPr>
          <w:trHeight w:val="60"/>
          <w:jc w:val="center"/>
        </w:trPr>
        <w:tc>
          <w:tcPr>
            <w:tcW w:w="4774" w:type="dxa"/>
            <w:vMerge w:val="restart"/>
            <w:shd w:val="clear" w:color="auto" w:fill="C2D69B"/>
            <w:vAlign w:val="center"/>
          </w:tcPr>
          <w:p w:rsidR="00617F41" w:rsidRPr="0051729B" w:rsidRDefault="00617F41" w:rsidP="00D21767">
            <w:pPr>
              <w:jc w:val="center"/>
              <w:rPr>
                <w:b/>
                <w:bCs/>
              </w:rPr>
            </w:pPr>
            <w:r w:rsidRPr="0051729B">
              <w:rPr>
                <w:b/>
                <w:bCs/>
              </w:rPr>
              <w:t>Наименование показателя</w:t>
            </w:r>
          </w:p>
        </w:tc>
        <w:tc>
          <w:tcPr>
            <w:tcW w:w="1418" w:type="dxa"/>
            <w:shd w:val="clear" w:color="auto" w:fill="C2D69B"/>
            <w:noWrap/>
          </w:tcPr>
          <w:p w:rsidR="00617F41" w:rsidRPr="0051729B" w:rsidRDefault="00617F41" w:rsidP="00D21767">
            <w:pPr>
              <w:jc w:val="center"/>
              <w:rPr>
                <w:b/>
                <w:bCs/>
              </w:rPr>
            </w:pPr>
            <w:r w:rsidRPr="0051729B">
              <w:rPr>
                <w:b/>
                <w:bCs/>
              </w:rPr>
              <w:t>2013 год</w:t>
            </w:r>
          </w:p>
        </w:tc>
        <w:tc>
          <w:tcPr>
            <w:tcW w:w="1275" w:type="dxa"/>
            <w:shd w:val="clear" w:color="auto" w:fill="C2D69B"/>
            <w:noWrap/>
          </w:tcPr>
          <w:p w:rsidR="00617F41" w:rsidRPr="0051729B" w:rsidRDefault="00617F41" w:rsidP="00D21767">
            <w:pPr>
              <w:jc w:val="center"/>
              <w:rPr>
                <w:b/>
                <w:bCs/>
              </w:rPr>
            </w:pPr>
            <w:r w:rsidRPr="0051729B">
              <w:rPr>
                <w:b/>
                <w:bCs/>
              </w:rPr>
              <w:t>2014 год</w:t>
            </w:r>
          </w:p>
        </w:tc>
        <w:tc>
          <w:tcPr>
            <w:tcW w:w="2246" w:type="dxa"/>
            <w:gridSpan w:val="2"/>
            <w:shd w:val="clear" w:color="auto" w:fill="C2D69B"/>
            <w:noWrap/>
          </w:tcPr>
          <w:p w:rsidR="00617F41" w:rsidRPr="0051729B" w:rsidRDefault="00617F41" w:rsidP="00D21767">
            <w:pPr>
              <w:jc w:val="center"/>
              <w:rPr>
                <w:b/>
                <w:bCs/>
              </w:rPr>
            </w:pPr>
            <w:r w:rsidRPr="0051729B">
              <w:rPr>
                <w:b/>
                <w:bCs/>
              </w:rPr>
              <w:t>Изменение</w:t>
            </w:r>
          </w:p>
        </w:tc>
      </w:tr>
      <w:tr w:rsidR="00617F41" w:rsidRPr="0051729B" w:rsidTr="00D21767">
        <w:trPr>
          <w:trHeight w:val="113"/>
          <w:jc w:val="center"/>
        </w:trPr>
        <w:tc>
          <w:tcPr>
            <w:tcW w:w="4774" w:type="dxa"/>
            <w:vMerge/>
            <w:shd w:val="clear" w:color="auto" w:fill="D6E3BC"/>
          </w:tcPr>
          <w:p w:rsidR="00617F41" w:rsidRPr="0051729B" w:rsidRDefault="00617F41" w:rsidP="00D21767">
            <w:pPr>
              <w:rPr>
                <w:b/>
                <w:bCs/>
              </w:rPr>
            </w:pPr>
          </w:p>
        </w:tc>
        <w:tc>
          <w:tcPr>
            <w:tcW w:w="1418" w:type="dxa"/>
            <w:shd w:val="clear" w:color="auto" w:fill="D6E3BC"/>
          </w:tcPr>
          <w:p w:rsidR="00617F41" w:rsidRPr="0051729B" w:rsidRDefault="00617F41" w:rsidP="00D21767">
            <w:pPr>
              <w:jc w:val="center"/>
            </w:pPr>
            <w:r w:rsidRPr="0051729B">
              <w:t>в млрд. тенге</w:t>
            </w:r>
          </w:p>
        </w:tc>
        <w:tc>
          <w:tcPr>
            <w:tcW w:w="1275" w:type="dxa"/>
            <w:shd w:val="clear" w:color="auto" w:fill="D6E3BC"/>
          </w:tcPr>
          <w:p w:rsidR="00617F41" w:rsidRPr="0051729B" w:rsidRDefault="00617F41" w:rsidP="00D21767">
            <w:pPr>
              <w:jc w:val="center"/>
            </w:pPr>
            <w:r w:rsidRPr="0051729B">
              <w:t>в млрд. тенге</w:t>
            </w:r>
          </w:p>
        </w:tc>
        <w:tc>
          <w:tcPr>
            <w:tcW w:w="1276" w:type="dxa"/>
            <w:shd w:val="clear" w:color="auto" w:fill="D6E3BC"/>
          </w:tcPr>
          <w:p w:rsidR="00617F41" w:rsidRPr="0051729B" w:rsidRDefault="00617F41" w:rsidP="00D21767">
            <w:pPr>
              <w:jc w:val="center"/>
            </w:pPr>
            <w:r w:rsidRPr="0051729B">
              <w:t>в млрд. тенге</w:t>
            </w:r>
          </w:p>
        </w:tc>
        <w:tc>
          <w:tcPr>
            <w:tcW w:w="970" w:type="dxa"/>
            <w:shd w:val="clear" w:color="auto" w:fill="D6E3BC"/>
          </w:tcPr>
          <w:p w:rsidR="00617F41" w:rsidRPr="0051729B" w:rsidRDefault="00617F41" w:rsidP="00D21767">
            <w:pPr>
              <w:jc w:val="center"/>
              <w:rPr>
                <w:i/>
                <w:iCs/>
              </w:rPr>
            </w:pPr>
            <w:r w:rsidRPr="0051729B">
              <w:rPr>
                <w:i/>
                <w:iCs/>
              </w:rPr>
              <w:t xml:space="preserve">в % </w:t>
            </w:r>
          </w:p>
        </w:tc>
      </w:tr>
      <w:tr w:rsidR="00617F41" w:rsidRPr="0051729B" w:rsidTr="00D21767">
        <w:trPr>
          <w:trHeight w:val="120"/>
          <w:jc w:val="center"/>
        </w:trPr>
        <w:tc>
          <w:tcPr>
            <w:tcW w:w="4774" w:type="dxa"/>
            <w:shd w:val="clear" w:color="auto" w:fill="EAF1DD"/>
            <w:vAlign w:val="center"/>
          </w:tcPr>
          <w:p w:rsidR="00617F41" w:rsidRPr="00CD5555" w:rsidRDefault="00617F41" w:rsidP="00D21767">
            <w:pPr>
              <w:rPr>
                <w:bCs/>
              </w:rPr>
            </w:pPr>
            <w:r w:rsidRPr="00CD5555">
              <w:rPr>
                <w:bCs/>
              </w:rPr>
              <w:t>Операции с иностранной валютой  и драгоценными металлами</w:t>
            </w:r>
          </w:p>
        </w:tc>
        <w:tc>
          <w:tcPr>
            <w:tcW w:w="1418" w:type="dxa"/>
            <w:noWrap/>
            <w:vAlign w:val="center"/>
          </w:tcPr>
          <w:p w:rsidR="00617F41" w:rsidRDefault="00617F41" w:rsidP="00D21767">
            <w:pPr>
              <w:jc w:val="center"/>
            </w:pPr>
            <w:r>
              <w:t>25 773,4</w:t>
            </w:r>
          </w:p>
        </w:tc>
        <w:tc>
          <w:tcPr>
            <w:tcW w:w="1275" w:type="dxa"/>
            <w:noWrap/>
            <w:vAlign w:val="center"/>
          </w:tcPr>
          <w:p w:rsidR="00617F41" w:rsidRDefault="00617F41" w:rsidP="00D21767">
            <w:pPr>
              <w:jc w:val="center"/>
            </w:pPr>
            <w:r>
              <w:t>33 951,4</w:t>
            </w:r>
          </w:p>
        </w:tc>
        <w:tc>
          <w:tcPr>
            <w:tcW w:w="1276" w:type="dxa"/>
            <w:noWrap/>
            <w:vAlign w:val="center"/>
          </w:tcPr>
          <w:p w:rsidR="00617F41" w:rsidRDefault="00617F41" w:rsidP="00D21767">
            <w:pPr>
              <w:jc w:val="center"/>
            </w:pPr>
            <w:r>
              <w:t>8 178,0</w:t>
            </w:r>
          </w:p>
        </w:tc>
        <w:tc>
          <w:tcPr>
            <w:tcW w:w="970" w:type="dxa"/>
            <w:noWrap/>
            <w:vAlign w:val="center"/>
          </w:tcPr>
          <w:p w:rsidR="00617F41" w:rsidRDefault="00617F41" w:rsidP="00D21767">
            <w:pPr>
              <w:jc w:val="center"/>
            </w:pPr>
            <w:r>
              <w:t>31,7%</w:t>
            </w:r>
          </w:p>
        </w:tc>
      </w:tr>
      <w:tr w:rsidR="00617F41" w:rsidRPr="0051729B" w:rsidTr="00D21767">
        <w:trPr>
          <w:trHeight w:val="60"/>
          <w:jc w:val="center"/>
        </w:trPr>
        <w:tc>
          <w:tcPr>
            <w:tcW w:w="4774" w:type="dxa"/>
            <w:shd w:val="clear" w:color="auto" w:fill="EAF1DD"/>
            <w:vAlign w:val="center"/>
          </w:tcPr>
          <w:p w:rsidR="00617F41" w:rsidRPr="00CD5555" w:rsidRDefault="00617F41" w:rsidP="00D21767">
            <w:pPr>
              <w:rPr>
                <w:bCs/>
              </w:rPr>
            </w:pPr>
            <w:r w:rsidRPr="00CD5555">
              <w:rPr>
                <w:bCs/>
              </w:rPr>
              <w:t>Депозиты</w:t>
            </w:r>
          </w:p>
        </w:tc>
        <w:tc>
          <w:tcPr>
            <w:tcW w:w="1418" w:type="dxa"/>
            <w:noWrap/>
            <w:vAlign w:val="center"/>
          </w:tcPr>
          <w:p w:rsidR="00617F41" w:rsidRDefault="00617F41" w:rsidP="00D21767">
            <w:pPr>
              <w:jc w:val="center"/>
            </w:pPr>
            <w:r>
              <w:t>23 371,6</w:t>
            </w:r>
          </w:p>
        </w:tc>
        <w:tc>
          <w:tcPr>
            <w:tcW w:w="1275" w:type="dxa"/>
            <w:noWrap/>
            <w:vAlign w:val="center"/>
          </w:tcPr>
          <w:p w:rsidR="00617F41" w:rsidRDefault="00617F41" w:rsidP="00D21767">
            <w:pPr>
              <w:jc w:val="center"/>
            </w:pPr>
            <w:r>
              <w:t>33 253,9</w:t>
            </w:r>
          </w:p>
        </w:tc>
        <w:tc>
          <w:tcPr>
            <w:tcW w:w="1276" w:type="dxa"/>
            <w:noWrap/>
            <w:vAlign w:val="center"/>
          </w:tcPr>
          <w:p w:rsidR="00617F41" w:rsidRDefault="00617F41" w:rsidP="00D21767">
            <w:pPr>
              <w:jc w:val="center"/>
            </w:pPr>
            <w:r>
              <w:t>9 882,4</w:t>
            </w:r>
          </w:p>
        </w:tc>
        <w:tc>
          <w:tcPr>
            <w:tcW w:w="970" w:type="dxa"/>
            <w:noWrap/>
            <w:vAlign w:val="center"/>
          </w:tcPr>
          <w:p w:rsidR="00617F41" w:rsidRDefault="00617F41" w:rsidP="00D21767">
            <w:pPr>
              <w:jc w:val="center"/>
            </w:pPr>
            <w:r>
              <w:t>42,3%</w:t>
            </w:r>
          </w:p>
        </w:tc>
      </w:tr>
      <w:tr w:rsidR="00617F41" w:rsidRPr="0051729B" w:rsidTr="00D21767">
        <w:trPr>
          <w:trHeight w:val="60"/>
          <w:jc w:val="center"/>
        </w:trPr>
        <w:tc>
          <w:tcPr>
            <w:tcW w:w="4774" w:type="dxa"/>
            <w:shd w:val="clear" w:color="auto" w:fill="EAF1DD"/>
            <w:vAlign w:val="center"/>
          </w:tcPr>
          <w:p w:rsidR="00617F41" w:rsidRPr="00CD5555" w:rsidRDefault="00617F41" w:rsidP="00D21767">
            <w:pPr>
              <w:rPr>
                <w:bCs/>
              </w:rPr>
            </w:pPr>
            <w:r w:rsidRPr="00CD5555">
              <w:rPr>
                <w:bCs/>
              </w:rPr>
              <w:t>Займы</w:t>
            </w:r>
          </w:p>
        </w:tc>
        <w:tc>
          <w:tcPr>
            <w:tcW w:w="1418" w:type="dxa"/>
            <w:noWrap/>
            <w:vAlign w:val="center"/>
          </w:tcPr>
          <w:p w:rsidR="00617F41" w:rsidRDefault="00617F41" w:rsidP="00D21767">
            <w:pPr>
              <w:jc w:val="center"/>
            </w:pPr>
            <w:r>
              <w:t>2 395,2</w:t>
            </w:r>
          </w:p>
        </w:tc>
        <w:tc>
          <w:tcPr>
            <w:tcW w:w="1275" w:type="dxa"/>
            <w:noWrap/>
            <w:vAlign w:val="center"/>
          </w:tcPr>
          <w:p w:rsidR="00617F41" w:rsidRDefault="00617F41" w:rsidP="00D21767">
            <w:pPr>
              <w:jc w:val="center"/>
            </w:pPr>
            <w:r>
              <w:t>2 766,8</w:t>
            </w:r>
          </w:p>
        </w:tc>
        <w:tc>
          <w:tcPr>
            <w:tcW w:w="1276" w:type="dxa"/>
            <w:noWrap/>
            <w:vAlign w:val="center"/>
          </w:tcPr>
          <w:p w:rsidR="00617F41" w:rsidRDefault="00617F41" w:rsidP="00D21767">
            <w:pPr>
              <w:jc w:val="center"/>
            </w:pPr>
            <w:r>
              <w:t>371,6</w:t>
            </w:r>
          </w:p>
        </w:tc>
        <w:tc>
          <w:tcPr>
            <w:tcW w:w="970" w:type="dxa"/>
            <w:noWrap/>
            <w:vAlign w:val="center"/>
          </w:tcPr>
          <w:p w:rsidR="00617F41" w:rsidRDefault="00617F41" w:rsidP="00D21767">
            <w:pPr>
              <w:jc w:val="center"/>
            </w:pPr>
            <w:r>
              <w:t>15,5%</w:t>
            </w:r>
          </w:p>
        </w:tc>
      </w:tr>
      <w:tr w:rsidR="00617F41" w:rsidRPr="0051729B" w:rsidTr="00D21767">
        <w:trPr>
          <w:trHeight w:val="180"/>
          <w:jc w:val="center"/>
        </w:trPr>
        <w:tc>
          <w:tcPr>
            <w:tcW w:w="4774" w:type="dxa"/>
            <w:shd w:val="clear" w:color="auto" w:fill="EAF1DD"/>
            <w:vAlign w:val="center"/>
          </w:tcPr>
          <w:p w:rsidR="00617F41" w:rsidRPr="00CD5555" w:rsidRDefault="00617F41" w:rsidP="00D21767">
            <w:pPr>
              <w:rPr>
                <w:bCs/>
              </w:rPr>
            </w:pPr>
            <w:r w:rsidRPr="00CD5555">
              <w:rPr>
                <w:bCs/>
              </w:rPr>
              <w:t>Ценные бумаги, векселя и депозитные сертификаты</w:t>
            </w:r>
          </w:p>
        </w:tc>
        <w:tc>
          <w:tcPr>
            <w:tcW w:w="1418" w:type="dxa"/>
            <w:noWrap/>
            <w:vAlign w:val="center"/>
          </w:tcPr>
          <w:p w:rsidR="00617F41" w:rsidRDefault="00617F41" w:rsidP="00D21767">
            <w:pPr>
              <w:jc w:val="center"/>
            </w:pPr>
            <w:r>
              <w:t>79 583,4</w:t>
            </w:r>
          </w:p>
        </w:tc>
        <w:tc>
          <w:tcPr>
            <w:tcW w:w="1275" w:type="dxa"/>
            <w:noWrap/>
            <w:vAlign w:val="center"/>
          </w:tcPr>
          <w:p w:rsidR="00617F41" w:rsidRDefault="00617F41" w:rsidP="00D21767">
            <w:pPr>
              <w:jc w:val="center"/>
            </w:pPr>
            <w:r>
              <w:t>76 542,1</w:t>
            </w:r>
          </w:p>
        </w:tc>
        <w:tc>
          <w:tcPr>
            <w:tcW w:w="1276" w:type="dxa"/>
            <w:noWrap/>
            <w:vAlign w:val="center"/>
          </w:tcPr>
          <w:p w:rsidR="00617F41" w:rsidRDefault="00617F41" w:rsidP="00D21767">
            <w:pPr>
              <w:jc w:val="center"/>
            </w:pPr>
            <w:r>
              <w:t>- 3 041,4</w:t>
            </w:r>
          </w:p>
        </w:tc>
        <w:tc>
          <w:tcPr>
            <w:tcW w:w="970" w:type="dxa"/>
            <w:noWrap/>
            <w:vAlign w:val="center"/>
          </w:tcPr>
          <w:p w:rsidR="00617F41" w:rsidRDefault="00617F41" w:rsidP="00D21767">
            <w:pPr>
              <w:jc w:val="center"/>
            </w:pPr>
            <w:r>
              <w:t>-3,8%</w:t>
            </w:r>
          </w:p>
        </w:tc>
      </w:tr>
      <w:tr w:rsidR="00617F41" w:rsidRPr="0051729B" w:rsidTr="00D21767">
        <w:trPr>
          <w:trHeight w:val="120"/>
          <w:jc w:val="center"/>
        </w:trPr>
        <w:tc>
          <w:tcPr>
            <w:tcW w:w="4774" w:type="dxa"/>
            <w:shd w:val="clear" w:color="auto" w:fill="EAF1DD"/>
            <w:vAlign w:val="center"/>
          </w:tcPr>
          <w:p w:rsidR="00617F41" w:rsidRPr="00CD5555" w:rsidRDefault="00617F41" w:rsidP="00D21767">
            <w:pPr>
              <w:rPr>
                <w:bCs/>
              </w:rPr>
            </w:pPr>
            <w:r w:rsidRPr="00CD5555">
              <w:rPr>
                <w:bCs/>
              </w:rPr>
              <w:t>Товары, нематериальные активы и услуги</w:t>
            </w:r>
          </w:p>
        </w:tc>
        <w:tc>
          <w:tcPr>
            <w:tcW w:w="1418" w:type="dxa"/>
            <w:noWrap/>
            <w:vAlign w:val="center"/>
          </w:tcPr>
          <w:p w:rsidR="00617F41" w:rsidRDefault="00617F41" w:rsidP="00D21767">
            <w:pPr>
              <w:jc w:val="center"/>
            </w:pPr>
            <w:r>
              <w:t>24 867,5</w:t>
            </w:r>
          </w:p>
        </w:tc>
        <w:tc>
          <w:tcPr>
            <w:tcW w:w="1275" w:type="dxa"/>
            <w:noWrap/>
            <w:vAlign w:val="center"/>
          </w:tcPr>
          <w:p w:rsidR="00617F41" w:rsidRDefault="00617F41" w:rsidP="00D21767">
            <w:pPr>
              <w:jc w:val="center"/>
            </w:pPr>
            <w:r>
              <w:t>27 614,5</w:t>
            </w:r>
          </w:p>
        </w:tc>
        <w:tc>
          <w:tcPr>
            <w:tcW w:w="1276" w:type="dxa"/>
            <w:noWrap/>
            <w:vAlign w:val="center"/>
          </w:tcPr>
          <w:p w:rsidR="00617F41" w:rsidRDefault="00617F41" w:rsidP="00D21767">
            <w:pPr>
              <w:jc w:val="center"/>
            </w:pPr>
            <w:r>
              <w:t>2 746,9</w:t>
            </w:r>
          </w:p>
        </w:tc>
        <w:tc>
          <w:tcPr>
            <w:tcW w:w="970" w:type="dxa"/>
            <w:noWrap/>
            <w:vAlign w:val="center"/>
          </w:tcPr>
          <w:p w:rsidR="00617F41" w:rsidRDefault="00617F41" w:rsidP="00D21767">
            <w:pPr>
              <w:jc w:val="center"/>
            </w:pPr>
            <w:r>
              <w:t>11,0%</w:t>
            </w:r>
          </w:p>
        </w:tc>
      </w:tr>
      <w:tr w:rsidR="00617F41" w:rsidRPr="0051729B" w:rsidTr="00D21767">
        <w:trPr>
          <w:trHeight w:val="60"/>
          <w:jc w:val="center"/>
        </w:trPr>
        <w:tc>
          <w:tcPr>
            <w:tcW w:w="4774" w:type="dxa"/>
            <w:shd w:val="clear" w:color="auto" w:fill="EAF1DD"/>
            <w:vAlign w:val="center"/>
          </w:tcPr>
          <w:p w:rsidR="00617F41" w:rsidRPr="00CD5555" w:rsidRDefault="00617F41" w:rsidP="00D21767">
            <w:pPr>
              <w:rPr>
                <w:bCs/>
              </w:rPr>
            </w:pPr>
            <w:r w:rsidRPr="00CD5555">
              <w:rPr>
                <w:bCs/>
              </w:rPr>
              <w:t>Прочие платежи*</w:t>
            </w:r>
          </w:p>
        </w:tc>
        <w:tc>
          <w:tcPr>
            <w:tcW w:w="1418" w:type="dxa"/>
            <w:noWrap/>
            <w:vAlign w:val="center"/>
          </w:tcPr>
          <w:p w:rsidR="00617F41" w:rsidRDefault="00617F41" w:rsidP="00D21767">
            <w:pPr>
              <w:jc w:val="center"/>
            </w:pPr>
            <w:r>
              <w:t>21 599,7</w:t>
            </w:r>
          </w:p>
        </w:tc>
        <w:tc>
          <w:tcPr>
            <w:tcW w:w="1275" w:type="dxa"/>
            <w:noWrap/>
            <w:vAlign w:val="center"/>
          </w:tcPr>
          <w:p w:rsidR="00617F41" w:rsidRDefault="00617F41" w:rsidP="00D21767">
            <w:pPr>
              <w:jc w:val="center"/>
            </w:pPr>
            <w:r>
              <w:t>28 459,1</w:t>
            </w:r>
          </w:p>
        </w:tc>
        <w:tc>
          <w:tcPr>
            <w:tcW w:w="1276" w:type="dxa"/>
            <w:noWrap/>
            <w:vAlign w:val="center"/>
          </w:tcPr>
          <w:p w:rsidR="00617F41" w:rsidRDefault="00617F41" w:rsidP="00D21767">
            <w:pPr>
              <w:jc w:val="center"/>
            </w:pPr>
            <w:r>
              <w:t>6 859,4</w:t>
            </w:r>
          </w:p>
        </w:tc>
        <w:tc>
          <w:tcPr>
            <w:tcW w:w="970" w:type="dxa"/>
            <w:noWrap/>
            <w:vAlign w:val="center"/>
          </w:tcPr>
          <w:p w:rsidR="00617F41" w:rsidRDefault="00617F41" w:rsidP="00D21767">
            <w:pPr>
              <w:jc w:val="center"/>
            </w:pPr>
            <w:r>
              <w:t>31,8%</w:t>
            </w:r>
          </w:p>
        </w:tc>
      </w:tr>
      <w:tr w:rsidR="00617F41" w:rsidRPr="0051729B" w:rsidTr="00D21767">
        <w:trPr>
          <w:trHeight w:val="60"/>
          <w:jc w:val="center"/>
        </w:trPr>
        <w:tc>
          <w:tcPr>
            <w:tcW w:w="4774" w:type="dxa"/>
            <w:shd w:val="clear" w:color="auto" w:fill="C2D69B"/>
            <w:vAlign w:val="center"/>
          </w:tcPr>
          <w:p w:rsidR="00617F41" w:rsidRDefault="00617F41" w:rsidP="00D21767">
            <w:pPr>
              <w:rPr>
                <w:b/>
                <w:bCs/>
              </w:rPr>
            </w:pPr>
            <w:r>
              <w:rPr>
                <w:b/>
                <w:bCs/>
              </w:rPr>
              <w:t>Итого</w:t>
            </w:r>
          </w:p>
        </w:tc>
        <w:tc>
          <w:tcPr>
            <w:tcW w:w="1418" w:type="dxa"/>
            <w:shd w:val="clear" w:color="auto" w:fill="C2D69B"/>
            <w:noWrap/>
            <w:vAlign w:val="center"/>
          </w:tcPr>
          <w:p w:rsidR="00617F41" w:rsidRDefault="00617F41" w:rsidP="00D21767">
            <w:pPr>
              <w:jc w:val="center"/>
              <w:rPr>
                <w:b/>
                <w:bCs/>
              </w:rPr>
            </w:pPr>
            <w:r>
              <w:rPr>
                <w:b/>
                <w:bCs/>
              </w:rPr>
              <w:t>177 590,8</w:t>
            </w:r>
          </w:p>
        </w:tc>
        <w:tc>
          <w:tcPr>
            <w:tcW w:w="1275" w:type="dxa"/>
            <w:shd w:val="clear" w:color="auto" w:fill="C2D69B"/>
            <w:noWrap/>
            <w:vAlign w:val="center"/>
          </w:tcPr>
          <w:p w:rsidR="00617F41" w:rsidRDefault="00617F41" w:rsidP="00D21767">
            <w:pPr>
              <w:jc w:val="center"/>
              <w:rPr>
                <w:b/>
                <w:bCs/>
              </w:rPr>
            </w:pPr>
            <w:r>
              <w:rPr>
                <w:b/>
                <w:bCs/>
              </w:rPr>
              <w:t>202 587,8</w:t>
            </w:r>
          </w:p>
        </w:tc>
        <w:tc>
          <w:tcPr>
            <w:tcW w:w="1276" w:type="dxa"/>
            <w:shd w:val="clear" w:color="auto" w:fill="C2D69B"/>
            <w:noWrap/>
            <w:vAlign w:val="center"/>
          </w:tcPr>
          <w:p w:rsidR="00617F41" w:rsidRDefault="00617F41" w:rsidP="00D21767">
            <w:pPr>
              <w:jc w:val="center"/>
              <w:rPr>
                <w:b/>
                <w:bCs/>
              </w:rPr>
            </w:pPr>
            <w:r>
              <w:rPr>
                <w:b/>
                <w:bCs/>
              </w:rPr>
              <w:t>29 811,9</w:t>
            </w:r>
          </w:p>
        </w:tc>
        <w:tc>
          <w:tcPr>
            <w:tcW w:w="970" w:type="dxa"/>
            <w:shd w:val="clear" w:color="auto" w:fill="C2D69B"/>
            <w:noWrap/>
            <w:vAlign w:val="center"/>
          </w:tcPr>
          <w:p w:rsidR="00617F41" w:rsidRPr="00CD5555" w:rsidRDefault="00617F41" w:rsidP="00D21767">
            <w:pPr>
              <w:jc w:val="center"/>
              <w:rPr>
                <w:b/>
              </w:rPr>
            </w:pPr>
            <w:r w:rsidRPr="00CD5555">
              <w:rPr>
                <w:b/>
              </w:rPr>
              <w:t>14,1%</w:t>
            </w:r>
          </w:p>
        </w:tc>
      </w:tr>
    </w:tbl>
    <w:p w:rsidR="00617F41" w:rsidRPr="00D8152D" w:rsidRDefault="00617F41" w:rsidP="009F240E">
      <w:pPr>
        <w:jc w:val="both"/>
        <w:rPr>
          <w:i/>
          <w:sz w:val="20"/>
          <w:szCs w:val="20"/>
        </w:rPr>
      </w:pPr>
      <w:r w:rsidRPr="00223D1D">
        <w:rPr>
          <w:i/>
          <w:sz w:val="20"/>
          <w:szCs w:val="20"/>
        </w:rPr>
        <w:t>* включают пенсионные платежи и пособия, специфические переводы, платежи в бюджет и выплаты из бюджета</w:t>
      </w:r>
      <w:r>
        <w:rPr>
          <w:i/>
          <w:sz w:val="20"/>
          <w:szCs w:val="20"/>
        </w:rPr>
        <w:t>.</w:t>
      </w:r>
    </w:p>
    <w:tbl>
      <w:tblPr>
        <w:tblW w:w="9756" w:type="dxa"/>
        <w:tblLook w:val="00A0" w:firstRow="1" w:lastRow="0" w:firstColumn="1" w:lastColumn="0" w:noHBand="0" w:noVBand="0"/>
      </w:tblPr>
      <w:tblGrid>
        <w:gridCol w:w="3918"/>
        <w:gridCol w:w="5838"/>
      </w:tblGrid>
      <w:tr w:rsidR="00617F41" w:rsidRPr="008B22CB" w:rsidTr="00AC4CED">
        <w:trPr>
          <w:trHeight w:val="2613"/>
        </w:trPr>
        <w:tc>
          <w:tcPr>
            <w:tcW w:w="3918" w:type="dxa"/>
          </w:tcPr>
          <w:p w:rsidR="00AC4CED" w:rsidRDefault="00AC4CED" w:rsidP="00D21767">
            <w:pPr>
              <w:autoSpaceDE w:val="0"/>
              <w:autoSpaceDN w:val="0"/>
              <w:adjustRightInd w:val="0"/>
              <w:ind w:firstLine="709"/>
              <w:jc w:val="both"/>
              <w:rPr>
                <w:sz w:val="28"/>
                <w:szCs w:val="28"/>
              </w:rPr>
            </w:pPr>
          </w:p>
          <w:p w:rsidR="00617F41" w:rsidRPr="008B22CB" w:rsidRDefault="00617F41" w:rsidP="006A124B">
            <w:pPr>
              <w:autoSpaceDE w:val="0"/>
              <w:autoSpaceDN w:val="0"/>
              <w:adjustRightInd w:val="0"/>
              <w:ind w:firstLine="709"/>
              <w:jc w:val="both"/>
              <w:rPr>
                <w:sz w:val="28"/>
                <w:szCs w:val="28"/>
              </w:rPr>
            </w:pPr>
            <w:r>
              <w:rPr>
                <w:sz w:val="28"/>
                <w:szCs w:val="28"/>
              </w:rPr>
              <w:t xml:space="preserve">В целом за 2014 год объем проведенных платежей через платежные системы превышает уровень ВВП Казахстана за 2014 год (38 033,1 </w:t>
            </w:r>
            <w:r w:rsidRPr="00935252">
              <w:rPr>
                <w:sz w:val="28"/>
                <w:szCs w:val="28"/>
              </w:rPr>
              <w:t>мл</w:t>
            </w:r>
            <w:r>
              <w:rPr>
                <w:sz w:val="28"/>
                <w:szCs w:val="28"/>
              </w:rPr>
              <w:t>рд</w:t>
            </w:r>
            <w:r w:rsidRPr="00935252">
              <w:rPr>
                <w:sz w:val="28"/>
                <w:szCs w:val="28"/>
              </w:rPr>
              <w:t>. тенге</w:t>
            </w:r>
            <w:r>
              <w:rPr>
                <w:sz w:val="28"/>
                <w:szCs w:val="28"/>
              </w:rPr>
              <w:t>) в 5,3 раза.</w:t>
            </w:r>
          </w:p>
        </w:tc>
        <w:tc>
          <w:tcPr>
            <w:tcW w:w="5838" w:type="dxa"/>
          </w:tcPr>
          <w:p w:rsidR="00617F41" w:rsidRPr="00EF6CC6" w:rsidRDefault="00971F36" w:rsidP="00D21767">
            <w:pPr>
              <w:autoSpaceDE w:val="0"/>
              <w:autoSpaceDN w:val="0"/>
              <w:adjustRightInd w:val="0"/>
              <w:ind w:firstLine="36"/>
              <w:jc w:val="both"/>
              <w:rPr>
                <w:sz w:val="28"/>
                <w:szCs w:val="28"/>
              </w:rPr>
            </w:pPr>
            <w:r>
              <w:object w:dxaOrig="5535" w:dyaOrig="2760">
                <v:shape id="_x0000_i1033" type="#_x0000_t75" style="width:276.75pt;height:123.65pt" o:ole="">
                  <v:imagedata r:id="rId22" o:title="" cropbottom="-334f"/>
                  <o:lock v:ext="edit" aspectratio="f"/>
                </v:shape>
                <o:OLEObject Type="Embed" ProgID="Excel.Sheet.12" ShapeID="_x0000_i1033" DrawAspect="Icon" ObjectID="_1635255224" r:id="rId23"/>
              </w:object>
            </w:r>
          </w:p>
        </w:tc>
      </w:tr>
    </w:tbl>
    <w:p w:rsidR="00AC4CED" w:rsidRDefault="00AC4CED" w:rsidP="00AC4CED">
      <w:pPr>
        <w:autoSpaceDE w:val="0"/>
        <w:autoSpaceDN w:val="0"/>
        <w:adjustRightInd w:val="0"/>
        <w:spacing w:line="235" w:lineRule="auto"/>
        <w:ind w:firstLine="708"/>
        <w:jc w:val="both"/>
        <w:rPr>
          <w:sz w:val="28"/>
          <w:szCs w:val="28"/>
        </w:rPr>
      </w:pPr>
      <w:r w:rsidRPr="006A124B">
        <w:rPr>
          <w:sz w:val="28"/>
          <w:szCs w:val="28"/>
        </w:rPr>
        <w:t xml:space="preserve">Основной объем платежей, проведённых через </w:t>
      </w:r>
      <w:r w:rsidR="00617F41" w:rsidRPr="006A124B">
        <w:rPr>
          <w:sz w:val="28"/>
          <w:szCs w:val="28"/>
        </w:rPr>
        <w:t>МСПД и СМК, приходится  на платежи юридических лиц</w:t>
      </w:r>
      <w:r w:rsidR="00D72499" w:rsidRPr="006A124B">
        <w:rPr>
          <w:sz w:val="28"/>
          <w:szCs w:val="28"/>
        </w:rPr>
        <w:t xml:space="preserve">, </w:t>
      </w:r>
      <w:r w:rsidR="00617F41" w:rsidRPr="006A124B">
        <w:rPr>
          <w:sz w:val="28"/>
          <w:szCs w:val="28"/>
        </w:rPr>
        <w:t>в том числе, платежи субъектов финансового сектора</w:t>
      </w:r>
      <w:r w:rsidRPr="006A124B">
        <w:rPr>
          <w:sz w:val="28"/>
          <w:szCs w:val="28"/>
        </w:rPr>
        <w:t xml:space="preserve">. </w:t>
      </w:r>
      <w:r w:rsidR="00D72499" w:rsidRPr="006A124B">
        <w:rPr>
          <w:sz w:val="28"/>
          <w:szCs w:val="28"/>
        </w:rPr>
        <w:t>При этом в МСПД объемы платежей юридических лиц составляют свыше 99% от общей суммы платежей,  соответственно, на долю платежей физических лиц приходится менее 1%. В СМК более активно проводятся платежи физических лиц (8% от общей суммы платежей), что обусловлено низкими тарифами данной системы.</w:t>
      </w:r>
    </w:p>
    <w:tbl>
      <w:tblPr>
        <w:tblW w:w="0" w:type="auto"/>
        <w:tblLook w:val="04A0" w:firstRow="1" w:lastRow="0" w:firstColumn="1" w:lastColumn="0" w:noHBand="0" w:noVBand="1"/>
      </w:tblPr>
      <w:tblGrid>
        <w:gridCol w:w="4916"/>
        <w:gridCol w:w="4938"/>
      </w:tblGrid>
      <w:tr w:rsidR="009E7783" w:rsidRPr="0080781D" w:rsidTr="0080781D">
        <w:tc>
          <w:tcPr>
            <w:tcW w:w="4916" w:type="dxa"/>
            <w:shd w:val="clear" w:color="auto" w:fill="auto"/>
          </w:tcPr>
          <w:p w:rsidR="009E7783" w:rsidRPr="0080781D" w:rsidRDefault="009E7783" w:rsidP="00682759">
            <w:pPr>
              <w:autoSpaceDE w:val="0"/>
              <w:autoSpaceDN w:val="0"/>
              <w:adjustRightInd w:val="0"/>
              <w:spacing w:line="235" w:lineRule="auto"/>
              <w:jc w:val="both"/>
              <w:rPr>
                <w:sz w:val="28"/>
                <w:szCs w:val="28"/>
              </w:rPr>
            </w:pPr>
            <w:r w:rsidRPr="0080781D">
              <w:rPr>
                <w:sz w:val="28"/>
                <w:szCs w:val="28"/>
              </w:rPr>
              <w:t>Средняя сумма одного платежного документа, отправленного юридическим лицом через платежные системы, составила 1 867,8 тыс. тенге, что примерно равняется 1 000 МРП</w:t>
            </w:r>
            <w:r w:rsidR="00682759">
              <w:rPr>
                <w:sz w:val="28"/>
                <w:szCs w:val="28"/>
              </w:rPr>
              <w:t>,</w:t>
            </w:r>
            <w:r w:rsidRPr="0080781D">
              <w:rPr>
                <w:sz w:val="28"/>
                <w:szCs w:val="28"/>
              </w:rPr>
              <w:t xml:space="preserve"> (1 852 тыс. тенге на 2014 год) установленн</w:t>
            </w:r>
            <w:r w:rsidR="00682759">
              <w:rPr>
                <w:sz w:val="28"/>
                <w:szCs w:val="28"/>
              </w:rPr>
              <w:t>ому</w:t>
            </w:r>
            <w:r w:rsidRPr="0080781D">
              <w:rPr>
                <w:sz w:val="28"/>
                <w:szCs w:val="28"/>
              </w:rPr>
              <w:t xml:space="preserve"> Законом Республики Казахстан «О платежах и переводах денег» для осуществления платежей между юридическими лицами в безналичной форме. </w:t>
            </w:r>
          </w:p>
        </w:tc>
        <w:tc>
          <w:tcPr>
            <w:tcW w:w="4938" w:type="dxa"/>
            <w:shd w:val="clear" w:color="auto" w:fill="auto"/>
          </w:tcPr>
          <w:p w:rsidR="009E7783" w:rsidRPr="0080781D" w:rsidRDefault="00786A4E" w:rsidP="0080781D">
            <w:pPr>
              <w:autoSpaceDE w:val="0"/>
              <w:autoSpaceDN w:val="0"/>
              <w:adjustRightInd w:val="0"/>
              <w:spacing w:line="235" w:lineRule="auto"/>
              <w:jc w:val="both"/>
              <w:rPr>
                <w:sz w:val="28"/>
                <w:szCs w:val="28"/>
              </w:rPr>
            </w:pPr>
            <w:r w:rsidRPr="00A97403">
              <w:rPr>
                <w:noProof/>
              </w:rPr>
              <w:drawing>
                <wp:inline distT="0" distB="0" distL="0" distR="0">
                  <wp:extent cx="3000375" cy="2171700"/>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9E7783" w:rsidRPr="0080781D" w:rsidTr="0080781D">
        <w:tc>
          <w:tcPr>
            <w:tcW w:w="9854" w:type="dxa"/>
            <w:gridSpan w:val="2"/>
            <w:shd w:val="clear" w:color="auto" w:fill="auto"/>
          </w:tcPr>
          <w:p w:rsidR="009E7783" w:rsidRPr="0080781D" w:rsidRDefault="009E7783" w:rsidP="0080781D">
            <w:pPr>
              <w:autoSpaceDE w:val="0"/>
              <w:autoSpaceDN w:val="0"/>
              <w:adjustRightInd w:val="0"/>
              <w:spacing w:line="235" w:lineRule="auto"/>
              <w:jc w:val="both"/>
              <w:rPr>
                <w:sz w:val="28"/>
                <w:szCs w:val="28"/>
              </w:rPr>
            </w:pPr>
            <w:r w:rsidRPr="0080781D">
              <w:rPr>
                <w:sz w:val="28"/>
                <w:szCs w:val="28"/>
              </w:rPr>
              <w:t>Средняя сумма одного платежного документа физического лица</w:t>
            </w:r>
            <w:r w:rsidRPr="0080781D">
              <w:rPr>
                <w:rStyle w:val="ab"/>
                <w:sz w:val="28"/>
                <w:szCs w:val="28"/>
              </w:rPr>
              <w:footnoteReference w:id="3"/>
            </w:r>
            <w:r w:rsidRPr="0080781D">
              <w:rPr>
                <w:sz w:val="28"/>
                <w:szCs w:val="28"/>
              </w:rPr>
              <w:t>, рассчитанного в МСПД и СМК, составляет порядка 90,1 тыс. тенге и характеризуется проведением большого количества платежей по оплате пенсионных взносов, социальных отчислений на небольшие суммы (средняя сумма одного платежа по разделу «пенсионные платежи» составляет около 4 тыс. тенге, а также налоговых платежей (средняя сумма около 25 тыс. тенге). В связи с чем, платежи физических лиц ввиду их небольшой суммы занимают незначительную долю (1 920,9 млрд. тенге - 0,9%) от общего объема платежей, проведенных через платежные системы.</w:t>
            </w:r>
          </w:p>
        </w:tc>
      </w:tr>
    </w:tbl>
    <w:p w:rsidR="00940B0B" w:rsidRDefault="00940B0B" w:rsidP="00940B0B">
      <w:pPr>
        <w:autoSpaceDE w:val="0"/>
        <w:autoSpaceDN w:val="0"/>
        <w:adjustRightInd w:val="0"/>
        <w:spacing w:line="228" w:lineRule="auto"/>
        <w:ind w:firstLine="709"/>
        <w:jc w:val="both"/>
        <w:rPr>
          <w:sz w:val="28"/>
          <w:szCs w:val="28"/>
        </w:rPr>
      </w:pPr>
      <w:r>
        <w:rPr>
          <w:sz w:val="28"/>
          <w:szCs w:val="28"/>
        </w:rPr>
        <w:t>Объем проведенных через МСПД и СМК платежей физических лиц в оплату за предоставленные товары, нематериальные активы и услуги</w:t>
      </w:r>
      <w:r w:rsidRPr="00940B0B">
        <w:rPr>
          <w:vertAlign w:val="superscript"/>
        </w:rPr>
        <w:footnoteReference w:id="4"/>
      </w:r>
      <w:r w:rsidRPr="00940B0B">
        <w:rPr>
          <w:sz w:val="28"/>
          <w:szCs w:val="28"/>
          <w:vertAlign w:val="superscript"/>
        </w:rPr>
        <w:t xml:space="preserve"> </w:t>
      </w:r>
      <w:r>
        <w:rPr>
          <w:sz w:val="28"/>
          <w:szCs w:val="28"/>
        </w:rPr>
        <w:t>в 2014 году составили 678,7 млрд. тенге, увеличившись с показателями 2013 года на 24,5%. При этом объем проведенных безналичных платежей с использованием платежных карточек за 2014 год составил 988,9 м</w:t>
      </w:r>
      <w:r w:rsidRPr="005D7536">
        <w:rPr>
          <w:sz w:val="28"/>
          <w:szCs w:val="28"/>
        </w:rPr>
        <w:t>л</w:t>
      </w:r>
      <w:r>
        <w:rPr>
          <w:sz w:val="28"/>
          <w:szCs w:val="28"/>
        </w:rPr>
        <w:t xml:space="preserve">рд. тенге, увеличившись с показателями 2013 года на 7,3%. </w:t>
      </w:r>
    </w:p>
    <w:p w:rsidR="00617F41" w:rsidRDefault="00940B0B" w:rsidP="00940B0B">
      <w:pPr>
        <w:autoSpaceDE w:val="0"/>
        <w:autoSpaceDN w:val="0"/>
        <w:adjustRightInd w:val="0"/>
        <w:spacing w:line="228" w:lineRule="auto"/>
        <w:ind w:firstLine="709"/>
        <w:jc w:val="both"/>
        <w:rPr>
          <w:sz w:val="28"/>
          <w:szCs w:val="28"/>
        </w:rPr>
      </w:pPr>
      <w:r>
        <w:rPr>
          <w:sz w:val="28"/>
          <w:szCs w:val="28"/>
        </w:rPr>
        <w:t xml:space="preserve">В целом общий объем безналичных платежей физических лиц через платежные системы и платежи с использованием платежных карточек за 2014 </w:t>
      </w:r>
      <w:r>
        <w:rPr>
          <w:sz w:val="28"/>
          <w:szCs w:val="28"/>
        </w:rPr>
        <w:lastRenderedPageBreak/>
        <w:t>год составил 1 667,7 млрд. тенге, увеличившись с показателями 2013 года на 13,7%</w:t>
      </w:r>
      <w:r w:rsidRPr="008034C2">
        <w:rPr>
          <w:sz w:val="28"/>
          <w:szCs w:val="28"/>
        </w:rPr>
        <w:t xml:space="preserve">, </w:t>
      </w:r>
      <w:r>
        <w:rPr>
          <w:sz w:val="28"/>
          <w:szCs w:val="28"/>
        </w:rPr>
        <w:t xml:space="preserve">что в целом свидетельствует о росте безналичных платежей среди физических лиц. </w:t>
      </w:r>
      <w:r w:rsidR="00617F41">
        <w:rPr>
          <w:sz w:val="28"/>
          <w:szCs w:val="28"/>
        </w:rPr>
        <w:t xml:space="preserve"> </w:t>
      </w:r>
    </w:p>
    <w:p w:rsidR="00617F41" w:rsidRDefault="00617F41" w:rsidP="00E12BFB">
      <w:pPr>
        <w:autoSpaceDE w:val="0"/>
        <w:autoSpaceDN w:val="0"/>
        <w:adjustRightInd w:val="0"/>
        <w:spacing w:line="228" w:lineRule="auto"/>
        <w:ind w:firstLine="709"/>
        <w:jc w:val="both"/>
        <w:rPr>
          <w:sz w:val="28"/>
          <w:szCs w:val="28"/>
        </w:rPr>
      </w:pPr>
      <w:r w:rsidRPr="0051729B">
        <w:rPr>
          <w:sz w:val="28"/>
          <w:szCs w:val="28"/>
        </w:rPr>
        <w:t xml:space="preserve">Согласно </w:t>
      </w:r>
      <w:r>
        <w:rPr>
          <w:sz w:val="28"/>
          <w:szCs w:val="28"/>
        </w:rPr>
        <w:t>официальным данным</w:t>
      </w:r>
      <w:r>
        <w:rPr>
          <w:rStyle w:val="ab"/>
          <w:sz w:val="28"/>
          <w:szCs w:val="28"/>
        </w:rPr>
        <w:footnoteReference w:id="5"/>
      </w:r>
      <w:r w:rsidRPr="0051729B">
        <w:rPr>
          <w:sz w:val="28"/>
          <w:szCs w:val="28"/>
        </w:rPr>
        <w:t>, общий объем реализованных товаров и услуг (оптовые, розничные) в 2014 году составил 22,6 трлн. тенге</w:t>
      </w:r>
      <w:r w:rsidRPr="0051729B">
        <w:rPr>
          <w:rStyle w:val="ab"/>
          <w:sz w:val="28"/>
          <w:szCs w:val="28"/>
        </w:rPr>
        <w:footnoteReference w:id="6"/>
      </w:r>
      <w:r w:rsidRPr="0051729B">
        <w:rPr>
          <w:sz w:val="28"/>
          <w:szCs w:val="28"/>
        </w:rPr>
        <w:t>.  При этом до</w:t>
      </w:r>
      <w:r>
        <w:rPr>
          <w:sz w:val="28"/>
          <w:szCs w:val="28"/>
        </w:rPr>
        <w:t xml:space="preserve">ля платежей юридических лиц, проведенных через МСПД и СМК, </w:t>
      </w:r>
      <w:r w:rsidRPr="0051729B">
        <w:rPr>
          <w:sz w:val="28"/>
          <w:szCs w:val="28"/>
        </w:rPr>
        <w:t>от общего объема реализованных товаров и услуг состав</w:t>
      </w:r>
      <w:r>
        <w:rPr>
          <w:sz w:val="28"/>
          <w:szCs w:val="28"/>
        </w:rPr>
        <w:t>ила</w:t>
      </w:r>
      <w:r w:rsidRPr="0051729B">
        <w:rPr>
          <w:sz w:val="28"/>
          <w:szCs w:val="28"/>
        </w:rPr>
        <w:t xml:space="preserve"> 85,5% </w:t>
      </w:r>
      <w:r w:rsidRPr="006A124B">
        <w:rPr>
          <w:sz w:val="28"/>
          <w:szCs w:val="28"/>
        </w:rPr>
        <w:t xml:space="preserve">от общего объема </w:t>
      </w:r>
      <w:r w:rsidR="001D459C" w:rsidRPr="006A124B">
        <w:rPr>
          <w:sz w:val="28"/>
          <w:szCs w:val="28"/>
        </w:rPr>
        <w:t>розничного и оптового товарооборота и оказанных услуг.</w:t>
      </w:r>
      <w:r>
        <w:rPr>
          <w:sz w:val="28"/>
          <w:szCs w:val="28"/>
        </w:rPr>
        <w:t xml:space="preserve"> </w:t>
      </w:r>
      <w:r w:rsidRPr="0051729B">
        <w:rPr>
          <w:sz w:val="28"/>
          <w:szCs w:val="28"/>
        </w:rPr>
        <w:t>Доля платежей физических лиц, проведенны</w:t>
      </w:r>
      <w:r>
        <w:rPr>
          <w:sz w:val="28"/>
          <w:szCs w:val="28"/>
        </w:rPr>
        <w:t>х</w:t>
      </w:r>
      <w:r w:rsidRPr="0051729B">
        <w:rPr>
          <w:sz w:val="28"/>
          <w:szCs w:val="28"/>
        </w:rPr>
        <w:t xml:space="preserve"> в платежных системах в оплату товаров, составила всего 8,</w:t>
      </w:r>
      <w:r>
        <w:rPr>
          <w:sz w:val="28"/>
          <w:szCs w:val="28"/>
        </w:rPr>
        <w:t>1% от объема розничной торговли. В связи с чем, одной из основных государственных задач является дальнейшее расширение безналичных платежей путем стимулирования населения к использованию дистанционных и иных способов оплаты платежей без использования наличных денег.</w:t>
      </w:r>
    </w:p>
    <w:p w:rsidR="00617F41" w:rsidRDefault="00617F41" w:rsidP="009A21C9">
      <w:pPr>
        <w:spacing w:line="228" w:lineRule="auto"/>
        <w:ind w:firstLine="709"/>
        <w:jc w:val="both"/>
        <w:rPr>
          <w:sz w:val="28"/>
          <w:szCs w:val="28"/>
        </w:rPr>
      </w:pPr>
      <w:r>
        <w:rPr>
          <w:sz w:val="28"/>
          <w:szCs w:val="28"/>
        </w:rPr>
        <w:t>В целом через МСПД в</w:t>
      </w:r>
      <w:r w:rsidRPr="00223D1D">
        <w:rPr>
          <w:sz w:val="28"/>
          <w:szCs w:val="28"/>
        </w:rPr>
        <w:t xml:space="preserve"> </w:t>
      </w:r>
      <w:r>
        <w:rPr>
          <w:sz w:val="28"/>
          <w:szCs w:val="28"/>
        </w:rPr>
        <w:t>2014</w:t>
      </w:r>
      <w:r w:rsidRPr="00223D1D">
        <w:rPr>
          <w:sz w:val="28"/>
          <w:szCs w:val="28"/>
        </w:rPr>
        <w:t xml:space="preserve"> год</w:t>
      </w:r>
      <w:r>
        <w:rPr>
          <w:sz w:val="28"/>
          <w:szCs w:val="28"/>
        </w:rPr>
        <w:t>у</w:t>
      </w:r>
      <w:r w:rsidRPr="00223D1D">
        <w:rPr>
          <w:sz w:val="28"/>
          <w:szCs w:val="28"/>
        </w:rPr>
        <w:t xml:space="preserve"> было проведено </w:t>
      </w:r>
      <w:r w:rsidRPr="00CB7707">
        <w:rPr>
          <w:sz w:val="28"/>
          <w:szCs w:val="28"/>
        </w:rPr>
        <w:t xml:space="preserve">14,0 </w:t>
      </w:r>
      <w:r w:rsidRPr="00223D1D">
        <w:rPr>
          <w:sz w:val="28"/>
          <w:szCs w:val="28"/>
        </w:rPr>
        <w:t xml:space="preserve">млн. транзакций на сумму </w:t>
      </w:r>
      <w:r w:rsidRPr="00CB7707">
        <w:rPr>
          <w:sz w:val="28"/>
          <w:szCs w:val="28"/>
        </w:rPr>
        <w:t>197,2 трлн. тенге</w:t>
      </w:r>
      <w:r w:rsidRPr="00223D1D">
        <w:rPr>
          <w:sz w:val="28"/>
          <w:szCs w:val="28"/>
        </w:rPr>
        <w:t xml:space="preserve">. </w:t>
      </w:r>
      <w:r w:rsidRPr="000364FD">
        <w:rPr>
          <w:sz w:val="28"/>
          <w:szCs w:val="28"/>
        </w:rPr>
        <w:t>По сравнению с 2013 го</w:t>
      </w:r>
      <w:r w:rsidRPr="00223D1D">
        <w:rPr>
          <w:sz w:val="28"/>
          <w:szCs w:val="28"/>
        </w:rPr>
        <w:t xml:space="preserve">дом количество платежей увеличилось на </w:t>
      </w:r>
      <w:r w:rsidRPr="00CB7707">
        <w:rPr>
          <w:sz w:val="28"/>
          <w:szCs w:val="28"/>
        </w:rPr>
        <w:t>0,8%</w:t>
      </w:r>
      <w:r>
        <w:rPr>
          <w:sz w:val="28"/>
          <w:szCs w:val="28"/>
        </w:rPr>
        <w:t xml:space="preserve">, а сумма платежей выросла на </w:t>
      </w:r>
      <w:r w:rsidRPr="004D2550">
        <w:rPr>
          <w:sz w:val="28"/>
          <w:szCs w:val="28"/>
        </w:rPr>
        <w:t>14,1%</w:t>
      </w:r>
      <w:r w:rsidRPr="00223D1D">
        <w:rPr>
          <w:sz w:val="28"/>
          <w:szCs w:val="28"/>
        </w:rPr>
        <w:t>.</w:t>
      </w:r>
    </w:p>
    <w:p w:rsidR="00617F41" w:rsidRPr="000364FD" w:rsidRDefault="00617F41" w:rsidP="009A21C9">
      <w:pPr>
        <w:tabs>
          <w:tab w:val="left" w:pos="993"/>
        </w:tabs>
        <w:ind w:firstLine="709"/>
        <w:jc w:val="center"/>
        <w:rPr>
          <w:rFonts w:eastAsia="MS Mincho"/>
          <w:b/>
          <w:color w:val="000000"/>
          <w:lang w:eastAsia="ja-JP"/>
        </w:rPr>
      </w:pPr>
      <w:r w:rsidRPr="000364FD">
        <w:rPr>
          <w:rFonts w:eastAsia="MS Mincho"/>
          <w:b/>
          <w:color w:val="000000"/>
          <w:lang w:eastAsia="ja-JP"/>
        </w:rPr>
        <w:t>Динамика потоков платежей в МСПД</w:t>
      </w:r>
    </w:p>
    <w:p w:rsidR="00617F41" w:rsidRDefault="007C7F20" w:rsidP="009743E2">
      <w:pPr>
        <w:jc w:val="both"/>
        <w:rPr>
          <w:sz w:val="28"/>
          <w:szCs w:val="28"/>
          <w:lang w:val="en-US"/>
        </w:rPr>
      </w:pPr>
      <w:r>
        <w:object w:dxaOrig="4845" w:dyaOrig="2130">
          <v:shape id="_x0000_i1035" type="#_x0000_t75" style="width:244.45pt;height:118.85pt" o:ole="">
            <v:imagedata r:id="rId25" o:title="" croptop="-7956f" cropbottom="-6825f" cropleft="-1007f" cropright="-6300f"/>
            <o:lock v:ext="edit" aspectratio="f"/>
          </v:shape>
          <o:OLEObject Type="Embed" ProgID="Excel.Sheet.12" ShapeID="_x0000_i1035" DrawAspect="Icon" ObjectID="_1635255225" r:id="rId26"/>
        </w:object>
      </w:r>
      <w:r w:rsidR="00815A6C">
        <w:object w:dxaOrig="4680" w:dyaOrig="2130">
          <v:shape id="_x0000_i1036" type="#_x0000_t75" style="width:234pt;height:119.3pt" o:ole="">
            <v:imagedata r:id="rId27" o:title="" croptop="-7956f" cropbottom="-6825f" cropleft="-1792f" cropright="-5611f"/>
            <o:lock v:ext="edit" aspectratio="f"/>
          </v:shape>
          <o:OLEObject Type="Embed" ProgID="Excel.Sheet.12" ShapeID="_x0000_i1036" DrawAspect="Icon" ObjectID="_1635255226" r:id="rId28"/>
        </w:object>
      </w:r>
    </w:p>
    <w:tbl>
      <w:tblPr>
        <w:tblW w:w="10074" w:type="dxa"/>
        <w:tblLook w:val="00A0" w:firstRow="1" w:lastRow="0" w:firstColumn="1" w:lastColumn="0" w:noHBand="0" w:noVBand="0"/>
      </w:tblPr>
      <w:tblGrid>
        <w:gridCol w:w="3569"/>
        <w:gridCol w:w="1417"/>
        <w:gridCol w:w="1418"/>
        <w:gridCol w:w="1197"/>
        <w:gridCol w:w="2146"/>
        <w:gridCol w:w="327"/>
      </w:tblGrid>
      <w:tr w:rsidR="00617F41" w:rsidTr="007154C8">
        <w:trPr>
          <w:gridAfter w:val="1"/>
          <w:wAfter w:w="327" w:type="dxa"/>
          <w:trHeight w:val="515"/>
        </w:trPr>
        <w:tc>
          <w:tcPr>
            <w:tcW w:w="9747" w:type="dxa"/>
            <w:gridSpan w:val="5"/>
          </w:tcPr>
          <w:p w:rsidR="00617F41" w:rsidRPr="007A05EB" w:rsidRDefault="00617F41" w:rsidP="00682759">
            <w:pPr>
              <w:spacing w:line="228" w:lineRule="auto"/>
              <w:ind w:firstLine="709"/>
              <w:jc w:val="both"/>
              <w:rPr>
                <w:sz w:val="28"/>
                <w:szCs w:val="28"/>
              </w:rPr>
            </w:pPr>
            <w:r w:rsidRPr="007A05EB">
              <w:rPr>
                <w:sz w:val="28"/>
                <w:szCs w:val="28"/>
              </w:rPr>
              <w:t>Рост объемов платежей  МСПД в основном был обусловлен увеличением суммы платежей по операциям с депозитами - на 42,1%, а также операци</w:t>
            </w:r>
            <w:r w:rsidR="00682759">
              <w:rPr>
                <w:sz w:val="28"/>
                <w:szCs w:val="28"/>
              </w:rPr>
              <w:t>ям</w:t>
            </w:r>
            <w:r w:rsidRPr="007A05EB">
              <w:rPr>
                <w:sz w:val="28"/>
                <w:szCs w:val="28"/>
              </w:rPr>
              <w:t xml:space="preserve"> с иностранной валютой и драгоценными металлами на 31,7%.</w:t>
            </w:r>
          </w:p>
        </w:tc>
      </w:tr>
      <w:tr w:rsidR="00617F41" w:rsidRPr="00EC7A89" w:rsidTr="007154C8">
        <w:trPr>
          <w:trHeight w:val="62"/>
        </w:trPr>
        <w:tc>
          <w:tcPr>
            <w:tcW w:w="3569" w:type="dxa"/>
            <w:vMerge w:val="restart"/>
            <w:tcBorders>
              <w:top w:val="single" w:sz="8" w:space="0" w:color="auto"/>
              <w:left w:val="single" w:sz="8" w:space="0" w:color="auto"/>
              <w:bottom w:val="single" w:sz="8" w:space="0" w:color="000000"/>
              <w:right w:val="single" w:sz="8" w:space="0" w:color="auto"/>
            </w:tcBorders>
            <w:shd w:val="clear" w:color="auto" w:fill="C2D69B"/>
            <w:vAlign w:val="center"/>
          </w:tcPr>
          <w:p w:rsidR="00617F41" w:rsidRPr="00EC7A89" w:rsidRDefault="00617F41" w:rsidP="00982982">
            <w:pPr>
              <w:spacing w:line="223" w:lineRule="auto"/>
              <w:jc w:val="center"/>
              <w:rPr>
                <w:b/>
                <w:bCs/>
              </w:rPr>
            </w:pPr>
            <w:r w:rsidRPr="00EC7A89">
              <w:rPr>
                <w:b/>
                <w:bCs/>
              </w:rPr>
              <w:t>Наименование показателя</w:t>
            </w:r>
          </w:p>
        </w:tc>
        <w:tc>
          <w:tcPr>
            <w:tcW w:w="1417" w:type="dxa"/>
            <w:tcBorders>
              <w:top w:val="single" w:sz="8" w:space="0" w:color="auto"/>
              <w:left w:val="nil"/>
              <w:bottom w:val="single" w:sz="8" w:space="0" w:color="auto"/>
              <w:right w:val="single" w:sz="8" w:space="0" w:color="auto"/>
            </w:tcBorders>
            <w:shd w:val="clear" w:color="auto" w:fill="C2D69B"/>
            <w:noWrap/>
            <w:vAlign w:val="center"/>
          </w:tcPr>
          <w:p w:rsidR="00617F41" w:rsidRPr="00EC7A89" w:rsidRDefault="00617F41" w:rsidP="00982982">
            <w:pPr>
              <w:spacing w:line="223" w:lineRule="auto"/>
              <w:jc w:val="center"/>
              <w:rPr>
                <w:b/>
                <w:bCs/>
              </w:rPr>
            </w:pPr>
            <w:r w:rsidRPr="00EC7A89">
              <w:rPr>
                <w:b/>
                <w:bCs/>
              </w:rPr>
              <w:t>2013 год</w:t>
            </w:r>
          </w:p>
        </w:tc>
        <w:tc>
          <w:tcPr>
            <w:tcW w:w="1418" w:type="dxa"/>
            <w:tcBorders>
              <w:top w:val="single" w:sz="8" w:space="0" w:color="auto"/>
              <w:left w:val="nil"/>
              <w:bottom w:val="single" w:sz="8" w:space="0" w:color="auto"/>
              <w:right w:val="single" w:sz="8" w:space="0" w:color="auto"/>
            </w:tcBorders>
            <w:shd w:val="clear" w:color="auto" w:fill="C2D69B"/>
            <w:noWrap/>
            <w:vAlign w:val="center"/>
          </w:tcPr>
          <w:p w:rsidR="00617F41" w:rsidRPr="00EC7A89" w:rsidRDefault="00617F41" w:rsidP="00982982">
            <w:pPr>
              <w:spacing w:line="223" w:lineRule="auto"/>
              <w:jc w:val="center"/>
              <w:rPr>
                <w:b/>
                <w:bCs/>
              </w:rPr>
            </w:pPr>
            <w:r w:rsidRPr="00EC7A89">
              <w:rPr>
                <w:b/>
                <w:bCs/>
              </w:rPr>
              <w:t>2014 год</w:t>
            </w:r>
          </w:p>
        </w:tc>
        <w:tc>
          <w:tcPr>
            <w:tcW w:w="3670" w:type="dxa"/>
            <w:gridSpan w:val="3"/>
            <w:tcBorders>
              <w:top w:val="single" w:sz="8" w:space="0" w:color="auto"/>
              <w:left w:val="nil"/>
              <w:bottom w:val="single" w:sz="8" w:space="0" w:color="auto"/>
              <w:right w:val="single" w:sz="8" w:space="0" w:color="000000"/>
            </w:tcBorders>
            <w:shd w:val="clear" w:color="auto" w:fill="C2D69B"/>
            <w:noWrap/>
            <w:vAlign w:val="center"/>
          </w:tcPr>
          <w:p w:rsidR="00617F41" w:rsidRPr="00EC7A89" w:rsidRDefault="00617F41" w:rsidP="00982982">
            <w:pPr>
              <w:spacing w:line="223" w:lineRule="auto"/>
              <w:jc w:val="center"/>
              <w:rPr>
                <w:b/>
                <w:bCs/>
              </w:rPr>
            </w:pPr>
            <w:r w:rsidRPr="00EC7A89">
              <w:rPr>
                <w:b/>
                <w:bCs/>
              </w:rPr>
              <w:t>Изменение</w:t>
            </w:r>
          </w:p>
        </w:tc>
      </w:tr>
      <w:tr w:rsidR="00617F41" w:rsidRPr="00EC7A89" w:rsidTr="007154C8">
        <w:trPr>
          <w:trHeight w:val="66"/>
        </w:trPr>
        <w:tc>
          <w:tcPr>
            <w:tcW w:w="3569" w:type="dxa"/>
            <w:vMerge/>
            <w:tcBorders>
              <w:top w:val="single" w:sz="8" w:space="0" w:color="auto"/>
              <w:left w:val="single" w:sz="8" w:space="0" w:color="auto"/>
              <w:bottom w:val="single" w:sz="8" w:space="0" w:color="000000"/>
              <w:right w:val="single" w:sz="8" w:space="0" w:color="auto"/>
            </w:tcBorders>
            <w:shd w:val="clear" w:color="auto" w:fill="C2D69B"/>
            <w:vAlign w:val="center"/>
          </w:tcPr>
          <w:p w:rsidR="00617F41" w:rsidRPr="00EC7A89" w:rsidRDefault="00617F41" w:rsidP="00982982">
            <w:pPr>
              <w:spacing w:line="223" w:lineRule="auto"/>
              <w:rPr>
                <w:b/>
                <w:bCs/>
              </w:rPr>
            </w:pPr>
          </w:p>
        </w:tc>
        <w:tc>
          <w:tcPr>
            <w:tcW w:w="1417" w:type="dxa"/>
            <w:tcBorders>
              <w:top w:val="nil"/>
              <w:left w:val="nil"/>
              <w:bottom w:val="single" w:sz="8" w:space="0" w:color="auto"/>
              <w:right w:val="single" w:sz="8" w:space="0" w:color="auto"/>
            </w:tcBorders>
            <w:shd w:val="clear" w:color="auto" w:fill="C2D69B"/>
            <w:vAlign w:val="center"/>
          </w:tcPr>
          <w:p w:rsidR="00617F41" w:rsidRPr="00EC7A89" w:rsidRDefault="00617F41" w:rsidP="00982982">
            <w:pPr>
              <w:spacing w:line="223" w:lineRule="auto"/>
              <w:jc w:val="center"/>
              <w:rPr>
                <w:b/>
                <w:bCs/>
              </w:rPr>
            </w:pPr>
            <w:r w:rsidRPr="00EC7A89">
              <w:rPr>
                <w:b/>
                <w:bCs/>
              </w:rPr>
              <w:t>в млрд. тенге</w:t>
            </w:r>
          </w:p>
        </w:tc>
        <w:tc>
          <w:tcPr>
            <w:tcW w:w="1418" w:type="dxa"/>
            <w:tcBorders>
              <w:top w:val="nil"/>
              <w:left w:val="nil"/>
              <w:bottom w:val="single" w:sz="8" w:space="0" w:color="auto"/>
              <w:right w:val="single" w:sz="8" w:space="0" w:color="auto"/>
            </w:tcBorders>
            <w:shd w:val="clear" w:color="auto" w:fill="C2D69B"/>
            <w:vAlign w:val="center"/>
          </w:tcPr>
          <w:p w:rsidR="00617F41" w:rsidRPr="00EC7A89" w:rsidRDefault="00617F41" w:rsidP="00982982">
            <w:pPr>
              <w:spacing w:line="223" w:lineRule="auto"/>
              <w:jc w:val="center"/>
              <w:rPr>
                <w:b/>
                <w:bCs/>
              </w:rPr>
            </w:pPr>
            <w:r w:rsidRPr="00EC7A89">
              <w:rPr>
                <w:b/>
                <w:bCs/>
              </w:rPr>
              <w:t>в млрд. тенге</w:t>
            </w:r>
          </w:p>
        </w:tc>
        <w:tc>
          <w:tcPr>
            <w:tcW w:w="1197" w:type="dxa"/>
            <w:tcBorders>
              <w:top w:val="nil"/>
              <w:left w:val="nil"/>
              <w:bottom w:val="single" w:sz="8" w:space="0" w:color="auto"/>
              <w:right w:val="single" w:sz="8" w:space="0" w:color="auto"/>
            </w:tcBorders>
            <w:shd w:val="clear" w:color="auto" w:fill="C2D69B"/>
            <w:vAlign w:val="center"/>
          </w:tcPr>
          <w:p w:rsidR="00617F41" w:rsidRPr="00EC7A89" w:rsidRDefault="00617F41" w:rsidP="00982982">
            <w:pPr>
              <w:spacing w:line="223" w:lineRule="auto"/>
              <w:jc w:val="center"/>
              <w:rPr>
                <w:b/>
                <w:bCs/>
              </w:rPr>
            </w:pPr>
            <w:r w:rsidRPr="00EC7A89">
              <w:rPr>
                <w:b/>
                <w:bCs/>
              </w:rPr>
              <w:t>в млрд. тенге</w:t>
            </w:r>
          </w:p>
        </w:tc>
        <w:tc>
          <w:tcPr>
            <w:tcW w:w="2473" w:type="dxa"/>
            <w:gridSpan w:val="2"/>
            <w:tcBorders>
              <w:top w:val="nil"/>
              <w:left w:val="nil"/>
              <w:bottom w:val="single" w:sz="8" w:space="0" w:color="auto"/>
              <w:right w:val="single" w:sz="8" w:space="0" w:color="auto"/>
            </w:tcBorders>
            <w:shd w:val="clear" w:color="auto" w:fill="C2D69B"/>
            <w:vAlign w:val="center"/>
          </w:tcPr>
          <w:p w:rsidR="00617F41" w:rsidRPr="00EC7A89" w:rsidRDefault="00617F41" w:rsidP="00982982">
            <w:pPr>
              <w:spacing w:line="223" w:lineRule="auto"/>
              <w:jc w:val="center"/>
              <w:rPr>
                <w:b/>
                <w:bCs/>
                <w:i/>
                <w:iCs/>
              </w:rPr>
            </w:pPr>
            <w:r w:rsidRPr="00EC7A89">
              <w:rPr>
                <w:b/>
                <w:bCs/>
                <w:i/>
                <w:iCs/>
              </w:rPr>
              <w:t xml:space="preserve">Рост в % </w:t>
            </w:r>
          </w:p>
        </w:tc>
      </w:tr>
      <w:tr w:rsidR="00617F41" w:rsidRPr="00EC7A89" w:rsidTr="007154C8">
        <w:trPr>
          <w:trHeight w:val="180"/>
        </w:trPr>
        <w:tc>
          <w:tcPr>
            <w:tcW w:w="3569" w:type="dxa"/>
            <w:tcBorders>
              <w:top w:val="nil"/>
              <w:left w:val="single" w:sz="8" w:space="0" w:color="auto"/>
              <w:bottom w:val="single" w:sz="8" w:space="0" w:color="auto"/>
              <w:right w:val="single" w:sz="8" w:space="0" w:color="auto"/>
            </w:tcBorders>
            <w:shd w:val="clear" w:color="auto" w:fill="EAF1DD"/>
            <w:vAlign w:val="center"/>
          </w:tcPr>
          <w:p w:rsidR="00617F41" w:rsidRPr="00D71AAC" w:rsidRDefault="00617F41" w:rsidP="00982982">
            <w:pPr>
              <w:spacing w:line="223" w:lineRule="auto"/>
              <w:rPr>
                <w:bCs/>
              </w:rPr>
            </w:pPr>
            <w:r w:rsidRPr="00D71AAC">
              <w:rPr>
                <w:bCs/>
              </w:rPr>
              <w:t>Операции с ин</w:t>
            </w:r>
            <w:r>
              <w:rPr>
                <w:bCs/>
              </w:rPr>
              <w:t>.</w:t>
            </w:r>
            <w:r w:rsidRPr="00D71AAC">
              <w:rPr>
                <w:bCs/>
              </w:rPr>
              <w:t>валютой  и драг</w:t>
            </w:r>
            <w:r>
              <w:rPr>
                <w:bCs/>
              </w:rPr>
              <w:t>.</w:t>
            </w:r>
            <w:r w:rsidRPr="00D71AAC">
              <w:rPr>
                <w:bCs/>
              </w:rPr>
              <w:t>металлами</w:t>
            </w:r>
          </w:p>
        </w:tc>
        <w:tc>
          <w:tcPr>
            <w:tcW w:w="141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25 773,2</w:t>
            </w:r>
          </w:p>
        </w:tc>
        <w:tc>
          <w:tcPr>
            <w:tcW w:w="1418"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33 951,1</w:t>
            </w:r>
          </w:p>
        </w:tc>
        <w:tc>
          <w:tcPr>
            <w:tcW w:w="119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8 177,9</w:t>
            </w:r>
          </w:p>
        </w:tc>
        <w:tc>
          <w:tcPr>
            <w:tcW w:w="2473" w:type="dxa"/>
            <w:gridSpan w:val="2"/>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rPr>
                <w:i/>
              </w:rPr>
            </w:pPr>
            <w:r w:rsidRPr="00D71AAC">
              <w:rPr>
                <w:i/>
              </w:rPr>
              <w:t>31,7%</w:t>
            </w:r>
          </w:p>
        </w:tc>
      </w:tr>
      <w:tr w:rsidR="00617F41" w:rsidRPr="00EC7A89" w:rsidTr="007154C8">
        <w:trPr>
          <w:trHeight w:val="62"/>
        </w:trPr>
        <w:tc>
          <w:tcPr>
            <w:tcW w:w="3569" w:type="dxa"/>
            <w:tcBorders>
              <w:top w:val="nil"/>
              <w:left w:val="single" w:sz="8" w:space="0" w:color="auto"/>
              <w:bottom w:val="single" w:sz="8" w:space="0" w:color="auto"/>
              <w:right w:val="single" w:sz="8" w:space="0" w:color="auto"/>
            </w:tcBorders>
            <w:shd w:val="clear" w:color="auto" w:fill="EAF1DD"/>
            <w:vAlign w:val="center"/>
          </w:tcPr>
          <w:p w:rsidR="00617F41" w:rsidRPr="00D71AAC" w:rsidRDefault="00617F41" w:rsidP="00982982">
            <w:pPr>
              <w:spacing w:line="223" w:lineRule="auto"/>
              <w:rPr>
                <w:bCs/>
              </w:rPr>
            </w:pPr>
            <w:r w:rsidRPr="00D71AAC">
              <w:rPr>
                <w:bCs/>
              </w:rPr>
              <w:t>Депозиты</w:t>
            </w:r>
          </w:p>
        </w:tc>
        <w:tc>
          <w:tcPr>
            <w:tcW w:w="141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23 161,3</w:t>
            </w:r>
          </w:p>
        </w:tc>
        <w:tc>
          <w:tcPr>
            <w:tcW w:w="1418"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32 920,8</w:t>
            </w:r>
          </w:p>
        </w:tc>
        <w:tc>
          <w:tcPr>
            <w:tcW w:w="119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9 759,4</w:t>
            </w:r>
          </w:p>
        </w:tc>
        <w:tc>
          <w:tcPr>
            <w:tcW w:w="2473" w:type="dxa"/>
            <w:gridSpan w:val="2"/>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rPr>
                <w:i/>
              </w:rPr>
            </w:pPr>
            <w:r w:rsidRPr="00D71AAC">
              <w:rPr>
                <w:i/>
              </w:rPr>
              <w:t>42,1%</w:t>
            </w:r>
          </w:p>
        </w:tc>
      </w:tr>
      <w:tr w:rsidR="00617F41" w:rsidRPr="00EC7A89" w:rsidTr="007154C8">
        <w:trPr>
          <w:trHeight w:val="62"/>
        </w:trPr>
        <w:tc>
          <w:tcPr>
            <w:tcW w:w="3569" w:type="dxa"/>
            <w:tcBorders>
              <w:top w:val="nil"/>
              <w:left w:val="single" w:sz="8" w:space="0" w:color="auto"/>
              <w:bottom w:val="single" w:sz="8" w:space="0" w:color="auto"/>
              <w:right w:val="single" w:sz="8" w:space="0" w:color="auto"/>
            </w:tcBorders>
            <w:shd w:val="clear" w:color="auto" w:fill="EAF1DD"/>
            <w:vAlign w:val="center"/>
          </w:tcPr>
          <w:p w:rsidR="00617F41" w:rsidRPr="00D71AAC" w:rsidRDefault="00617F41" w:rsidP="00982982">
            <w:pPr>
              <w:spacing w:line="223" w:lineRule="auto"/>
              <w:rPr>
                <w:bCs/>
              </w:rPr>
            </w:pPr>
            <w:r w:rsidRPr="00D71AAC">
              <w:rPr>
                <w:bCs/>
              </w:rPr>
              <w:t>Займы</w:t>
            </w:r>
          </w:p>
        </w:tc>
        <w:tc>
          <w:tcPr>
            <w:tcW w:w="141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2 237,7</w:t>
            </w:r>
          </w:p>
        </w:tc>
        <w:tc>
          <w:tcPr>
            <w:tcW w:w="1418"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2 576,7</w:t>
            </w:r>
          </w:p>
        </w:tc>
        <w:tc>
          <w:tcPr>
            <w:tcW w:w="119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339,0</w:t>
            </w:r>
          </w:p>
        </w:tc>
        <w:tc>
          <w:tcPr>
            <w:tcW w:w="2473" w:type="dxa"/>
            <w:gridSpan w:val="2"/>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rPr>
                <w:i/>
              </w:rPr>
            </w:pPr>
            <w:r w:rsidRPr="00D71AAC">
              <w:rPr>
                <w:i/>
              </w:rPr>
              <w:t>15,2%</w:t>
            </w:r>
          </w:p>
        </w:tc>
      </w:tr>
      <w:tr w:rsidR="00617F41" w:rsidRPr="00EC7A89" w:rsidTr="007154C8">
        <w:trPr>
          <w:trHeight w:val="238"/>
        </w:trPr>
        <w:tc>
          <w:tcPr>
            <w:tcW w:w="3569" w:type="dxa"/>
            <w:tcBorders>
              <w:top w:val="nil"/>
              <w:left w:val="single" w:sz="8" w:space="0" w:color="auto"/>
              <w:bottom w:val="single" w:sz="8" w:space="0" w:color="auto"/>
              <w:right w:val="single" w:sz="8" w:space="0" w:color="auto"/>
            </w:tcBorders>
            <w:shd w:val="clear" w:color="auto" w:fill="EAF1DD"/>
            <w:vAlign w:val="center"/>
          </w:tcPr>
          <w:p w:rsidR="00617F41" w:rsidRPr="00D71AAC" w:rsidRDefault="00617F41" w:rsidP="00982982">
            <w:pPr>
              <w:spacing w:line="223" w:lineRule="auto"/>
              <w:rPr>
                <w:bCs/>
              </w:rPr>
            </w:pPr>
            <w:r w:rsidRPr="00D71AAC">
              <w:rPr>
                <w:bCs/>
              </w:rPr>
              <w:t>Ценные бумаги, векселя и депозитные сертификаты</w:t>
            </w:r>
          </w:p>
        </w:tc>
        <w:tc>
          <w:tcPr>
            <w:tcW w:w="141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79 579,8</w:t>
            </w:r>
          </w:p>
        </w:tc>
        <w:tc>
          <w:tcPr>
            <w:tcW w:w="1418"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76 538,2</w:t>
            </w:r>
          </w:p>
        </w:tc>
        <w:tc>
          <w:tcPr>
            <w:tcW w:w="119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-3 041,6</w:t>
            </w:r>
          </w:p>
        </w:tc>
        <w:tc>
          <w:tcPr>
            <w:tcW w:w="2473" w:type="dxa"/>
            <w:gridSpan w:val="2"/>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rPr>
                <w:i/>
              </w:rPr>
            </w:pPr>
            <w:r w:rsidRPr="00D71AAC">
              <w:rPr>
                <w:i/>
              </w:rPr>
              <w:t>-3,8%</w:t>
            </w:r>
          </w:p>
        </w:tc>
      </w:tr>
      <w:tr w:rsidR="00617F41" w:rsidRPr="00EC7A89" w:rsidTr="007154C8">
        <w:trPr>
          <w:trHeight w:val="180"/>
        </w:trPr>
        <w:tc>
          <w:tcPr>
            <w:tcW w:w="3569" w:type="dxa"/>
            <w:tcBorders>
              <w:top w:val="nil"/>
              <w:left w:val="single" w:sz="8" w:space="0" w:color="auto"/>
              <w:bottom w:val="single" w:sz="8" w:space="0" w:color="auto"/>
              <w:right w:val="single" w:sz="8" w:space="0" w:color="auto"/>
            </w:tcBorders>
            <w:shd w:val="clear" w:color="auto" w:fill="EAF1DD"/>
            <w:vAlign w:val="center"/>
          </w:tcPr>
          <w:p w:rsidR="00617F41" w:rsidRPr="00D71AAC" w:rsidRDefault="00617F41" w:rsidP="00982982">
            <w:pPr>
              <w:spacing w:line="223" w:lineRule="auto"/>
              <w:rPr>
                <w:bCs/>
              </w:rPr>
            </w:pPr>
            <w:r w:rsidRPr="00D71AAC">
              <w:rPr>
                <w:bCs/>
              </w:rPr>
              <w:t>Товары, нематериальные активы и услуги</w:t>
            </w:r>
          </w:p>
        </w:tc>
        <w:tc>
          <w:tcPr>
            <w:tcW w:w="141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22 000,1</w:t>
            </w:r>
          </w:p>
        </w:tc>
        <w:tc>
          <w:tcPr>
            <w:tcW w:w="1418"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24 517,1</w:t>
            </w:r>
          </w:p>
        </w:tc>
        <w:tc>
          <w:tcPr>
            <w:tcW w:w="119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2 517,0</w:t>
            </w:r>
          </w:p>
        </w:tc>
        <w:tc>
          <w:tcPr>
            <w:tcW w:w="2473" w:type="dxa"/>
            <w:gridSpan w:val="2"/>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rPr>
                <w:i/>
              </w:rPr>
            </w:pPr>
            <w:r w:rsidRPr="00D71AAC">
              <w:rPr>
                <w:i/>
              </w:rPr>
              <w:t>11,4%</w:t>
            </w:r>
          </w:p>
        </w:tc>
      </w:tr>
      <w:tr w:rsidR="00617F41" w:rsidRPr="00EC7A89" w:rsidTr="007154C8">
        <w:trPr>
          <w:trHeight w:val="121"/>
        </w:trPr>
        <w:tc>
          <w:tcPr>
            <w:tcW w:w="3569" w:type="dxa"/>
            <w:tcBorders>
              <w:top w:val="nil"/>
              <w:left w:val="single" w:sz="8" w:space="0" w:color="auto"/>
              <w:bottom w:val="single" w:sz="8" w:space="0" w:color="auto"/>
              <w:right w:val="single" w:sz="8" w:space="0" w:color="auto"/>
            </w:tcBorders>
            <w:shd w:val="clear" w:color="auto" w:fill="EAF1DD"/>
            <w:vAlign w:val="center"/>
          </w:tcPr>
          <w:p w:rsidR="00617F41" w:rsidRPr="00D71AAC" w:rsidRDefault="00617F41" w:rsidP="00982982">
            <w:pPr>
              <w:spacing w:line="223" w:lineRule="auto"/>
              <w:rPr>
                <w:bCs/>
              </w:rPr>
            </w:pPr>
            <w:r w:rsidRPr="00D71AAC">
              <w:rPr>
                <w:bCs/>
              </w:rPr>
              <w:t>Прочие платежи*</w:t>
            </w:r>
          </w:p>
        </w:tc>
        <w:tc>
          <w:tcPr>
            <w:tcW w:w="141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20 023,8</w:t>
            </w:r>
          </w:p>
        </w:tc>
        <w:tc>
          <w:tcPr>
            <w:tcW w:w="1418"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26 695,2</w:t>
            </w:r>
          </w:p>
        </w:tc>
        <w:tc>
          <w:tcPr>
            <w:tcW w:w="1197" w:type="dxa"/>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pPr>
            <w:r w:rsidRPr="00D71AAC">
              <w:t>6 671,4</w:t>
            </w:r>
          </w:p>
        </w:tc>
        <w:tc>
          <w:tcPr>
            <w:tcW w:w="2473" w:type="dxa"/>
            <w:gridSpan w:val="2"/>
            <w:tcBorders>
              <w:top w:val="nil"/>
              <w:left w:val="nil"/>
              <w:bottom w:val="single" w:sz="8" w:space="0" w:color="auto"/>
              <w:right w:val="single" w:sz="8" w:space="0" w:color="auto"/>
            </w:tcBorders>
            <w:shd w:val="clear" w:color="auto" w:fill="FFFFFF"/>
            <w:noWrap/>
            <w:vAlign w:val="center"/>
          </w:tcPr>
          <w:p w:rsidR="00617F41" w:rsidRPr="00D71AAC" w:rsidRDefault="00617F41" w:rsidP="00982982">
            <w:pPr>
              <w:spacing w:line="223" w:lineRule="auto"/>
              <w:jc w:val="center"/>
              <w:rPr>
                <w:i/>
              </w:rPr>
            </w:pPr>
            <w:r w:rsidRPr="00D71AAC">
              <w:rPr>
                <w:i/>
              </w:rPr>
              <w:t>33,3%</w:t>
            </w:r>
          </w:p>
        </w:tc>
      </w:tr>
      <w:tr w:rsidR="00617F41" w:rsidRPr="00EC7A89" w:rsidTr="007154C8">
        <w:trPr>
          <w:trHeight w:val="62"/>
        </w:trPr>
        <w:tc>
          <w:tcPr>
            <w:tcW w:w="3569" w:type="dxa"/>
            <w:tcBorders>
              <w:top w:val="nil"/>
              <w:left w:val="single" w:sz="8" w:space="0" w:color="auto"/>
              <w:bottom w:val="single" w:sz="8" w:space="0" w:color="auto"/>
              <w:right w:val="single" w:sz="8" w:space="0" w:color="auto"/>
            </w:tcBorders>
            <w:shd w:val="clear" w:color="auto" w:fill="C2D69B"/>
            <w:vAlign w:val="center"/>
          </w:tcPr>
          <w:p w:rsidR="00617F41" w:rsidRPr="00D71AAC" w:rsidRDefault="00617F41" w:rsidP="00982982">
            <w:pPr>
              <w:spacing w:line="223" w:lineRule="auto"/>
              <w:rPr>
                <w:b/>
                <w:bCs/>
              </w:rPr>
            </w:pPr>
            <w:r w:rsidRPr="00D71AAC">
              <w:rPr>
                <w:b/>
                <w:bCs/>
              </w:rPr>
              <w:t>Итого</w:t>
            </w:r>
          </w:p>
        </w:tc>
        <w:tc>
          <w:tcPr>
            <w:tcW w:w="1417" w:type="dxa"/>
            <w:tcBorders>
              <w:top w:val="nil"/>
              <w:left w:val="nil"/>
              <w:bottom w:val="single" w:sz="8" w:space="0" w:color="auto"/>
              <w:right w:val="single" w:sz="8" w:space="0" w:color="auto"/>
            </w:tcBorders>
            <w:shd w:val="clear" w:color="auto" w:fill="C2D69B"/>
            <w:noWrap/>
            <w:vAlign w:val="center"/>
          </w:tcPr>
          <w:p w:rsidR="00617F41" w:rsidRPr="00D71AAC" w:rsidRDefault="00617F41" w:rsidP="00982982">
            <w:pPr>
              <w:spacing w:line="223" w:lineRule="auto"/>
              <w:jc w:val="center"/>
              <w:rPr>
                <w:b/>
                <w:bCs/>
              </w:rPr>
            </w:pPr>
            <w:r w:rsidRPr="00D71AAC">
              <w:rPr>
                <w:b/>
                <w:bCs/>
              </w:rPr>
              <w:t>172 775,9</w:t>
            </w:r>
          </w:p>
        </w:tc>
        <w:tc>
          <w:tcPr>
            <w:tcW w:w="1418" w:type="dxa"/>
            <w:tcBorders>
              <w:top w:val="nil"/>
              <w:left w:val="nil"/>
              <w:bottom w:val="single" w:sz="8" w:space="0" w:color="auto"/>
              <w:right w:val="single" w:sz="8" w:space="0" w:color="auto"/>
            </w:tcBorders>
            <w:shd w:val="clear" w:color="auto" w:fill="C2D69B"/>
            <w:noWrap/>
            <w:vAlign w:val="center"/>
          </w:tcPr>
          <w:p w:rsidR="00617F41" w:rsidRPr="00D71AAC" w:rsidRDefault="00617F41" w:rsidP="00982982">
            <w:pPr>
              <w:spacing w:line="223" w:lineRule="auto"/>
              <w:jc w:val="center"/>
              <w:rPr>
                <w:b/>
                <w:bCs/>
              </w:rPr>
            </w:pPr>
            <w:r w:rsidRPr="00D71AAC">
              <w:rPr>
                <w:b/>
                <w:bCs/>
              </w:rPr>
              <w:t>197 199,0</w:t>
            </w:r>
          </w:p>
        </w:tc>
        <w:tc>
          <w:tcPr>
            <w:tcW w:w="1197" w:type="dxa"/>
            <w:tcBorders>
              <w:top w:val="nil"/>
              <w:left w:val="nil"/>
              <w:bottom w:val="single" w:sz="8" w:space="0" w:color="auto"/>
              <w:right w:val="single" w:sz="8" w:space="0" w:color="auto"/>
            </w:tcBorders>
            <w:shd w:val="clear" w:color="auto" w:fill="C2D69B"/>
            <w:noWrap/>
            <w:vAlign w:val="center"/>
          </w:tcPr>
          <w:p w:rsidR="00617F41" w:rsidRPr="00D71AAC" w:rsidRDefault="00617F41" w:rsidP="00982982">
            <w:pPr>
              <w:spacing w:line="223" w:lineRule="auto"/>
              <w:jc w:val="center"/>
              <w:rPr>
                <w:b/>
              </w:rPr>
            </w:pPr>
            <w:r w:rsidRPr="00D71AAC">
              <w:rPr>
                <w:b/>
              </w:rPr>
              <w:t>24 423,1</w:t>
            </w:r>
          </w:p>
        </w:tc>
        <w:tc>
          <w:tcPr>
            <w:tcW w:w="2473" w:type="dxa"/>
            <w:gridSpan w:val="2"/>
            <w:tcBorders>
              <w:top w:val="nil"/>
              <w:left w:val="nil"/>
              <w:bottom w:val="single" w:sz="8" w:space="0" w:color="auto"/>
              <w:right w:val="single" w:sz="8" w:space="0" w:color="auto"/>
            </w:tcBorders>
            <w:shd w:val="clear" w:color="auto" w:fill="C2D69B"/>
            <w:noWrap/>
            <w:vAlign w:val="center"/>
          </w:tcPr>
          <w:p w:rsidR="00617F41" w:rsidRPr="00D71AAC" w:rsidRDefault="00617F41" w:rsidP="00982982">
            <w:pPr>
              <w:spacing w:line="223" w:lineRule="auto"/>
              <w:jc w:val="center"/>
              <w:rPr>
                <w:b/>
                <w:i/>
              </w:rPr>
            </w:pPr>
            <w:r w:rsidRPr="00D71AAC">
              <w:rPr>
                <w:b/>
                <w:i/>
              </w:rPr>
              <w:t>14,1%</w:t>
            </w:r>
          </w:p>
        </w:tc>
      </w:tr>
    </w:tbl>
    <w:p w:rsidR="007154C8" w:rsidRDefault="007154C8" w:rsidP="009A21C9">
      <w:pPr>
        <w:ind w:firstLine="709"/>
        <w:jc w:val="center"/>
        <w:rPr>
          <w:b/>
          <w:kern w:val="16"/>
        </w:rPr>
      </w:pPr>
    </w:p>
    <w:p w:rsidR="007154C8" w:rsidRDefault="007154C8" w:rsidP="009A21C9">
      <w:pPr>
        <w:ind w:firstLine="709"/>
        <w:jc w:val="center"/>
        <w:rPr>
          <w:b/>
          <w:kern w:val="16"/>
        </w:rPr>
      </w:pPr>
    </w:p>
    <w:tbl>
      <w:tblPr>
        <w:tblW w:w="10372" w:type="dxa"/>
        <w:tblLook w:val="00A0" w:firstRow="1" w:lastRow="0" w:firstColumn="1" w:lastColumn="0" w:noHBand="0" w:noVBand="0"/>
      </w:tblPr>
      <w:tblGrid>
        <w:gridCol w:w="3494"/>
        <w:gridCol w:w="6878"/>
      </w:tblGrid>
      <w:tr w:rsidR="007154C8" w:rsidTr="007154C8">
        <w:trPr>
          <w:trHeight w:val="3343"/>
        </w:trPr>
        <w:tc>
          <w:tcPr>
            <w:tcW w:w="3549" w:type="dxa"/>
          </w:tcPr>
          <w:p w:rsidR="007154C8" w:rsidRDefault="007154C8" w:rsidP="00203DCA">
            <w:pPr>
              <w:ind w:firstLine="709"/>
              <w:jc w:val="both"/>
              <w:rPr>
                <w:sz w:val="28"/>
                <w:szCs w:val="28"/>
              </w:rPr>
            </w:pPr>
          </w:p>
          <w:p w:rsidR="007154C8" w:rsidRPr="007A05EB" w:rsidRDefault="007154C8" w:rsidP="00203DCA">
            <w:pPr>
              <w:ind w:firstLine="709"/>
              <w:jc w:val="both"/>
              <w:rPr>
                <w:sz w:val="28"/>
                <w:szCs w:val="28"/>
              </w:rPr>
            </w:pPr>
            <w:r w:rsidRPr="007A05EB">
              <w:rPr>
                <w:sz w:val="28"/>
                <w:szCs w:val="28"/>
              </w:rPr>
              <w:t>В разрезе групп пользователей наибольшая доля объемов платежей в 2014 году при</w:t>
            </w:r>
            <w:r>
              <w:rPr>
                <w:sz w:val="28"/>
                <w:szCs w:val="28"/>
              </w:rPr>
              <w:t>ходилась на организации – 51,0%</w:t>
            </w:r>
            <w:r w:rsidRPr="007A05EB">
              <w:rPr>
                <w:sz w:val="28"/>
                <w:szCs w:val="28"/>
              </w:rPr>
              <w:t>. При этом 25% всех платежей приходится на 5 крупных банков Казахстана.</w:t>
            </w:r>
          </w:p>
        </w:tc>
        <w:tc>
          <w:tcPr>
            <w:tcW w:w="6823" w:type="dxa"/>
          </w:tcPr>
          <w:p w:rsidR="007154C8" w:rsidRDefault="007154C8" w:rsidP="00203DCA">
            <w:pPr>
              <w:jc w:val="both"/>
            </w:pPr>
          </w:p>
          <w:p w:rsidR="007154C8" w:rsidRPr="007A05EB" w:rsidRDefault="00786A4E" w:rsidP="00203DCA">
            <w:pPr>
              <w:jc w:val="both"/>
              <w:rPr>
                <w:sz w:val="28"/>
                <w:szCs w:val="28"/>
              </w:rPr>
            </w:pPr>
            <w:r w:rsidRPr="007A05EB">
              <w:rPr>
                <w:noProof/>
                <w:sz w:val="28"/>
                <w:szCs w:val="28"/>
              </w:rPr>
              <w:drawing>
                <wp:inline distT="0" distB="0" distL="0" distR="0">
                  <wp:extent cx="4229100" cy="1885950"/>
                  <wp:effectExtent l="0" t="0" r="0" b="0"/>
                  <wp:docPr id="13"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617F41" w:rsidRDefault="00617F41" w:rsidP="009A21C9">
      <w:pPr>
        <w:ind w:firstLine="709"/>
        <w:jc w:val="center"/>
        <w:rPr>
          <w:sz w:val="28"/>
          <w:szCs w:val="28"/>
        </w:rPr>
      </w:pPr>
      <w:r w:rsidRPr="000364FD">
        <w:rPr>
          <w:b/>
          <w:kern w:val="16"/>
        </w:rPr>
        <w:t>Потоки платежей в МСПД по группам пользователей</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2943"/>
        <w:gridCol w:w="1701"/>
        <w:gridCol w:w="1701"/>
        <w:gridCol w:w="1713"/>
        <w:gridCol w:w="1588"/>
      </w:tblGrid>
      <w:tr w:rsidR="00617F41" w:rsidRPr="00EC7A89" w:rsidTr="009A21C9">
        <w:trPr>
          <w:trHeight w:val="229"/>
        </w:trPr>
        <w:tc>
          <w:tcPr>
            <w:tcW w:w="2943" w:type="dxa"/>
            <w:vMerge w:val="restart"/>
            <w:shd w:val="clear" w:color="auto" w:fill="C2D69B"/>
            <w:vAlign w:val="center"/>
          </w:tcPr>
          <w:p w:rsidR="00617F41" w:rsidRPr="00EC7A89" w:rsidRDefault="00617F41" w:rsidP="00982982">
            <w:pPr>
              <w:jc w:val="center"/>
              <w:rPr>
                <w:b/>
                <w:bCs/>
              </w:rPr>
            </w:pPr>
            <w:r w:rsidRPr="00EC7A89">
              <w:rPr>
                <w:b/>
                <w:bCs/>
                <w:snapToGrid w:val="0"/>
              </w:rPr>
              <w:t>Группа</w:t>
            </w:r>
          </w:p>
        </w:tc>
        <w:tc>
          <w:tcPr>
            <w:tcW w:w="1701" w:type="dxa"/>
            <w:shd w:val="clear" w:color="auto" w:fill="C2D69B"/>
          </w:tcPr>
          <w:p w:rsidR="00617F41" w:rsidRPr="00EC7A89" w:rsidRDefault="00617F41" w:rsidP="00982982">
            <w:pPr>
              <w:jc w:val="center"/>
              <w:rPr>
                <w:b/>
                <w:bCs/>
                <w:color w:val="FFFFFF"/>
              </w:rPr>
            </w:pPr>
            <w:r w:rsidRPr="00EC7A89">
              <w:rPr>
                <w:b/>
                <w:bCs/>
              </w:rPr>
              <w:t>2013 год</w:t>
            </w:r>
          </w:p>
        </w:tc>
        <w:tc>
          <w:tcPr>
            <w:tcW w:w="1701" w:type="dxa"/>
            <w:shd w:val="clear" w:color="auto" w:fill="C2D69B"/>
          </w:tcPr>
          <w:p w:rsidR="00617F41" w:rsidRPr="00EC7A89" w:rsidRDefault="00617F41" w:rsidP="00982982">
            <w:pPr>
              <w:jc w:val="center"/>
              <w:rPr>
                <w:b/>
                <w:bCs/>
                <w:color w:val="FFFFFF"/>
              </w:rPr>
            </w:pPr>
            <w:r w:rsidRPr="00EC7A89">
              <w:rPr>
                <w:b/>
                <w:bCs/>
              </w:rPr>
              <w:t>2014 год</w:t>
            </w:r>
          </w:p>
        </w:tc>
        <w:tc>
          <w:tcPr>
            <w:tcW w:w="3301" w:type="dxa"/>
            <w:gridSpan w:val="2"/>
            <w:shd w:val="clear" w:color="auto" w:fill="C2D69B"/>
          </w:tcPr>
          <w:p w:rsidR="00617F41" w:rsidRPr="00EC7A89" w:rsidRDefault="00617F41" w:rsidP="00982982">
            <w:pPr>
              <w:jc w:val="center"/>
              <w:rPr>
                <w:b/>
                <w:bCs/>
              </w:rPr>
            </w:pPr>
            <w:r w:rsidRPr="00EC7A89">
              <w:rPr>
                <w:bCs/>
              </w:rPr>
              <w:t>Изменения</w:t>
            </w:r>
          </w:p>
        </w:tc>
      </w:tr>
      <w:tr w:rsidR="00617F41" w:rsidRPr="00EC7A89" w:rsidTr="009A21C9">
        <w:trPr>
          <w:trHeight w:val="370"/>
        </w:trPr>
        <w:tc>
          <w:tcPr>
            <w:tcW w:w="2943" w:type="dxa"/>
            <w:vMerge/>
            <w:shd w:val="clear" w:color="auto" w:fill="C2D69B"/>
          </w:tcPr>
          <w:p w:rsidR="00617F41" w:rsidRPr="00EC7A89" w:rsidRDefault="00617F41" w:rsidP="00982982">
            <w:pPr>
              <w:rPr>
                <w:b/>
                <w:bCs/>
                <w:snapToGrid w:val="0"/>
              </w:rPr>
            </w:pPr>
          </w:p>
        </w:tc>
        <w:tc>
          <w:tcPr>
            <w:tcW w:w="1701" w:type="dxa"/>
            <w:shd w:val="clear" w:color="auto" w:fill="C2D69B"/>
          </w:tcPr>
          <w:p w:rsidR="00617F41" w:rsidRPr="00EC7A89" w:rsidRDefault="00617F41" w:rsidP="00982982">
            <w:pPr>
              <w:jc w:val="center"/>
              <w:rPr>
                <w:b/>
                <w:snapToGrid w:val="0"/>
              </w:rPr>
            </w:pPr>
            <w:r w:rsidRPr="00EC7A89">
              <w:rPr>
                <w:b/>
                <w:snapToGrid w:val="0"/>
              </w:rPr>
              <w:t>в млрд. тенге</w:t>
            </w:r>
          </w:p>
        </w:tc>
        <w:tc>
          <w:tcPr>
            <w:tcW w:w="1701" w:type="dxa"/>
            <w:shd w:val="clear" w:color="auto" w:fill="C2D69B"/>
          </w:tcPr>
          <w:p w:rsidR="00617F41" w:rsidRPr="00EC7A89" w:rsidRDefault="00617F41" w:rsidP="00982982">
            <w:pPr>
              <w:ind w:right="-108"/>
              <w:jc w:val="center"/>
              <w:rPr>
                <w:b/>
                <w:snapToGrid w:val="0"/>
              </w:rPr>
            </w:pPr>
            <w:r w:rsidRPr="00EC7A89">
              <w:rPr>
                <w:b/>
                <w:snapToGrid w:val="0"/>
              </w:rPr>
              <w:t>в млрд. тенге</w:t>
            </w:r>
          </w:p>
        </w:tc>
        <w:tc>
          <w:tcPr>
            <w:tcW w:w="1713" w:type="dxa"/>
            <w:shd w:val="clear" w:color="auto" w:fill="C2D69B"/>
          </w:tcPr>
          <w:p w:rsidR="00617F41" w:rsidRPr="00EC7A89" w:rsidRDefault="00617F41" w:rsidP="00982982">
            <w:pPr>
              <w:ind w:right="-63"/>
              <w:jc w:val="center"/>
              <w:rPr>
                <w:b/>
                <w:snapToGrid w:val="0"/>
              </w:rPr>
            </w:pPr>
            <w:r w:rsidRPr="00EC7A89">
              <w:rPr>
                <w:b/>
                <w:snapToGrid w:val="0"/>
              </w:rPr>
              <w:t>в млрд. тенге</w:t>
            </w:r>
          </w:p>
        </w:tc>
        <w:tc>
          <w:tcPr>
            <w:tcW w:w="1588" w:type="dxa"/>
            <w:shd w:val="clear" w:color="auto" w:fill="C2D69B"/>
          </w:tcPr>
          <w:p w:rsidR="00617F41" w:rsidRPr="00EC7A89" w:rsidRDefault="00617F41" w:rsidP="00982982">
            <w:pPr>
              <w:jc w:val="center"/>
              <w:rPr>
                <w:b/>
                <w:i/>
                <w:snapToGrid w:val="0"/>
              </w:rPr>
            </w:pPr>
            <w:r w:rsidRPr="00EC7A89">
              <w:rPr>
                <w:b/>
                <w:i/>
                <w:snapToGrid w:val="0"/>
              </w:rPr>
              <w:t>рост в %</w:t>
            </w:r>
          </w:p>
        </w:tc>
      </w:tr>
      <w:tr w:rsidR="00617F41" w:rsidRPr="00EC7A89" w:rsidTr="009A21C9">
        <w:trPr>
          <w:trHeight w:val="285"/>
        </w:trPr>
        <w:tc>
          <w:tcPr>
            <w:tcW w:w="2943" w:type="dxa"/>
            <w:shd w:val="clear" w:color="auto" w:fill="EAF1DD"/>
            <w:vAlign w:val="center"/>
          </w:tcPr>
          <w:p w:rsidR="00617F41" w:rsidRPr="00EC7A89" w:rsidRDefault="00617F41" w:rsidP="00982982">
            <w:pPr>
              <w:rPr>
                <w:bCs/>
                <w:snapToGrid w:val="0"/>
              </w:rPr>
            </w:pPr>
            <w:r w:rsidRPr="00EC7A89">
              <w:rPr>
                <w:bCs/>
                <w:snapToGrid w:val="0"/>
              </w:rPr>
              <w:t>Пять крупных банков</w:t>
            </w:r>
          </w:p>
        </w:tc>
        <w:tc>
          <w:tcPr>
            <w:tcW w:w="1701" w:type="dxa"/>
            <w:vAlign w:val="center"/>
          </w:tcPr>
          <w:p w:rsidR="00617F41" w:rsidRPr="00EC7A89" w:rsidRDefault="00617F41" w:rsidP="00982982">
            <w:pPr>
              <w:jc w:val="center"/>
            </w:pPr>
            <w:r w:rsidRPr="00EC7A89">
              <w:t>48 171,6</w:t>
            </w:r>
          </w:p>
        </w:tc>
        <w:tc>
          <w:tcPr>
            <w:tcW w:w="1701" w:type="dxa"/>
            <w:vAlign w:val="center"/>
          </w:tcPr>
          <w:p w:rsidR="00617F41" w:rsidRPr="00EC7A89" w:rsidRDefault="00617F41" w:rsidP="00982982">
            <w:pPr>
              <w:jc w:val="center"/>
            </w:pPr>
            <w:r w:rsidRPr="00EC7A89">
              <w:t>49 249,5</w:t>
            </w:r>
          </w:p>
        </w:tc>
        <w:tc>
          <w:tcPr>
            <w:tcW w:w="1713" w:type="dxa"/>
            <w:vAlign w:val="center"/>
          </w:tcPr>
          <w:p w:rsidR="00617F41" w:rsidRPr="00EC7A89" w:rsidRDefault="00617F41" w:rsidP="00982982">
            <w:pPr>
              <w:jc w:val="center"/>
            </w:pPr>
            <w:r w:rsidRPr="00EC7A89">
              <w:t>1 077,93</w:t>
            </w:r>
          </w:p>
        </w:tc>
        <w:tc>
          <w:tcPr>
            <w:tcW w:w="1588" w:type="dxa"/>
            <w:vAlign w:val="center"/>
          </w:tcPr>
          <w:p w:rsidR="00617F41" w:rsidRPr="00EC7A89" w:rsidRDefault="00617F41" w:rsidP="00982982">
            <w:pPr>
              <w:jc w:val="center"/>
              <w:rPr>
                <w:i/>
                <w:iCs/>
              </w:rPr>
            </w:pPr>
            <w:r w:rsidRPr="00EC7A89">
              <w:rPr>
                <w:i/>
                <w:iCs/>
              </w:rPr>
              <w:t>2,2%</w:t>
            </w:r>
          </w:p>
        </w:tc>
      </w:tr>
      <w:tr w:rsidR="00617F41" w:rsidRPr="00EC7A89" w:rsidTr="00982982">
        <w:trPr>
          <w:trHeight w:val="122"/>
        </w:trPr>
        <w:tc>
          <w:tcPr>
            <w:tcW w:w="2943" w:type="dxa"/>
            <w:shd w:val="clear" w:color="auto" w:fill="EAF1DD"/>
            <w:vAlign w:val="center"/>
          </w:tcPr>
          <w:p w:rsidR="00617F41" w:rsidRPr="00EC7A89" w:rsidRDefault="00617F41" w:rsidP="00982982">
            <w:pPr>
              <w:rPr>
                <w:bCs/>
                <w:snapToGrid w:val="0"/>
              </w:rPr>
            </w:pPr>
            <w:r w:rsidRPr="00EC7A89">
              <w:rPr>
                <w:bCs/>
                <w:snapToGrid w:val="0"/>
              </w:rPr>
              <w:t>Прочие банки</w:t>
            </w:r>
            <w:r w:rsidRPr="00EC7A89">
              <w:rPr>
                <w:rStyle w:val="ab"/>
                <w:bCs/>
                <w:snapToGrid w:val="0"/>
              </w:rPr>
              <w:footnoteReference w:id="7"/>
            </w:r>
          </w:p>
        </w:tc>
        <w:tc>
          <w:tcPr>
            <w:tcW w:w="1701" w:type="dxa"/>
            <w:vAlign w:val="center"/>
          </w:tcPr>
          <w:p w:rsidR="00617F41" w:rsidRPr="00EC7A89" w:rsidRDefault="00617F41" w:rsidP="00982982">
            <w:pPr>
              <w:jc w:val="center"/>
            </w:pPr>
            <w:r w:rsidRPr="00EC7A89">
              <w:t>42 100,2</w:t>
            </w:r>
          </w:p>
        </w:tc>
        <w:tc>
          <w:tcPr>
            <w:tcW w:w="1701" w:type="dxa"/>
            <w:vAlign w:val="center"/>
          </w:tcPr>
          <w:p w:rsidR="00617F41" w:rsidRPr="00EC7A89" w:rsidRDefault="00617F41" w:rsidP="00982982">
            <w:pPr>
              <w:jc w:val="center"/>
            </w:pPr>
            <w:r w:rsidRPr="00EC7A89">
              <w:t>47 348,5</w:t>
            </w:r>
          </w:p>
        </w:tc>
        <w:tc>
          <w:tcPr>
            <w:tcW w:w="1713" w:type="dxa"/>
            <w:vAlign w:val="center"/>
          </w:tcPr>
          <w:p w:rsidR="00617F41" w:rsidRPr="00EC7A89" w:rsidRDefault="00617F41" w:rsidP="00982982">
            <w:pPr>
              <w:jc w:val="center"/>
            </w:pPr>
            <w:r w:rsidRPr="00EC7A89">
              <w:t>5 248,34</w:t>
            </w:r>
          </w:p>
        </w:tc>
        <w:tc>
          <w:tcPr>
            <w:tcW w:w="1588" w:type="dxa"/>
            <w:vAlign w:val="center"/>
          </w:tcPr>
          <w:p w:rsidR="00617F41" w:rsidRPr="00EC7A89" w:rsidRDefault="00617F41" w:rsidP="00982982">
            <w:pPr>
              <w:jc w:val="center"/>
              <w:rPr>
                <w:i/>
                <w:iCs/>
              </w:rPr>
            </w:pPr>
            <w:r w:rsidRPr="00EC7A89">
              <w:rPr>
                <w:i/>
                <w:iCs/>
              </w:rPr>
              <w:t>12,5%</w:t>
            </w:r>
          </w:p>
        </w:tc>
      </w:tr>
      <w:tr w:rsidR="00617F41" w:rsidRPr="00EC7A89" w:rsidTr="009A21C9">
        <w:trPr>
          <w:trHeight w:val="285"/>
        </w:trPr>
        <w:tc>
          <w:tcPr>
            <w:tcW w:w="2943" w:type="dxa"/>
            <w:shd w:val="clear" w:color="auto" w:fill="EAF1DD"/>
            <w:vAlign w:val="center"/>
          </w:tcPr>
          <w:p w:rsidR="00617F41" w:rsidRPr="00EC7A89" w:rsidRDefault="00617F41" w:rsidP="00982982">
            <w:pPr>
              <w:rPr>
                <w:bCs/>
                <w:snapToGrid w:val="0"/>
              </w:rPr>
            </w:pPr>
            <w:r w:rsidRPr="00EC7A89">
              <w:rPr>
                <w:bCs/>
                <w:snapToGrid w:val="0"/>
              </w:rPr>
              <w:t>Организации</w:t>
            </w:r>
            <w:r w:rsidRPr="00EC7A89">
              <w:rPr>
                <w:rStyle w:val="ab"/>
                <w:bCs/>
                <w:snapToGrid w:val="0"/>
              </w:rPr>
              <w:footnoteReference w:id="8"/>
            </w:r>
          </w:p>
        </w:tc>
        <w:tc>
          <w:tcPr>
            <w:tcW w:w="1701" w:type="dxa"/>
            <w:vAlign w:val="center"/>
          </w:tcPr>
          <w:p w:rsidR="00617F41" w:rsidRPr="00EC7A89" w:rsidRDefault="00617F41" w:rsidP="00982982">
            <w:pPr>
              <w:jc w:val="center"/>
            </w:pPr>
            <w:r w:rsidRPr="00EC7A89">
              <w:t>82 504,2</w:t>
            </w:r>
          </w:p>
        </w:tc>
        <w:tc>
          <w:tcPr>
            <w:tcW w:w="1701" w:type="dxa"/>
            <w:vAlign w:val="center"/>
          </w:tcPr>
          <w:p w:rsidR="00617F41" w:rsidRPr="00EC7A89" w:rsidRDefault="00617F41" w:rsidP="00982982">
            <w:pPr>
              <w:jc w:val="center"/>
            </w:pPr>
            <w:r w:rsidRPr="00EC7A89">
              <w:t>100 600,9</w:t>
            </w:r>
          </w:p>
        </w:tc>
        <w:tc>
          <w:tcPr>
            <w:tcW w:w="1713" w:type="dxa"/>
            <w:vAlign w:val="center"/>
          </w:tcPr>
          <w:p w:rsidR="00617F41" w:rsidRPr="00EC7A89" w:rsidRDefault="00617F41" w:rsidP="00982982">
            <w:pPr>
              <w:jc w:val="center"/>
            </w:pPr>
            <w:r w:rsidRPr="00EC7A89">
              <w:t>18 096,73</w:t>
            </w:r>
          </w:p>
        </w:tc>
        <w:tc>
          <w:tcPr>
            <w:tcW w:w="1588" w:type="dxa"/>
            <w:vAlign w:val="center"/>
          </w:tcPr>
          <w:p w:rsidR="00617F41" w:rsidRPr="00EC7A89" w:rsidRDefault="00617F41" w:rsidP="00982982">
            <w:pPr>
              <w:jc w:val="center"/>
              <w:rPr>
                <w:i/>
                <w:iCs/>
              </w:rPr>
            </w:pPr>
            <w:r w:rsidRPr="00EC7A89">
              <w:rPr>
                <w:i/>
                <w:iCs/>
              </w:rPr>
              <w:t>21,9%</w:t>
            </w:r>
          </w:p>
        </w:tc>
      </w:tr>
      <w:tr w:rsidR="00617F41" w:rsidRPr="00EC7A89" w:rsidTr="009A21C9">
        <w:trPr>
          <w:trHeight w:val="285"/>
        </w:trPr>
        <w:tc>
          <w:tcPr>
            <w:tcW w:w="2943" w:type="dxa"/>
            <w:shd w:val="clear" w:color="auto" w:fill="C2D69B"/>
            <w:vAlign w:val="center"/>
          </w:tcPr>
          <w:p w:rsidR="00617F41" w:rsidRPr="00EC7A89" w:rsidRDefault="00617F41" w:rsidP="00982982">
            <w:pPr>
              <w:rPr>
                <w:b/>
                <w:bCs/>
                <w:snapToGrid w:val="0"/>
              </w:rPr>
            </w:pPr>
            <w:r w:rsidRPr="00EC7A89">
              <w:rPr>
                <w:b/>
                <w:bCs/>
                <w:snapToGrid w:val="0"/>
              </w:rPr>
              <w:t>Общий итог</w:t>
            </w:r>
          </w:p>
        </w:tc>
        <w:tc>
          <w:tcPr>
            <w:tcW w:w="1701" w:type="dxa"/>
            <w:shd w:val="clear" w:color="auto" w:fill="C2D69B"/>
            <w:vAlign w:val="center"/>
          </w:tcPr>
          <w:p w:rsidR="00617F41" w:rsidRPr="00EC7A89" w:rsidRDefault="00617F41" w:rsidP="00982982">
            <w:pPr>
              <w:jc w:val="center"/>
              <w:rPr>
                <w:b/>
                <w:bCs/>
              </w:rPr>
            </w:pPr>
            <w:r w:rsidRPr="00EC7A89">
              <w:rPr>
                <w:b/>
                <w:bCs/>
              </w:rPr>
              <w:t>172 775,9</w:t>
            </w:r>
          </w:p>
        </w:tc>
        <w:tc>
          <w:tcPr>
            <w:tcW w:w="1701" w:type="dxa"/>
            <w:shd w:val="clear" w:color="auto" w:fill="C2D69B"/>
            <w:vAlign w:val="center"/>
          </w:tcPr>
          <w:p w:rsidR="00617F41" w:rsidRPr="00EC7A89" w:rsidRDefault="00617F41" w:rsidP="00982982">
            <w:pPr>
              <w:jc w:val="center"/>
              <w:rPr>
                <w:b/>
                <w:bCs/>
              </w:rPr>
            </w:pPr>
            <w:r w:rsidRPr="00EC7A89">
              <w:rPr>
                <w:b/>
              </w:rPr>
              <w:t>197 199,0</w:t>
            </w:r>
          </w:p>
        </w:tc>
        <w:tc>
          <w:tcPr>
            <w:tcW w:w="1713" w:type="dxa"/>
            <w:shd w:val="clear" w:color="auto" w:fill="C2D69B"/>
            <w:vAlign w:val="center"/>
          </w:tcPr>
          <w:p w:rsidR="00617F41" w:rsidRPr="00EC7A89" w:rsidRDefault="00617F41" w:rsidP="00982982">
            <w:pPr>
              <w:jc w:val="center"/>
              <w:rPr>
                <w:b/>
                <w:bCs/>
              </w:rPr>
            </w:pPr>
            <w:r w:rsidRPr="00EC7A89">
              <w:rPr>
                <w:b/>
                <w:bCs/>
              </w:rPr>
              <w:t>24 423,10</w:t>
            </w:r>
          </w:p>
        </w:tc>
        <w:tc>
          <w:tcPr>
            <w:tcW w:w="1588" w:type="dxa"/>
            <w:shd w:val="clear" w:color="auto" w:fill="C2D69B"/>
            <w:vAlign w:val="center"/>
          </w:tcPr>
          <w:p w:rsidR="00617F41" w:rsidRPr="00EC7A89" w:rsidRDefault="00617F41" w:rsidP="00982982">
            <w:pPr>
              <w:jc w:val="center"/>
              <w:rPr>
                <w:b/>
                <w:bCs/>
                <w:i/>
                <w:iCs/>
              </w:rPr>
            </w:pPr>
            <w:r w:rsidRPr="00EC7A89">
              <w:rPr>
                <w:b/>
                <w:bCs/>
                <w:i/>
                <w:iCs/>
              </w:rPr>
              <w:t>14,1%</w:t>
            </w:r>
          </w:p>
        </w:tc>
      </w:tr>
    </w:tbl>
    <w:p w:rsidR="00617F41" w:rsidRDefault="00617F41" w:rsidP="00E12BFB">
      <w:pPr>
        <w:autoSpaceDE w:val="0"/>
        <w:autoSpaceDN w:val="0"/>
        <w:adjustRightInd w:val="0"/>
        <w:spacing w:line="228" w:lineRule="auto"/>
        <w:ind w:firstLine="709"/>
        <w:jc w:val="both"/>
        <w:rPr>
          <w:sz w:val="28"/>
          <w:szCs w:val="28"/>
        </w:rPr>
      </w:pPr>
    </w:p>
    <w:p w:rsidR="00617F41" w:rsidRDefault="00617F41" w:rsidP="009A21C9">
      <w:pPr>
        <w:spacing w:line="228" w:lineRule="auto"/>
        <w:ind w:firstLine="709"/>
        <w:jc w:val="both"/>
        <w:rPr>
          <w:sz w:val="28"/>
          <w:szCs w:val="28"/>
        </w:rPr>
      </w:pPr>
      <w:r w:rsidRPr="00223D1D">
        <w:rPr>
          <w:sz w:val="28"/>
          <w:szCs w:val="28"/>
        </w:rPr>
        <w:t xml:space="preserve">В </w:t>
      </w:r>
      <w:r>
        <w:rPr>
          <w:sz w:val="28"/>
          <w:szCs w:val="28"/>
        </w:rPr>
        <w:t>целом в 2014</w:t>
      </w:r>
      <w:r w:rsidRPr="00223D1D">
        <w:rPr>
          <w:sz w:val="28"/>
          <w:szCs w:val="28"/>
        </w:rPr>
        <w:t xml:space="preserve"> году через </w:t>
      </w:r>
      <w:r>
        <w:rPr>
          <w:sz w:val="28"/>
          <w:szCs w:val="28"/>
        </w:rPr>
        <w:t>СМК</w:t>
      </w:r>
      <w:r w:rsidRPr="00223D1D">
        <w:rPr>
          <w:sz w:val="28"/>
          <w:szCs w:val="28"/>
        </w:rPr>
        <w:t xml:space="preserve"> было обработано </w:t>
      </w:r>
      <w:r w:rsidRPr="00227DB7">
        <w:rPr>
          <w:sz w:val="28"/>
          <w:szCs w:val="28"/>
        </w:rPr>
        <w:t xml:space="preserve">20,7 </w:t>
      </w:r>
      <w:r w:rsidRPr="00223D1D">
        <w:rPr>
          <w:sz w:val="28"/>
          <w:szCs w:val="28"/>
        </w:rPr>
        <w:t xml:space="preserve">млн. электронных платежных сообщений на сумму </w:t>
      </w:r>
      <w:r w:rsidRPr="00227DB7">
        <w:rPr>
          <w:sz w:val="28"/>
          <w:szCs w:val="28"/>
        </w:rPr>
        <w:t xml:space="preserve">5 388,8 </w:t>
      </w:r>
      <w:r w:rsidRPr="00223D1D">
        <w:rPr>
          <w:sz w:val="28"/>
          <w:szCs w:val="28"/>
        </w:rPr>
        <w:t xml:space="preserve">млрд. тенге. </w:t>
      </w:r>
      <w:r w:rsidRPr="00227DB7">
        <w:rPr>
          <w:sz w:val="28"/>
          <w:szCs w:val="28"/>
        </w:rPr>
        <w:t>По сравнению с 2013 годом количество платежных сообщений в клиринговой системе уменьшилось на 3,1%, сумма платежей выросла на 11,9%</w:t>
      </w:r>
      <w:r w:rsidRPr="00223D1D">
        <w:rPr>
          <w:sz w:val="28"/>
          <w:szCs w:val="28"/>
        </w:rPr>
        <w:t xml:space="preserve">. </w:t>
      </w:r>
    </w:p>
    <w:p w:rsidR="00020A82" w:rsidRDefault="00020A82" w:rsidP="009A21C9">
      <w:pPr>
        <w:tabs>
          <w:tab w:val="left" w:pos="993"/>
        </w:tabs>
        <w:spacing w:line="228" w:lineRule="auto"/>
        <w:ind w:firstLine="709"/>
        <w:jc w:val="center"/>
        <w:rPr>
          <w:rFonts w:eastAsia="MS Mincho"/>
          <w:b/>
          <w:color w:val="000000"/>
          <w:lang w:eastAsia="ja-JP"/>
        </w:rPr>
      </w:pPr>
    </w:p>
    <w:p w:rsidR="00617F41" w:rsidRPr="000364FD" w:rsidRDefault="00617F41" w:rsidP="009A21C9">
      <w:pPr>
        <w:tabs>
          <w:tab w:val="left" w:pos="993"/>
        </w:tabs>
        <w:spacing w:line="228" w:lineRule="auto"/>
        <w:ind w:firstLine="709"/>
        <w:jc w:val="center"/>
        <w:rPr>
          <w:rFonts w:eastAsia="MS Mincho"/>
          <w:b/>
          <w:color w:val="000000"/>
          <w:lang w:eastAsia="ja-JP"/>
        </w:rPr>
      </w:pPr>
      <w:r w:rsidRPr="000364FD">
        <w:rPr>
          <w:rFonts w:eastAsia="MS Mincho"/>
          <w:b/>
          <w:color w:val="000000"/>
          <w:lang w:eastAsia="ja-JP"/>
        </w:rPr>
        <w:t xml:space="preserve">Динамика потоков платежей в </w:t>
      </w:r>
      <w:r>
        <w:rPr>
          <w:rFonts w:eastAsia="MS Mincho"/>
          <w:b/>
          <w:color w:val="000000"/>
          <w:lang w:eastAsia="ja-JP"/>
        </w:rPr>
        <w:t>СМК</w:t>
      </w:r>
    </w:p>
    <w:p w:rsidR="00617F41" w:rsidRDefault="00786A4E" w:rsidP="009743E2">
      <w:pPr>
        <w:widowControl w:val="0"/>
        <w:jc w:val="both"/>
        <w:rPr>
          <w:sz w:val="28"/>
          <w:szCs w:val="28"/>
        </w:rPr>
      </w:pPr>
      <w:r w:rsidRPr="007A05EB">
        <w:rPr>
          <w:noProof/>
          <w:sz w:val="28"/>
          <w:szCs w:val="28"/>
        </w:rPr>
        <w:drawing>
          <wp:inline distT="0" distB="0" distL="0" distR="0">
            <wp:extent cx="2990850" cy="1476375"/>
            <wp:effectExtent l="0" t="0" r="0" b="0"/>
            <wp:docPr id="14" name="Диаграмма 68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7A05EB">
        <w:rPr>
          <w:noProof/>
          <w:sz w:val="28"/>
          <w:szCs w:val="28"/>
        </w:rPr>
        <w:drawing>
          <wp:inline distT="0" distB="0" distL="0" distR="0">
            <wp:extent cx="3105150" cy="1476375"/>
            <wp:effectExtent l="0" t="0" r="0" b="0"/>
            <wp:docPr id="15" name="Диаграмма 68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17F41" w:rsidRDefault="00617F41" w:rsidP="009A21C9">
      <w:pPr>
        <w:tabs>
          <w:tab w:val="left" w:pos="993"/>
        </w:tabs>
        <w:ind w:firstLine="709"/>
        <w:jc w:val="both"/>
        <w:rPr>
          <w:sz w:val="28"/>
          <w:szCs w:val="28"/>
        </w:rPr>
      </w:pPr>
      <w:r>
        <w:rPr>
          <w:sz w:val="28"/>
          <w:szCs w:val="28"/>
        </w:rPr>
        <w:t>Основное влияние на рост платежей в СМК оказал прирост объемов платежей по операциям с депозитами, а также за платежей за товары и услуги.</w:t>
      </w:r>
    </w:p>
    <w:p w:rsidR="006A124B" w:rsidRDefault="006A124B" w:rsidP="009A21C9">
      <w:pPr>
        <w:tabs>
          <w:tab w:val="left" w:pos="993"/>
        </w:tabs>
        <w:ind w:firstLine="709"/>
        <w:jc w:val="both"/>
        <w:rPr>
          <w:sz w:val="28"/>
          <w:szCs w:val="28"/>
        </w:rPr>
      </w:pPr>
    </w:p>
    <w:p w:rsidR="00617F41" w:rsidRPr="00223D1D" w:rsidRDefault="00617F41" w:rsidP="009A21C9">
      <w:pPr>
        <w:tabs>
          <w:tab w:val="left" w:pos="993"/>
        </w:tabs>
        <w:ind w:firstLine="709"/>
        <w:jc w:val="center"/>
        <w:rPr>
          <w:b/>
          <w:sz w:val="28"/>
          <w:szCs w:val="28"/>
        </w:rPr>
      </w:pPr>
      <w:r w:rsidRPr="00223D1D">
        <w:rPr>
          <w:b/>
          <w:sz w:val="28"/>
          <w:szCs w:val="28"/>
        </w:rPr>
        <w:t>Объемы платежей в разрезе видов назначения платежей в СМК</w:t>
      </w:r>
    </w:p>
    <w:tbl>
      <w:tblPr>
        <w:tblW w:w="10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1418"/>
        <w:gridCol w:w="1276"/>
        <w:gridCol w:w="976"/>
        <w:gridCol w:w="1199"/>
      </w:tblGrid>
      <w:tr w:rsidR="00617F41" w:rsidRPr="000D49E5" w:rsidTr="009A21C9">
        <w:trPr>
          <w:trHeight w:val="254"/>
        </w:trPr>
        <w:tc>
          <w:tcPr>
            <w:tcW w:w="5245" w:type="dxa"/>
            <w:vMerge w:val="restart"/>
            <w:shd w:val="clear" w:color="auto" w:fill="C2D69B"/>
            <w:vAlign w:val="center"/>
          </w:tcPr>
          <w:p w:rsidR="00617F41" w:rsidRPr="000D49E5" w:rsidRDefault="00617F41" w:rsidP="009A21C9">
            <w:pPr>
              <w:spacing w:line="18" w:lineRule="atLeast"/>
              <w:jc w:val="center"/>
              <w:rPr>
                <w:b/>
                <w:bCs/>
              </w:rPr>
            </w:pPr>
            <w:r w:rsidRPr="000D49E5">
              <w:rPr>
                <w:b/>
                <w:bCs/>
              </w:rPr>
              <w:t>Наименование показателя</w:t>
            </w:r>
          </w:p>
        </w:tc>
        <w:tc>
          <w:tcPr>
            <w:tcW w:w="1418" w:type="dxa"/>
            <w:shd w:val="clear" w:color="auto" w:fill="C2D69B"/>
            <w:noWrap/>
            <w:vAlign w:val="center"/>
          </w:tcPr>
          <w:p w:rsidR="00617F41" w:rsidRPr="000D49E5" w:rsidRDefault="00617F41" w:rsidP="009A21C9">
            <w:pPr>
              <w:spacing w:line="18" w:lineRule="atLeast"/>
              <w:jc w:val="center"/>
              <w:rPr>
                <w:b/>
                <w:bCs/>
              </w:rPr>
            </w:pPr>
            <w:r w:rsidRPr="000D49E5">
              <w:rPr>
                <w:b/>
                <w:bCs/>
              </w:rPr>
              <w:t>2013 год</w:t>
            </w:r>
          </w:p>
        </w:tc>
        <w:tc>
          <w:tcPr>
            <w:tcW w:w="1276" w:type="dxa"/>
            <w:shd w:val="clear" w:color="auto" w:fill="C2D69B"/>
            <w:noWrap/>
            <w:vAlign w:val="center"/>
          </w:tcPr>
          <w:p w:rsidR="00617F41" w:rsidRPr="000D49E5" w:rsidRDefault="00617F41" w:rsidP="009A21C9">
            <w:pPr>
              <w:spacing w:line="18" w:lineRule="atLeast"/>
              <w:jc w:val="center"/>
              <w:rPr>
                <w:b/>
                <w:bCs/>
              </w:rPr>
            </w:pPr>
            <w:r w:rsidRPr="000D49E5">
              <w:rPr>
                <w:b/>
                <w:bCs/>
              </w:rPr>
              <w:t>2014 год</w:t>
            </w:r>
          </w:p>
        </w:tc>
        <w:tc>
          <w:tcPr>
            <w:tcW w:w="2175" w:type="dxa"/>
            <w:gridSpan w:val="2"/>
            <w:shd w:val="clear" w:color="auto" w:fill="C2D69B"/>
            <w:noWrap/>
            <w:vAlign w:val="center"/>
          </w:tcPr>
          <w:p w:rsidR="00617F41" w:rsidRPr="000D49E5" w:rsidRDefault="00617F41" w:rsidP="009A21C9">
            <w:pPr>
              <w:spacing w:line="18" w:lineRule="atLeast"/>
              <w:jc w:val="center"/>
              <w:rPr>
                <w:b/>
                <w:bCs/>
              </w:rPr>
            </w:pPr>
            <w:r w:rsidRPr="000D49E5">
              <w:rPr>
                <w:b/>
                <w:bCs/>
              </w:rPr>
              <w:t>Изменение</w:t>
            </w:r>
          </w:p>
        </w:tc>
      </w:tr>
      <w:tr w:rsidR="00617F41" w:rsidRPr="000D49E5" w:rsidTr="009A21C9">
        <w:trPr>
          <w:trHeight w:val="763"/>
        </w:trPr>
        <w:tc>
          <w:tcPr>
            <w:tcW w:w="5245" w:type="dxa"/>
            <w:vMerge/>
            <w:shd w:val="clear" w:color="auto" w:fill="C2D69B"/>
            <w:vAlign w:val="center"/>
          </w:tcPr>
          <w:p w:rsidR="00617F41" w:rsidRPr="000D49E5" w:rsidRDefault="00617F41" w:rsidP="009A21C9">
            <w:pPr>
              <w:spacing w:line="18" w:lineRule="atLeast"/>
              <w:rPr>
                <w:b/>
                <w:bCs/>
              </w:rPr>
            </w:pPr>
          </w:p>
        </w:tc>
        <w:tc>
          <w:tcPr>
            <w:tcW w:w="1418" w:type="dxa"/>
            <w:shd w:val="clear" w:color="auto" w:fill="C2D69B"/>
            <w:vAlign w:val="center"/>
          </w:tcPr>
          <w:p w:rsidR="00617F41" w:rsidRPr="000D49E5" w:rsidRDefault="00617F41" w:rsidP="009A21C9">
            <w:pPr>
              <w:spacing w:line="18" w:lineRule="atLeast"/>
              <w:jc w:val="center"/>
            </w:pPr>
            <w:r w:rsidRPr="000D49E5">
              <w:t>в млрд. тенге</w:t>
            </w:r>
          </w:p>
        </w:tc>
        <w:tc>
          <w:tcPr>
            <w:tcW w:w="1276" w:type="dxa"/>
            <w:shd w:val="clear" w:color="auto" w:fill="C2D69B"/>
            <w:vAlign w:val="center"/>
          </w:tcPr>
          <w:p w:rsidR="00617F41" w:rsidRPr="000D49E5" w:rsidRDefault="00617F41" w:rsidP="009A21C9">
            <w:pPr>
              <w:spacing w:line="18" w:lineRule="atLeast"/>
              <w:jc w:val="center"/>
            </w:pPr>
            <w:r w:rsidRPr="000D49E5">
              <w:t>в млрд. тенге</w:t>
            </w:r>
          </w:p>
        </w:tc>
        <w:tc>
          <w:tcPr>
            <w:tcW w:w="976" w:type="dxa"/>
            <w:shd w:val="clear" w:color="auto" w:fill="C2D69B"/>
            <w:vAlign w:val="center"/>
          </w:tcPr>
          <w:p w:rsidR="00617F41" w:rsidRPr="000D49E5" w:rsidRDefault="00617F41" w:rsidP="009A21C9">
            <w:pPr>
              <w:spacing w:line="18" w:lineRule="atLeast"/>
              <w:jc w:val="center"/>
            </w:pPr>
            <w:r w:rsidRPr="000D49E5">
              <w:t>в млрд. тенге</w:t>
            </w:r>
          </w:p>
        </w:tc>
        <w:tc>
          <w:tcPr>
            <w:tcW w:w="1199" w:type="dxa"/>
            <w:shd w:val="clear" w:color="auto" w:fill="C2D69B"/>
            <w:vAlign w:val="center"/>
          </w:tcPr>
          <w:p w:rsidR="00617F41" w:rsidRPr="000D49E5" w:rsidRDefault="00617F41" w:rsidP="009A21C9">
            <w:pPr>
              <w:spacing w:line="18" w:lineRule="atLeast"/>
              <w:jc w:val="center"/>
              <w:rPr>
                <w:i/>
                <w:iCs/>
              </w:rPr>
            </w:pPr>
            <w:r w:rsidRPr="000D49E5">
              <w:rPr>
                <w:i/>
                <w:iCs/>
              </w:rPr>
              <w:t xml:space="preserve">в % </w:t>
            </w:r>
          </w:p>
        </w:tc>
      </w:tr>
      <w:tr w:rsidR="00617F41" w:rsidRPr="000D49E5" w:rsidTr="009A21C9">
        <w:trPr>
          <w:trHeight w:val="244"/>
        </w:trPr>
        <w:tc>
          <w:tcPr>
            <w:tcW w:w="5245" w:type="dxa"/>
            <w:shd w:val="clear" w:color="auto" w:fill="EAF1DD"/>
            <w:vAlign w:val="bottom"/>
          </w:tcPr>
          <w:p w:rsidR="00617F41" w:rsidRPr="009A21C9" w:rsidRDefault="00617F41" w:rsidP="009A21C9">
            <w:r w:rsidRPr="009A21C9">
              <w:t>Пенсионные платежи и пособия</w:t>
            </w:r>
          </w:p>
        </w:tc>
        <w:tc>
          <w:tcPr>
            <w:tcW w:w="1418" w:type="dxa"/>
            <w:shd w:val="clear" w:color="auto" w:fill="FFFFFF"/>
            <w:noWrap/>
            <w:vAlign w:val="bottom"/>
          </w:tcPr>
          <w:p w:rsidR="00617F41" w:rsidRPr="009A21C9" w:rsidRDefault="00617F41" w:rsidP="009A21C9">
            <w:pPr>
              <w:jc w:val="right"/>
            </w:pPr>
            <w:r w:rsidRPr="009A21C9">
              <w:t>409,6</w:t>
            </w:r>
          </w:p>
        </w:tc>
        <w:tc>
          <w:tcPr>
            <w:tcW w:w="1276" w:type="dxa"/>
            <w:shd w:val="clear" w:color="auto" w:fill="FFFFFF"/>
            <w:noWrap/>
            <w:vAlign w:val="bottom"/>
          </w:tcPr>
          <w:p w:rsidR="00617F41" w:rsidRPr="009A21C9" w:rsidRDefault="00617F41" w:rsidP="009A21C9">
            <w:pPr>
              <w:jc w:val="right"/>
            </w:pPr>
            <w:r w:rsidRPr="009A21C9">
              <w:t>507,5</w:t>
            </w:r>
          </w:p>
        </w:tc>
        <w:tc>
          <w:tcPr>
            <w:tcW w:w="976" w:type="dxa"/>
            <w:shd w:val="clear" w:color="auto" w:fill="FFFFFF"/>
            <w:noWrap/>
            <w:vAlign w:val="bottom"/>
          </w:tcPr>
          <w:p w:rsidR="00617F41" w:rsidRPr="009A21C9" w:rsidRDefault="00617F41" w:rsidP="009A21C9">
            <w:pPr>
              <w:jc w:val="right"/>
              <w:rPr>
                <w:i/>
              </w:rPr>
            </w:pPr>
            <w:r w:rsidRPr="009A21C9">
              <w:rPr>
                <w:i/>
              </w:rPr>
              <w:t>97,9</w:t>
            </w:r>
          </w:p>
        </w:tc>
        <w:tc>
          <w:tcPr>
            <w:tcW w:w="1199" w:type="dxa"/>
            <w:shd w:val="clear" w:color="auto" w:fill="FFFFFF"/>
            <w:noWrap/>
            <w:vAlign w:val="bottom"/>
          </w:tcPr>
          <w:p w:rsidR="00617F41" w:rsidRPr="009A21C9" w:rsidRDefault="00617F41" w:rsidP="009A21C9">
            <w:pPr>
              <w:jc w:val="right"/>
              <w:rPr>
                <w:i/>
              </w:rPr>
            </w:pPr>
            <w:r w:rsidRPr="009A21C9">
              <w:rPr>
                <w:i/>
              </w:rPr>
              <w:t>23,9%</w:t>
            </w:r>
          </w:p>
        </w:tc>
      </w:tr>
      <w:tr w:rsidR="00617F41" w:rsidRPr="000D49E5" w:rsidTr="009A21C9">
        <w:trPr>
          <w:trHeight w:val="254"/>
        </w:trPr>
        <w:tc>
          <w:tcPr>
            <w:tcW w:w="5245" w:type="dxa"/>
            <w:shd w:val="clear" w:color="auto" w:fill="EAF1DD"/>
            <w:vAlign w:val="bottom"/>
          </w:tcPr>
          <w:p w:rsidR="00617F41" w:rsidRPr="009A21C9" w:rsidRDefault="00617F41" w:rsidP="009A21C9">
            <w:r w:rsidRPr="009A21C9">
              <w:t>Специфические переводы</w:t>
            </w:r>
          </w:p>
        </w:tc>
        <w:tc>
          <w:tcPr>
            <w:tcW w:w="1418" w:type="dxa"/>
            <w:shd w:val="clear" w:color="auto" w:fill="FFFFFF"/>
            <w:noWrap/>
            <w:vAlign w:val="bottom"/>
          </w:tcPr>
          <w:p w:rsidR="00617F41" w:rsidRPr="009A21C9" w:rsidRDefault="00617F41" w:rsidP="009A21C9">
            <w:pPr>
              <w:jc w:val="right"/>
            </w:pPr>
            <w:r w:rsidRPr="009A21C9">
              <w:t>159,9</w:t>
            </w:r>
          </w:p>
        </w:tc>
        <w:tc>
          <w:tcPr>
            <w:tcW w:w="1276" w:type="dxa"/>
            <w:shd w:val="clear" w:color="auto" w:fill="FFFFFF"/>
            <w:noWrap/>
            <w:vAlign w:val="bottom"/>
          </w:tcPr>
          <w:p w:rsidR="00617F41" w:rsidRPr="009A21C9" w:rsidRDefault="00617F41" w:rsidP="009A21C9">
            <w:pPr>
              <w:jc w:val="right"/>
            </w:pPr>
            <w:r w:rsidRPr="009A21C9">
              <w:t>202,0</w:t>
            </w:r>
          </w:p>
        </w:tc>
        <w:tc>
          <w:tcPr>
            <w:tcW w:w="976" w:type="dxa"/>
            <w:shd w:val="clear" w:color="auto" w:fill="FFFFFF"/>
            <w:noWrap/>
            <w:vAlign w:val="bottom"/>
          </w:tcPr>
          <w:p w:rsidR="00617F41" w:rsidRPr="009A21C9" w:rsidRDefault="00617F41" w:rsidP="009A21C9">
            <w:pPr>
              <w:jc w:val="right"/>
              <w:rPr>
                <w:i/>
              </w:rPr>
            </w:pPr>
            <w:r w:rsidRPr="009A21C9">
              <w:rPr>
                <w:i/>
              </w:rPr>
              <w:t>42,1</w:t>
            </w:r>
          </w:p>
        </w:tc>
        <w:tc>
          <w:tcPr>
            <w:tcW w:w="1199" w:type="dxa"/>
            <w:shd w:val="clear" w:color="auto" w:fill="FFFFFF"/>
            <w:noWrap/>
            <w:vAlign w:val="bottom"/>
          </w:tcPr>
          <w:p w:rsidR="00617F41" w:rsidRPr="009A21C9" w:rsidRDefault="00617F41" w:rsidP="009A21C9">
            <w:pPr>
              <w:jc w:val="right"/>
              <w:rPr>
                <w:i/>
              </w:rPr>
            </w:pPr>
            <w:r w:rsidRPr="009A21C9">
              <w:rPr>
                <w:i/>
              </w:rPr>
              <w:t>26,3%</w:t>
            </w:r>
          </w:p>
        </w:tc>
      </w:tr>
      <w:tr w:rsidR="00617F41" w:rsidRPr="000D49E5" w:rsidTr="009A21C9">
        <w:trPr>
          <w:trHeight w:val="254"/>
        </w:trPr>
        <w:tc>
          <w:tcPr>
            <w:tcW w:w="5245" w:type="dxa"/>
            <w:shd w:val="clear" w:color="auto" w:fill="EAF1DD"/>
            <w:vAlign w:val="bottom"/>
          </w:tcPr>
          <w:p w:rsidR="00617F41" w:rsidRPr="009A21C9" w:rsidRDefault="00617F41" w:rsidP="009A21C9">
            <w:r w:rsidRPr="009A21C9">
              <w:t>Депозиты</w:t>
            </w:r>
          </w:p>
        </w:tc>
        <w:tc>
          <w:tcPr>
            <w:tcW w:w="1418" w:type="dxa"/>
            <w:shd w:val="clear" w:color="auto" w:fill="FFFFFF"/>
            <w:noWrap/>
            <w:vAlign w:val="bottom"/>
          </w:tcPr>
          <w:p w:rsidR="00617F41" w:rsidRPr="009A21C9" w:rsidRDefault="00617F41" w:rsidP="009A21C9">
            <w:pPr>
              <w:jc w:val="right"/>
            </w:pPr>
            <w:r w:rsidRPr="009A21C9">
              <w:t>210,2</w:t>
            </w:r>
          </w:p>
        </w:tc>
        <w:tc>
          <w:tcPr>
            <w:tcW w:w="1276" w:type="dxa"/>
            <w:shd w:val="clear" w:color="auto" w:fill="FFFFFF"/>
            <w:noWrap/>
            <w:vAlign w:val="bottom"/>
          </w:tcPr>
          <w:p w:rsidR="00617F41" w:rsidRPr="009A21C9" w:rsidRDefault="00617F41" w:rsidP="009A21C9">
            <w:pPr>
              <w:jc w:val="right"/>
            </w:pPr>
            <w:r w:rsidRPr="009A21C9">
              <w:t>333,2</w:t>
            </w:r>
          </w:p>
        </w:tc>
        <w:tc>
          <w:tcPr>
            <w:tcW w:w="976" w:type="dxa"/>
            <w:shd w:val="clear" w:color="auto" w:fill="FFFFFF"/>
            <w:noWrap/>
            <w:vAlign w:val="bottom"/>
          </w:tcPr>
          <w:p w:rsidR="00617F41" w:rsidRPr="009A21C9" w:rsidRDefault="00617F41" w:rsidP="009A21C9">
            <w:pPr>
              <w:jc w:val="right"/>
              <w:rPr>
                <w:i/>
              </w:rPr>
            </w:pPr>
            <w:r w:rsidRPr="009A21C9">
              <w:rPr>
                <w:i/>
              </w:rPr>
              <w:t>123,0</w:t>
            </w:r>
          </w:p>
        </w:tc>
        <w:tc>
          <w:tcPr>
            <w:tcW w:w="1199" w:type="dxa"/>
            <w:shd w:val="clear" w:color="auto" w:fill="FFFFFF"/>
            <w:noWrap/>
            <w:vAlign w:val="bottom"/>
          </w:tcPr>
          <w:p w:rsidR="00617F41" w:rsidRPr="009A21C9" w:rsidRDefault="00617F41" w:rsidP="009A21C9">
            <w:pPr>
              <w:jc w:val="right"/>
              <w:rPr>
                <w:i/>
              </w:rPr>
            </w:pPr>
            <w:r w:rsidRPr="009A21C9">
              <w:rPr>
                <w:i/>
              </w:rPr>
              <w:t>58,5%</w:t>
            </w:r>
          </w:p>
        </w:tc>
      </w:tr>
      <w:tr w:rsidR="00617F41" w:rsidRPr="000D49E5" w:rsidTr="009A21C9">
        <w:trPr>
          <w:trHeight w:val="70"/>
        </w:trPr>
        <w:tc>
          <w:tcPr>
            <w:tcW w:w="5245" w:type="dxa"/>
            <w:shd w:val="clear" w:color="auto" w:fill="EAF1DD"/>
            <w:vAlign w:val="bottom"/>
          </w:tcPr>
          <w:p w:rsidR="00617F41" w:rsidRPr="009A21C9" w:rsidRDefault="00617F41" w:rsidP="009A21C9">
            <w:r w:rsidRPr="009A21C9">
              <w:t>Платежи за товары</w:t>
            </w:r>
          </w:p>
        </w:tc>
        <w:tc>
          <w:tcPr>
            <w:tcW w:w="1418" w:type="dxa"/>
            <w:shd w:val="clear" w:color="auto" w:fill="FFFFFF"/>
            <w:noWrap/>
            <w:vAlign w:val="bottom"/>
          </w:tcPr>
          <w:p w:rsidR="00617F41" w:rsidRPr="009A21C9" w:rsidRDefault="00617F41" w:rsidP="009A21C9">
            <w:pPr>
              <w:jc w:val="right"/>
            </w:pPr>
            <w:r w:rsidRPr="009A21C9">
              <w:t>1 544,4</w:t>
            </w:r>
          </w:p>
        </w:tc>
        <w:tc>
          <w:tcPr>
            <w:tcW w:w="1276" w:type="dxa"/>
            <w:shd w:val="clear" w:color="auto" w:fill="FFFFFF"/>
            <w:noWrap/>
            <w:vAlign w:val="bottom"/>
          </w:tcPr>
          <w:p w:rsidR="00617F41" w:rsidRPr="009A21C9" w:rsidRDefault="00617F41" w:rsidP="009A21C9">
            <w:pPr>
              <w:jc w:val="right"/>
            </w:pPr>
            <w:r w:rsidRPr="009A21C9">
              <w:t>1 661,2</w:t>
            </w:r>
          </w:p>
        </w:tc>
        <w:tc>
          <w:tcPr>
            <w:tcW w:w="976" w:type="dxa"/>
            <w:shd w:val="clear" w:color="auto" w:fill="FFFFFF"/>
            <w:noWrap/>
            <w:vAlign w:val="bottom"/>
          </w:tcPr>
          <w:p w:rsidR="00617F41" w:rsidRPr="009A21C9" w:rsidRDefault="00617F41" w:rsidP="009A21C9">
            <w:pPr>
              <w:jc w:val="right"/>
              <w:rPr>
                <w:i/>
              </w:rPr>
            </w:pPr>
            <w:r w:rsidRPr="009A21C9">
              <w:rPr>
                <w:i/>
              </w:rPr>
              <w:t>116,9</w:t>
            </w:r>
          </w:p>
        </w:tc>
        <w:tc>
          <w:tcPr>
            <w:tcW w:w="1199" w:type="dxa"/>
            <w:shd w:val="clear" w:color="auto" w:fill="FFFFFF"/>
            <w:noWrap/>
            <w:vAlign w:val="bottom"/>
          </w:tcPr>
          <w:p w:rsidR="00617F41" w:rsidRPr="009A21C9" w:rsidRDefault="00617F41" w:rsidP="009A21C9">
            <w:pPr>
              <w:jc w:val="right"/>
              <w:rPr>
                <w:i/>
              </w:rPr>
            </w:pPr>
            <w:r w:rsidRPr="009A21C9">
              <w:rPr>
                <w:i/>
              </w:rPr>
              <w:t>7,6%</w:t>
            </w:r>
          </w:p>
        </w:tc>
      </w:tr>
      <w:tr w:rsidR="00617F41" w:rsidRPr="000D49E5" w:rsidTr="009A21C9">
        <w:trPr>
          <w:trHeight w:val="120"/>
        </w:trPr>
        <w:tc>
          <w:tcPr>
            <w:tcW w:w="5245" w:type="dxa"/>
            <w:shd w:val="clear" w:color="auto" w:fill="EAF1DD"/>
            <w:vAlign w:val="bottom"/>
          </w:tcPr>
          <w:p w:rsidR="00617F41" w:rsidRPr="009A21C9" w:rsidRDefault="00617F41" w:rsidP="009A21C9">
            <w:r w:rsidRPr="009A21C9">
              <w:t>Платежи за услуги</w:t>
            </w:r>
          </w:p>
        </w:tc>
        <w:tc>
          <w:tcPr>
            <w:tcW w:w="1418" w:type="dxa"/>
            <w:shd w:val="clear" w:color="auto" w:fill="FFFFFF"/>
            <w:noWrap/>
            <w:vAlign w:val="bottom"/>
          </w:tcPr>
          <w:p w:rsidR="00617F41" w:rsidRPr="009A21C9" w:rsidRDefault="00617F41" w:rsidP="009A21C9">
            <w:pPr>
              <w:jc w:val="right"/>
            </w:pPr>
            <w:r w:rsidRPr="009A21C9">
              <w:t>1 323,1</w:t>
            </w:r>
          </w:p>
        </w:tc>
        <w:tc>
          <w:tcPr>
            <w:tcW w:w="1276" w:type="dxa"/>
            <w:shd w:val="clear" w:color="auto" w:fill="FFFFFF"/>
            <w:noWrap/>
            <w:vAlign w:val="bottom"/>
          </w:tcPr>
          <w:p w:rsidR="00617F41" w:rsidRPr="009A21C9" w:rsidRDefault="00617F41" w:rsidP="009A21C9">
            <w:pPr>
              <w:jc w:val="right"/>
            </w:pPr>
            <w:r w:rsidRPr="009A21C9">
              <w:t>1 436,1</w:t>
            </w:r>
          </w:p>
        </w:tc>
        <w:tc>
          <w:tcPr>
            <w:tcW w:w="976" w:type="dxa"/>
            <w:shd w:val="clear" w:color="auto" w:fill="FFFFFF"/>
            <w:noWrap/>
            <w:vAlign w:val="bottom"/>
          </w:tcPr>
          <w:p w:rsidR="00617F41" w:rsidRPr="009A21C9" w:rsidRDefault="00617F41" w:rsidP="009A21C9">
            <w:pPr>
              <w:jc w:val="right"/>
              <w:rPr>
                <w:i/>
              </w:rPr>
            </w:pPr>
            <w:r w:rsidRPr="009A21C9">
              <w:rPr>
                <w:i/>
              </w:rPr>
              <w:t>113,1</w:t>
            </w:r>
          </w:p>
        </w:tc>
        <w:tc>
          <w:tcPr>
            <w:tcW w:w="1199" w:type="dxa"/>
            <w:shd w:val="clear" w:color="auto" w:fill="FFFFFF"/>
            <w:noWrap/>
            <w:vAlign w:val="bottom"/>
          </w:tcPr>
          <w:p w:rsidR="00617F41" w:rsidRPr="009A21C9" w:rsidRDefault="00617F41" w:rsidP="009A21C9">
            <w:pPr>
              <w:jc w:val="right"/>
              <w:rPr>
                <w:i/>
              </w:rPr>
            </w:pPr>
            <w:r w:rsidRPr="009A21C9">
              <w:rPr>
                <w:i/>
              </w:rPr>
              <w:t>8,5%</w:t>
            </w:r>
          </w:p>
        </w:tc>
      </w:tr>
      <w:tr w:rsidR="00617F41" w:rsidRPr="000D49E5" w:rsidTr="009A21C9">
        <w:trPr>
          <w:trHeight w:val="254"/>
        </w:trPr>
        <w:tc>
          <w:tcPr>
            <w:tcW w:w="5245" w:type="dxa"/>
            <w:shd w:val="clear" w:color="auto" w:fill="EAF1DD"/>
            <w:vAlign w:val="bottom"/>
          </w:tcPr>
          <w:p w:rsidR="00617F41" w:rsidRPr="009A21C9" w:rsidRDefault="00617F41" w:rsidP="009A21C9">
            <w:r w:rsidRPr="009A21C9">
              <w:lastRenderedPageBreak/>
              <w:t>Платежи в бюджет и выплаты из бюджета</w:t>
            </w:r>
          </w:p>
        </w:tc>
        <w:tc>
          <w:tcPr>
            <w:tcW w:w="1418" w:type="dxa"/>
            <w:shd w:val="clear" w:color="auto" w:fill="FFFFFF"/>
            <w:noWrap/>
            <w:vAlign w:val="bottom"/>
          </w:tcPr>
          <w:p w:rsidR="00617F41" w:rsidRPr="009A21C9" w:rsidRDefault="00617F41" w:rsidP="009A21C9">
            <w:pPr>
              <w:jc w:val="right"/>
            </w:pPr>
            <w:r w:rsidRPr="009A21C9">
              <w:t>1 004,8</w:t>
            </w:r>
          </w:p>
        </w:tc>
        <w:tc>
          <w:tcPr>
            <w:tcW w:w="1276" w:type="dxa"/>
            <w:shd w:val="clear" w:color="auto" w:fill="FFFFFF"/>
            <w:noWrap/>
            <w:vAlign w:val="bottom"/>
          </w:tcPr>
          <w:p w:rsidR="00617F41" w:rsidRPr="009A21C9" w:rsidRDefault="00617F41" w:rsidP="009A21C9">
            <w:pPr>
              <w:jc w:val="right"/>
            </w:pPr>
            <w:r w:rsidRPr="009A21C9">
              <w:t>1 053,7</w:t>
            </w:r>
          </w:p>
        </w:tc>
        <w:tc>
          <w:tcPr>
            <w:tcW w:w="976" w:type="dxa"/>
            <w:shd w:val="clear" w:color="auto" w:fill="FFFFFF"/>
            <w:noWrap/>
            <w:vAlign w:val="bottom"/>
          </w:tcPr>
          <w:p w:rsidR="00617F41" w:rsidRPr="009A21C9" w:rsidRDefault="00617F41" w:rsidP="009A21C9">
            <w:pPr>
              <w:jc w:val="right"/>
              <w:rPr>
                <w:i/>
              </w:rPr>
            </w:pPr>
            <w:r w:rsidRPr="009A21C9">
              <w:rPr>
                <w:i/>
              </w:rPr>
              <w:t>48,9</w:t>
            </w:r>
          </w:p>
        </w:tc>
        <w:tc>
          <w:tcPr>
            <w:tcW w:w="1199" w:type="dxa"/>
            <w:shd w:val="clear" w:color="auto" w:fill="FFFFFF"/>
            <w:noWrap/>
            <w:vAlign w:val="bottom"/>
          </w:tcPr>
          <w:p w:rsidR="00617F41" w:rsidRPr="009A21C9" w:rsidRDefault="00617F41" w:rsidP="009A21C9">
            <w:pPr>
              <w:jc w:val="right"/>
              <w:rPr>
                <w:i/>
              </w:rPr>
            </w:pPr>
            <w:r w:rsidRPr="009A21C9">
              <w:rPr>
                <w:i/>
              </w:rPr>
              <w:t>4,9%</w:t>
            </w:r>
          </w:p>
        </w:tc>
      </w:tr>
      <w:tr w:rsidR="00617F41" w:rsidRPr="000D49E5" w:rsidTr="009A21C9">
        <w:trPr>
          <w:trHeight w:val="254"/>
        </w:trPr>
        <w:tc>
          <w:tcPr>
            <w:tcW w:w="5245" w:type="dxa"/>
            <w:shd w:val="clear" w:color="auto" w:fill="EAF1DD"/>
            <w:vAlign w:val="bottom"/>
          </w:tcPr>
          <w:p w:rsidR="00617F41" w:rsidRPr="009A21C9" w:rsidRDefault="00617F41" w:rsidP="009A21C9">
            <w:r w:rsidRPr="009A21C9">
              <w:t>Прочие платежи</w:t>
            </w:r>
          </w:p>
        </w:tc>
        <w:tc>
          <w:tcPr>
            <w:tcW w:w="1418" w:type="dxa"/>
            <w:shd w:val="clear" w:color="auto" w:fill="FFFFFF"/>
            <w:noWrap/>
            <w:vAlign w:val="bottom"/>
          </w:tcPr>
          <w:p w:rsidR="00617F41" w:rsidRPr="009A21C9" w:rsidRDefault="00617F41" w:rsidP="009A21C9">
            <w:pPr>
              <w:jc w:val="right"/>
            </w:pPr>
            <w:r w:rsidRPr="009A21C9">
              <w:t>162,9</w:t>
            </w:r>
          </w:p>
        </w:tc>
        <w:tc>
          <w:tcPr>
            <w:tcW w:w="1276" w:type="dxa"/>
            <w:shd w:val="clear" w:color="auto" w:fill="FFFFFF"/>
            <w:noWrap/>
            <w:vAlign w:val="bottom"/>
          </w:tcPr>
          <w:p w:rsidR="00617F41" w:rsidRPr="009A21C9" w:rsidRDefault="00617F41" w:rsidP="009A21C9">
            <w:pPr>
              <w:jc w:val="right"/>
            </w:pPr>
            <w:r w:rsidRPr="009A21C9">
              <w:t>194,8</w:t>
            </w:r>
          </w:p>
        </w:tc>
        <w:tc>
          <w:tcPr>
            <w:tcW w:w="976" w:type="dxa"/>
            <w:shd w:val="clear" w:color="auto" w:fill="FFFFFF"/>
            <w:noWrap/>
            <w:vAlign w:val="bottom"/>
          </w:tcPr>
          <w:p w:rsidR="00617F41" w:rsidRPr="009A21C9" w:rsidRDefault="00617F41" w:rsidP="009A21C9">
            <w:pPr>
              <w:jc w:val="right"/>
              <w:rPr>
                <w:i/>
              </w:rPr>
            </w:pPr>
            <w:r w:rsidRPr="009A21C9">
              <w:rPr>
                <w:i/>
              </w:rPr>
              <w:t>31,9</w:t>
            </w:r>
          </w:p>
        </w:tc>
        <w:tc>
          <w:tcPr>
            <w:tcW w:w="1199" w:type="dxa"/>
            <w:shd w:val="clear" w:color="auto" w:fill="FFFFFF"/>
            <w:noWrap/>
            <w:vAlign w:val="bottom"/>
          </w:tcPr>
          <w:p w:rsidR="00617F41" w:rsidRPr="009A21C9" w:rsidRDefault="00617F41" w:rsidP="009A21C9">
            <w:pPr>
              <w:jc w:val="right"/>
              <w:rPr>
                <w:i/>
              </w:rPr>
            </w:pPr>
            <w:r w:rsidRPr="009A21C9">
              <w:rPr>
                <w:i/>
              </w:rPr>
              <w:t>19,6%</w:t>
            </w:r>
          </w:p>
        </w:tc>
      </w:tr>
      <w:tr w:rsidR="00617F41" w:rsidRPr="009A21C9" w:rsidTr="009A21C9">
        <w:trPr>
          <w:trHeight w:val="254"/>
        </w:trPr>
        <w:tc>
          <w:tcPr>
            <w:tcW w:w="5245" w:type="dxa"/>
            <w:shd w:val="clear" w:color="auto" w:fill="C2D69B"/>
            <w:vAlign w:val="bottom"/>
          </w:tcPr>
          <w:p w:rsidR="00617F41" w:rsidRPr="009A21C9" w:rsidRDefault="00617F41" w:rsidP="009A21C9">
            <w:pPr>
              <w:rPr>
                <w:b/>
              </w:rPr>
            </w:pPr>
            <w:r w:rsidRPr="009A21C9">
              <w:rPr>
                <w:b/>
              </w:rPr>
              <w:t>Итого</w:t>
            </w:r>
          </w:p>
        </w:tc>
        <w:tc>
          <w:tcPr>
            <w:tcW w:w="1418" w:type="dxa"/>
            <w:shd w:val="clear" w:color="auto" w:fill="C2D69B"/>
            <w:noWrap/>
            <w:vAlign w:val="bottom"/>
          </w:tcPr>
          <w:p w:rsidR="00617F41" w:rsidRPr="009A21C9" w:rsidRDefault="00617F41" w:rsidP="009A21C9">
            <w:pPr>
              <w:jc w:val="right"/>
              <w:rPr>
                <w:b/>
              </w:rPr>
            </w:pPr>
            <w:r w:rsidRPr="009A21C9">
              <w:rPr>
                <w:b/>
              </w:rPr>
              <w:t>4 814,9</w:t>
            </w:r>
          </w:p>
        </w:tc>
        <w:tc>
          <w:tcPr>
            <w:tcW w:w="1276" w:type="dxa"/>
            <w:shd w:val="clear" w:color="auto" w:fill="C2D69B"/>
            <w:noWrap/>
            <w:vAlign w:val="bottom"/>
          </w:tcPr>
          <w:p w:rsidR="00617F41" w:rsidRPr="009A21C9" w:rsidRDefault="00617F41" w:rsidP="009A21C9">
            <w:pPr>
              <w:jc w:val="right"/>
              <w:rPr>
                <w:b/>
              </w:rPr>
            </w:pPr>
            <w:r w:rsidRPr="009A21C9">
              <w:rPr>
                <w:b/>
              </w:rPr>
              <w:t>5 388,6</w:t>
            </w:r>
          </w:p>
        </w:tc>
        <w:tc>
          <w:tcPr>
            <w:tcW w:w="976" w:type="dxa"/>
            <w:shd w:val="clear" w:color="auto" w:fill="C2D69B"/>
            <w:noWrap/>
            <w:vAlign w:val="bottom"/>
          </w:tcPr>
          <w:p w:rsidR="00617F41" w:rsidRPr="009A21C9" w:rsidRDefault="00617F41" w:rsidP="009A21C9">
            <w:pPr>
              <w:jc w:val="right"/>
              <w:rPr>
                <w:b/>
                <w:i/>
              </w:rPr>
            </w:pPr>
            <w:r w:rsidRPr="009A21C9">
              <w:rPr>
                <w:b/>
                <w:i/>
              </w:rPr>
              <w:t>573,7</w:t>
            </w:r>
          </w:p>
        </w:tc>
        <w:tc>
          <w:tcPr>
            <w:tcW w:w="1199" w:type="dxa"/>
            <w:shd w:val="clear" w:color="auto" w:fill="C2D69B"/>
            <w:noWrap/>
            <w:vAlign w:val="bottom"/>
          </w:tcPr>
          <w:p w:rsidR="00617F41" w:rsidRPr="009A21C9" w:rsidRDefault="00617F41" w:rsidP="009A21C9">
            <w:pPr>
              <w:jc w:val="right"/>
              <w:rPr>
                <w:b/>
                <w:i/>
              </w:rPr>
            </w:pPr>
            <w:r w:rsidRPr="009A21C9">
              <w:rPr>
                <w:b/>
                <w:i/>
              </w:rPr>
              <w:t>11,9%</w:t>
            </w:r>
          </w:p>
        </w:tc>
      </w:tr>
    </w:tbl>
    <w:p w:rsidR="00617F41" w:rsidRPr="00223D1D" w:rsidRDefault="00617F41" w:rsidP="009A21C9">
      <w:pPr>
        <w:widowControl w:val="0"/>
        <w:ind w:firstLine="709"/>
        <w:jc w:val="both"/>
        <w:rPr>
          <w:b/>
          <w:kern w:val="16"/>
          <w:sz w:val="28"/>
          <w:szCs w:val="28"/>
        </w:rPr>
      </w:pPr>
      <w:r w:rsidRPr="00223D1D">
        <w:rPr>
          <w:sz w:val="28"/>
          <w:szCs w:val="28"/>
        </w:rPr>
        <w:t xml:space="preserve">В разрезе групп пользователей наибольшая доля объема платежей в </w:t>
      </w:r>
      <w:r>
        <w:rPr>
          <w:sz w:val="28"/>
          <w:szCs w:val="28"/>
        </w:rPr>
        <w:t>2014</w:t>
      </w:r>
      <w:r w:rsidRPr="00223D1D">
        <w:rPr>
          <w:sz w:val="28"/>
          <w:szCs w:val="28"/>
        </w:rPr>
        <w:t xml:space="preserve"> году приходилас</w:t>
      </w:r>
      <w:r>
        <w:rPr>
          <w:sz w:val="28"/>
          <w:szCs w:val="28"/>
        </w:rPr>
        <w:t>ь на пятерку крупных банков – 41</w:t>
      </w:r>
      <w:r w:rsidRPr="00223D1D">
        <w:rPr>
          <w:sz w:val="28"/>
          <w:szCs w:val="28"/>
        </w:rPr>
        <w:t>,</w:t>
      </w:r>
      <w:r>
        <w:rPr>
          <w:sz w:val="28"/>
          <w:szCs w:val="28"/>
        </w:rPr>
        <w:t>0</w:t>
      </w:r>
      <w:r w:rsidRPr="00223D1D">
        <w:rPr>
          <w:sz w:val="28"/>
          <w:szCs w:val="28"/>
        </w:rPr>
        <w:t>%.</w:t>
      </w:r>
    </w:p>
    <w:p w:rsidR="00617F41" w:rsidRPr="00223D1D" w:rsidRDefault="00617F41" w:rsidP="009A21C9">
      <w:pPr>
        <w:ind w:firstLine="709"/>
        <w:jc w:val="center"/>
        <w:rPr>
          <w:b/>
          <w:kern w:val="16"/>
          <w:sz w:val="28"/>
          <w:szCs w:val="28"/>
        </w:rPr>
      </w:pPr>
      <w:r w:rsidRPr="00223D1D">
        <w:rPr>
          <w:b/>
          <w:kern w:val="16"/>
          <w:sz w:val="28"/>
          <w:szCs w:val="28"/>
        </w:rPr>
        <w:t xml:space="preserve">Потоки платежей в </w:t>
      </w:r>
      <w:r>
        <w:rPr>
          <w:b/>
          <w:kern w:val="16"/>
          <w:sz w:val="28"/>
          <w:szCs w:val="28"/>
        </w:rPr>
        <w:t>СМК</w:t>
      </w:r>
      <w:r w:rsidRPr="00223D1D">
        <w:rPr>
          <w:b/>
          <w:kern w:val="16"/>
          <w:sz w:val="28"/>
          <w:szCs w:val="28"/>
        </w:rPr>
        <w:t xml:space="preserve"> по группам пользователей</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560"/>
        <w:gridCol w:w="1134"/>
        <w:gridCol w:w="1417"/>
        <w:gridCol w:w="1134"/>
        <w:gridCol w:w="1013"/>
      </w:tblGrid>
      <w:tr w:rsidR="00617F41" w:rsidRPr="00922683" w:rsidTr="009A21C9">
        <w:trPr>
          <w:cantSplit/>
          <w:trHeight w:val="231"/>
        </w:trPr>
        <w:tc>
          <w:tcPr>
            <w:tcW w:w="2268" w:type="dxa"/>
            <w:vMerge w:val="restart"/>
            <w:shd w:val="clear" w:color="auto" w:fill="C2D69B"/>
            <w:vAlign w:val="center"/>
          </w:tcPr>
          <w:p w:rsidR="00617F41" w:rsidRPr="00922683" w:rsidRDefault="00617F41" w:rsidP="009A21C9">
            <w:pPr>
              <w:jc w:val="center"/>
              <w:rPr>
                <w:b/>
              </w:rPr>
            </w:pPr>
            <w:r w:rsidRPr="00922683">
              <w:rPr>
                <w:b/>
                <w:snapToGrid w:val="0"/>
              </w:rPr>
              <w:t>Группа</w:t>
            </w:r>
          </w:p>
        </w:tc>
        <w:tc>
          <w:tcPr>
            <w:tcW w:w="2694" w:type="dxa"/>
            <w:gridSpan w:val="2"/>
            <w:shd w:val="clear" w:color="auto" w:fill="C2D69B"/>
            <w:vAlign w:val="center"/>
          </w:tcPr>
          <w:p w:rsidR="00617F41" w:rsidRPr="00922683" w:rsidRDefault="00617F41" w:rsidP="009A21C9">
            <w:pPr>
              <w:jc w:val="center"/>
              <w:rPr>
                <w:b/>
              </w:rPr>
            </w:pPr>
            <w:r w:rsidRPr="00922683">
              <w:rPr>
                <w:b/>
              </w:rPr>
              <w:t>2013 год</w:t>
            </w:r>
          </w:p>
        </w:tc>
        <w:tc>
          <w:tcPr>
            <w:tcW w:w="2551" w:type="dxa"/>
            <w:gridSpan w:val="2"/>
            <w:shd w:val="clear" w:color="auto" w:fill="C2D69B"/>
            <w:vAlign w:val="center"/>
          </w:tcPr>
          <w:p w:rsidR="00617F41" w:rsidRPr="00922683" w:rsidRDefault="00617F41" w:rsidP="009A21C9">
            <w:pPr>
              <w:jc w:val="center"/>
              <w:rPr>
                <w:b/>
              </w:rPr>
            </w:pPr>
            <w:r w:rsidRPr="00922683">
              <w:rPr>
                <w:b/>
              </w:rPr>
              <w:t>2014</w:t>
            </w:r>
            <w:r w:rsidRPr="00922683">
              <w:rPr>
                <w:b/>
                <w:lang w:val="kk-KZ"/>
              </w:rPr>
              <w:t xml:space="preserve"> год</w:t>
            </w:r>
          </w:p>
        </w:tc>
        <w:tc>
          <w:tcPr>
            <w:tcW w:w="2147" w:type="dxa"/>
            <w:gridSpan w:val="2"/>
            <w:shd w:val="clear" w:color="auto" w:fill="C2D69B"/>
            <w:vAlign w:val="center"/>
          </w:tcPr>
          <w:p w:rsidR="00617F41" w:rsidRPr="00922683" w:rsidRDefault="00617F41" w:rsidP="009A21C9">
            <w:pPr>
              <w:jc w:val="center"/>
              <w:rPr>
                <w:b/>
              </w:rPr>
            </w:pPr>
            <w:r w:rsidRPr="00922683">
              <w:rPr>
                <w:b/>
              </w:rPr>
              <w:t>Изменения</w:t>
            </w:r>
          </w:p>
        </w:tc>
      </w:tr>
      <w:tr w:rsidR="00617F41" w:rsidRPr="00922683" w:rsidTr="009A21C9">
        <w:trPr>
          <w:cantSplit/>
          <w:trHeight w:val="499"/>
        </w:trPr>
        <w:tc>
          <w:tcPr>
            <w:tcW w:w="2268" w:type="dxa"/>
            <w:vMerge/>
            <w:shd w:val="clear" w:color="auto" w:fill="C2D69B"/>
            <w:vAlign w:val="center"/>
          </w:tcPr>
          <w:p w:rsidR="00617F41" w:rsidRPr="00922683" w:rsidRDefault="00617F41" w:rsidP="009A21C9">
            <w:pPr>
              <w:jc w:val="center"/>
              <w:rPr>
                <w:b/>
                <w:snapToGrid w:val="0"/>
              </w:rPr>
            </w:pPr>
          </w:p>
        </w:tc>
        <w:tc>
          <w:tcPr>
            <w:tcW w:w="1134" w:type="dxa"/>
            <w:shd w:val="clear" w:color="auto" w:fill="C2D69B"/>
            <w:vAlign w:val="center"/>
          </w:tcPr>
          <w:p w:rsidR="00617F41" w:rsidRPr="00922683" w:rsidRDefault="00617F41" w:rsidP="009A21C9">
            <w:pPr>
              <w:ind w:right="-206"/>
              <w:jc w:val="center"/>
              <w:rPr>
                <w:b/>
                <w:snapToGrid w:val="0"/>
              </w:rPr>
            </w:pPr>
            <w:r w:rsidRPr="00922683">
              <w:rPr>
                <w:b/>
                <w:snapToGrid w:val="0"/>
              </w:rPr>
              <w:t>в млрд.</w:t>
            </w:r>
            <w:r w:rsidRPr="00922683">
              <w:rPr>
                <w:b/>
                <w:snapToGrid w:val="0"/>
                <w:lang w:val="en-US"/>
              </w:rPr>
              <w:t xml:space="preserve"> </w:t>
            </w:r>
            <w:r w:rsidRPr="00922683">
              <w:rPr>
                <w:b/>
                <w:snapToGrid w:val="0"/>
              </w:rPr>
              <w:t>тенге</w:t>
            </w:r>
          </w:p>
        </w:tc>
        <w:tc>
          <w:tcPr>
            <w:tcW w:w="1560" w:type="dxa"/>
            <w:shd w:val="clear" w:color="auto" w:fill="C2D69B"/>
            <w:vAlign w:val="center"/>
          </w:tcPr>
          <w:p w:rsidR="00617F41" w:rsidRPr="00922683" w:rsidRDefault="00617F41" w:rsidP="009A21C9">
            <w:pPr>
              <w:jc w:val="center"/>
              <w:rPr>
                <w:b/>
                <w:i/>
                <w:snapToGrid w:val="0"/>
              </w:rPr>
            </w:pPr>
            <w:r w:rsidRPr="00922683">
              <w:rPr>
                <w:b/>
                <w:i/>
                <w:snapToGrid w:val="0"/>
              </w:rPr>
              <w:t>в % к общему объему</w:t>
            </w:r>
          </w:p>
        </w:tc>
        <w:tc>
          <w:tcPr>
            <w:tcW w:w="1134" w:type="dxa"/>
            <w:shd w:val="clear" w:color="auto" w:fill="C2D69B"/>
            <w:vAlign w:val="center"/>
          </w:tcPr>
          <w:p w:rsidR="00617F41" w:rsidRPr="00922683" w:rsidRDefault="00617F41" w:rsidP="009A21C9">
            <w:pPr>
              <w:ind w:right="-108"/>
              <w:jc w:val="center"/>
              <w:rPr>
                <w:b/>
                <w:snapToGrid w:val="0"/>
              </w:rPr>
            </w:pPr>
            <w:r w:rsidRPr="00922683">
              <w:rPr>
                <w:b/>
                <w:snapToGrid w:val="0"/>
              </w:rPr>
              <w:t>в млрд.</w:t>
            </w:r>
            <w:r w:rsidRPr="00922683">
              <w:rPr>
                <w:b/>
                <w:snapToGrid w:val="0"/>
                <w:lang w:val="en-US"/>
              </w:rPr>
              <w:t xml:space="preserve"> </w:t>
            </w:r>
            <w:r w:rsidRPr="00922683">
              <w:rPr>
                <w:b/>
                <w:snapToGrid w:val="0"/>
              </w:rPr>
              <w:t>тенге</w:t>
            </w:r>
          </w:p>
        </w:tc>
        <w:tc>
          <w:tcPr>
            <w:tcW w:w="1417" w:type="dxa"/>
            <w:shd w:val="clear" w:color="auto" w:fill="C2D69B"/>
            <w:vAlign w:val="center"/>
          </w:tcPr>
          <w:p w:rsidR="00617F41" w:rsidRPr="00922683" w:rsidRDefault="00617F41" w:rsidP="009A21C9">
            <w:pPr>
              <w:ind w:right="-120"/>
              <w:jc w:val="center"/>
              <w:rPr>
                <w:b/>
                <w:i/>
                <w:snapToGrid w:val="0"/>
              </w:rPr>
            </w:pPr>
            <w:r w:rsidRPr="00922683">
              <w:rPr>
                <w:b/>
                <w:i/>
                <w:snapToGrid w:val="0"/>
              </w:rPr>
              <w:t>в % к общему объему</w:t>
            </w:r>
          </w:p>
        </w:tc>
        <w:tc>
          <w:tcPr>
            <w:tcW w:w="1134" w:type="dxa"/>
            <w:shd w:val="clear" w:color="auto" w:fill="C2D69B"/>
            <w:vAlign w:val="center"/>
          </w:tcPr>
          <w:p w:rsidR="00617F41" w:rsidRPr="00922683" w:rsidRDefault="00617F41" w:rsidP="009A21C9">
            <w:pPr>
              <w:ind w:right="-63"/>
              <w:jc w:val="center"/>
              <w:rPr>
                <w:b/>
                <w:snapToGrid w:val="0"/>
              </w:rPr>
            </w:pPr>
            <w:r w:rsidRPr="00922683">
              <w:rPr>
                <w:b/>
                <w:snapToGrid w:val="0"/>
              </w:rPr>
              <w:t>в млрд.</w:t>
            </w:r>
            <w:r w:rsidRPr="00922683">
              <w:rPr>
                <w:b/>
                <w:snapToGrid w:val="0"/>
                <w:lang w:val="en-US"/>
              </w:rPr>
              <w:t xml:space="preserve"> </w:t>
            </w:r>
            <w:r w:rsidRPr="00922683">
              <w:rPr>
                <w:b/>
                <w:snapToGrid w:val="0"/>
              </w:rPr>
              <w:t>тенге</w:t>
            </w:r>
          </w:p>
        </w:tc>
        <w:tc>
          <w:tcPr>
            <w:tcW w:w="1013" w:type="dxa"/>
            <w:shd w:val="clear" w:color="auto" w:fill="C2D69B"/>
            <w:vAlign w:val="center"/>
          </w:tcPr>
          <w:p w:rsidR="00617F41" w:rsidRPr="00922683" w:rsidRDefault="00617F41" w:rsidP="009A21C9">
            <w:pPr>
              <w:jc w:val="center"/>
              <w:rPr>
                <w:b/>
                <w:i/>
                <w:snapToGrid w:val="0"/>
              </w:rPr>
            </w:pPr>
            <w:r w:rsidRPr="00922683">
              <w:rPr>
                <w:b/>
                <w:i/>
                <w:snapToGrid w:val="0"/>
              </w:rPr>
              <w:t>рост в %</w:t>
            </w:r>
          </w:p>
        </w:tc>
      </w:tr>
      <w:tr w:rsidR="00617F41" w:rsidRPr="00922683" w:rsidTr="009A21C9">
        <w:trPr>
          <w:trHeight w:val="289"/>
        </w:trPr>
        <w:tc>
          <w:tcPr>
            <w:tcW w:w="2268" w:type="dxa"/>
            <w:shd w:val="clear" w:color="auto" w:fill="EAF1DD"/>
            <w:vAlign w:val="center"/>
          </w:tcPr>
          <w:p w:rsidR="00617F41" w:rsidRPr="00922683" w:rsidRDefault="00617F41" w:rsidP="009A21C9">
            <w:pPr>
              <w:rPr>
                <w:snapToGrid w:val="0"/>
              </w:rPr>
            </w:pPr>
            <w:r w:rsidRPr="00922683">
              <w:rPr>
                <w:snapToGrid w:val="0"/>
              </w:rPr>
              <w:t>Пять крупных банков</w:t>
            </w:r>
          </w:p>
        </w:tc>
        <w:tc>
          <w:tcPr>
            <w:tcW w:w="1134" w:type="dxa"/>
            <w:vAlign w:val="center"/>
          </w:tcPr>
          <w:p w:rsidR="00617F41" w:rsidRPr="00922683" w:rsidRDefault="00617F41" w:rsidP="009A21C9">
            <w:pPr>
              <w:jc w:val="center"/>
            </w:pPr>
            <w:r w:rsidRPr="00922683">
              <w:t>2 030,0</w:t>
            </w:r>
          </w:p>
        </w:tc>
        <w:tc>
          <w:tcPr>
            <w:tcW w:w="1560" w:type="dxa"/>
            <w:vAlign w:val="center"/>
          </w:tcPr>
          <w:p w:rsidR="00617F41" w:rsidRPr="00922683" w:rsidRDefault="00617F41" w:rsidP="009A21C9">
            <w:pPr>
              <w:jc w:val="center"/>
              <w:rPr>
                <w:i/>
                <w:iCs/>
              </w:rPr>
            </w:pPr>
            <w:r w:rsidRPr="00922683">
              <w:rPr>
                <w:i/>
                <w:iCs/>
              </w:rPr>
              <w:t>42,2%</w:t>
            </w:r>
          </w:p>
        </w:tc>
        <w:tc>
          <w:tcPr>
            <w:tcW w:w="1134" w:type="dxa"/>
            <w:vAlign w:val="center"/>
          </w:tcPr>
          <w:p w:rsidR="00617F41" w:rsidRPr="00922683" w:rsidRDefault="00617F41" w:rsidP="009A21C9">
            <w:pPr>
              <w:jc w:val="center"/>
            </w:pPr>
            <w:r w:rsidRPr="00922683">
              <w:t>2 211,5</w:t>
            </w:r>
          </w:p>
        </w:tc>
        <w:tc>
          <w:tcPr>
            <w:tcW w:w="1417" w:type="dxa"/>
            <w:vAlign w:val="center"/>
          </w:tcPr>
          <w:p w:rsidR="00617F41" w:rsidRPr="00922683" w:rsidRDefault="00617F41" w:rsidP="009A21C9">
            <w:pPr>
              <w:jc w:val="center"/>
              <w:rPr>
                <w:i/>
                <w:iCs/>
              </w:rPr>
            </w:pPr>
            <w:r w:rsidRPr="00922683">
              <w:rPr>
                <w:i/>
                <w:iCs/>
              </w:rPr>
              <w:t>41,0%</w:t>
            </w:r>
          </w:p>
        </w:tc>
        <w:tc>
          <w:tcPr>
            <w:tcW w:w="1134" w:type="dxa"/>
            <w:vAlign w:val="center"/>
          </w:tcPr>
          <w:p w:rsidR="00617F41" w:rsidRPr="00922683" w:rsidRDefault="00617F41" w:rsidP="009A21C9">
            <w:pPr>
              <w:jc w:val="center"/>
            </w:pPr>
            <w:r w:rsidRPr="00922683">
              <w:t>181,5</w:t>
            </w:r>
          </w:p>
        </w:tc>
        <w:tc>
          <w:tcPr>
            <w:tcW w:w="1013" w:type="dxa"/>
            <w:vAlign w:val="center"/>
          </w:tcPr>
          <w:p w:rsidR="00617F41" w:rsidRPr="00922683" w:rsidRDefault="00617F41" w:rsidP="009A21C9">
            <w:pPr>
              <w:jc w:val="center"/>
              <w:rPr>
                <w:i/>
                <w:iCs/>
              </w:rPr>
            </w:pPr>
            <w:r w:rsidRPr="00922683">
              <w:rPr>
                <w:i/>
                <w:iCs/>
              </w:rPr>
              <w:t>8,9%</w:t>
            </w:r>
          </w:p>
        </w:tc>
      </w:tr>
      <w:tr w:rsidR="00617F41" w:rsidRPr="00922683" w:rsidTr="009A21C9">
        <w:trPr>
          <w:trHeight w:val="289"/>
        </w:trPr>
        <w:tc>
          <w:tcPr>
            <w:tcW w:w="2268" w:type="dxa"/>
            <w:shd w:val="clear" w:color="auto" w:fill="EAF1DD"/>
            <w:vAlign w:val="center"/>
          </w:tcPr>
          <w:p w:rsidR="00617F41" w:rsidRPr="00922683" w:rsidRDefault="00617F41" w:rsidP="009A21C9">
            <w:pPr>
              <w:pStyle w:val="a9"/>
              <w:rPr>
                <w:snapToGrid w:val="0"/>
                <w:sz w:val="24"/>
                <w:szCs w:val="24"/>
              </w:rPr>
            </w:pPr>
            <w:r w:rsidRPr="00922683">
              <w:rPr>
                <w:snapToGrid w:val="0"/>
                <w:sz w:val="24"/>
                <w:szCs w:val="24"/>
              </w:rPr>
              <w:t>Прочие банки</w:t>
            </w:r>
            <w:r w:rsidRPr="00922683">
              <w:rPr>
                <w:rStyle w:val="ab"/>
                <w:snapToGrid w:val="0"/>
                <w:sz w:val="24"/>
                <w:szCs w:val="24"/>
              </w:rPr>
              <w:footnoteReference w:id="9"/>
            </w:r>
          </w:p>
        </w:tc>
        <w:tc>
          <w:tcPr>
            <w:tcW w:w="1134" w:type="dxa"/>
            <w:vAlign w:val="center"/>
          </w:tcPr>
          <w:p w:rsidR="00617F41" w:rsidRPr="00922683" w:rsidRDefault="00617F41" w:rsidP="009A21C9">
            <w:pPr>
              <w:jc w:val="center"/>
            </w:pPr>
            <w:r w:rsidRPr="00922683">
              <w:t>1 784,8</w:t>
            </w:r>
          </w:p>
        </w:tc>
        <w:tc>
          <w:tcPr>
            <w:tcW w:w="1560" w:type="dxa"/>
            <w:vAlign w:val="center"/>
          </w:tcPr>
          <w:p w:rsidR="00617F41" w:rsidRPr="00922683" w:rsidRDefault="00617F41" w:rsidP="009A21C9">
            <w:pPr>
              <w:jc w:val="center"/>
              <w:rPr>
                <w:i/>
                <w:iCs/>
              </w:rPr>
            </w:pPr>
            <w:r w:rsidRPr="00922683">
              <w:rPr>
                <w:i/>
                <w:iCs/>
              </w:rPr>
              <w:t>37,1%</w:t>
            </w:r>
          </w:p>
        </w:tc>
        <w:tc>
          <w:tcPr>
            <w:tcW w:w="1134" w:type="dxa"/>
            <w:vAlign w:val="center"/>
          </w:tcPr>
          <w:p w:rsidR="00617F41" w:rsidRPr="00922683" w:rsidRDefault="00617F41" w:rsidP="009A21C9">
            <w:pPr>
              <w:jc w:val="center"/>
            </w:pPr>
            <w:r w:rsidRPr="00922683">
              <w:t>2 003,8</w:t>
            </w:r>
          </w:p>
        </w:tc>
        <w:tc>
          <w:tcPr>
            <w:tcW w:w="1417" w:type="dxa"/>
            <w:vAlign w:val="center"/>
          </w:tcPr>
          <w:p w:rsidR="00617F41" w:rsidRPr="00922683" w:rsidRDefault="00617F41" w:rsidP="009A21C9">
            <w:pPr>
              <w:jc w:val="center"/>
              <w:rPr>
                <w:i/>
                <w:iCs/>
              </w:rPr>
            </w:pPr>
            <w:r w:rsidRPr="00922683">
              <w:rPr>
                <w:i/>
                <w:iCs/>
              </w:rPr>
              <w:t>37,2%</w:t>
            </w:r>
          </w:p>
        </w:tc>
        <w:tc>
          <w:tcPr>
            <w:tcW w:w="1134" w:type="dxa"/>
            <w:vAlign w:val="center"/>
          </w:tcPr>
          <w:p w:rsidR="00617F41" w:rsidRPr="00922683" w:rsidRDefault="00617F41" w:rsidP="009A21C9">
            <w:pPr>
              <w:jc w:val="center"/>
            </w:pPr>
            <w:r w:rsidRPr="00922683">
              <w:t>219,0</w:t>
            </w:r>
          </w:p>
        </w:tc>
        <w:tc>
          <w:tcPr>
            <w:tcW w:w="1013" w:type="dxa"/>
            <w:vAlign w:val="center"/>
          </w:tcPr>
          <w:p w:rsidR="00617F41" w:rsidRPr="00922683" w:rsidRDefault="00617F41" w:rsidP="009A21C9">
            <w:pPr>
              <w:jc w:val="center"/>
              <w:rPr>
                <w:i/>
                <w:iCs/>
              </w:rPr>
            </w:pPr>
            <w:r w:rsidRPr="00922683">
              <w:rPr>
                <w:i/>
                <w:iCs/>
              </w:rPr>
              <w:t>12,3%</w:t>
            </w:r>
          </w:p>
        </w:tc>
      </w:tr>
      <w:tr w:rsidR="00617F41" w:rsidRPr="00922683" w:rsidTr="009A21C9">
        <w:trPr>
          <w:trHeight w:val="289"/>
        </w:trPr>
        <w:tc>
          <w:tcPr>
            <w:tcW w:w="2268" w:type="dxa"/>
            <w:shd w:val="clear" w:color="auto" w:fill="EAF1DD"/>
            <w:vAlign w:val="center"/>
          </w:tcPr>
          <w:p w:rsidR="00617F41" w:rsidRPr="00922683" w:rsidRDefault="00617F41" w:rsidP="009A21C9">
            <w:pPr>
              <w:rPr>
                <w:snapToGrid w:val="0"/>
              </w:rPr>
            </w:pPr>
            <w:r w:rsidRPr="00922683">
              <w:rPr>
                <w:snapToGrid w:val="0"/>
              </w:rPr>
              <w:t>Организации</w:t>
            </w:r>
            <w:r w:rsidRPr="00922683">
              <w:rPr>
                <w:rStyle w:val="ab"/>
                <w:snapToGrid w:val="0"/>
              </w:rPr>
              <w:footnoteReference w:id="10"/>
            </w:r>
          </w:p>
        </w:tc>
        <w:tc>
          <w:tcPr>
            <w:tcW w:w="1134" w:type="dxa"/>
            <w:vAlign w:val="center"/>
          </w:tcPr>
          <w:p w:rsidR="00617F41" w:rsidRPr="00922683" w:rsidRDefault="00617F41" w:rsidP="009A21C9">
            <w:pPr>
              <w:jc w:val="center"/>
            </w:pPr>
            <w:r w:rsidRPr="00922683">
              <w:t>1 000,1</w:t>
            </w:r>
          </w:p>
        </w:tc>
        <w:tc>
          <w:tcPr>
            <w:tcW w:w="1560" w:type="dxa"/>
            <w:vAlign w:val="center"/>
          </w:tcPr>
          <w:p w:rsidR="00617F41" w:rsidRPr="00922683" w:rsidRDefault="00617F41" w:rsidP="009A21C9">
            <w:pPr>
              <w:jc w:val="center"/>
              <w:rPr>
                <w:i/>
                <w:iCs/>
              </w:rPr>
            </w:pPr>
            <w:r w:rsidRPr="00922683">
              <w:rPr>
                <w:i/>
                <w:iCs/>
              </w:rPr>
              <w:t>20,8%</w:t>
            </w:r>
          </w:p>
        </w:tc>
        <w:tc>
          <w:tcPr>
            <w:tcW w:w="1134" w:type="dxa"/>
            <w:vAlign w:val="center"/>
          </w:tcPr>
          <w:p w:rsidR="00617F41" w:rsidRPr="00922683" w:rsidRDefault="00617F41" w:rsidP="009A21C9">
            <w:pPr>
              <w:jc w:val="center"/>
            </w:pPr>
            <w:r w:rsidRPr="00922683">
              <w:t>1 173,5</w:t>
            </w:r>
          </w:p>
        </w:tc>
        <w:tc>
          <w:tcPr>
            <w:tcW w:w="1417" w:type="dxa"/>
            <w:vAlign w:val="center"/>
          </w:tcPr>
          <w:p w:rsidR="00617F41" w:rsidRPr="00922683" w:rsidRDefault="00617F41" w:rsidP="009A21C9">
            <w:pPr>
              <w:jc w:val="center"/>
              <w:rPr>
                <w:i/>
                <w:iCs/>
              </w:rPr>
            </w:pPr>
            <w:r w:rsidRPr="00922683">
              <w:rPr>
                <w:i/>
                <w:iCs/>
              </w:rPr>
              <w:t>21,8%</w:t>
            </w:r>
          </w:p>
        </w:tc>
        <w:tc>
          <w:tcPr>
            <w:tcW w:w="1134" w:type="dxa"/>
            <w:vAlign w:val="center"/>
          </w:tcPr>
          <w:p w:rsidR="00617F41" w:rsidRPr="00922683" w:rsidRDefault="00617F41" w:rsidP="009A21C9">
            <w:pPr>
              <w:jc w:val="center"/>
            </w:pPr>
            <w:r w:rsidRPr="00922683">
              <w:t>173,4</w:t>
            </w:r>
          </w:p>
        </w:tc>
        <w:tc>
          <w:tcPr>
            <w:tcW w:w="1013" w:type="dxa"/>
            <w:vAlign w:val="center"/>
          </w:tcPr>
          <w:p w:rsidR="00617F41" w:rsidRPr="00922683" w:rsidRDefault="00617F41" w:rsidP="009A21C9">
            <w:pPr>
              <w:jc w:val="center"/>
              <w:rPr>
                <w:i/>
                <w:iCs/>
              </w:rPr>
            </w:pPr>
            <w:r w:rsidRPr="00922683">
              <w:rPr>
                <w:i/>
                <w:iCs/>
              </w:rPr>
              <w:t>17,3%</w:t>
            </w:r>
          </w:p>
        </w:tc>
      </w:tr>
      <w:tr w:rsidR="00617F41" w:rsidRPr="00922683" w:rsidTr="009A21C9">
        <w:trPr>
          <w:trHeight w:val="289"/>
        </w:trPr>
        <w:tc>
          <w:tcPr>
            <w:tcW w:w="2268" w:type="dxa"/>
            <w:shd w:val="clear" w:color="auto" w:fill="C2D69B"/>
            <w:vAlign w:val="center"/>
          </w:tcPr>
          <w:p w:rsidR="00617F41" w:rsidRPr="00922683" w:rsidRDefault="00617F41" w:rsidP="009A21C9">
            <w:pPr>
              <w:rPr>
                <w:snapToGrid w:val="0"/>
              </w:rPr>
            </w:pPr>
            <w:r w:rsidRPr="00922683">
              <w:rPr>
                <w:b/>
                <w:snapToGrid w:val="0"/>
              </w:rPr>
              <w:t>Общий итог</w:t>
            </w:r>
          </w:p>
        </w:tc>
        <w:tc>
          <w:tcPr>
            <w:tcW w:w="1134" w:type="dxa"/>
            <w:shd w:val="clear" w:color="auto" w:fill="C2D69B"/>
            <w:vAlign w:val="center"/>
          </w:tcPr>
          <w:p w:rsidR="00617F41" w:rsidRPr="00922683" w:rsidRDefault="00617F41" w:rsidP="009A21C9">
            <w:pPr>
              <w:jc w:val="center"/>
              <w:rPr>
                <w:b/>
                <w:bCs/>
              </w:rPr>
            </w:pPr>
            <w:r w:rsidRPr="00922683">
              <w:rPr>
                <w:b/>
                <w:bCs/>
              </w:rPr>
              <w:t>4 814,9</w:t>
            </w:r>
          </w:p>
        </w:tc>
        <w:tc>
          <w:tcPr>
            <w:tcW w:w="1560" w:type="dxa"/>
            <w:shd w:val="clear" w:color="auto" w:fill="C2D69B"/>
            <w:vAlign w:val="center"/>
          </w:tcPr>
          <w:p w:rsidR="00617F41" w:rsidRPr="00922683" w:rsidRDefault="00617F41" w:rsidP="009A21C9">
            <w:pPr>
              <w:jc w:val="center"/>
              <w:rPr>
                <w:b/>
                <w:i/>
                <w:iCs/>
              </w:rPr>
            </w:pPr>
            <w:r w:rsidRPr="00922683">
              <w:rPr>
                <w:b/>
                <w:i/>
                <w:iCs/>
              </w:rPr>
              <w:t>100,0%</w:t>
            </w:r>
          </w:p>
        </w:tc>
        <w:tc>
          <w:tcPr>
            <w:tcW w:w="1134" w:type="dxa"/>
            <w:shd w:val="clear" w:color="auto" w:fill="C2D69B"/>
            <w:vAlign w:val="center"/>
          </w:tcPr>
          <w:p w:rsidR="00617F41" w:rsidRPr="00922683" w:rsidRDefault="00617F41" w:rsidP="009A21C9">
            <w:pPr>
              <w:jc w:val="center"/>
              <w:rPr>
                <w:b/>
                <w:bCs/>
              </w:rPr>
            </w:pPr>
            <w:r w:rsidRPr="00922683">
              <w:rPr>
                <w:b/>
                <w:bCs/>
              </w:rPr>
              <w:t>5 388,8</w:t>
            </w:r>
          </w:p>
        </w:tc>
        <w:tc>
          <w:tcPr>
            <w:tcW w:w="1417" w:type="dxa"/>
            <w:shd w:val="clear" w:color="auto" w:fill="C2D69B"/>
            <w:vAlign w:val="center"/>
          </w:tcPr>
          <w:p w:rsidR="00617F41" w:rsidRPr="00922683" w:rsidRDefault="00617F41" w:rsidP="009A21C9">
            <w:pPr>
              <w:jc w:val="center"/>
              <w:rPr>
                <w:b/>
                <w:i/>
                <w:iCs/>
              </w:rPr>
            </w:pPr>
            <w:r w:rsidRPr="00922683">
              <w:rPr>
                <w:b/>
                <w:i/>
                <w:iCs/>
              </w:rPr>
              <w:t>100,0%</w:t>
            </w:r>
          </w:p>
        </w:tc>
        <w:tc>
          <w:tcPr>
            <w:tcW w:w="1134" w:type="dxa"/>
            <w:shd w:val="clear" w:color="auto" w:fill="C2D69B"/>
            <w:vAlign w:val="center"/>
          </w:tcPr>
          <w:p w:rsidR="00617F41" w:rsidRPr="00922683" w:rsidRDefault="00617F41" w:rsidP="009A21C9">
            <w:pPr>
              <w:jc w:val="center"/>
              <w:rPr>
                <w:b/>
              </w:rPr>
            </w:pPr>
            <w:r w:rsidRPr="00922683">
              <w:rPr>
                <w:b/>
              </w:rPr>
              <w:t>573,9</w:t>
            </w:r>
          </w:p>
        </w:tc>
        <w:tc>
          <w:tcPr>
            <w:tcW w:w="1013" w:type="dxa"/>
            <w:shd w:val="clear" w:color="auto" w:fill="C2D69B"/>
            <w:vAlign w:val="center"/>
          </w:tcPr>
          <w:p w:rsidR="00617F41" w:rsidRPr="00922683" w:rsidRDefault="00617F41" w:rsidP="009A21C9">
            <w:pPr>
              <w:jc w:val="center"/>
              <w:rPr>
                <w:b/>
                <w:i/>
                <w:iCs/>
              </w:rPr>
            </w:pPr>
            <w:r w:rsidRPr="00922683">
              <w:rPr>
                <w:b/>
                <w:i/>
                <w:iCs/>
              </w:rPr>
              <w:t>11,9%</w:t>
            </w:r>
          </w:p>
        </w:tc>
      </w:tr>
    </w:tbl>
    <w:p w:rsidR="00617F41" w:rsidRDefault="00617F41" w:rsidP="009F240E">
      <w:pPr>
        <w:autoSpaceDE w:val="0"/>
        <w:autoSpaceDN w:val="0"/>
        <w:adjustRightInd w:val="0"/>
        <w:ind w:firstLine="709"/>
        <w:jc w:val="both"/>
        <w:rPr>
          <w:sz w:val="28"/>
          <w:szCs w:val="28"/>
        </w:rPr>
      </w:pPr>
      <w:r>
        <w:rPr>
          <w:sz w:val="28"/>
          <w:szCs w:val="28"/>
        </w:rPr>
        <w:t>Согласно прогнозам</w:t>
      </w:r>
      <w:r w:rsidR="007126C4">
        <w:rPr>
          <w:rStyle w:val="ab"/>
          <w:sz w:val="28"/>
          <w:szCs w:val="28"/>
        </w:rPr>
        <w:footnoteReference w:id="11"/>
      </w:r>
      <w:r>
        <w:rPr>
          <w:sz w:val="28"/>
          <w:szCs w:val="28"/>
        </w:rPr>
        <w:t>, рассчитанным на основании статистических данных по объемам платежей за последние 10 лет, в 2015 году прогнозируемые значения роста объемов платежей в платежных системах (МСПД и СМК) могут сложиться на уровне 6,1% (214,9 трлн. тенге) по сумме платежей и 4,8% (36,3 млн. транзакций) по количеству платежей.</w:t>
      </w:r>
    </w:p>
    <w:p w:rsidR="00617F41" w:rsidRDefault="00786A4E" w:rsidP="009F240E">
      <w:pPr>
        <w:autoSpaceDE w:val="0"/>
        <w:autoSpaceDN w:val="0"/>
        <w:adjustRightInd w:val="0"/>
        <w:jc w:val="both"/>
        <w:rPr>
          <w:sz w:val="28"/>
          <w:szCs w:val="28"/>
        </w:rPr>
      </w:pPr>
      <w:r w:rsidRPr="00EB6199">
        <w:rPr>
          <w:noProof/>
        </w:rPr>
        <w:drawing>
          <wp:inline distT="0" distB="0" distL="0" distR="0">
            <wp:extent cx="3008630" cy="1651000"/>
            <wp:effectExtent l="0" t="0" r="0" b="0"/>
            <wp:docPr id="16"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617F41" w:rsidRPr="00165182">
        <w:rPr>
          <w:noProof/>
        </w:rPr>
        <w:t xml:space="preserve"> </w:t>
      </w:r>
      <w:r w:rsidRPr="00EB6199">
        <w:rPr>
          <w:noProof/>
        </w:rPr>
        <w:drawing>
          <wp:inline distT="0" distB="0" distL="0" distR="0">
            <wp:extent cx="3008630" cy="1651000"/>
            <wp:effectExtent l="0" t="0" r="0" b="0"/>
            <wp:docPr id="17"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17F41" w:rsidRDefault="00617F41" w:rsidP="009F240E">
      <w:pPr>
        <w:ind w:firstLine="709"/>
        <w:jc w:val="both"/>
        <w:rPr>
          <w:b/>
          <w:sz w:val="28"/>
          <w:szCs w:val="28"/>
        </w:rPr>
      </w:pPr>
    </w:p>
    <w:p w:rsidR="00617F41" w:rsidRPr="00C251AB" w:rsidRDefault="00617F41" w:rsidP="009F240E">
      <w:pPr>
        <w:ind w:firstLine="709"/>
        <w:jc w:val="both"/>
        <w:rPr>
          <w:b/>
          <w:sz w:val="28"/>
          <w:szCs w:val="28"/>
        </w:rPr>
      </w:pPr>
      <w:r>
        <w:rPr>
          <w:b/>
          <w:sz w:val="28"/>
          <w:szCs w:val="28"/>
        </w:rPr>
        <w:t>Показатели стран ЕАЭС</w:t>
      </w:r>
    </w:p>
    <w:p w:rsidR="00617F41" w:rsidRDefault="00617F41" w:rsidP="009F240E">
      <w:pPr>
        <w:ind w:firstLine="709"/>
        <w:jc w:val="both"/>
        <w:rPr>
          <w:sz w:val="28"/>
          <w:szCs w:val="28"/>
        </w:rPr>
      </w:pPr>
      <w:r>
        <w:rPr>
          <w:sz w:val="28"/>
          <w:szCs w:val="28"/>
        </w:rPr>
        <w:t>При отношении объема</w:t>
      </w:r>
      <w:r>
        <w:rPr>
          <w:rStyle w:val="ab"/>
          <w:sz w:val="28"/>
          <w:szCs w:val="28"/>
        </w:rPr>
        <w:footnoteReference w:id="12"/>
      </w:r>
      <w:r>
        <w:rPr>
          <w:sz w:val="28"/>
          <w:szCs w:val="28"/>
        </w:rPr>
        <w:t xml:space="preserve"> платежей и переводов денег, проведенных через национальные платежные системы стран Евразийского экономического союза к национальным внутренним валовым продуктам</w:t>
      </w:r>
      <w:r>
        <w:rPr>
          <w:rStyle w:val="ab"/>
          <w:sz w:val="28"/>
          <w:szCs w:val="28"/>
        </w:rPr>
        <w:footnoteReference w:id="13"/>
      </w:r>
      <w:r>
        <w:rPr>
          <w:sz w:val="28"/>
          <w:szCs w:val="28"/>
        </w:rPr>
        <w:t xml:space="preserve"> (ВВП) указанных стран, Казахстан занимает третье место по оборачиваемости платежей (превышение объемов платежей над показателем ВВП).</w:t>
      </w:r>
    </w:p>
    <w:p w:rsidR="00617F41" w:rsidRPr="000364FD" w:rsidRDefault="00617F41" w:rsidP="009F240E">
      <w:pPr>
        <w:ind w:firstLine="709"/>
        <w:jc w:val="center"/>
        <w:rPr>
          <w:b/>
        </w:rPr>
      </w:pPr>
      <w:r w:rsidRPr="000364FD">
        <w:rPr>
          <w:b/>
        </w:rPr>
        <w:t xml:space="preserve">Платежи и переводы денег через национальные платежные системы стран </w:t>
      </w:r>
      <w:r>
        <w:rPr>
          <w:b/>
        </w:rPr>
        <w:t xml:space="preserve">ЕАЭС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7"/>
        <w:gridCol w:w="1913"/>
        <w:gridCol w:w="1953"/>
        <w:gridCol w:w="2513"/>
      </w:tblGrid>
      <w:tr w:rsidR="00617F41" w:rsidTr="00982982">
        <w:trPr>
          <w:trHeight w:val="661"/>
        </w:trPr>
        <w:tc>
          <w:tcPr>
            <w:tcW w:w="3417" w:type="dxa"/>
            <w:shd w:val="clear" w:color="auto" w:fill="C2D69B"/>
            <w:vAlign w:val="center"/>
          </w:tcPr>
          <w:p w:rsidR="00617F41" w:rsidRPr="0038543E" w:rsidRDefault="00617F41" w:rsidP="0067491A">
            <w:pPr>
              <w:spacing w:line="228" w:lineRule="auto"/>
              <w:jc w:val="center"/>
              <w:rPr>
                <w:b/>
                <w:bCs/>
                <w:color w:val="000000"/>
              </w:rPr>
            </w:pPr>
            <w:r w:rsidRPr="0038543E">
              <w:rPr>
                <w:b/>
                <w:bCs/>
                <w:color w:val="000000"/>
              </w:rPr>
              <w:t>Страна</w:t>
            </w:r>
          </w:p>
        </w:tc>
        <w:tc>
          <w:tcPr>
            <w:tcW w:w="1913" w:type="dxa"/>
            <w:shd w:val="clear" w:color="auto" w:fill="C2D69B"/>
            <w:vAlign w:val="center"/>
          </w:tcPr>
          <w:p w:rsidR="00617F41" w:rsidRPr="0038543E" w:rsidRDefault="00617F41" w:rsidP="0067491A">
            <w:pPr>
              <w:spacing w:line="228" w:lineRule="auto"/>
              <w:jc w:val="center"/>
              <w:rPr>
                <w:b/>
                <w:bCs/>
                <w:color w:val="000000"/>
              </w:rPr>
            </w:pPr>
            <w:r w:rsidRPr="0038543E">
              <w:rPr>
                <w:b/>
                <w:bCs/>
                <w:color w:val="000000"/>
              </w:rPr>
              <w:t>Сумма (млрд. долл. США)</w:t>
            </w:r>
          </w:p>
        </w:tc>
        <w:tc>
          <w:tcPr>
            <w:tcW w:w="1953" w:type="dxa"/>
            <w:shd w:val="clear" w:color="auto" w:fill="C2D69B"/>
            <w:vAlign w:val="center"/>
          </w:tcPr>
          <w:p w:rsidR="00617F41" w:rsidRPr="0038543E" w:rsidRDefault="00617F41" w:rsidP="0067491A">
            <w:pPr>
              <w:spacing w:line="228" w:lineRule="auto"/>
              <w:jc w:val="center"/>
              <w:rPr>
                <w:b/>
                <w:bCs/>
                <w:color w:val="000000"/>
              </w:rPr>
            </w:pPr>
            <w:r w:rsidRPr="0038543E">
              <w:rPr>
                <w:b/>
                <w:bCs/>
                <w:color w:val="000000"/>
              </w:rPr>
              <w:t>ВВП (млрд. долл. США)</w:t>
            </w:r>
          </w:p>
        </w:tc>
        <w:tc>
          <w:tcPr>
            <w:tcW w:w="2513" w:type="dxa"/>
            <w:shd w:val="clear" w:color="auto" w:fill="C2D69B"/>
            <w:vAlign w:val="center"/>
          </w:tcPr>
          <w:p w:rsidR="00617F41" w:rsidRPr="0038543E" w:rsidRDefault="00617F41" w:rsidP="0067491A">
            <w:pPr>
              <w:spacing w:line="228" w:lineRule="auto"/>
              <w:jc w:val="center"/>
              <w:rPr>
                <w:b/>
                <w:bCs/>
                <w:color w:val="000000"/>
              </w:rPr>
            </w:pPr>
            <w:r>
              <w:rPr>
                <w:b/>
                <w:bCs/>
                <w:color w:val="000000"/>
              </w:rPr>
              <w:t>Превышение объемов платежей над</w:t>
            </w:r>
            <w:r w:rsidRPr="0038543E">
              <w:rPr>
                <w:b/>
                <w:bCs/>
                <w:color w:val="000000"/>
              </w:rPr>
              <w:t xml:space="preserve"> ВВП</w:t>
            </w:r>
          </w:p>
        </w:tc>
      </w:tr>
      <w:tr w:rsidR="00617F41" w:rsidTr="00CF1930">
        <w:trPr>
          <w:trHeight w:val="319"/>
        </w:trPr>
        <w:tc>
          <w:tcPr>
            <w:tcW w:w="3417" w:type="dxa"/>
            <w:shd w:val="clear" w:color="auto" w:fill="EAF1DD"/>
            <w:vAlign w:val="center"/>
          </w:tcPr>
          <w:p w:rsidR="00617F41" w:rsidRPr="0038543E" w:rsidRDefault="00617F41" w:rsidP="0067491A">
            <w:pPr>
              <w:spacing w:line="228" w:lineRule="auto"/>
              <w:rPr>
                <w:color w:val="000000"/>
              </w:rPr>
            </w:pPr>
            <w:r w:rsidRPr="0038543E">
              <w:rPr>
                <w:color w:val="000000"/>
              </w:rPr>
              <w:t>Республика Казахстан</w:t>
            </w:r>
          </w:p>
        </w:tc>
        <w:tc>
          <w:tcPr>
            <w:tcW w:w="1913" w:type="dxa"/>
            <w:vAlign w:val="center"/>
          </w:tcPr>
          <w:p w:rsidR="00617F41" w:rsidRPr="0038543E" w:rsidRDefault="00617F41" w:rsidP="0067491A">
            <w:pPr>
              <w:spacing w:line="228" w:lineRule="auto"/>
              <w:jc w:val="center"/>
              <w:rPr>
                <w:color w:val="000000"/>
              </w:rPr>
            </w:pPr>
            <w:r>
              <w:rPr>
                <w:color w:val="000000"/>
              </w:rPr>
              <w:t>1 167,4</w:t>
            </w:r>
          </w:p>
        </w:tc>
        <w:tc>
          <w:tcPr>
            <w:tcW w:w="1953" w:type="dxa"/>
            <w:vAlign w:val="center"/>
          </w:tcPr>
          <w:p w:rsidR="00617F41" w:rsidRPr="0038543E" w:rsidRDefault="00617F41" w:rsidP="0067491A">
            <w:pPr>
              <w:spacing w:line="228" w:lineRule="auto"/>
              <w:jc w:val="center"/>
              <w:rPr>
                <w:color w:val="000000"/>
              </w:rPr>
            </w:pPr>
            <w:r w:rsidRPr="0038543E">
              <w:rPr>
                <w:color w:val="000000"/>
              </w:rPr>
              <w:t>231,9</w:t>
            </w:r>
          </w:p>
        </w:tc>
        <w:tc>
          <w:tcPr>
            <w:tcW w:w="2513" w:type="dxa"/>
            <w:noWrap/>
            <w:vAlign w:val="center"/>
          </w:tcPr>
          <w:p w:rsidR="00617F41" w:rsidRDefault="00617F41" w:rsidP="0067491A">
            <w:pPr>
              <w:spacing w:line="228" w:lineRule="auto"/>
              <w:jc w:val="center"/>
              <w:rPr>
                <w:color w:val="000000"/>
              </w:rPr>
            </w:pPr>
            <w:r>
              <w:rPr>
                <w:color w:val="000000"/>
              </w:rPr>
              <w:t xml:space="preserve">в 5,3 раза </w:t>
            </w:r>
          </w:p>
          <w:p w:rsidR="00617F41" w:rsidRPr="00982982" w:rsidRDefault="00617F41" w:rsidP="0067491A">
            <w:pPr>
              <w:spacing w:line="228" w:lineRule="auto"/>
              <w:jc w:val="center"/>
              <w:rPr>
                <w:color w:val="000000"/>
                <w:sz w:val="20"/>
                <w:szCs w:val="20"/>
              </w:rPr>
            </w:pPr>
            <w:r w:rsidRPr="00982982">
              <w:rPr>
                <w:color w:val="000000"/>
                <w:sz w:val="20"/>
                <w:szCs w:val="20"/>
              </w:rPr>
              <w:t>(доля ВВП 19%)</w:t>
            </w:r>
          </w:p>
        </w:tc>
      </w:tr>
      <w:tr w:rsidR="00617F41" w:rsidTr="00CF1930">
        <w:trPr>
          <w:trHeight w:val="319"/>
        </w:trPr>
        <w:tc>
          <w:tcPr>
            <w:tcW w:w="3417" w:type="dxa"/>
            <w:shd w:val="clear" w:color="auto" w:fill="EAF1DD"/>
            <w:vAlign w:val="center"/>
          </w:tcPr>
          <w:p w:rsidR="00617F41" w:rsidRPr="0038543E" w:rsidRDefault="00617F41" w:rsidP="0067491A">
            <w:pPr>
              <w:spacing w:line="228" w:lineRule="auto"/>
              <w:rPr>
                <w:color w:val="000000"/>
              </w:rPr>
            </w:pPr>
            <w:r w:rsidRPr="0038543E">
              <w:rPr>
                <w:color w:val="000000"/>
              </w:rPr>
              <w:t>Российская Федерация</w:t>
            </w:r>
          </w:p>
        </w:tc>
        <w:tc>
          <w:tcPr>
            <w:tcW w:w="1913" w:type="dxa"/>
            <w:vAlign w:val="center"/>
          </w:tcPr>
          <w:p w:rsidR="00617F41" w:rsidRPr="0038543E" w:rsidRDefault="00617F41" w:rsidP="0067491A">
            <w:pPr>
              <w:spacing w:line="228" w:lineRule="auto"/>
              <w:jc w:val="center"/>
              <w:rPr>
                <w:color w:val="000000"/>
              </w:rPr>
            </w:pPr>
            <w:r>
              <w:rPr>
                <w:color w:val="000000"/>
              </w:rPr>
              <w:t>38 272,1</w:t>
            </w:r>
          </w:p>
        </w:tc>
        <w:tc>
          <w:tcPr>
            <w:tcW w:w="1953" w:type="dxa"/>
            <w:vAlign w:val="center"/>
          </w:tcPr>
          <w:p w:rsidR="00617F41" w:rsidRPr="0038543E" w:rsidRDefault="00617F41" w:rsidP="0067491A">
            <w:pPr>
              <w:spacing w:line="228" w:lineRule="auto"/>
              <w:jc w:val="center"/>
              <w:rPr>
                <w:color w:val="000000"/>
              </w:rPr>
            </w:pPr>
            <w:r w:rsidRPr="0038543E">
              <w:rPr>
                <w:color w:val="000000"/>
              </w:rPr>
              <w:t>2 068,2</w:t>
            </w:r>
          </w:p>
        </w:tc>
        <w:tc>
          <w:tcPr>
            <w:tcW w:w="2513" w:type="dxa"/>
            <w:noWrap/>
            <w:vAlign w:val="center"/>
          </w:tcPr>
          <w:p w:rsidR="00617F41" w:rsidRDefault="00617F41" w:rsidP="0067491A">
            <w:pPr>
              <w:spacing w:line="228" w:lineRule="auto"/>
              <w:jc w:val="center"/>
              <w:rPr>
                <w:color w:val="000000"/>
              </w:rPr>
            </w:pPr>
            <w:r>
              <w:rPr>
                <w:color w:val="000000"/>
              </w:rPr>
              <w:t xml:space="preserve">в 18,5 раз </w:t>
            </w:r>
          </w:p>
          <w:p w:rsidR="00617F41" w:rsidRPr="0038543E" w:rsidRDefault="00617F41" w:rsidP="0067491A">
            <w:pPr>
              <w:spacing w:line="228" w:lineRule="auto"/>
              <w:jc w:val="center"/>
              <w:rPr>
                <w:color w:val="000000"/>
              </w:rPr>
            </w:pPr>
            <w:r w:rsidRPr="00982982">
              <w:rPr>
                <w:color w:val="000000"/>
                <w:sz w:val="20"/>
                <w:szCs w:val="20"/>
              </w:rPr>
              <w:t>(доля ВВП 5,4%)</w:t>
            </w:r>
          </w:p>
        </w:tc>
      </w:tr>
      <w:tr w:rsidR="001F4506" w:rsidTr="001F4506">
        <w:trPr>
          <w:trHeight w:val="319"/>
        </w:trPr>
        <w:tc>
          <w:tcPr>
            <w:tcW w:w="3417" w:type="dxa"/>
            <w:shd w:val="clear" w:color="auto" w:fill="EAF1DD"/>
            <w:noWrap/>
            <w:vAlign w:val="center"/>
          </w:tcPr>
          <w:p w:rsidR="001F4506" w:rsidRPr="00EC7A89" w:rsidRDefault="00FF499A" w:rsidP="001F4506">
            <w:pPr>
              <w:spacing w:line="228" w:lineRule="auto"/>
              <w:rPr>
                <w:color w:val="000000"/>
              </w:rPr>
            </w:pPr>
            <w:r>
              <w:rPr>
                <w:color w:val="000000"/>
              </w:rPr>
              <w:lastRenderedPageBreak/>
              <w:t xml:space="preserve">Республика </w:t>
            </w:r>
            <w:r w:rsidR="001F4506" w:rsidRPr="00EC7A89">
              <w:rPr>
                <w:color w:val="000000"/>
              </w:rPr>
              <w:t>Беларусь</w:t>
            </w:r>
          </w:p>
        </w:tc>
        <w:tc>
          <w:tcPr>
            <w:tcW w:w="1913" w:type="dxa"/>
            <w:vAlign w:val="center"/>
          </w:tcPr>
          <w:p w:rsidR="001F4506" w:rsidRPr="0038543E" w:rsidRDefault="001F4506" w:rsidP="0067491A">
            <w:pPr>
              <w:spacing w:line="228" w:lineRule="auto"/>
              <w:jc w:val="center"/>
              <w:rPr>
                <w:color w:val="000000"/>
              </w:rPr>
            </w:pPr>
            <w:r w:rsidRPr="0038543E">
              <w:rPr>
                <w:color w:val="000000"/>
              </w:rPr>
              <w:t>376,2</w:t>
            </w:r>
          </w:p>
        </w:tc>
        <w:tc>
          <w:tcPr>
            <w:tcW w:w="1953" w:type="dxa"/>
            <w:vAlign w:val="center"/>
          </w:tcPr>
          <w:p w:rsidR="001F4506" w:rsidRPr="0038543E" w:rsidRDefault="001F4506" w:rsidP="0067491A">
            <w:pPr>
              <w:spacing w:line="228" w:lineRule="auto"/>
              <w:jc w:val="center"/>
              <w:rPr>
                <w:color w:val="000000"/>
              </w:rPr>
            </w:pPr>
            <w:r w:rsidRPr="0038543E">
              <w:rPr>
                <w:color w:val="000000"/>
              </w:rPr>
              <w:t>62,3</w:t>
            </w:r>
          </w:p>
        </w:tc>
        <w:tc>
          <w:tcPr>
            <w:tcW w:w="2513" w:type="dxa"/>
            <w:noWrap/>
            <w:vAlign w:val="center"/>
          </w:tcPr>
          <w:p w:rsidR="001F4506" w:rsidRDefault="001F4506" w:rsidP="0067491A">
            <w:pPr>
              <w:spacing w:line="228" w:lineRule="auto"/>
              <w:jc w:val="center"/>
              <w:rPr>
                <w:color w:val="000000"/>
              </w:rPr>
            </w:pPr>
            <w:r>
              <w:rPr>
                <w:color w:val="000000"/>
              </w:rPr>
              <w:t xml:space="preserve">в 6 раз </w:t>
            </w:r>
          </w:p>
          <w:p w:rsidR="001F4506" w:rsidRPr="0038543E" w:rsidRDefault="001F4506" w:rsidP="0067491A">
            <w:pPr>
              <w:spacing w:line="228" w:lineRule="auto"/>
              <w:jc w:val="center"/>
              <w:rPr>
                <w:color w:val="000000"/>
              </w:rPr>
            </w:pPr>
            <w:r w:rsidRPr="00982982">
              <w:rPr>
                <w:color w:val="000000"/>
                <w:sz w:val="20"/>
                <w:szCs w:val="20"/>
              </w:rPr>
              <w:t>(доля ВВП 16,6%)</w:t>
            </w:r>
          </w:p>
        </w:tc>
      </w:tr>
      <w:tr w:rsidR="001F4506" w:rsidTr="00CF1930">
        <w:trPr>
          <w:trHeight w:val="319"/>
        </w:trPr>
        <w:tc>
          <w:tcPr>
            <w:tcW w:w="3417" w:type="dxa"/>
            <w:shd w:val="clear" w:color="auto" w:fill="EAF1DD"/>
            <w:vAlign w:val="center"/>
          </w:tcPr>
          <w:p w:rsidR="001F4506" w:rsidRPr="0038543E" w:rsidRDefault="001F4506" w:rsidP="0067491A">
            <w:pPr>
              <w:spacing w:line="228" w:lineRule="auto"/>
              <w:rPr>
                <w:color w:val="000000"/>
              </w:rPr>
            </w:pPr>
            <w:r w:rsidRPr="0038543E">
              <w:rPr>
                <w:color w:val="000000"/>
              </w:rPr>
              <w:t>Республика Армения</w:t>
            </w:r>
          </w:p>
        </w:tc>
        <w:tc>
          <w:tcPr>
            <w:tcW w:w="1913" w:type="dxa"/>
            <w:vAlign w:val="center"/>
          </w:tcPr>
          <w:p w:rsidR="001F4506" w:rsidRPr="0038543E" w:rsidRDefault="001F4506" w:rsidP="0067491A">
            <w:pPr>
              <w:spacing w:line="228" w:lineRule="auto"/>
              <w:jc w:val="center"/>
              <w:rPr>
                <w:color w:val="000000"/>
              </w:rPr>
            </w:pPr>
            <w:r w:rsidRPr="0038543E">
              <w:rPr>
                <w:color w:val="000000"/>
              </w:rPr>
              <w:t>22,1</w:t>
            </w:r>
          </w:p>
        </w:tc>
        <w:tc>
          <w:tcPr>
            <w:tcW w:w="1953" w:type="dxa"/>
            <w:vAlign w:val="center"/>
          </w:tcPr>
          <w:p w:rsidR="001F4506" w:rsidRPr="0038543E" w:rsidRDefault="001F4506" w:rsidP="0067491A">
            <w:pPr>
              <w:spacing w:line="228" w:lineRule="auto"/>
              <w:jc w:val="center"/>
              <w:rPr>
                <w:color w:val="000000"/>
              </w:rPr>
            </w:pPr>
            <w:r w:rsidRPr="0038543E">
              <w:rPr>
                <w:color w:val="000000"/>
              </w:rPr>
              <w:t>10,4</w:t>
            </w:r>
          </w:p>
        </w:tc>
        <w:tc>
          <w:tcPr>
            <w:tcW w:w="2513" w:type="dxa"/>
            <w:noWrap/>
            <w:vAlign w:val="center"/>
          </w:tcPr>
          <w:p w:rsidR="001F4506" w:rsidRDefault="001F4506" w:rsidP="0067491A">
            <w:pPr>
              <w:spacing w:line="228" w:lineRule="auto"/>
              <w:jc w:val="center"/>
              <w:rPr>
                <w:color w:val="000000"/>
              </w:rPr>
            </w:pPr>
            <w:r>
              <w:rPr>
                <w:color w:val="000000"/>
              </w:rPr>
              <w:t xml:space="preserve">в 2,1 раз </w:t>
            </w:r>
          </w:p>
          <w:p w:rsidR="001F4506" w:rsidRPr="0038543E" w:rsidRDefault="001F4506" w:rsidP="0067491A">
            <w:pPr>
              <w:spacing w:line="228" w:lineRule="auto"/>
              <w:jc w:val="center"/>
              <w:rPr>
                <w:color w:val="000000"/>
              </w:rPr>
            </w:pPr>
            <w:r w:rsidRPr="00982982">
              <w:rPr>
                <w:color w:val="000000"/>
                <w:sz w:val="20"/>
                <w:szCs w:val="20"/>
              </w:rPr>
              <w:t>(доля ВВП 47,2%)</w:t>
            </w:r>
          </w:p>
        </w:tc>
      </w:tr>
      <w:tr w:rsidR="001F4506" w:rsidTr="00CF1930">
        <w:trPr>
          <w:trHeight w:val="319"/>
        </w:trPr>
        <w:tc>
          <w:tcPr>
            <w:tcW w:w="3417" w:type="dxa"/>
            <w:shd w:val="clear" w:color="auto" w:fill="EAF1DD"/>
            <w:vAlign w:val="center"/>
          </w:tcPr>
          <w:p w:rsidR="001F4506" w:rsidRPr="0038543E" w:rsidRDefault="001F4506" w:rsidP="0067491A">
            <w:pPr>
              <w:spacing w:line="228" w:lineRule="auto"/>
              <w:rPr>
                <w:color w:val="000000"/>
              </w:rPr>
            </w:pPr>
            <w:r w:rsidRPr="0038543E">
              <w:rPr>
                <w:color w:val="000000"/>
              </w:rPr>
              <w:t>Кыргызская Республика</w:t>
            </w:r>
          </w:p>
        </w:tc>
        <w:tc>
          <w:tcPr>
            <w:tcW w:w="1913" w:type="dxa"/>
            <w:vAlign w:val="center"/>
          </w:tcPr>
          <w:p w:rsidR="001F4506" w:rsidRPr="0038543E" w:rsidRDefault="001F4506" w:rsidP="0067491A">
            <w:pPr>
              <w:spacing w:line="228" w:lineRule="auto"/>
              <w:jc w:val="center"/>
              <w:rPr>
                <w:color w:val="000000"/>
              </w:rPr>
            </w:pPr>
            <w:r w:rsidRPr="0038543E">
              <w:rPr>
                <w:color w:val="000000"/>
              </w:rPr>
              <w:t>17,3</w:t>
            </w:r>
          </w:p>
        </w:tc>
        <w:tc>
          <w:tcPr>
            <w:tcW w:w="1953" w:type="dxa"/>
            <w:vAlign w:val="center"/>
          </w:tcPr>
          <w:p w:rsidR="001F4506" w:rsidRPr="0038543E" w:rsidRDefault="001F4506" w:rsidP="0067491A">
            <w:pPr>
              <w:spacing w:line="228" w:lineRule="auto"/>
              <w:jc w:val="center"/>
              <w:rPr>
                <w:color w:val="000000"/>
              </w:rPr>
            </w:pPr>
            <w:r w:rsidRPr="0038543E">
              <w:rPr>
                <w:color w:val="000000"/>
              </w:rPr>
              <w:t>7,2</w:t>
            </w:r>
          </w:p>
        </w:tc>
        <w:tc>
          <w:tcPr>
            <w:tcW w:w="2513" w:type="dxa"/>
            <w:noWrap/>
            <w:vAlign w:val="center"/>
          </w:tcPr>
          <w:p w:rsidR="001F4506" w:rsidRDefault="001F4506" w:rsidP="0067491A">
            <w:pPr>
              <w:spacing w:line="228" w:lineRule="auto"/>
              <w:jc w:val="center"/>
              <w:rPr>
                <w:color w:val="000000"/>
              </w:rPr>
            </w:pPr>
            <w:r>
              <w:rPr>
                <w:color w:val="000000"/>
              </w:rPr>
              <w:t xml:space="preserve">в 2,4 раза </w:t>
            </w:r>
          </w:p>
          <w:p w:rsidR="001F4506" w:rsidRPr="0038543E" w:rsidRDefault="001F4506" w:rsidP="0067491A">
            <w:pPr>
              <w:spacing w:line="228" w:lineRule="auto"/>
              <w:jc w:val="center"/>
              <w:rPr>
                <w:color w:val="000000"/>
              </w:rPr>
            </w:pPr>
            <w:r w:rsidRPr="00982982">
              <w:rPr>
                <w:color w:val="000000"/>
                <w:sz w:val="20"/>
                <w:szCs w:val="20"/>
              </w:rPr>
              <w:t>(доля ВВП 41,8%)</w:t>
            </w:r>
          </w:p>
        </w:tc>
      </w:tr>
    </w:tbl>
    <w:p w:rsidR="00617F41" w:rsidRDefault="00617F41" w:rsidP="009F240E">
      <w:pPr>
        <w:ind w:firstLine="709"/>
        <w:jc w:val="both"/>
        <w:rPr>
          <w:sz w:val="28"/>
          <w:szCs w:val="28"/>
        </w:rPr>
      </w:pPr>
      <w:r>
        <w:rPr>
          <w:sz w:val="28"/>
          <w:szCs w:val="28"/>
        </w:rPr>
        <w:t>При отношении суммы платежей на душу населения Казахстан из числа стран ЕАЭС занимает второе место после Российской Федерации.</w:t>
      </w:r>
    </w:p>
    <w:p w:rsidR="00617F41" w:rsidRPr="000364FD" w:rsidRDefault="00617F41" w:rsidP="009F240E">
      <w:pPr>
        <w:ind w:firstLine="709"/>
        <w:jc w:val="center"/>
        <w:rPr>
          <w:b/>
        </w:rPr>
      </w:pPr>
      <w:r>
        <w:rPr>
          <w:b/>
        </w:rPr>
        <w:t xml:space="preserve">Сумма </w:t>
      </w:r>
      <w:r w:rsidRPr="000364FD">
        <w:rPr>
          <w:b/>
        </w:rPr>
        <w:t>платежей в среднем на душу населения</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4"/>
        <w:gridCol w:w="2254"/>
        <w:gridCol w:w="3558"/>
      </w:tblGrid>
      <w:tr w:rsidR="00617F41" w:rsidRPr="00EC7A89" w:rsidTr="0067491A">
        <w:trPr>
          <w:trHeight w:val="531"/>
        </w:trPr>
        <w:tc>
          <w:tcPr>
            <w:tcW w:w="3984" w:type="dxa"/>
            <w:shd w:val="clear" w:color="auto" w:fill="D6E3BC"/>
            <w:vAlign w:val="center"/>
          </w:tcPr>
          <w:p w:rsidR="00617F41" w:rsidRPr="00EC7A89" w:rsidRDefault="00617F41" w:rsidP="0067491A">
            <w:pPr>
              <w:spacing w:line="235" w:lineRule="auto"/>
              <w:jc w:val="center"/>
              <w:rPr>
                <w:b/>
                <w:bCs/>
                <w:color w:val="000000"/>
              </w:rPr>
            </w:pPr>
            <w:r w:rsidRPr="00EC7A89">
              <w:rPr>
                <w:b/>
                <w:bCs/>
                <w:color w:val="000000"/>
              </w:rPr>
              <w:t>Страна</w:t>
            </w:r>
          </w:p>
        </w:tc>
        <w:tc>
          <w:tcPr>
            <w:tcW w:w="2254" w:type="dxa"/>
            <w:shd w:val="clear" w:color="auto" w:fill="D6E3BC"/>
            <w:vAlign w:val="center"/>
          </w:tcPr>
          <w:p w:rsidR="00617F41" w:rsidRDefault="00617F41" w:rsidP="0067491A">
            <w:pPr>
              <w:spacing w:line="235" w:lineRule="auto"/>
              <w:jc w:val="center"/>
              <w:rPr>
                <w:b/>
                <w:bCs/>
                <w:color w:val="000000"/>
              </w:rPr>
            </w:pPr>
            <w:r>
              <w:rPr>
                <w:b/>
                <w:bCs/>
                <w:color w:val="000000"/>
              </w:rPr>
              <w:t>н</w:t>
            </w:r>
            <w:r w:rsidRPr="00EC7A89">
              <w:rPr>
                <w:b/>
                <w:bCs/>
                <w:color w:val="000000"/>
              </w:rPr>
              <w:t xml:space="preserve">аселение </w:t>
            </w:r>
          </w:p>
          <w:p w:rsidR="00617F41" w:rsidRPr="00EC7A89" w:rsidRDefault="00617F41" w:rsidP="0067491A">
            <w:pPr>
              <w:spacing w:line="235" w:lineRule="auto"/>
              <w:jc w:val="center"/>
              <w:rPr>
                <w:b/>
                <w:bCs/>
                <w:color w:val="000000"/>
              </w:rPr>
            </w:pPr>
            <w:r w:rsidRPr="00EC7A89">
              <w:rPr>
                <w:b/>
                <w:bCs/>
                <w:color w:val="000000"/>
              </w:rPr>
              <w:t>(млн. чел.)</w:t>
            </w:r>
          </w:p>
        </w:tc>
        <w:tc>
          <w:tcPr>
            <w:tcW w:w="3558" w:type="dxa"/>
            <w:shd w:val="clear" w:color="auto" w:fill="D6E3BC"/>
            <w:vAlign w:val="center"/>
          </w:tcPr>
          <w:p w:rsidR="00617F41" w:rsidRDefault="00617F41" w:rsidP="0067491A">
            <w:pPr>
              <w:spacing w:line="235" w:lineRule="auto"/>
              <w:jc w:val="center"/>
              <w:rPr>
                <w:b/>
                <w:bCs/>
                <w:color w:val="000000"/>
              </w:rPr>
            </w:pPr>
            <w:r>
              <w:rPr>
                <w:b/>
                <w:bCs/>
                <w:color w:val="000000"/>
              </w:rPr>
              <w:t>сумма платежей в</w:t>
            </w:r>
            <w:r w:rsidRPr="00EC7A89">
              <w:rPr>
                <w:b/>
                <w:bCs/>
                <w:color w:val="000000"/>
              </w:rPr>
              <w:t xml:space="preserve"> среднем на душу населения </w:t>
            </w:r>
          </w:p>
          <w:p w:rsidR="00617F41" w:rsidRPr="00EC7A89" w:rsidRDefault="00617F41" w:rsidP="0067491A">
            <w:pPr>
              <w:spacing w:line="235" w:lineRule="auto"/>
              <w:jc w:val="center"/>
              <w:rPr>
                <w:b/>
                <w:bCs/>
                <w:color w:val="000000"/>
              </w:rPr>
            </w:pPr>
            <w:r w:rsidRPr="00EC7A89">
              <w:rPr>
                <w:b/>
                <w:bCs/>
                <w:color w:val="000000"/>
              </w:rPr>
              <w:t>(</w:t>
            </w:r>
            <w:r>
              <w:rPr>
                <w:b/>
                <w:bCs/>
                <w:color w:val="000000"/>
              </w:rPr>
              <w:t>в тыс. долл. США</w:t>
            </w:r>
            <w:r w:rsidRPr="00EC7A89">
              <w:rPr>
                <w:b/>
                <w:bCs/>
                <w:color w:val="000000"/>
              </w:rPr>
              <w:t>)</w:t>
            </w:r>
          </w:p>
        </w:tc>
      </w:tr>
      <w:tr w:rsidR="00617F41" w:rsidRPr="00EC7A89" w:rsidTr="009743E2">
        <w:trPr>
          <w:trHeight w:val="317"/>
        </w:trPr>
        <w:tc>
          <w:tcPr>
            <w:tcW w:w="3984" w:type="dxa"/>
            <w:shd w:val="clear" w:color="auto" w:fill="EAF1DD"/>
            <w:vAlign w:val="center"/>
          </w:tcPr>
          <w:p w:rsidR="00617F41" w:rsidRPr="00EC7A89" w:rsidRDefault="00617F41" w:rsidP="0067491A">
            <w:pPr>
              <w:spacing w:line="235" w:lineRule="auto"/>
              <w:jc w:val="both"/>
              <w:rPr>
                <w:color w:val="000000"/>
              </w:rPr>
            </w:pPr>
            <w:r w:rsidRPr="00EC7A89">
              <w:rPr>
                <w:color w:val="000000"/>
              </w:rPr>
              <w:t>Республика Казахстан</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17,4</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67,1</w:t>
            </w:r>
          </w:p>
        </w:tc>
      </w:tr>
      <w:tr w:rsidR="00617F41" w:rsidRPr="00EC7A89" w:rsidTr="009743E2">
        <w:trPr>
          <w:trHeight w:val="317"/>
        </w:trPr>
        <w:tc>
          <w:tcPr>
            <w:tcW w:w="3984" w:type="dxa"/>
            <w:shd w:val="clear" w:color="auto" w:fill="EAF1DD"/>
            <w:vAlign w:val="center"/>
          </w:tcPr>
          <w:p w:rsidR="00617F41" w:rsidRPr="00EC7A89" w:rsidRDefault="00617F41" w:rsidP="0067491A">
            <w:pPr>
              <w:spacing w:line="235" w:lineRule="auto"/>
              <w:jc w:val="both"/>
              <w:rPr>
                <w:color w:val="000000"/>
              </w:rPr>
            </w:pPr>
            <w:r w:rsidRPr="00EC7A89">
              <w:rPr>
                <w:color w:val="000000"/>
              </w:rPr>
              <w:t>Российская Федерация</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146,3</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261,6</w:t>
            </w:r>
          </w:p>
        </w:tc>
      </w:tr>
      <w:tr w:rsidR="00617F41" w:rsidRPr="00EC7A89" w:rsidTr="009743E2">
        <w:trPr>
          <w:trHeight w:val="317"/>
        </w:trPr>
        <w:tc>
          <w:tcPr>
            <w:tcW w:w="3984" w:type="dxa"/>
            <w:shd w:val="clear" w:color="auto" w:fill="EAF1DD"/>
            <w:noWrap/>
            <w:vAlign w:val="bottom"/>
          </w:tcPr>
          <w:p w:rsidR="00617F41" w:rsidRPr="00EC7A89" w:rsidRDefault="00FF499A" w:rsidP="0067491A">
            <w:pPr>
              <w:spacing w:line="235" w:lineRule="auto"/>
              <w:rPr>
                <w:color w:val="000000"/>
              </w:rPr>
            </w:pPr>
            <w:r>
              <w:rPr>
                <w:color w:val="000000"/>
              </w:rPr>
              <w:t xml:space="preserve">Республика </w:t>
            </w:r>
            <w:r w:rsidR="00617F41" w:rsidRPr="00EC7A89">
              <w:rPr>
                <w:color w:val="000000"/>
              </w:rPr>
              <w:t>Беларусь</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9,5</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39,6</w:t>
            </w:r>
          </w:p>
        </w:tc>
      </w:tr>
      <w:tr w:rsidR="00617F41" w:rsidRPr="00EC7A89" w:rsidTr="009743E2">
        <w:trPr>
          <w:trHeight w:val="317"/>
        </w:trPr>
        <w:tc>
          <w:tcPr>
            <w:tcW w:w="3984" w:type="dxa"/>
            <w:shd w:val="clear" w:color="auto" w:fill="EAF1DD"/>
            <w:vAlign w:val="center"/>
          </w:tcPr>
          <w:p w:rsidR="00617F41" w:rsidRPr="00EC7A89" w:rsidRDefault="00617F41" w:rsidP="0067491A">
            <w:pPr>
              <w:spacing w:line="235" w:lineRule="auto"/>
              <w:jc w:val="both"/>
              <w:rPr>
                <w:color w:val="000000"/>
              </w:rPr>
            </w:pPr>
            <w:r w:rsidRPr="00EC7A89">
              <w:rPr>
                <w:color w:val="000000"/>
              </w:rPr>
              <w:t>Республика Армения</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3,0</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7,4</w:t>
            </w:r>
          </w:p>
        </w:tc>
      </w:tr>
      <w:tr w:rsidR="00617F41" w:rsidRPr="00EC7A89" w:rsidTr="009743E2">
        <w:trPr>
          <w:trHeight w:val="317"/>
        </w:trPr>
        <w:tc>
          <w:tcPr>
            <w:tcW w:w="3984" w:type="dxa"/>
            <w:shd w:val="clear" w:color="auto" w:fill="EAF1DD"/>
            <w:vAlign w:val="center"/>
          </w:tcPr>
          <w:p w:rsidR="00617F41" w:rsidRPr="00EC7A89" w:rsidRDefault="00617F41" w:rsidP="0067491A">
            <w:pPr>
              <w:spacing w:line="235" w:lineRule="auto"/>
              <w:jc w:val="both"/>
              <w:rPr>
                <w:color w:val="000000"/>
              </w:rPr>
            </w:pPr>
            <w:r w:rsidRPr="00EC7A89">
              <w:rPr>
                <w:color w:val="000000"/>
              </w:rPr>
              <w:t>Кыргызская Республика</w:t>
            </w:r>
          </w:p>
        </w:tc>
        <w:tc>
          <w:tcPr>
            <w:tcW w:w="0" w:type="auto"/>
            <w:shd w:val="clear" w:color="auto" w:fill="FFFFFF"/>
            <w:vAlign w:val="center"/>
          </w:tcPr>
          <w:p w:rsidR="00617F41" w:rsidRPr="00EC7A89" w:rsidRDefault="00617F41" w:rsidP="0067491A">
            <w:pPr>
              <w:spacing w:line="235" w:lineRule="auto"/>
              <w:jc w:val="center"/>
              <w:rPr>
                <w:color w:val="000000"/>
              </w:rPr>
            </w:pPr>
            <w:r w:rsidRPr="00EC7A89">
              <w:rPr>
                <w:color w:val="000000"/>
              </w:rPr>
              <w:t>5,8</w:t>
            </w:r>
          </w:p>
        </w:tc>
        <w:tc>
          <w:tcPr>
            <w:tcW w:w="3558" w:type="dxa"/>
            <w:shd w:val="clear" w:color="auto" w:fill="FFFFFF"/>
            <w:vAlign w:val="center"/>
          </w:tcPr>
          <w:p w:rsidR="00617F41" w:rsidRPr="00CF1930" w:rsidRDefault="00617F41" w:rsidP="0067491A">
            <w:pPr>
              <w:spacing w:line="235" w:lineRule="auto"/>
              <w:jc w:val="center"/>
              <w:rPr>
                <w:color w:val="000000"/>
              </w:rPr>
            </w:pPr>
            <w:r w:rsidRPr="00CF1930">
              <w:rPr>
                <w:color w:val="000000"/>
              </w:rPr>
              <w:t>3,0</w:t>
            </w:r>
          </w:p>
        </w:tc>
      </w:tr>
      <w:bookmarkEnd w:id="2"/>
    </w:tbl>
    <w:p w:rsidR="00617F41" w:rsidRDefault="00617F41" w:rsidP="009F240E">
      <w:pPr>
        <w:spacing w:line="228" w:lineRule="auto"/>
        <w:ind w:firstLine="708"/>
        <w:jc w:val="both"/>
        <w:rPr>
          <w:b/>
          <w:sz w:val="28"/>
          <w:szCs w:val="28"/>
        </w:rPr>
      </w:pPr>
    </w:p>
    <w:p w:rsidR="00617F41" w:rsidRPr="002674AF" w:rsidRDefault="00617F41" w:rsidP="009F240E">
      <w:pPr>
        <w:ind w:firstLine="709"/>
        <w:jc w:val="both"/>
        <w:rPr>
          <w:b/>
          <w:sz w:val="28"/>
          <w:szCs w:val="28"/>
        </w:rPr>
      </w:pPr>
      <w:r w:rsidRPr="002674AF">
        <w:rPr>
          <w:b/>
          <w:sz w:val="28"/>
          <w:szCs w:val="28"/>
        </w:rPr>
        <w:t>Платежи, находившиеся в очере</w:t>
      </w:r>
      <w:r>
        <w:rPr>
          <w:b/>
          <w:sz w:val="28"/>
          <w:szCs w:val="28"/>
        </w:rPr>
        <w:t>ди, аннулированные и отозванные в МСПД, а также неисполненные в СМК</w:t>
      </w:r>
    </w:p>
    <w:tbl>
      <w:tblPr>
        <w:tblW w:w="10345" w:type="dxa"/>
        <w:tblLook w:val="00A0" w:firstRow="1" w:lastRow="0" w:firstColumn="1" w:lastColumn="0" w:noHBand="0" w:noVBand="0"/>
      </w:tblPr>
      <w:tblGrid>
        <w:gridCol w:w="4644"/>
        <w:gridCol w:w="5701"/>
      </w:tblGrid>
      <w:tr w:rsidR="00617F41" w:rsidTr="007A05EB">
        <w:trPr>
          <w:trHeight w:val="1723"/>
        </w:trPr>
        <w:tc>
          <w:tcPr>
            <w:tcW w:w="4644" w:type="dxa"/>
          </w:tcPr>
          <w:p w:rsidR="00617F41" w:rsidRPr="007A05EB" w:rsidRDefault="00617F41" w:rsidP="007A05EB">
            <w:pPr>
              <w:ind w:firstLine="709"/>
              <w:jc w:val="both"/>
              <w:rPr>
                <w:sz w:val="28"/>
                <w:szCs w:val="28"/>
              </w:rPr>
            </w:pPr>
            <w:r w:rsidRPr="007A05EB">
              <w:rPr>
                <w:sz w:val="28"/>
                <w:szCs w:val="28"/>
              </w:rPr>
              <w:t>Одним из показателей возможных финансовых рисков в системе является очередь платежей участников,</w:t>
            </w:r>
            <w:r w:rsidR="00682759">
              <w:rPr>
                <w:sz w:val="28"/>
                <w:szCs w:val="28"/>
              </w:rPr>
              <w:t xml:space="preserve"> которая образуется, в основном</w:t>
            </w:r>
            <w:r w:rsidRPr="007A05EB">
              <w:rPr>
                <w:sz w:val="28"/>
                <w:szCs w:val="28"/>
              </w:rPr>
              <w:t xml:space="preserve"> по причине недостаточности ликвидности в течение операционного дня МСПД. </w:t>
            </w:r>
          </w:p>
        </w:tc>
        <w:tc>
          <w:tcPr>
            <w:tcW w:w="5701" w:type="dxa"/>
          </w:tcPr>
          <w:p w:rsidR="00617F41" w:rsidRPr="007A05EB" w:rsidRDefault="00617F41" w:rsidP="007A05EB">
            <w:pPr>
              <w:jc w:val="center"/>
              <w:rPr>
                <w:b/>
              </w:rPr>
            </w:pPr>
            <w:r w:rsidRPr="007A05EB">
              <w:rPr>
                <w:b/>
              </w:rPr>
              <w:t xml:space="preserve">Платежные документы, </w:t>
            </w:r>
          </w:p>
          <w:p w:rsidR="00617F41" w:rsidRPr="007A05EB" w:rsidRDefault="00617F41" w:rsidP="007A05EB">
            <w:pPr>
              <w:jc w:val="center"/>
              <w:rPr>
                <w:b/>
              </w:rPr>
            </w:pPr>
            <w:r w:rsidRPr="007A05EB">
              <w:rPr>
                <w:b/>
              </w:rPr>
              <w:t>находившиеся в очереди</w:t>
            </w:r>
          </w:p>
          <w:p w:rsidR="00617F41" w:rsidRPr="007A05EB" w:rsidRDefault="00617F41" w:rsidP="007A05EB">
            <w:pPr>
              <w:jc w:val="center"/>
              <w:rPr>
                <w:b/>
              </w:rPr>
            </w:pPr>
          </w:p>
          <w:tbl>
            <w:tblPr>
              <w:tblW w:w="4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1499"/>
              <w:gridCol w:w="1627"/>
            </w:tblGrid>
            <w:tr w:rsidR="00617F41" w:rsidRPr="0051729B" w:rsidTr="00D21767">
              <w:trPr>
                <w:trHeight w:val="209"/>
                <w:jc w:val="center"/>
              </w:trPr>
              <w:tc>
                <w:tcPr>
                  <w:tcW w:w="1156" w:type="dxa"/>
                  <w:tcBorders>
                    <w:top w:val="single" w:sz="4" w:space="0" w:color="auto"/>
                    <w:left w:val="single" w:sz="4" w:space="0" w:color="auto"/>
                    <w:bottom w:val="single" w:sz="4" w:space="0" w:color="auto"/>
                    <w:right w:val="single" w:sz="4" w:space="0" w:color="auto"/>
                  </w:tcBorders>
                  <w:shd w:val="clear" w:color="auto" w:fill="C2D69B"/>
                </w:tcPr>
                <w:p w:rsidR="00617F41" w:rsidRPr="0051729B" w:rsidRDefault="00617F41" w:rsidP="00D21767">
                  <w:pPr>
                    <w:ind w:hanging="594"/>
                    <w:jc w:val="both"/>
                  </w:pPr>
                </w:p>
              </w:tc>
              <w:tc>
                <w:tcPr>
                  <w:tcW w:w="1477"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617F41" w:rsidP="000364FD">
                  <w:pPr>
                    <w:jc w:val="center"/>
                    <w:rPr>
                      <w:b/>
                    </w:rPr>
                  </w:pPr>
                  <w:r w:rsidRPr="00EC7A89">
                    <w:rPr>
                      <w:b/>
                    </w:rPr>
                    <w:t>Количес</w:t>
                  </w:r>
                  <w:r>
                    <w:rPr>
                      <w:b/>
                    </w:rPr>
                    <w:t>т</w:t>
                  </w:r>
                  <w:r w:rsidRPr="00EC7A89">
                    <w:rPr>
                      <w:b/>
                    </w:rPr>
                    <w:t>во</w:t>
                  </w:r>
                  <w:r>
                    <w:rPr>
                      <w:b/>
                    </w:rPr>
                    <w:t xml:space="preserve"> (ед.)</w:t>
                  </w:r>
                </w:p>
              </w:tc>
              <w:tc>
                <w:tcPr>
                  <w:tcW w:w="1640" w:type="dxa"/>
                  <w:tcBorders>
                    <w:top w:val="single" w:sz="4" w:space="0" w:color="auto"/>
                    <w:left w:val="single" w:sz="4" w:space="0" w:color="auto"/>
                    <w:bottom w:val="single" w:sz="4" w:space="0" w:color="auto"/>
                    <w:right w:val="single" w:sz="4" w:space="0" w:color="auto"/>
                  </w:tcBorders>
                  <w:shd w:val="clear" w:color="auto" w:fill="C2D69B"/>
                  <w:vAlign w:val="center"/>
                </w:tcPr>
                <w:p w:rsidR="00617F41" w:rsidRPr="00EC7A89" w:rsidRDefault="00617F41" w:rsidP="00D21767">
                  <w:pPr>
                    <w:jc w:val="center"/>
                    <w:rPr>
                      <w:b/>
                    </w:rPr>
                  </w:pPr>
                  <w:r w:rsidRPr="00EC7A89">
                    <w:rPr>
                      <w:b/>
                    </w:rPr>
                    <w:t>Сумма</w:t>
                  </w:r>
                </w:p>
                <w:p w:rsidR="00617F41" w:rsidRPr="00EC7A89" w:rsidRDefault="00617F41" w:rsidP="00D21767">
                  <w:pPr>
                    <w:jc w:val="center"/>
                    <w:rPr>
                      <w:b/>
                    </w:rPr>
                  </w:pPr>
                  <w:r w:rsidRPr="00EC7A89">
                    <w:rPr>
                      <w:b/>
                    </w:rPr>
                    <w:t xml:space="preserve"> (млрд. тенге)</w:t>
                  </w:r>
                </w:p>
              </w:tc>
            </w:tr>
            <w:tr w:rsidR="00617F41" w:rsidRPr="0051729B" w:rsidTr="00D21767">
              <w:trPr>
                <w:trHeight w:val="119"/>
                <w:jc w:val="center"/>
              </w:trPr>
              <w:tc>
                <w:tcPr>
                  <w:tcW w:w="1156" w:type="dxa"/>
                  <w:tcBorders>
                    <w:top w:val="single" w:sz="4" w:space="0" w:color="auto"/>
                    <w:left w:val="single" w:sz="4" w:space="0" w:color="auto"/>
                    <w:bottom w:val="single" w:sz="4" w:space="0" w:color="auto"/>
                    <w:right w:val="single" w:sz="4" w:space="0" w:color="auto"/>
                  </w:tcBorders>
                  <w:shd w:val="clear" w:color="auto" w:fill="EAF1DD"/>
                </w:tcPr>
                <w:p w:rsidR="00617F41" w:rsidRPr="0051729B" w:rsidRDefault="00617F41" w:rsidP="00D21767">
                  <w:pPr>
                    <w:jc w:val="both"/>
                  </w:pPr>
                  <w:r w:rsidRPr="0051729B">
                    <w:t>2013 год</w:t>
                  </w:r>
                </w:p>
              </w:tc>
              <w:tc>
                <w:tcPr>
                  <w:tcW w:w="1477" w:type="dxa"/>
                  <w:tcBorders>
                    <w:top w:val="single" w:sz="4" w:space="0" w:color="auto"/>
                    <w:left w:val="single" w:sz="4" w:space="0" w:color="auto"/>
                    <w:bottom w:val="single" w:sz="4" w:space="0" w:color="auto"/>
                    <w:right w:val="single" w:sz="4" w:space="0" w:color="auto"/>
                  </w:tcBorders>
                  <w:vAlign w:val="center"/>
                </w:tcPr>
                <w:p w:rsidR="00617F41" w:rsidRPr="0051729B" w:rsidRDefault="00617F41" w:rsidP="00D21767">
                  <w:pPr>
                    <w:jc w:val="center"/>
                    <w:rPr>
                      <w:bCs/>
                    </w:rPr>
                  </w:pPr>
                  <w:r w:rsidRPr="0051729B">
                    <w:rPr>
                      <w:bCs/>
                    </w:rPr>
                    <w:t xml:space="preserve"> 863</w:t>
                  </w:r>
                </w:p>
              </w:tc>
              <w:tc>
                <w:tcPr>
                  <w:tcW w:w="1640" w:type="dxa"/>
                  <w:tcBorders>
                    <w:top w:val="single" w:sz="4" w:space="0" w:color="auto"/>
                    <w:left w:val="single" w:sz="4" w:space="0" w:color="auto"/>
                    <w:bottom w:val="single" w:sz="4" w:space="0" w:color="auto"/>
                    <w:right w:val="single" w:sz="4" w:space="0" w:color="auto"/>
                  </w:tcBorders>
                  <w:vAlign w:val="center"/>
                </w:tcPr>
                <w:p w:rsidR="00617F41" w:rsidRPr="0051729B" w:rsidRDefault="00437D97" w:rsidP="00D21767">
                  <w:pPr>
                    <w:jc w:val="center"/>
                    <w:rPr>
                      <w:bCs/>
                    </w:rPr>
                  </w:pPr>
                  <w:r>
                    <w:rPr>
                      <w:bCs/>
                    </w:rPr>
                    <w:t>111</w:t>
                  </w:r>
                  <w:r w:rsidRPr="003D3D4D">
                    <w:rPr>
                      <w:bCs/>
                    </w:rPr>
                    <w:t>,</w:t>
                  </w:r>
                  <w:r>
                    <w:rPr>
                      <w:bCs/>
                    </w:rPr>
                    <w:t>2</w:t>
                  </w:r>
                </w:p>
              </w:tc>
            </w:tr>
            <w:tr w:rsidR="00617F41" w:rsidRPr="0051729B" w:rsidTr="00D21767">
              <w:trPr>
                <w:trHeight w:val="119"/>
                <w:jc w:val="center"/>
              </w:trPr>
              <w:tc>
                <w:tcPr>
                  <w:tcW w:w="1156" w:type="dxa"/>
                  <w:tcBorders>
                    <w:top w:val="single" w:sz="4" w:space="0" w:color="auto"/>
                    <w:left w:val="single" w:sz="4" w:space="0" w:color="auto"/>
                    <w:bottom w:val="single" w:sz="4" w:space="0" w:color="auto"/>
                    <w:right w:val="single" w:sz="4" w:space="0" w:color="auto"/>
                  </w:tcBorders>
                  <w:shd w:val="clear" w:color="auto" w:fill="EAF1DD"/>
                </w:tcPr>
                <w:p w:rsidR="00617F41" w:rsidRPr="0051729B" w:rsidRDefault="00617F41" w:rsidP="00D21767">
                  <w:pPr>
                    <w:jc w:val="both"/>
                  </w:pPr>
                  <w:r w:rsidRPr="0051729B">
                    <w:t>2014 год</w:t>
                  </w:r>
                </w:p>
              </w:tc>
              <w:tc>
                <w:tcPr>
                  <w:tcW w:w="1477" w:type="dxa"/>
                  <w:tcBorders>
                    <w:top w:val="single" w:sz="4" w:space="0" w:color="auto"/>
                    <w:left w:val="single" w:sz="4" w:space="0" w:color="auto"/>
                    <w:bottom w:val="single" w:sz="4" w:space="0" w:color="auto"/>
                    <w:right w:val="single" w:sz="4" w:space="0" w:color="auto"/>
                  </w:tcBorders>
                  <w:vAlign w:val="center"/>
                </w:tcPr>
                <w:p w:rsidR="00617F41" w:rsidRPr="0051729B" w:rsidRDefault="00617F41" w:rsidP="00D21767">
                  <w:pPr>
                    <w:jc w:val="center"/>
                    <w:rPr>
                      <w:bCs/>
                    </w:rPr>
                  </w:pPr>
                  <w:r w:rsidRPr="0051729B">
                    <w:rPr>
                      <w:bCs/>
                    </w:rPr>
                    <w:t>4 306</w:t>
                  </w:r>
                </w:p>
              </w:tc>
              <w:tc>
                <w:tcPr>
                  <w:tcW w:w="1640" w:type="dxa"/>
                  <w:tcBorders>
                    <w:top w:val="single" w:sz="4" w:space="0" w:color="auto"/>
                    <w:left w:val="single" w:sz="4" w:space="0" w:color="auto"/>
                    <w:bottom w:val="single" w:sz="4" w:space="0" w:color="auto"/>
                    <w:right w:val="single" w:sz="4" w:space="0" w:color="auto"/>
                  </w:tcBorders>
                  <w:vAlign w:val="center"/>
                </w:tcPr>
                <w:p w:rsidR="00617F41" w:rsidRPr="0051729B" w:rsidRDefault="00617F41" w:rsidP="00D21767">
                  <w:pPr>
                    <w:jc w:val="center"/>
                  </w:pPr>
                  <w:r w:rsidRPr="0051729B">
                    <w:t>243,7</w:t>
                  </w:r>
                </w:p>
              </w:tc>
            </w:tr>
          </w:tbl>
          <w:p w:rsidR="00617F41" w:rsidRPr="007A05EB" w:rsidRDefault="00617F41" w:rsidP="007A05EB">
            <w:pPr>
              <w:jc w:val="both"/>
              <w:rPr>
                <w:sz w:val="28"/>
                <w:szCs w:val="28"/>
              </w:rPr>
            </w:pPr>
          </w:p>
        </w:tc>
      </w:tr>
    </w:tbl>
    <w:p w:rsidR="00617F41" w:rsidRDefault="00617F41" w:rsidP="00E90E42">
      <w:pPr>
        <w:ind w:firstLine="709"/>
        <w:jc w:val="both"/>
        <w:rPr>
          <w:sz w:val="28"/>
          <w:szCs w:val="28"/>
        </w:rPr>
      </w:pPr>
      <w:r>
        <w:rPr>
          <w:sz w:val="28"/>
          <w:szCs w:val="28"/>
        </w:rPr>
        <w:t xml:space="preserve">За </w:t>
      </w:r>
      <w:r w:rsidRPr="00D612E0">
        <w:rPr>
          <w:sz w:val="28"/>
          <w:szCs w:val="28"/>
        </w:rPr>
        <w:t xml:space="preserve">2014 </w:t>
      </w:r>
      <w:r>
        <w:rPr>
          <w:sz w:val="28"/>
          <w:szCs w:val="28"/>
        </w:rPr>
        <w:t>год</w:t>
      </w:r>
      <w:r w:rsidRPr="001C272B">
        <w:rPr>
          <w:sz w:val="28"/>
          <w:szCs w:val="28"/>
        </w:rPr>
        <w:t xml:space="preserve"> </w:t>
      </w:r>
      <w:r>
        <w:rPr>
          <w:sz w:val="28"/>
          <w:szCs w:val="28"/>
        </w:rPr>
        <w:t>было зафиксировано 4 306 платежей, находившихся в очереди, на сумму 243,7 млрд. тенге. При этом среднее время простоя платежей составило 16 минут 27 секунд. Основной причиной образования «затора» в системе является то, что пользователи не всегда проводят мониторинг и анализ платежей, находящихся в очереди, а также не следят за ликвидностью на своей позиции. В результате чего платежи на крупную сумму поступают в очередь, что не дает возможность проведения расчета других платежей</w:t>
      </w:r>
      <w:r w:rsidR="00682759">
        <w:rPr>
          <w:sz w:val="28"/>
          <w:szCs w:val="28"/>
        </w:rPr>
        <w:t xml:space="preserve"> на более мелкие суммы. В целом,</w:t>
      </w:r>
      <w:r>
        <w:rPr>
          <w:sz w:val="28"/>
          <w:szCs w:val="28"/>
        </w:rPr>
        <w:t xml:space="preserve"> з</w:t>
      </w:r>
      <w:r w:rsidRPr="00B3284E">
        <w:rPr>
          <w:sz w:val="28"/>
          <w:szCs w:val="28"/>
        </w:rPr>
        <w:t>афиксир</w:t>
      </w:r>
      <w:r>
        <w:rPr>
          <w:sz w:val="28"/>
          <w:szCs w:val="28"/>
        </w:rPr>
        <w:t xml:space="preserve">ованные платежи в очереди не повлекли за </w:t>
      </w:r>
      <w:r w:rsidRPr="00B3284E">
        <w:rPr>
          <w:sz w:val="28"/>
          <w:szCs w:val="28"/>
        </w:rPr>
        <w:t>собой фин</w:t>
      </w:r>
      <w:r>
        <w:rPr>
          <w:sz w:val="28"/>
          <w:szCs w:val="28"/>
        </w:rPr>
        <w:t xml:space="preserve">ансовых рисков для других участников, так </w:t>
      </w:r>
      <w:r w:rsidRPr="00B3284E">
        <w:rPr>
          <w:sz w:val="28"/>
          <w:szCs w:val="28"/>
        </w:rPr>
        <w:t>как были свя</w:t>
      </w:r>
      <w:r>
        <w:rPr>
          <w:sz w:val="28"/>
          <w:szCs w:val="28"/>
        </w:rPr>
        <w:t xml:space="preserve">заны с временным разрывом между </w:t>
      </w:r>
      <w:r w:rsidRPr="00B3284E">
        <w:rPr>
          <w:sz w:val="28"/>
          <w:szCs w:val="28"/>
        </w:rPr>
        <w:t>поступлением ср</w:t>
      </w:r>
      <w:r>
        <w:rPr>
          <w:sz w:val="28"/>
          <w:szCs w:val="28"/>
        </w:rPr>
        <w:t xml:space="preserve">едств на корреспондентский счет </w:t>
      </w:r>
      <w:r w:rsidRPr="00B3284E">
        <w:rPr>
          <w:sz w:val="28"/>
          <w:szCs w:val="28"/>
        </w:rPr>
        <w:t>участника и отп</w:t>
      </w:r>
      <w:r>
        <w:rPr>
          <w:sz w:val="28"/>
          <w:szCs w:val="28"/>
        </w:rPr>
        <w:t>равкой платежа в систему.</w:t>
      </w:r>
    </w:p>
    <w:p w:rsidR="006A124B" w:rsidRDefault="00617F41" w:rsidP="00FF499A">
      <w:pPr>
        <w:ind w:firstLine="709"/>
        <w:jc w:val="both"/>
        <w:rPr>
          <w:sz w:val="28"/>
          <w:szCs w:val="28"/>
        </w:rPr>
      </w:pPr>
      <w:r>
        <w:rPr>
          <w:sz w:val="28"/>
          <w:szCs w:val="28"/>
        </w:rPr>
        <w:t>Из платежных документов, находившихся в очереди, в 2014 году 12 платежных документов на сумму 3,5 млрд. тенге были отозваны пользователем платежных систем или аннулированы КЦМР по причине з</w:t>
      </w:r>
      <w:r w:rsidR="00FF499A">
        <w:rPr>
          <w:sz w:val="28"/>
          <w:szCs w:val="28"/>
        </w:rPr>
        <w:t>акрытия операционного дня МСПД.</w:t>
      </w:r>
    </w:p>
    <w:p w:rsidR="00617F41" w:rsidRDefault="00617F41" w:rsidP="000364FD">
      <w:pPr>
        <w:tabs>
          <w:tab w:val="left" w:pos="993"/>
        </w:tabs>
        <w:ind w:firstLine="709"/>
        <w:jc w:val="both"/>
        <w:rPr>
          <w:sz w:val="28"/>
          <w:szCs w:val="28"/>
        </w:rPr>
      </w:pPr>
      <w:r>
        <w:rPr>
          <w:sz w:val="28"/>
          <w:szCs w:val="28"/>
        </w:rPr>
        <w:t>Все аннулированные и отозванные платежи на следующий день были повторно направлены пользователями платежных систем в МСПД и успешно рассчитаны.</w:t>
      </w:r>
    </w:p>
    <w:p w:rsidR="00682759" w:rsidRDefault="00682759" w:rsidP="000364FD">
      <w:pPr>
        <w:tabs>
          <w:tab w:val="left" w:pos="993"/>
        </w:tabs>
        <w:ind w:firstLine="709"/>
        <w:jc w:val="both"/>
        <w:rPr>
          <w:sz w:val="28"/>
          <w:szCs w:val="28"/>
        </w:rPr>
      </w:pPr>
    </w:p>
    <w:p w:rsidR="00682759" w:rsidRDefault="00682759" w:rsidP="000364FD">
      <w:pPr>
        <w:tabs>
          <w:tab w:val="left" w:pos="993"/>
        </w:tabs>
        <w:ind w:firstLine="709"/>
        <w:jc w:val="both"/>
        <w:rPr>
          <w:b/>
          <w:sz w:val="28"/>
          <w:szCs w:val="28"/>
        </w:rPr>
      </w:pPr>
    </w:p>
    <w:p w:rsidR="00617F41" w:rsidRPr="000364FD" w:rsidRDefault="00617F41" w:rsidP="009F240E">
      <w:pPr>
        <w:tabs>
          <w:tab w:val="left" w:pos="993"/>
        </w:tabs>
        <w:jc w:val="center"/>
        <w:rPr>
          <w:b/>
          <w:kern w:val="16"/>
        </w:rPr>
      </w:pPr>
      <w:r w:rsidRPr="000364FD">
        <w:rPr>
          <w:b/>
        </w:rPr>
        <w:lastRenderedPageBreak/>
        <w:t>Показатели отозванных и неисполненных платежей в МСПД</w:t>
      </w:r>
      <w:r w:rsidRPr="000364FD">
        <w:rPr>
          <w:b/>
          <w:kern w:val="16"/>
        </w:rPr>
        <w:t xml:space="preserve"> </w:t>
      </w:r>
    </w:p>
    <w:p w:rsidR="00617F41" w:rsidRPr="000364FD" w:rsidRDefault="00617F41" w:rsidP="009F240E">
      <w:pPr>
        <w:tabs>
          <w:tab w:val="left" w:pos="993"/>
        </w:tabs>
        <w:jc w:val="center"/>
        <w:rPr>
          <w:b/>
          <w:kern w:val="16"/>
        </w:rPr>
      </w:pPr>
      <w:r w:rsidRPr="000364FD">
        <w:rPr>
          <w:b/>
          <w:kern w:val="16"/>
        </w:rPr>
        <w:t>в 2013 году и 2014 году</w:t>
      </w:r>
    </w:p>
    <w:p w:rsidR="00617F41" w:rsidRPr="00223D1D" w:rsidRDefault="00786A4E" w:rsidP="009F240E">
      <w:pPr>
        <w:tabs>
          <w:tab w:val="left" w:pos="993"/>
        </w:tabs>
        <w:jc w:val="center"/>
        <w:rPr>
          <w:sz w:val="28"/>
          <w:szCs w:val="28"/>
        </w:rPr>
      </w:pPr>
      <w:r w:rsidRPr="007A05EB">
        <w:rPr>
          <w:noProof/>
          <w:sz w:val="28"/>
          <w:szCs w:val="28"/>
        </w:rPr>
        <w:drawing>
          <wp:inline distT="0" distB="0" distL="0" distR="0">
            <wp:extent cx="5972175" cy="1866900"/>
            <wp:effectExtent l="0" t="0" r="0" b="0"/>
            <wp:docPr id="18"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17F41" w:rsidRDefault="00617F41" w:rsidP="00E90E42">
      <w:pPr>
        <w:pStyle w:val="ad"/>
        <w:rPr>
          <w:szCs w:val="28"/>
        </w:rPr>
      </w:pPr>
      <w:r>
        <w:rPr>
          <w:szCs w:val="28"/>
        </w:rPr>
        <w:t>В</w:t>
      </w:r>
      <w:r w:rsidRPr="00223D1D">
        <w:rPr>
          <w:szCs w:val="28"/>
        </w:rPr>
        <w:t xml:space="preserve"> </w:t>
      </w:r>
      <w:r>
        <w:rPr>
          <w:szCs w:val="28"/>
        </w:rPr>
        <w:t>СМК</w:t>
      </w:r>
      <w:r w:rsidRPr="00223D1D">
        <w:rPr>
          <w:szCs w:val="28"/>
        </w:rPr>
        <w:t xml:space="preserve"> </w:t>
      </w:r>
      <w:r>
        <w:rPr>
          <w:szCs w:val="28"/>
        </w:rPr>
        <w:t>в</w:t>
      </w:r>
      <w:r w:rsidRPr="00223D1D">
        <w:rPr>
          <w:szCs w:val="28"/>
        </w:rPr>
        <w:t xml:space="preserve"> </w:t>
      </w:r>
      <w:r>
        <w:rPr>
          <w:szCs w:val="28"/>
        </w:rPr>
        <w:t>2014</w:t>
      </w:r>
      <w:r w:rsidRPr="00223D1D">
        <w:rPr>
          <w:szCs w:val="28"/>
        </w:rPr>
        <w:t xml:space="preserve"> году были не исполнены (аннулированы) по причине недостаточности ликвидности </w:t>
      </w:r>
      <w:r>
        <w:rPr>
          <w:szCs w:val="28"/>
        </w:rPr>
        <w:t>30</w:t>
      </w:r>
      <w:r w:rsidRPr="00223D1D">
        <w:rPr>
          <w:szCs w:val="28"/>
        </w:rPr>
        <w:t xml:space="preserve"> платежных сообщений на сумму </w:t>
      </w:r>
      <w:r>
        <w:rPr>
          <w:szCs w:val="28"/>
        </w:rPr>
        <w:t>37</w:t>
      </w:r>
      <w:r w:rsidRPr="00223D1D">
        <w:rPr>
          <w:szCs w:val="28"/>
        </w:rPr>
        <w:t>,</w:t>
      </w:r>
      <w:r>
        <w:rPr>
          <w:szCs w:val="28"/>
        </w:rPr>
        <w:t>9</w:t>
      </w:r>
      <w:r w:rsidRPr="00223D1D">
        <w:rPr>
          <w:szCs w:val="28"/>
        </w:rPr>
        <w:t xml:space="preserve"> млн. тенге</w:t>
      </w:r>
      <w:r w:rsidRPr="00223D1D">
        <w:rPr>
          <w:kern w:val="16"/>
          <w:szCs w:val="28"/>
        </w:rPr>
        <w:t>, тогда как в</w:t>
      </w:r>
      <w:r w:rsidRPr="00223D1D">
        <w:rPr>
          <w:szCs w:val="28"/>
        </w:rPr>
        <w:t xml:space="preserve"> </w:t>
      </w:r>
      <w:r>
        <w:rPr>
          <w:szCs w:val="28"/>
        </w:rPr>
        <w:t>2013</w:t>
      </w:r>
      <w:r w:rsidRPr="00223D1D">
        <w:rPr>
          <w:szCs w:val="28"/>
        </w:rPr>
        <w:t xml:space="preserve"> году</w:t>
      </w:r>
      <w:r w:rsidRPr="00223D1D">
        <w:rPr>
          <w:kern w:val="16"/>
          <w:szCs w:val="28"/>
        </w:rPr>
        <w:t xml:space="preserve"> </w:t>
      </w:r>
      <w:r w:rsidRPr="00223D1D">
        <w:rPr>
          <w:szCs w:val="28"/>
        </w:rPr>
        <w:t xml:space="preserve">были аннулированы по причине недостаточности ликвидности </w:t>
      </w:r>
      <w:r>
        <w:rPr>
          <w:szCs w:val="28"/>
        </w:rPr>
        <w:t>213</w:t>
      </w:r>
      <w:r w:rsidRPr="00223D1D">
        <w:rPr>
          <w:szCs w:val="28"/>
        </w:rPr>
        <w:t xml:space="preserve"> платежных сообщений на сумму 65,7 млн. тенге. </w:t>
      </w:r>
    </w:p>
    <w:p w:rsidR="00617F41" w:rsidRPr="00223D1D" w:rsidRDefault="00617F41" w:rsidP="00E90E42">
      <w:pPr>
        <w:pStyle w:val="ad"/>
        <w:rPr>
          <w:szCs w:val="28"/>
        </w:rPr>
      </w:pPr>
    </w:p>
    <w:p w:rsidR="00617F41" w:rsidRPr="00223D1D" w:rsidRDefault="00617F41" w:rsidP="009F240E">
      <w:pPr>
        <w:tabs>
          <w:tab w:val="left" w:pos="709"/>
        </w:tabs>
        <w:jc w:val="both"/>
        <w:rPr>
          <w:b/>
          <w:sz w:val="28"/>
          <w:szCs w:val="28"/>
        </w:rPr>
      </w:pPr>
      <w:r>
        <w:rPr>
          <w:b/>
          <w:sz w:val="28"/>
          <w:szCs w:val="28"/>
        </w:rPr>
        <w:tab/>
      </w:r>
      <w:r w:rsidRPr="00223D1D">
        <w:rPr>
          <w:b/>
          <w:sz w:val="28"/>
          <w:szCs w:val="28"/>
        </w:rPr>
        <w:t>Продление операционного дня МСПД</w:t>
      </w:r>
    </w:p>
    <w:p w:rsidR="00617F41" w:rsidRDefault="00617F41" w:rsidP="009F240E">
      <w:pPr>
        <w:tabs>
          <w:tab w:val="left" w:pos="993"/>
        </w:tabs>
        <w:ind w:firstLine="709"/>
        <w:jc w:val="both"/>
        <w:rPr>
          <w:sz w:val="28"/>
          <w:szCs w:val="28"/>
        </w:rPr>
      </w:pPr>
      <w:r w:rsidRPr="00223D1D">
        <w:rPr>
          <w:sz w:val="28"/>
          <w:szCs w:val="28"/>
        </w:rPr>
        <w:t xml:space="preserve">Суммарное время продлений операционного дня МСПД за </w:t>
      </w:r>
      <w:r>
        <w:rPr>
          <w:sz w:val="28"/>
          <w:szCs w:val="28"/>
        </w:rPr>
        <w:t>2014</w:t>
      </w:r>
      <w:r w:rsidRPr="00223D1D">
        <w:rPr>
          <w:sz w:val="28"/>
          <w:szCs w:val="28"/>
        </w:rPr>
        <w:t xml:space="preserve"> год </w:t>
      </w:r>
      <w:r w:rsidRPr="0037262E">
        <w:rPr>
          <w:sz w:val="28"/>
          <w:szCs w:val="28"/>
        </w:rPr>
        <w:t xml:space="preserve">составило </w:t>
      </w:r>
      <w:r w:rsidRPr="001116A0">
        <w:rPr>
          <w:sz w:val="28"/>
          <w:szCs w:val="28"/>
        </w:rPr>
        <w:t>88</w:t>
      </w:r>
      <w:r>
        <w:rPr>
          <w:sz w:val="28"/>
          <w:szCs w:val="28"/>
        </w:rPr>
        <w:t xml:space="preserve"> часов</w:t>
      </w:r>
      <w:r w:rsidRPr="0037262E">
        <w:rPr>
          <w:sz w:val="28"/>
          <w:szCs w:val="28"/>
        </w:rPr>
        <w:t xml:space="preserve"> </w:t>
      </w:r>
      <w:r w:rsidRPr="001116A0">
        <w:rPr>
          <w:sz w:val="28"/>
          <w:szCs w:val="28"/>
        </w:rPr>
        <w:t>8</w:t>
      </w:r>
      <w:r w:rsidRPr="0037262E">
        <w:rPr>
          <w:sz w:val="28"/>
          <w:szCs w:val="28"/>
        </w:rPr>
        <w:t xml:space="preserve"> минут</w:t>
      </w:r>
      <w:r>
        <w:rPr>
          <w:rStyle w:val="ab"/>
          <w:sz w:val="28"/>
          <w:szCs w:val="28"/>
          <w:lang w:val="kk-KZ"/>
        </w:rPr>
        <w:footnoteReference w:id="14"/>
      </w:r>
      <w:r>
        <w:rPr>
          <w:sz w:val="28"/>
          <w:szCs w:val="28"/>
          <w:lang w:val="kk-KZ"/>
        </w:rPr>
        <w:t>,</w:t>
      </w:r>
      <w:r>
        <w:rPr>
          <w:sz w:val="28"/>
          <w:szCs w:val="28"/>
        </w:rPr>
        <w:t xml:space="preserve"> </w:t>
      </w:r>
      <w:r w:rsidRPr="0037262E">
        <w:rPr>
          <w:sz w:val="28"/>
          <w:szCs w:val="28"/>
        </w:rPr>
        <w:t xml:space="preserve">из них максимальное время продления – </w:t>
      </w:r>
      <w:r>
        <w:rPr>
          <w:sz w:val="28"/>
          <w:szCs w:val="28"/>
        </w:rPr>
        <w:t>240</w:t>
      </w:r>
      <w:r w:rsidRPr="00B93FEA">
        <w:rPr>
          <w:sz w:val="28"/>
          <w:szCs w:val="28"/>
        </w:rPr>
        <w:t xml:space="preserve"> мин. (4 часа)</w:t>
      </w:r>
      <w:r w:rsidRPr="00223D1D">
        <w:rPr>
          <w:sz w:val="28"/>
          <w:szCs w:val="28"/>
        </w:rPr>
        <w:t xml:space="preserve">, минимальное - 10 минут. </w:t>
      </w:r>
      <w:r w:rsidRPr="00B428FF">
        <w:rPr>
          <w:sz w:val="28"/>
          <w:szCs w:val="28"/>
        </w:rPr>
        <w:t>Сумма проведенных</w:t>
      </w:r>
      <w:r>
        <w:rPr>
          <w:sz w:val="28"/>
          <w:szCs w:val="28"/>
        </w:rPr>
        <w:t xml:space="preserve"> </w:t>
      </w:r>
      <w:r w:rsidRPr="00450FC0">
        <w:rPr>
          <w:sz w:val="28"/>
          <w:szCs w:val="28"/>
        </w:rPr>
        <w:t xml:space="preserve">платежей во время продлений составила </w:t>
      </w:r>
      <w:r>
        <w:rPr>
          <w:sz w:val="28"/>
          <w:szCs w:val="28"/>
        </w:rPr>
        <w:t>232,</w:t>
      </w:r>
      <w:r w:rsidRPr="006458EB">
        <w:rPr>
          <w:sz w:val="28"/>
          <w:szCs w:val="28"/>
        </w:rPr>
        <w:t>2</w:t>
      </w:r>
      <w:r w:rsidRPr="00450FC0">
        <w:rPr>
          <w:sz w:val="28"/>
          <w:szCs w:val="28"/>
        </w:rPr>
        <w:t xml:space="preserve">  млрд. тенге, количество проведенных платежей – </w:t>
      </w:r>
      <w:r>
        <w:rPr>
          <w:sz w:val="28"/>
          <w:szCs w:val="28"/>
        </w:rPr>
        <w:t>16,4</w:t>
      </w:r>
      <w:r w:rsidRPr="00450FC0">
        <w:rPr>
          <w:sz w:val="28"/>
          <w:szCs w:val="28"/>
        </w:rPr>
        <w:t xml:space="preserve"> тыс. платежей.</w:t>
      </w:r>
    </w:p>
    <w:p w:rsidR="00617F41" w:rsidRDefault="00617F41" w:rsidP="009F240E">
      <w:pPr>
        <w:ind w:firstLine="708"/>
        <w:jc w:val="both"/>
        <w:rPr>
          <w:sz w:val="28"/>
          <w:szCs w:val="28"/>
        </w:rPr>
      </w:pPr>
      <w:r>
        <w:rPr>
          <w:sz w:val="28"/>
          <w:szCs w:val="28"/>
        </w:rPr>
        <w:t>В</w:t>
      </w:r>
      <w:r w:rsidRPr="00223D1D">
        <w:rPr>
          <w:sz w:val="28"/>
          <w:szCs w:val="28"/>
        </w:rPr>
        <w:t xml:space="preserve"> интервале времени с 19:00 до </w:t>
      </w:r>
      <w:r>
        <w:rPr>
          <w:sz w:val="28"/>
          <w:szCs w:val="28"/>
        </w:rPr>
        <w:t>24</w:t>
      </w:r>
      <w:r w:rsidRPr="00223D1D">
        <w:rPr>
          <w:sz w:val="28"/>
          <w:szCs w:val="28"/>
        </w:rPr>
        <w:t>:</w:t>
      </w:r>
      <w:r>
        <w:rPr>
          <w:sz w:val="28"/>
          <w:szCs w:val="28"/>
        </w:rPr>
        <w:t>00</w:t>
      </w:r>
      <w:r w:rsidRPr="00223D1D">
        <w:rPr>
          <w:sz w:val="28"/>
          <w:szCs w:val="28"/>
        </w:rPr>
        <w:t xml:space="preserve"> часов по</w:t>
      </w:r>
      <w:r>
        <w:rPr>
          <w:sz w:val="28"/>
          <w:szCs w:val="28"/>
        </w:rPr>
        <w:t>льзователями системы было проведено 2</w:t>
      </w:r>
      <w:r w:rsidRPr="00223D1D">
        <w:rPr>
          <w:sz w:val="28"/>
          <w:szCs w:val="28"/>
        </w:rPr>
        <w:t xml:space="preserve">2,3 тыс. платежей на общую сумму </w:t>
      </w:r>
      <w:r>
        <w:rPr>
          <w:sz w:val="28"/>
          <w:szCs w:val="28"/>
        </w:rPr>
        <w:t>615</w:t>
      </w:r>
      <w:r w:rsidRPr="00223D1D">
        <w:rPr>
          <w:sz w:val="28"/>
          <w:szCs w:val="28"/>
        </w:rPr>
        <w:t>,</w:t>
      </w:r>
      <w:r>
        <w:rPr>
          <w:sz w:val="28"/>
          <w:szCs w:val="28"/>
        </w:rPr>
        <w:t>9</w:t>
      </w:r>
      <w:r w:rsidRPr="00223D1D">
        <w:rPr>
          <w:sz w:val="28"/>
          <w:szCs w:val="28"/>
        </w:rPr>
        <w:t xml:space="preserve"> млрд. тенге (0,2% от обще</w:t>
      </w:r>
      <w:r>
        <w:rPr>
          <w:sz w:val="28"/>
          <w:szCs w:val="28"/>
        </w:rPr>
        <w:t>го количества и 0,3</w:t>
      </w:r>
      <w:r w:rsidRPr="00223D1D">
        <w:rPr>
          <w:sz w:val="28"/>
          <w:szCs w:val="28"/>
        </w:rPr>
        <w:t>% от общей суммы платежей, проведенных через МСПД).</w:t>
      </w:r>
      <w:r>
        <w:rPr>
          <w:sz w:val="28"/>
          <w:szCs w:val="28"/>
        </w:rPr>
        <w:t xml:space="preserve"> </w:t>
      </w:r>
    </w:p>
    <w:p w:rsidR="00617F41" w:rsidRPr="00223D1D" w:rsidRDefault="00617F41" w:rsidP="009A21C9">
      <w:pPr>
        <w:ind w:firstLine="709"/>
        <w:jc w:val="both"/>
        <w:rPr>
          <w:sz w:val="28"/>
          <w:szCs w:val="28"/>
        </w:rPr>
      </w:pPr>
      <w:r>
        <w:rPr>
          <w:sz w:val="28"/>
          <w:szCs w:val="28"/>
        </w:rPr>
        <w:t>На основании проведенного анализа можно отметить, что в течение</w:t>
      </w:r>
      <w:r w:rsidRPr="00816C20">
        <w:rPr>
          <w:sz w:val="28"/>
          <w:szCs w:val="28"/>
        </w:rPr>
        <w:t xml:space="preserve"> продленного св</w:t>
      </w:r>
      <w:r>
        <w:rPr>
          <w:sz w:val="28"/>
          <w:szCs w:val="28"/>
        </w:rPr>
        <w:t>ерх графика времени работы МСПД</w:t>
      </w:r>
      <w:r w:rsidRPr="00816C20">
        <w:rPr>
          <w:sz w:val="28"/>
          <w:szCs w:val="28"/>
        </w:rPr>
        <w:t xml:space="preserve"> поступает небольшое количество платежей, которые при </w:t>
      </w:r>
      <w:r>
        <w:rPr>
          <w:sz w:val="28"/>
          <w:szCs w:val="28"/>
        </w:rPr>
        <w:t>правильной</w:t>
      </w:r>
      <w:r w:rsidRPr="00816C20">
        <w:rPr>
          <w:sz w:val="28"/>
          <w:szCs w:val="28"/>
        </w:rPr>
        <w:t xml:space="preserve"> организации расчетно-платежного процесса могли быть проведены в регламентное время без дополнительных затрат на обесп</w:t>
      </w:r>
      <w:r>
        <w:rPr>
          <w:sz w:val="28"/>
          <w:szCs w:val="28"/>
        </w:rPr>
        <w:t>ечение работы всей платежной системы.</w:t>
      </w:r>
      <w:r w:rsidRPr="00223D1D">
        <w:rPr>
          <w:sz w:val="28"/>
          <w:szCs w:val="28"/>
        </w:rPr>
        <w:tab/>
      </w:r>
    </w:p>
    <w:p w:rsidR="00617F41" w:rsidRDefault="00617F41" w:rsidP="009F240E">
      <w:pPr>
        <w:pStyle w:val="ad"/>
        <w:rPr>
          <w:szCs w:val="28"/>
        </w:rPr>
      </w:pPr>
    </w:p>
    <w:p w:rsidR="006A124B" w:rsidRDefault="006A124B" w:rsidP="009F240E">
      <w:pPr>
        <w:pStyle w:val="ad"/>
        <w:rPr>
          <w:szCs w:val="28"/>
        </w:rPr>
      </w:pPr>
    </w:p>
    <w:p w:rsidR="00B71300" w:rsidRDefault="00B71300" w:rsidP="00082FF4">
      <w:pPr>
        <w:pStyle w:val="1"/>
        <w:tabs>
          <w:tab w:val="left" w:pos="561"/>
        </w:tabs>
        <w:spacing w:before="0" w:after="0"/>
        <w:jc w:val="center"/>
        <w:rPr>
          <w:bCs w:val="0"/>
          <w:snapToGrid w:val="0"/>
          <w:color w:val="008000"/>
          <w:spacing w:val="-2"/>
          <w:kern w:val="0"/>
          <w:sz w:val="36"/>
          <w:szCs w:val="36"/>
        </w:rPr>
      </w:pPr>
      <w:bookmarkStart w:id="3" w:name="_Toc412542538"/>
      <w:bookmarkStart w:id="4" w:name="_Toc412582957"/>
      <w:bookmarkStart w:id="5" w:name="_Toc412583016"/>
      <w:bookmarkStart w:id="6" w:name="_Toc412583015"/>
    </w:p>
    <w:p w:rsidR="00082FF4" w:rsidRPr="000D49E5" w:rsidRDefault="00B71300" w:rsidP="00082FF4">
      <w:pPr>
        <w:pStyle w:val="1"/>
        <w:tabs>
          <w:tab w:val="left" w:pos="561"/>
        </w:tabs>
        <w:spacing w:before="0" w:after="0"/>
        <w:jc w:val="center"/>
        <w:rPr>
          <w:bCs w:val="0"/>
          <w:snapToGrid w:val="0"/>
          <w:color w:val="008000"/>
          <w:spacing w:val="-2"/>
          <w:kern w:val="0"/>
          <w:sz w:val="36"/>
          <w:szCs w:val="36"/>
        </w:rPr>
      </w:pPr>
      <w:r>
        <w:rPr>
          <w:bCs w:val="0"/>
          <w:snapToGrid w:val="0"/>
          <w:color w:val="008000"/>
          <w:spacing w:val="-2"/>
          <w:kern w:val="0"/>
          <w:sz w:val="36"/>
          <w:szCs w:val="36"/>
        </w:rPr>
        <w:br w:type="page"/>
      </w:r>
      <w:r w:rsidR="00082FF4" w:rsidRPr="000D49E5">
        <w:rPr>
          <w:bCs w:val="0"/>
          <w:snapToGrid w:val="0"/>
          <w:color w:val="008000"/>
          <w:spacing w:val="-2"/>
          <w:kern w:val="0"/>
          <w:sz w:val="36"/>
          <w:szCs w:val="36"/>
        </w:rPr>
        <w:lastRenderedPageBreak/>
        <w:t xml:space="preserve">РЫНОК </w:t>
      </w:r>
      <w:bookmarkEnd w:id="6"/>
      <w:r w:rsidR="00082FF4">
        <w:rPr>
          <w:bCs w:val="0"/>
          <w:snapToGrid w:val="0"/>
          <w:color w:val="008000"/>
          <w:spacing w:val="-2"/>
          <w:kern w:val="0"/>
          <w:sz w:val="36"/>
          <w:szCs w:val="36"/>
        </w:rPr>
        <w:t>ПЛАТЕЖНЫХ КАРТОЧЕК</w:t>
      </w:r>
    </w:p>
    <w:p w:rsidR="00082FF4" w:rsidRPr="004B368E" w:rsidRDefault="00082FF4" w:rsidP="00082FF4">
      <w:pPr>
        <w:shd w:val="clear" w:color="auto" w:fill="FFFFFF"/>
        <w:ind w:firstLine="709"/>
        <w:jc w:val="both"/>
        <w:rPr>
          <w:sz w:val="28"/>
          <w:szCs w:val="28"/>
        </w:rPr>
      </w:pPr>
    </w:p>
    <w:p w:rsidR="00082FF4" w:rsidRDefault="00082FF4" w:rsidP="00082FF4">
      <w:pPr>
        <w:ind w:firstLine="709"/>
        <w:jc w:val="both"/>
        <w:rPr>
          <w:sz w:val="28"/>
          <w:szCs w:val="28"/>
        </w:rPr>
      </w:pPr>
      <w:r>
        <w:rPr>
          <w:sz w:val="28"/>
          <w:szCs w:val="28"/>
        </w:rPr>
        <w:t>К концу 2014 года на территории Казахстана 28 банков второго уровня (80% всех банков)</w:t>
      </w:r>
      <w:r w:rsidRPr="00E560F3">
        <w:rPr>
          <w:sz w:val="28"/>
          <w:szCs w:val="28"/>
        </w:rPr>
        <w:t xml:space="preserve"> </w:t>
      </w:r>
      <w:r>
        <w:rPr>
          <w:sz w:val="28"/>
          <w:szCs w:val="28"/>
        </w:rPr>
        <w:t>и АО «Казпочта» осуществляли предоставление населению электронных банковских услуг (информационные и платежные)</w:t>
      </w:r>
      <w:r>
        <w:rPr>
          <w:rStyle w:val="ab"/>
          <w:sz w:val="28"/>
          <w:szCs w:val="28"/>
        </w:rPr>
        <w:footnoteReference w:id="15"/>
      </w:r>
      <w:r>
        <w:rPr>
          <w:sz w:val="28"/>
          <w:szCs w:val="28"/>
        </w:rPr>
        <w:t xml:space="preserve"> с использованием платежных карточек посредством электронных терминалов и систем удаленного доступа.</w:t>
      </w:r>
    </w:p>
    <w:p w:rsidR="00082FF4" w:rsidRPr="00A203C6" w:rsidRDefault="00082FF4" w:rsidP="00082FF4">
      <w:pPr>
        <w:ind w:firstLine="709"/>
        <w:jc w:val="both"/>
        <w:rPr>
          <w:sz w:val="28"/>
          <w:szCs w:val="28"/>
        </w:rPr>
      </w:pPr>
      <w:r w:rsidRPr="00A203C6">
        <w:rPr>
          <w:sz w:val="28"/>
          <w:szCs w:val="28"/>
        </w:rPr>
        <w:t>Несомненно, предоставление банковских услуг дистанционно по каналам телекоммуникаций имеет преимущества по сравнению с традиционным кассовым обслуживанием. В этой связи, логичными являются ожидания о вовлечении всех банков в данный процесс. Стоит отметить, что в зависимости от стратегических целей, специфика некоторых банков сфокусирована на обслуживании преимущественно организаций (юридических лиц).</w:t>
      </w:r>
    </w:p>
    <w:p w:rsidR="00082FF4" w:rsidRDefault="00082FF4" w:rsidP="00082FF4">
      <w:pPr>
        <w:ind w:firstLine="709"/>
        <w:jc w:val="both"/>
        <w:rPr>
          <w:sz w:val="28"/>
          <w:szCs w:val="28"/>
        </w:rPr>
      </w:pPr>
      <w:r w:rsidRPr="00A203C6">
        <w:rPr>
          <w:sz w:val="28"/>
          <w:szCs w:val="28"/>
        </w:rPr>
        <w:t>Проявление интереса новых банков в предоставлении населению</w:t>
      </w:r>
      <w:r>
        <w:rPr>
          <w:sz w:val="28"/>
          <w:szCs w:val="28"/>
        </w:rPr>
        <w:t xml:space="preserve"> электронных банковских услуг с использованием платежных карточек остается положительным на протяжении нескольких последних лет. В 2014 году количество таких банков увеличилось на 4 единицы, а за последние три года на 7.</w:t>
      </w:r>
    </w:p>
    <w:p w:rsidR="00082FF4" w:rsidRDefault="00082FF4" w:rsidP="00082FF4">
      <w:pPr>
        <w:ind w:firstLine="709"/>
        <w:jc w:val="both"/>
        <w:rPr>
          <w:sz w:val="28"/>
          <w:szCs w:val="28"/>
        </w:rPr>
      </w:pPr>
      <w:r>
        <w:rPr>
          <w:sz w:val="28"/>
          <w:szCs w:val="28"/>
        </w:rPr>
        <w:t>Вместе с тем, рынок платежных карточек или точнее количество карточек в обращении имеет ограничения, связанные не только с количеством населения, но и изменением психологии последних. Если ранее, ввиду новизны продукта, люди активно получали по несколько карточек, то со временем интерес стал ослабевать, и уже ограничиваются одной–двумя карточками. 2014 год в этом случае показателен, так как прирост карточек в обращении отмечен на рекордно низком уровне 4,4%, составив 17,3 млн. единиц, из которых 13,1 млн. дебетные, 3,1 млн. кредитные и 1,1 млн. предоплаченные и дебетные с кредитным лимитом платежные карточки.</w:t>
      </w:r>
    </w:p>
    <w:p w:rsidR="00082FF4" w:rsidRDefault="00082FF4" w:rsidP="00082FF4">
      <w:pPr>
        <w:ind w:firstLine="709"/>
        <w:jc w:val="both"/>
        <w:rPr>
          <w:sz w:val="28"/>
          <w:szCs w:val="28"/>
        </w:rPr>
      </w:pPr>
      <w:r>
        <w:rPr>
          <w:sz w:val="28"/>
          <w:szCs w:val="28"/>
        </w:rPr>
        <w:t>Похожая ситуация наблюдается в России. Согласно официальным статистическим данным Центрального банка России</w:t>
      </w:r>
      <w:r>
        <w:rPr>
          <w:rStyle w:val="ab"/>
          <w:sz w:val="28"/>
          <w:szCs w:val="28"/>
        </w:rPr>
        <w:footnoteReference w:id="16"/>
      </w:r>
      <w:r>
        <w:rPr>
          <w:sz w:val="28"/>
          <w:szCs w:val="28"/>
        </w:rPr>
        <w:t>, прирост платежных карточек в обращении на конец 3-квартала 2014 года составил 6,1%, тогда как с 2008 года ежегодный прирост превышал 10%.</w:t>
      </w:r>
    </w:p>
    <w:p w:rsidR="00082FF4" w:rsidRDefault="00082FF4" w:rsidP="00082FF4">
      <w:pPr>
        <w:ind w:firstLine="709"/>
        <w:jc w:val="both"/>
        <w:rPr>
          <w:sz w:val="28"/>
          <w:szCs w:val="28"/>
        </w:rPr>
      </w:pPr>
      <w:r>
        <w:rPr>
          <w:sz w:val="28"/>
          <w:szCs w:val="28"/>
        </w:rPr>
        <w:t>При этом, важно отметить, что динамика роста такого показателя, как активные платежные карточки (используемые для совершения операций) остается на хорошем уровне. В 2014 году прирост активных платежных карточек составил 12,5%, хотя и уменьшился по сравнению с 2013 годом (14,5%). Из находящихся в обращении 17,3 млн. платежных карточек активно используются менее 7 млн.</w:t>
      </w:r>
    </w:p>
    <w:p w:rsidR="00082FF4" w:rsidRDefault="00082FF4" w:rsidP="00082FF4">
      <w:pPr>
        <w:ind w:firstLine="709"/>
        <w:jc w:val="both"/>
        <w:rPr>
          <w:sz w:val="28"/>
          <w:szCs w:val="28"/>
        </w:rPr>
      </w:pPr>
      <w:r>
        <w:rPr>
          <w:sz w:val="28"/>
          <w:szCs w:val="28"/>
        </w:rPr>
        <w:t>Также несколько уменьшилась доля активных платежных карточек по отношению к общему количеству платежных карточек в обращении, составив в 2014 году 39,8%, тогда как в 2013 году этот показатель составлял 42,4%.</w:t>
      </w:r>
    </w:p>
    <w:p w:rsidR="00082FF4" w:rsidRDefault="00082FF4" w:rsidP="00082FF4">
      <w:pPr>
        <w:ind w:firstLine="709"/>
        <w:jc w:val="both"/>
        <w:rPr>
          <w:sz w:val="28"/>
          <w:szCs w:val="28"/>
        </w:rPr>
      </w:pPr>
      <w:r>
        <w:rPr>
          <w:sz w:val="28"/>
          <w:szCs w:val="28"/>
        </w:rPr>
        <w:lastRenderedPageBreak/>
        <w:t>Недостаточно высокое использование платежных карт</w:t>
      </w:r>
      <w:r w:rsidRPr="00792496">
        <w:rPr>
          <w:sz w:val="28"/>
          <w:szCs w:val="28"/>
        </w:rPr>
        <w:t xml:space="preserve"> </w:t>
      </w:r>
      <w:r>
        <w:rPr>
          <w:sz w:val="28"/>
          <w:szCs w:val="28"/>
        </w:rPr>
        <w:t xml:space="preserve">обусловлено несколькими факторами, среди которых можно отметить эмоциональные ощущения людей – отсутствие контроля за расходованием средств, недоверие к безопасности совершения операций и в целом к данному виду платежного инструмента, не всегда быстрый процесс оплаты (набор </w:t>
      </w:r>
      <w:r>
        <w:rPr>
          <w:sz w:val="28"/>
          <w:szCs w:val="28"/>
          <w:lang w:val="en-US"/>
        </w:rPr>
        <w:t>PIN</w:t>
      </w:r>
      <w:r w:rsidRPr="00FF6116">
        <w:rPr>
          <w:sz w:val="28"/>
          <w:szCs w:val="28"/>
        </w:rPr>
        <w:t>-</w:t>
      </w:r>
      <w:r>
        <w:rPr>
          <w:sz w:val="28"/>
          <w:szCs w:val="28"/>
        </w:rPr>
        <w:t>кода, предъявление удостоверения личности). Также значимым сдерживающим фактором является отсутствие возможности осуществления платежей за товары и услуги здесь и сейчас. И хотя призванный улучшить указанную ситуацию нормативный правовой документ был принят два года назад, принципиальных изменений пока не последовало.</w:t>
      </w:r>
    </w:p>
    <w:p w:rsidR="00082FF4" w:rsidRPr="00E01974" w:rsidRDefault="00082FF4" w:rsidP="00082FF4">
      <w:pPr>
        <w:ind w:firstLine="709"/>
        <w:jc w:val="both"/>
        <w:rPr>
          <w:sz w:val="28"/>
          <w:szCs w:val="28"/>
        </w:rPr>
      </w:pPr>
      <w:r>
        <w:rPr>
          <w:sz w:val="28"/>
          <w:szCs w:val="28"/>
        </w:rPr>
        <w:t xml:space="preserve">Недостаточно развитая в Казахстане сеть приема платежей с использованием платежных карточек очевидна при соотношении численности жителей страны с количеством </w:t>
      </w:r>
      <w:r>
        <w:rPr>
          <w:sz w:val="28"/>
          <w:szCs w:val="28"/>
          <w:lang w:val="en-US"/>
        </w:rPr>
        <w:t>POS</w:t>
      </w:r>
      <w:r w:rsidRPr="00E01974">
        <w:rPr>
          <w:sz w:val="28"/>
          <w:szCs w:val="28"/>
        </w:rPr>
        <w:t>-</w:t>
      </w:r>
      <w:r>
        <w:rPr>
          <w:sz w:val="28"/>
          <w:szCs w:val="28"/>
        </w:rPr>
        <w:t xml:space="preserve">терминалов, установленных в пунктах торговли и сервиса. В Белоруссии на 1 000 жителей приходится 10 </w:t>
      </w:r>
      <w:r>
        <w:rPr>
          <w:sz w:val="28"/>
          <w:szCs w:val="28"/>
          <w:lang w:val="en-US"/>
        </w:rPr>
        <w:t>POS</w:t>
      </w:r>
      <w:r w:rsidRPr="00E01974">
        <w:rPr>
          <w:sz w:val="28"/>
          <w:szCs w:val="28"/>
        </w:rPr>
        <w:t>-</w:t>
      </w:r>
      <w:r>
        <w:rPr>
          <w:sz w:val="28"/>
          <w:szCs w:val="28"/>
        </w:rPr>
        <w:t>терминалов, в России - 8, а в Казахстане - 3. В развитых странах данные показатели на порядок выше</w:t>
      </w:r>
      <w:r>
        <w:rPr>
          <w:rStyle w:val="ab"/>
          <w:sz w:val="28"/>
          <w:szCs w:val="28"/>
        </w:rPr>
        <w:footnoteReference w:id="17"/>
      </w:r>
      <w:r>
        <w:rPr>
          <w:sz w:val="28"/>
          <w:szCs w:val="28"/>
        </w:rPr>
        <w:t>: Англия и Италия – 26, Канада – 24, Франция – 21, Япония – 15.</w:t>
      </w:r>
    </w:p>
    <w:tbl>
      <w:tblPr>
        <w:tblW w:w="10146" w:type="dxa"/>
        <w:tblLook w:val="00A0" w:firstRow="1" w:lastRow="0" w:firstColumn="1" w:lastColumn="0" w:noHBand="0" w:noVBand="0"/>
      </w:tblPr>
      <w:tblGrid>
        <w:gridCol w:w="4503"/>
        <w:gridCol w:w="5643"/>
      </w:tblGrid>
      <w:tr w:rsidR="00082FF4" w:rsidTr="004F257C">
        <w:tc>
          <w:tcPr>
            <w:tcW w:w="4503" w:type="dxa"/>
          </w:tcPr>
          <w:p w:rsidR="00082FF4" w:rsidRPr="007A05EB" w:rsidRDefault="00082FF4" w:rsidP="00134A77">
            <w:pPr>
              <w:keepLines/>
              <w:autoSpaceDE w:val="0"/>
              <w:autoSpaceDN w:val="0"/>
              <w:adjustRightInd w:val="0"/>
              <w:ind w:firstLine="709"/>
              <w:jc w:val="both"/>
              <w:rPr>
                <w:sz w:val="28"/>
                <w:szCs w:val="28"/>
              </w:rPr>
            </w:pPr>
            <w:r w:rsidRPr="007A05EB">
              <w:rPr>
                <w:sz w:val="28"/>
                <w:szCs w:val="28"/>
              </w:rPr>
              <w:t xml:space="preserve">Справедливым будет отметить о сохранении в 2014 году высокой динамики роста (более чем на треть) количества </w:t>
            </w:r>
            <w:r w:rsidRPr="007A05EB">
              <w:rPr>
                <w:sz w:val="28"/>
                <w:szCs w:val="28"/>
                <w:lang w:val="en-US"/>
              </w:rPr>
              <w:t>POS</w:t>
            </w:r>
            <w:r w:rsidRPr="007A05EB">
              <w:rPr>
                <w:sz w:val="28"/>
                <w:szCs w:val="28"/>
              </w:rPr>
              <w:t>-терминалов, устанавливаемых у предпринимателей</w:t>
            </w:r>
            <w:r w:rsidR="00682759">
              <w:rPr>
                <w:sz w:val="28"/>
                <w:szCs w:val="28"/>
              </w:rPr>
              <w:t>,</w:t>
            </w:r>
            <w:r w:rsidRPr="007A05EB">
              <w:rPr>
                <w:sz w:val="28"/>
                <w:szCs w:val="28"/>
              </w:rPr>
              <w:t xml:space="preserve"> и расширении сети приема платежей с использованием платежных карточек (торговые и обслуживающие точки).</w:t>
            </w:r>
            <w:r w:rsidRPr="007A05EB">
              <w:rPr>
                <w:rFonts w:ascii="Tms Rmn" w:hAnsi="Tms Rmn"/>
              </w:rPr>
              <w:t xml:space="preserve"> </w:t>
            </w:r>
          </w:p>
        </w:tc>
        <w:tc>
          <w:tcPr>
            <w:tcW w:w="5643" w:type="dxa"/>
          </w:tcPr>
          <w:p w:rsidR="00082FF4" w:rsidRPr="007A05EB" w:rsidRDefault="00786A4E" w:rsidP="00134A77">
            <w:pPr>
              <w:keepLines/>
              <w:autoSpaceDE w:val="0"/>
              <w:autoSpaceDN w:val="0"/>
              <w:adjustRightInd w:val="0"/>
              <w:jc w:val="both"/>
              <w:rPr>
                <w:sz w:val="28"/>
                <w:szCs w:val="28"/>
              </w:rPr>
            </w:pPr>
            <w:r w:rsidRPr="007A05EB">
              <w:rPr>
                <w:noProof/>
                <w:sz w:val="28"/>
                <w:szCs w:val="28"/>
              </w:rPr>
              <w:drawing>
                <wp:inline distT="0" distB="0" distL="0" distR="0">
                  <wp:extent cx="3295650" cy="2038350"/>
                  <wp:effectExtent l="0" t="0" r="0" b="0"/>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95650" cy="2038350"/>
                          </a:xfrm>
                          <a:prstGeom prst="rect">
                            <a:avLst/>
                          </a:prstGeom>
                          <a:noFill/>
                          <a:ln>
                            <a:noFill/>
                          </a:ln>
                        </pic:spPr>
                      </pic:pic>
                    </a:graphicData>
                  </a:graphic>
                </wp:inline>
              </w:drawing>
            </w:r>
          </w:p>
        </w:tc>
      </w:tr>
    </w:tbl>
    <w:p w:rsidR="00082FF4" w:rsidRDefault="00082FF4" w:rsidP="00082FF4">
      <w:pPr>
        <w:ind w:firstLine="709"/>
        <w:jc w:val="both"/>
        <w:rPr>
          <w:sz w:val="28"/>
          <w:szCs w:val="28"/>
        </w:rPr>
      </w:pPr>
      <w:r>
        <w:rPr>
          <w:sz w:val="28"/>
          <w:szCs w:val="28"/>
        </w:rPr>
        <w:t xml:space="preserve">По-прежнему самыми востребованными устройствами остаются банкоматы, в среднем в день по которым в 2014 году совершалось 515 тысяч операций (90% которых приходится на снятие наличных денег), тогда как по </w:t>
      </w:r>
      <w:r>
        <w:rPr>
          <w:sz w:val="28"/>
          <w:szCs w:val="28"/>
          <w:lang w:val="en-US"/>
        </w:rPr>
        <w:t>POS</w:t>
      </w:r>
      <w:r>
        <w:rPr>
          <w:sz w:val="28"/>
          <w:szCs w:val="28"/>
        </w:rPr>
        <w:t>-терминалам проводилось 97 тысяч операций.</w:t>
      </w:r>
    </w:p>
    <w:p w:rsidR="00082FF4" w:rsidRDefault="00082FF4" w:rsidP="00082FF4">
      <w:pPr>
        <w:ind w:firstLine="709"/>
        <w:jc w:val="both"/>
        <w:rPr>
          <w:sz w:val="28"/>
          <w:szCs w:val="28"/>
        </w:rPr>
      </w:pPr>
      <w:r>
        <w:rPr>
          <w:sz w:val="28"/>
          <w:szCs w:val="28"/>
        </w:rPr>
        <w:t>В 2014 году наиболее востребованными платежами посредством банкоматов было оплата услуг сотовой связи и переводы с одного банковского счета на другой (с карты на карту). Также банкоматы использовались для операций по пополнению банковских счетов путем взноса наличных денег, коммунальных, налоговых и иных платежей, а также погашения и получения займов.</w:t>
      </w:r>
    </w:p>
    <w:p w:rsidR="00082FF4" w:rsidRPr="00B744F4" w:rsidRDefault="00082FF4" w:rsidP="00082FF4">
      <w:pPr>
        <w:ind w:firstLine="709"/>
        <w:jc w:val="both"/>
        <w:rPr>
          <w:b/>
        </w:rPr>
      </w:pPr>
      <w:r>
        <w:rPr>
          <w:sz w:val="28"/>
          <w:szCs w:val="28"/>
        </w:rPr>
        <w:t xml:space="preserve">При этом второй год наблюдается замедление темпов роста количества банкоматов - в 2014 году составивший 2,7% или 241 единицу. Однако, нельзя говорить о недостатке количества банкоматов, так как нагрузка на них низкая – 58 операций в среднем в день на банкомат. На </w:t>
      </w:r>
      <w:r>
        <w:rPr>
          <w:sz w:val="28"/>
          <w:szCs w:val="28"/>
          <w:lang w:val="en-US"/>
        </w:rPr>
        <w:t>POS</w:t>
      </w:r>
      <w:r>
        <w:rPr>
          <w:sz w:val="28"/>
          <w:szCs w:val="28"/>
        </w:rPr>
        <w:t>-терминалы нагрузка горазд</w:t>
      </w:r>
      <w:r w:rsidR="00682759">
        <w:rPr>
          <w:sz w:val="28"/>
          <w:szCs w:val="28"/>
        </w:rPr>
        <w:t>о меньше – 2 операции. При этом</w:t>
      </w:r>
      <w:r>
        <w:rPr>
          <w:sz w:val="28"/>
          <w:szCs w:val="28"/>
        </w:rPr>
        <w:t xml:space="preserve"> в развитых странах на один </w:t>
      </w:r>
      <w:r>
        <w:rPr>
          <w:sz w:val="28"/>
          <w:szCs w:val="28"/>
          <w:lang w:val="en-US"/>
        </w:rPr>
        <w:t>POS</w:t>
      </w:r>
      <w:r>
        <w:rPr>
          <w:sz w:val="28"/>
          <w:szCs w:val="28"/>
        </w:rPr>
        <w:t>-терминал в день приходится примерно 8 операций.</w:t>
      </w:r>
    </w:p>
    <w:p w:rsidR="00082FF4" w:rsidRPr="00B245D5" w:rsidRDefault="00082FF4" w:rsidP="00082FF4">
      <w:pPr>
        <w:ind w:firstLine="709"/>
        <w:jc w:val="center"/>
        <w:rPr>
          <w:sz w:val="28"/>
          <w:szCs w:val="28"/>
        </w:rPr>
      </w:pPr>
      <w:r w:rsidRPr="00B245D5">
        <w:rPr>
          <w:b/>
          <w:sz w:val="28"/>
          <w:szCs w:val="28"/>
        </w:rPr>
        <w:lastRenderedPageBreak/>
        <w:t>Операции, совершенные</w:t>
      </w:r>
      <w:r w:rsidRPr="00807132">
        <w:rPr>
          <w:b/>
          <w:sz w:val="28"/>
          <w:szCs w:val="28"/>
        </w:rPr>
        <w:t xml:space="preserve"> </w:t>
      </w:r>
      <w:r>
        <w:rPr>
          <w:b/>
          <w:sz w:val="28"/>
          <w:szCs w:val="28"/>
        </w:rPr>
        <w:t>с использованием платежных карточек</w:t>
      </w:r>
      <w:r w:rsidRPr="00B245D5">
        <w:rPr>
          <w:b/>
          <w:sz w:val="28"/>
          <w:szCs w:val="28"/>
        </w:rPr>
        <w:t xml:space="preserve"> в Казахстане в 2014 году</w:t>
      </w:r>
      <w:r>
        <w:rPr>
          <w:b/>
          <w:sz w:val="28"/>
          <w:szCs w:val="28"/>
        </w:rPr>
        <w:t xml:space="preserve"> </w:t>
      </w:r>
      <w:r w:rsidRPr="00B245D5">
        <w:rPr>
          <w:b/>
          <w:sz w:val="28"/>
          <w:szCs w:val="28"/>
        </w:rPr>
        <w:t>посредством электронных терминалов и систем удаленного доступа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843"/>
        <w:gridCol w:w="1559"/>
        <w:gridCol w:w="1914"/>
        <w:gridCol w:w="1914"/>
      </w:tblGrid>
      <w:tr w:rsidR="00082FF4" w:rsidRPr="00EE3F02" w:rsidTr="00134A77">
        <w:trPr>
          <w:trHeight w:val="562"/>
        </w:trPr>
        <w:tc>
          <w:tcPr>
            <w:tcW w:w="2410" w:type="dxa"/>
            <w:vMerge w:val="restart"/>
            <w:shd w:val="clear" w:color="auto" w:fill="D6E3BC"/>
            <w:vAlign w:val="center"/>
          </w:tcPr>
          <w:p w:rsidR="00082FF4" w:rsidRPr="00EE3F02" w:rsidRDefault="00082FF4" w:rsidP="00134A77">
            <w:pPr>
              <w:rPr>
                <w:b/>
              </w:rPr>
            </w:pPr>
            <w:r w:rsidRPr="00EE3F02">
              <w:rPr>
                <w:b/>
              </w:rPr>
              <w:t>Среда проведения операции</w:t>
            </w:r>
          </w:p>
        </w:tc>
        <w:tc>
          <w:tcPr>
            <w:tcW w:w="3402" w:type="dxa"/>
            <w:gridSpan w:val="2"/>
            <w:shd w:val="clear" w:color="auto" w:fill="D6E3BC"/>
            <w:vAlign w:val="center"/>
          </w:tcPr>
          <w:p w:rsidR="00082FF4" w:rsidRPr="00EE3F02" w:rsidRDefault="00082FF4" w:rsidP="00134A77">
            <w:pPr>
              <w:jc w:val="center"/>
              <w:rPr>
                <w:b/>
              </w:rPr>
            </w:pPr>
            <w:r w:rsidRPr="00EE3F02">
              <w:t>безналичные</w:t>
            </w:r>
          </w:p>
        </w:tc>
        <w:tc>
          <w:tcPr>
            <w:tcW w:w="3828" w:type="dxa"/>
            <w:gridSpan w:val="2"/>
            <w:shd w:val="clear" w:color="auto" w:fill="D6E3BC"/>
            <w:vAlign w:val="center"/>
          </w:tcPr>
          <w:p w:rsidR="00082FF4" w:rsidRPr="00EE3F02" w:rsidRDefault="00082FF4" w:rsidP="00134A77">
            <w:pPr>
              <w:jc w:val="center"/>
              <w:rPr>
                <w:b/>
              </w:rPr>
            </w:pPr>
            <w:r w:rsidRPr="00EE3F02">
              <w:t>с использованием наличных денег</w:t>
            </w:r>
          </w:p>
        </w:tc>
      </w:tr>
      <w:tr w:rsidR="00082FF4" w:rsidRPr="00EE3F02" w:rsidTr="00134A77">
        <w:trPr>
          <w:trHeight w:val="463"/>
        </w:trPr>
        <w:tc>
          <w:tcPr>
            <w:tcW w:w="2410" w:type="dxa"/>
            <w:vMerge/>
            <w:shd w:val="clear" w:color="auto" w:fill="FDE9D9"/>
            <w:vAlign w:val="center"/>
          </w:tcPr>
          <w:p w:rsidR="00082FF4" w:rsidRPr="00EE3F02" w:rsidRDefault="00082FF4" w:rsidP="00134A77"/>
        </w:tc>
        <w:tc>
          <w:tcPr>
            <w:tcW w:w="1843" w:type="dxa"/>
            <w:vAlign w:val="center"/>
          </w:tcPr>
          <w:p w:rsidR="00082FF4" w:rsidRPr="00EE3F02" w:rsidRDefault="00082FF4" w:rsidP="00134A77">
            <w:pPr>
              <w:jc w:val="center"/>
            </w:pPr>
            <w:r w:rsidRPr="00EE3F02">
              <w:t>количество (тыс. транз.)</w:t>
            </w:r>
          </w:p>
        </w:tc>
        <w:tc>
          <w:tcPr>
            <w:tcW w:w="1559" w:type="dxa"/>
            <w:vAlign w:val="center"/>
          </w:tcPr>
          <w:p w:rsidR="00082FF4" w:rsidRPr="00EE3F02" w:rsidRDefault="00082FF4" w:rsidP="00134A77">
            <w:pPr>
              <w:jc w:val="center"/>
            </w:pPr>
            <w:r w:rsidRPr="00EE3F02">
              <w:t xml:space="preserve">объем </w:t>
            </w:r>
          </w:p>
          <w:p w:rsidR="00082FF4" w:rsidRPr="00EE3F02" w:rsidRDefault="00082FF4" w:rsidP="00134A77">
            <w:pPr>
              <w:jc w:val="center"/>
            </w:pPr>
            <w:r w:rsidRPr="00EE3F02">
              <w:t>(млн. тенге)</w:t>
            </w:r>
          </w:p>
        </w:tc>
        <w:tc>
          <w:tcPr>
            <w:tcW w:w="1914" w:type="dxa"/>
            <w:vAlign w:val="center"/>
          </w:tcPr>
          <w:p w:rsidR="00082FF4" w:rsidRPr="00EE3F02" w:rsidRDefault="00082FF4" w:rsidP="00134A77">
            <w:pPr>
              <w:jc w:val="center"/>
            </w:pPr>
            <w:r w:rsidRPr="00EE3F02">
              <w:t>количество (тыс. транз.)</w:t>
            </w:r>
          </w:p>
        </w:tc>
        <w:tc>
          <w:tcPr>
            <w:tcW w:w="1914" w:type="dxa"/>
            <w:vAlign w:val="center"/>
          </w:tcPr>
          <w:p w:rsidR="00082FF4" w:rsidRPr="00EE3F02" w:rsidRDefault="00082FF4" w:rsidP="00134A77">
            <w:pPr>
              <w:jc w:val="center"/>
            </w:pPr>
            <w:r w:rsidRPr="00EE3F02">
              <w:t xml:space="preserve">объем </w:t>
            </w:r>
          </w:p>
          <w:p w:rsidR="00082FF4" w:rsidRPr="00EE3F02" w:rsidRDefault="00082FF4" w:rsidP="00134A77">
            <w:pPr>
              <w:jc w:val="center"/>
            </w:pPr>
            <w:r w:rsidRPr="00EE3F02">
              <w:t>(млн. тенге)</w:t>
            </w:r>
          </w:p>
        </w:tc>
      </w:tr>
      <w:tr w:rsidR="00082FF4" w:rsidRPr="00EE3F02" w:rsidTr="00134A77">
        <w:tc>
          <w:tcPr>
            <w:tcW w:w="2410" w:type="dxa"/>
            <w:shd w:val="clear" w:color="auto" w:fill="EAF1DD"/>
            <w:vAlign w:val="center"/>
          </w:tcPr>
          <w:p w:rsidR="00082FF4" w:rsidRPr="00EE3F02" w:rsidRDefault="00082FF4" w:rsidP="00134A77">
            <w:r w:rsidRPr="00EE3F02">
              <w:t>банкомат</w:t>
            </w:r>
          </w:p>
        </w:tc>
        <w:tc>
          <w:tcPr>
            <w:tcW w:w="1843" w:type="dxa"/>
            <w:vAlign w:val="center"/>
          </w:tcPr>
          <w:p w:rsidR="00082FF4" w:rsidRPr="00E66512" w:rsidRDefault="00082FF4" w:rsidP="00134A77">
            <w:pPr>
              <w:jc w:val="center"/>
              <w:rPr>
                <w:color w:val="000000"/>
                <w:szCs w:val="22"/>
              </w:rPr>
            </w:pPr>
            <w:r w:rsidRPr="00E66512">
              <w:rPr>
                <w:color w:val="000000"/>
                <w:szCs w:val="22"/>
              </w:rPr>
              <w:t>17 370,9</w:t>
            </w:r>
          </w:p>
        </w:tc>
        <w:tc>
          <w:tcPr>
            <w:tcW w:w="1559" w:type="dxa"/>
            <w:vAlign w:val="center"/>
          </w:tcPr>
          <w:p w:rsidR="00082FF4" w:rsidRPr="00E66512" w:rsidRDefault="00082FF4" w:rsidP="00134A77">
            <w:pPr>
              <w:jc w:val="center"/>
              <w:rPr>
                <w:color w:val="000000"/>
                <w:szCs w:val="22"/>
              </w:rPr>
            </w:pPr>
            <w:r w:rsidRPr="00E66512">
              <w:rPr>
                <w:color w:val="000000"/>
                <w:szCs w:val="22"/>
              </w:rPr>
              <w:t>185 689,9</w:t>
            </w:r>
          </w:p>
        </w:tc>
        <w:tc>
          <w:tcPr>
            <w:tcW w:w="1914" w:type="dxa"/>
            <w:vAlign w:val="center"/>
          </w:tcPr>
          <w:p w:rsidR="00082FF4" w:rsidRPr="00E66512" w:rsidRDefault="00082FF4" w:rsidP="00134A77">
            <w:pPr>
              <w:jc w:val="center"/>
              <w:rPr>
                <w:color w:val="000000"/>
                <w:szCs w:val="22"/>
              </w:rPr>
            </w:pPr>
            <w:r w:rsidRPr="00E66512">
              <w:rPr>
                <w:color w:val="000000"/>
                <w:szCs w:val="22"/>
              </w:rPr>
              <w:t>169 248,6</w:t>
            </w:r>
          </w:p>
        </w:tc>
        <w:tc>
          <w:tcPr>
            <w:tcW w:w="1914" w:type="dxa"/>
            <w:vAlign w:val="center"/>
          </w:tcPr>
          <w:p w:rsidR="00082FF4" w:rsidRPr="00E66512" w:rsidRDefault="00082FF4" w:rsidP="00134A77">
            <w:pPr>
              <w:jc w:val="center"/>
              <w:rPr>
                <w:color w:val="000000"/>
                <w:szCs w:val="22"/>
              </w:rPr>
            </w:pPr>
            <w:r w:rsidRPr="00E66512">
              <w:rPr>
                <w:color w:val="000000"/>
                <w:szCs w:val="22"/>
              </w:rPr>
              <w:t>5 694 807,5</w:t>
            </w:r>
          </w:p>
        </w:tc>
      </w:tr>
      <w:tr w:rsidR="00082FF4" w:rsidRPr="00EE3F02" w:rsidTr="00134A77">
        <w:tc>
          <w:tcPr>
            <w:tcW w:w="2410" w:type="dxa"/>
            <w:shd w:val="clear" w:color="auto" w:fill="EAF1DD"/>
            <w:vAlign w:val="center"/>
          </w:tcPr>
          <w:p w:rsidR="00082FF4" w:rsidRPr="00EE3F02" w:rsidRDefault="00082FF4" w:rsidP="00134A77">
            <w:pPr>
              <w:rPr>
                <w:i/>
              </w:rPr>
            </w:pPr>
            <w:r w:rsidRPr="00EE3F02">
              <w:rPr>
                <w:i/>
              </w:rPr>
              <w:t>доля %</w:t>
            </w:r>
          </w:p>
        </w:tc>
        <w:tc>
          <w:tcPr>
            <w:tcW w:w="1843" w:type="dxa"/>
            <w:vAlign w:val="center"/>
          </w:tcPr>
          <w:p w:rsidR="00082FF4" w:rsidRPr="00E66512" w:rsidRDefault="00082FF4" w:rsidP="00134A77">
            <w:pPr>
              <w:jc w:val="center"/>
              <w:rPr>
                <w:i/>
                <w:color w:val="000000"/>
                <w:szCs w:val="22"/>
              </w:rPr>
            </w:pPr>
            <w:r w:rsidRPr="00E66512">
              <w:rPr>
                <w:i/>
                <w:color w:val="000000"/>
                <w:szCs w:val="22"/>
              </w:rPr>
              <w:t>31,1%</w:t>
            </w:r>
          </w:p>
        </w:tc>
        <w:tc>
          <w:tcPr>
            <w:tcW w:w="1559" w:type="dxa"/>
            <w:vAlign w:val="center"/>
          </w:tcPr>
          <w:p w:rsidR="00082FF4" w:rsidRPr="00E66512" w:rsidRDefault="00082FF4" w:rsidP="00134A77">
            <w:pPr>
              <w:jc w:val="center"/>
              <w:rPr>
                <w:i/>
                <w:color w:val="000000"/>
                <w:szCs w:val="22"/>
              </w:rPr>
            </w:pPr>
            <w:r w:rsidRPr="00E66512">
              <w:rPr>
                <w:i/>
                <w:color w:val="000000"/>
                <w:szCs w:val="22"/>
              </w:rPr>
              <w:t>22,6%</w:t>
            </w:r>
          </w:p>
        </w:tc>
        <w:tc>
          <w:tcPr>
            <w:tcW w:w="1914" w:type="dxa"/>
            <w:vAlign w:val="center"/>
          </w:tcPr>
          <w:p w:rsidR="00082FF4" w:rsidRPr="00E66512" w:rsidRDefault="00082FF4" w:rsidP="00134A77">
            <w:pPr>
              <w:jc w:val="center"/>
              <w:rPr>
                <w:i/>
                <w:color w:val="000000"/>
                <w:szCs w:val="22"/>
              </w:rPr>
            </w:pPr>
            <w:r w:rsidRPr="00E66512">
              <w:rPr>
                <w:i/>
                <w:color w:val="000000"/>
                <w:szCs w:val="22"/>
              </w:rPr>
              <w:t>96,8%</w:t>
            </w:r>
          </w:p>
        </w:tc>
        <w:tc>
          <w:tcPr>
            <w:tcW w:w="1914" w:type="dxa"/>
            <w:vAlign w:val="center"/>
          </w:tcPr>
          <w:p w:rsidR="00082FF4" w:rsidRPr="00E66512" w:rsidRDefault="00082FF4" w:rsidP="00134A77">
            <w:pPr>
              <w:jc w:val="center"/>
              <w:rPr>
                <w:i/>
                <w:color w:val="000000"/>
                <w:szCs w:val="22"/>
              </w:rPr>
            </w:pPr>
            <w:r w:rsidRPr="00E66512">
              <w:rPr>
                <w:i/>
                <w:color w:val="000000"/>
                <w:szCs w:val="22"/>
              </w:rPr>
              <w:t>85,2%</w:t>
            </w:r>
          </w:p>
        </w:tc>
      </w:tr>
      <w:tr w:rsidR="00082FF4" w:rsidRPr="00EE3F02" w:rsidTr="00134A77">
        <w:tc>
          <w:tcPr>
            <w:tcW w:w="2410" w:type="dxa"/>
            <w:shd w:val="clear" w:color="auto" w:fill="EAF1DD"/>
            <w:vAlign w:val="center"/>
          </w:tcPr>
          <w:p w:rsidR="00082FF4" w:rsidRPr="00EE3F02" w:rsidRDefault="00082FF4" w:rsidP="00134A77">
            <w:r w:rsidRPr="00EE3F02">
              <w:t>POS-терминал</w:t>
            </w:r>
          </w:p>
        </w:tc>
        <w:tc>
          <w:tcPr>
            <w:tcW w:w="1843" w:type="dxa"/>
            <w:vAlign w:val="center"/>
          </w:tcPr>
          <w:p w:rsidR="00082FF4" w:rsidRPr="00E66512" w:rsidRDefault="00082FF4" w:rsidP="00134A77">
            <w:pPr>
              <w:jc w:val="center"/>
              <w:rPr>
                <w:color w:val="000000"/>
                <w:szCs w:val="22"/>
              </w:rPr>
            </w:pPr>
            <w:r w:rsidRPr="00E66512">
              <w:rPr>
                <w:color w:val="000000"/>
                <w:szCs w:val="22"/>
              </w:rPr>
              <w:t>29 681,1</w:t>
            </w:r>
          </w:p>
        </w:tc>
        <w:tc>
          <w:tcPr>
            <w:tcW w:w="1559" w:type="dxa"/>
            <w:vAlign w:val="center"/>
          </w:tcPr>
          <w:p w:rsidR="00082FF4" w:rsidRPr="00E66512" w:rsidRDefault="00082FF4" w:rsidP="00134A77">
            <w:pPr>
              <w:jc w:val="center"/>
              <w:rPr>
                <w:color w:val="000000"/>
                <w:szCs w:val="22"/>
              </w:rPr>
            </w:pPr>
            <w:r w:rsidRPr="00E66512">
              <w:rPr>
                <w:color w:val="000000"/>
                <w:szCs w:val="22"/>
              </w:rPr>
              <w:t>570 131,6</w:t>
            </w:r>
          </w:p>
        </w:tc>
        <w:tc>
          <w:tcPr>
            <w:tcW w:w="1914" w:type="dxa"/>
            <w:vAlign w:val="center"/>
          </w:tcPr>
          <w:p w:rsidR="00082FF4" w:rsidRPr="00E66512" w:rsidRDefault="00082FF4" w:rsidP="00134A77">
            <w:pPr>
              <w:jc w:val="center"/>
              <w:rPr>
                <w:color w:val="000000"/>
                <w:szCs w:val="22"/>
              </w:rPr>
            </w:pPr>
            <w:r w:rsidRPr="00E66512">
              <w:rPr>
                <w:color w:val="000000"/>
                <w:szCs w:val="22"/>
              </w:rPr>
              <w:t>5 623,6</w:t>
            </w:r>
          </w:p>
        </w:tc>
        <w:tc>
          <w:tcPr>
            <w:tcW w:w="1914" w:type="dxa"/>
            <w:vAlign w:val="center"/>
          </w:tcPr>
          <w:p w:rsidR="00082FF4" w:rsidRPr="00E66512" w:rsidRDefault="00082FF4" w:rsidP="00134A77">
            <w:pPr>
              <w:jc w:val="center"/>
              <w:rPr>
                <w:color w:val="000000"/>
                <w:szCs w:val="22"/>
              </w:rPr>
            </w:pPr>
            <w:r w:rsidRPr="00E66512">
              <w:rPr>
                <w:color w:val="000000"/>
                <w:szCs w:val="22"/>
              </w:rPr>
              <w:t>986 493,2</w:t>
            </w:r>
          </w:p>
        </w:tc>
      </w:tr>
      <w:tr w:rsidR="00082FF4" w:rsidRPr="00EE3F02" w:rsidTr="00134A77">
        <w:tc>
          <w:tcPr>
            <w:tcW w:w="2410" w:type="dxa"/>
            <w:shd w:val="clear" w:color="auto" w:fill="EAF1DD"/>
            <w:vAlign w:val="center"/>
          </w:tcPr>
          <w:p w:rsidR="00082FF4" w:rsidRPr="00EE3F02" w:rsidRDefault="00082FF4" w:rsidP="00134A77">
            <w:pPr>
              <w:rPr>
                <w:i/>
              </w:rPr>
            </w:pPr>
            <w:r w:rsidRPr="00EE3F02">
              <w:rPr>
                <w:i/>
              </w:rPr>
              <w:t>доля %</w:t>
            </w:r>
          </w:p>
        </w:tc>
        <w:tc>
          <w:tcPr>
            <w:tcW w:w="1843" w:type="dxa"/>
            <w:vAlign w:val="center"/>
          </w:tcPr>
          <w:p w:rsidR="00082FF4" w:rsidRPr="00E66512" w:rsidRDefault="00082FF4" w:rsidP="00134A77">
            <w:pPr>
              <w:jc w:val="center"/>
              <w:rPr>
                <w:i/>
                <w:color w:val="000000"/>
                <w:szCs w:val="22"/>
              </w:rPr>
            </w:pPr>
            <w:r w:rsidRPr="00E66512">
              <w:rPr>
                <w:i/>
                <w:color w:val="000000"/>
                <w:szCs w:val="22"/>
              </w:rPr>
              <w:t>53,1%</w:t>
            </w:r>
          </w:p>
        </w:tc>
        <w:tc>
          <w:tcPr>
            <w:tcW w:w="1559" w:type="dxa"/>
            <w:vAlign w:val="center"/>
          </w:tcPr>
          <w:p w:rsidR="00082FF4" w:rsidRPr="00E66512" w:rsidRDefault="00082FF4" w:rsidP="00134A77">
            <w:pPr>
              <w:jc w:val="center"/>
              <w:rPr>
                <w:i/>
                <w:color w:val="000000"/>
                <w:szCs w:val="22"/>
              </w:rPr>
            </w:pPr>
            <w:r w:rsidRPr="00E66512">
              <w:rPr>
                <w:i/>
                <w:color w:val="000000"/>
                <w:szCs w:val="22"/>
              </w:rPr>
              <w:t>69,3%</w:t>
            </w:r>
          </w:p>
        </w:tc>
        <w:tc>
          <w:tcPr>
            <w:tcW w:w="1914" w:type="dxa"/>
            <w:vAlign w:val="center"/>
          </w:tcPr>
          <w:p w:rsidR="00082FF4" w:rsidRPr="00E66512" w:rsidRDefault="00082FF4" w:rsidP="00134A77">
            <w:pPr>
              <w:jc w:val="center"/>
              <w:rPr>
                <w:i/>
                <w:color w:val="000000"/>
                <w:szCs w:val="22"/>
              </w:rPr>
            </w:pPr>
            <w:r w:rsidRPr="00E66512">
              <w:rPr>
                <w:i/>
                <w:color w:val="000000"/>
                <w:szCs w:val="22"/>
              </w:rPr>
              <w:t>3,2%</w:t>
            </w:r>
          </w:p>
        </w:tc>
        <w:tc>
          <w:tcPr>
            <w:tcW w:w="1914" w:type="dxa"/>
            <w:vAlign w:val="center"/>
          </w:tcPr>
          <w:p w:rsidR="00082FF4" w:rsidRPr="00E66512" w:rsidRDefault="00082FF4" w:rsidP="00134A77">
            <w:pPr>
              <w:jc w:val="center"/>
              <w:rPr>
                <w:i/>
                <w:color w:val="000000"/>
                <w:szCs w:val="22"/>
              </w:rPr>
            </w:pPr>
            <w:r w:rsidRPr="00E66512">
              <w:rPr>
                <w:i/>
                <w:color w:val="000000"/>
                <w:szCs w:val="22"/>
              </w:rPr>
              <w:t>14,8%</w:t>
            </w:r>
          </w:p>
        </w:tc>
      </w:tr>
      <w:tr w:rsidR="00082FF4" w:rsidRPr="00EE3F02" w:rsidTr="00134A77">
        <w:tc>
          <w:tcPr>
            <w:tcW w:w="2410" w:type="dxa"/>
            <w:shd w:val="clear" w:color="auto" w:fill="EAF1DD"/>
            <w:vAlign w:val="center"/>
          </w:tcPr>
          <w:p w:rsidR="00082FF4" w:rsidRPr="00EE3F02" w:rsidRDefault="00082FF4" w:rsidP="00134A77">
            <w:r w:rsidRPr="00EE3F02">
              <w:t>интернет</w:t>
            </w:r>
          </w:p>
        </w:tc>
        <w:tc>
          <w:tcPr>
            <w:tcW w:w="1843" w:type="dxa"/>
            <w:vAlign w:val="center"/>
          </w:tcPr>
          <w:p w:rsidR="00082FF4" w:rsidRPr="00E66512" w:rsidRDefault="00082FF4" w:rsidP="00134A77">
            <w:pPr>
              <w:jc w:val="center"/>
              <w:rPr>
                <w:color w:val="000000"/>
                <w:szCs w:val="22"/>
              </w:rPr>
            </w:pPr>
            <w:r w:rsidRPr="00E66512">
              <w:rPr>
                <w:color w:val="000000"/>
                <w:szCs w:val="22"/>
              </w:rPr>
              <w:t>7 466,0</w:t>
            </w:r>
          </w:p>
        </w:tc>
        <w:tc>
          <w:tcPr>
            <w:tcW w:w="1559" w:type="dxa"/>
            <w:vAlign w:val="center"/>
          </w:tcPr>
          <w:p w:rsidR="00082FF4" w:rsidRPr="00E66512" w:rsidRDefault="00082FF4" w:rsidP="00134A77">
            <w:pPr>
              <w:jc w:val="center"/>
              <w:rPr>
                <w:color w:val="000000"/>
                <w:szCs w:val="22"/>
              </w:rPr>
            </w:pPr>
            <w:r w:rsidRPr="00E66512">
              <w:rPr>
                <w:color w:val="000000"/>
                <w:szCs w:val="22"/>
              </w:rPr>
              <w:t>37 395,8</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r>
      <w:tr w:rsidR="00082FF4" w:rsidRPr="00EE3F02" w:rsidTr="00134A77">
        <w:tc>
          <w:tcPr>
            <w:tcW w:w="2410" w:type="dxa"/>
            <w:shd w:val="clear" w:color="auto" w:fill="EAF1DD"/>
            <w:vAlign w:val="center"/>
          </w:tcPr>
          <w:p w:rsidR="00082FF4" w:rsidRPr="00EE3F02" w:rsidRDefault="00082FF4" w:rsidP="00134A77">
            <w:pPr>
              <w:rPr>
                <w:i/>
              </w:rPr>
            </w:pPr>
            <w:r w:rsidRPr="00EE3F02">
              <w:rPr>
                <w:i/>
              </w:rPr>
              <w:t>доля %</w:t>
            </w:r>
          </w:p>
        </w:tc>
        <w:tc>
          <w:tcPr>
            <w:tcW w:w="1843" w:type="dxa"/>
            <w:vAlign w:val="center"/>
          </w:tcPr>
          <w:p w:rsidR="00082FF4" w:rsidRPr="00E66512" w:rsidRDefault="00082FF4" w:rsidP="00134A77">
            <w:pPr>
              <w:jc w:val="center"/>
              <w:rPr>
                <w:i/>
                <w:color w:val="000000"/>
                <w:szCs w:val="22"/>
              </w:rPr>
            </w:pPr>
            <w:r w:rsidRPr="00E66512">
              <w:rPr>
                <w:i/>
                <w:color w:val="000000"/>
                <w:szCs w:val="22"/>
              </w:rPr>
              <w:t>13,4%</w:t>
            </w:r>
          </w:p>
        </w:tc>
        <w:tc>
          <w:tcPr>
            <w:tcW w:w="1559" w:type="dxa"/>
            <w:vAlign w:val="center"/>
          </w:tcPr>
          <w:p w:rsidR="00082FF4" w:rsidRPr="00E66512" w:rsidRDefault="00082FF4" w:rsidP="00134A77">
            <w:pPr>
              <w:jc w:val="center"/>
              <w:rPr>
                <w:i/>
                <w:color w:val="000000"/>
                <w:szCs w:val="22"/>
              </w:rPr>
            </w:pPr>
            <w:r w:rsidRPr="00E66512">
              <w:rPr>
                <w:i/>
                <w:color w:val="000000"/>
                <w:szCs w:val="22"/>
              </w:rPr>
              <w:t>4,5%</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r>
      <w:tr w:rsidR="00082FF4" w:rsidRPr="00EE3F02" w:rsidTr="00134A77">
        <w:tc>
          <w:tcPr>
            <w:tcW w:w="2410" w:type="dxa"/>
            <w:shd w:val="clear" w:color="auto" w:fill="EAF1DD"/>
          </w:tcPr>
          <w:p w:rsidR="00082FF4" w:rsidRPr="00EE3F02" w:rsidRDefault="00082FF4" w:rsidP="00134A77">
            <w:r w:rsidRPr="00EE3F02">
              <w:t>моб-й телефон</w:t>
            </w:r>
          </w:p>
        </w:tc>
        <w:tc>
          <w:tcPr>
            <w:tcW w:w="1843" w:type="dxa"/>
            <w:vAlign w:val="center"/>
          </w:tcPr>
          <w:p w:rsidR="00082FF4" w:rsidRPr="00E66512" w:rsidRDefault="00082FF4" w:rsidP="00134A77">
            <w:pPr>
              <w:jc w:val="center"/>
              <w:rPr>
                <w:color w:val="000000"/>
                <w:szCs w:val="22"/>
              </w:rPr>
            </w:pPr>
            <w:r w:rsidRPr="00E66512">
              <w:rPr>
                <w:color w:val="000000"/>
                <w:szCs w:val="22"/>
              </w:rPr>
              <w:t>220,1</w:t>
            </w:r>
          </w:p>
        </w:tc>
        <w:tc>
          <w:tcPr>
            <w:tcW w:w="1559" w:type="dxa"/>
            <w:vAlign w:val="center"/>
          </w:tcPr>
          <w:p w:rsidR="00082FF4" w:rsidRPr="00E66512" w:rsidRDefault="00082FF4" w:rsidP="00134A77">
            <w:pPr>
              <w:jc w:val="center"/>
              <w:rPr>
                <w:color w:val="000000"/>
                <w:szCs w:val="22"/>
              </w:rPr>
            </w:pPr>
            <w:r w:rsidRPr="00E66512">
              <w:rPr>
                <w:color w:val="000000"/>
                <w:szCs w:val="22"/>
              </w:rPr>
              <w:t>214,5</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r>
      <w:tr w:rsidR="00082FF4" w:rsidRPr="00EE3F02" w:rsidTr="00134A77">
        <w:tc>
          <w:tcPr>
            <w:tcW w:w="2410" w:type="dxa"/>
            <w:shd w:val="clear" w:color="auto" w:fill="EAF1DD"/>
            <w:vAlign w:val="center"/>
          </w:tcPr>
          <w:p w:rsidR="00082FF4" w:rsidRPr="00EE3F02" w:rsidRDefault="00082FF4" w:rsidP="00134A77">
            <w:pPr>
              <w:rPr>
                <w:i/>
              </w:rPr>
            </w:pPr>
            <w:r w:rsidRPr="00EE3F02">
              <w:rPr>
                <w:i/>
              </w:rPr>
              <w:t>доля %</w:t>
            </w:r>
          </w:p>
        </w:tc>
        <w:tc>
          <w:tcPr>
            <w:tcW w:w="1843" w:type="dxa"/>
            <w:vAlign w:val="center"/>
          </w:tcPr>
          <w:p w:rsidR="00082FF4" w:rsidRPr="00E66512" w:rsidRDefault="00082FF4" w:rsidP="00134A77">
            <w:pPr>
              <w:jc w:val="center"/>
              <w:rPr>
                <w:i/>
                <w:color w:val="000000"/>
                <w:szCs w:val="22"/>
              </w:rPr>
            </w:pPr>
            <w:r w:rsidRPr="00E66512">
              <w:rPr>
                <w:i/>
                <w:color w:val="000000"/>
                <w:szCs w:val="22"/>
              </w:rPr>
              <w:t>0,4%</w:t>
            </w:r>
          </w:p>
        </w:tc>
        <w:tc>
          <w:tcPr>
            <w:tcW w:w="1559" w:type="dxa"/>
            <w:vAlign w:val="center"/>
          </w:tcPr>
          <w:p w:rsidR="00082FF4" w:rsidRPr="00E66512" w:rsidRDefault="00082FF4" w:rsidP="00134A77">
            <w:pPr>
              <w:jc w:val="center"/>
              <w:rPr>
                <w:i/>
                <w:color w:val="000000"/>
                <w:szCs w:val="22"/>
              </w:rPr>
            </w:pPr>
            <w:r w:rsidRPr="00E66512">
              <w:rPr>
                <w:i/>
                <w:color w:val="000000"/>
                <w:szCs w:val="22"/>
              </w:rPr>
              <w:t>0,03%</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r>
      <w:tr w:rsidR="00082FF4" w:rsidRPr="00EE3F02" w:rsidTr="00134A77">
        <w:tc>
          <w:tcPr>
            <w:tcW w:w="2410" w:type="dxa"/>
            <w:shd w:val="clear" w:color="auto" w:fill="EAF1DD"/>
            <w:vAlign w:val="center"/>
          </w:tcPr>
          <w:p w:rsidR="00082FF4" w:rsidRPr="004B3E5D" w:rsidRDefault="00082FF4" w:rsidP="00134A77">
            <w:r w:rsidRPr="004B3E5D">
              <w:t>прочие</w:t>
            </w:r>
            <w:r>
              <w:rPr>
                <w:rStyle w:val="ab"/>
              </w:rPr>
              <w:footnoteReference w:id="18"/>
            </w:r>
          </w:p>
        </w:tc>
        <w:tc>
          <w:tcPr>
            <w:tcW w:w="1843" w:type="dxa"/>
            <w:vAlign w:val="center"/>
          </w:tcPr>
          <w:p w:rsidR="00082FF4" w:rsidRPr="004B3E5D" w:rsidRDefault="00082FF4" w:rsidP="00134A77">
            <w:pPr>
              <w:jc w:val="center"/>
              <w:rPr>
                <w:color w:val="000000"/>
                <w:szCs w:val="22"/>
              </w:rPr>
            </w:pPr>
            <w:r w:rsidRPr="004B3E5D">
              <w:rPr>
                <w:color w:val="000000"/>
                <w:szCs w:val="22"/>
              </w:rPr>
              <w:t>1 181,5</w:t>
            </w:r>
          </w:p>
        </w:tc>
        <w:tc>
          <w:tcPr>
            <w:tcW w:w="1559" w:type="dxa"/>
            <w:vAlign w:val="center"/>
          </w:tcPr>
          <w:p w:rsidR="00082FF4" w:rsidRPr="004B3E5D" w:rsidRDefault="00082FF4" w:rsidP="00134A77">
            <w:pPr>
              <w:jc w:val="center"/>
              <w:rPr>
                <w:color w:val="000000"/>
                <w:szCs w:val="22"/>
              </w:rPr>
            </w:pPr>
            <w:r w:rsidRPr="004B3E5D">
              <w:rPr>
                <w:color w:val="000000"/>
                <w:szCs w:val="22"/>
              </w:rPr>
              <w:t>29 389,9</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r>
      <w:tr w:rsidR="00082FF4" w:rsidRPr="00EE3F02" w:rsidTr="00134A77">
        <w:tc>
          <w:tcPr>
            <w:tcW w:w="2410" w:type="dxa"/>
            <w:shd w:val="clear" w:color="auto" w:fill="EAF1DD"/>
            <w:vAlign w:val="center"/>
          </w:tcPr>
          <w:p w:rsidR="00082FF4" w:rsidRPr="00EE3F02" w:rsidRDefault="00082FF4" w:rsidP="00134A77">
            <w:pPr>
              <w:rPr>
                <w:i/>
              </w:rPr>
            </w:pPr>
            <w:r w:rsidRPr="00EE3F02">
              <w:rPr>
                <w:i/>
              </w:rPr>
              <w:t>доля %</w:t>
            </w:r>
          </w:p>
        </w:tc>
        <w:tc>
          <w:tcPr>
            <w:tcW w:w="1843" w:type="dxa"/>
            <w:vAlign w:val="center"/>
          </w:tcPr>
          <w:p w:rsidR="00082FF4" w:rsidRPr="004B3E5D" w:rsidRDefault="00082FF4" w:rsidP="00134A77">
            <w:pPr>
              <w:jc w:val="center"/>
              <w:rPr>
                <w:i/>
                <w:color w:val="000000"/>
                <w:szCs w:val="22"/>
              </w:rPr>
            </w:pPr>
            <w:r w:rsidRPr="004B3E5D">
              <w:rPr>
                <w:i/>
                <w:color w:val="000000"/>
                <w:szCs w:val="22"/>
              </w:rPr>
              <w:t>2,1%</w:t>
            </w:r>
          </w:p>
        </w:tc>
        <w:tc>
          <w:tcPr>
            <w:tcW w:w="1559" w:type="dxa"/>
            <w:vAlign w:val="center"/>
          </w:tcPr>
          <w:p w:rsidR="00082FF4" w:rsidRPr="004B3E5D" w:rsidRDefault="00082FF4" w:rsidP="00134A77">
            <w:pPr>
              <w:jc w:val="center"/>
              <w:rPr>
                <w:i/>
                <w:color w:val="000000"/>
                <w:szCs w:val="22"/>
              </w:rPr>
            </w:pPr>
            <w:r w:rsidRPr="004B3E5D">
              <w:rPr>
                <w:i/>
                <w:color w:val="000000"/>
                <w:szCs w:val="22"/>
              </w:rPr>
              <w:t>3,6%</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c>
          <w:tcPr>
            <w:tcW w:w="1914" w:type="dxa"/>
            <w:vAlign w:val="center"/>
          </w:tcPr>
          <w:p w:rsidR="00082FF4" w:rsidRPr="00E66512" w:rsidRDefault="00082FF4" w:rsidP="00134A77">
            <w:pPr>
              <w:jc w:val="center"/>
              <w:rPr>
                <w:i/>
                <w:color w:val="000000"/>
                <w:szCs w:val="22"/>
              </w:rPr>
            </w:pPr>
            <w:r w:rsidRPr="00E66512">
              <w:rPr>
                <w:i/>
                <w:color w:val="000000"/>
                <w:szCs w:val="22"/>
              </w:rPr>
              <w:t>-</w:t>
            </w:r>
          </w:p>
        </w:tc>
      </w:tr>
      <w:tr w:rsidR="00082FF4" w:rsidRPr="00EE3F02" w:rsidTr="00134A77">
        <w:tc>
          <w:tcPr>
            <w:tcW w:w="2410" w:type="dxa"/>
            <w:shd w:val="clear" w:color="auto" w:fill="C2D69B"/>
          </w:tcPr>
          <w:p w:rsidR="00082FF4" w:rsidRPr="00EE3F02" w:rsidRDefault="00082FF4" w:rsidP="00134A77">
            <w:pPr>
              <w:jc w:val="both"/>
              <w:rPr>
                <w:b/>
              </w:rPr>
            </w:pPr>
            <w:r w:rsidRPr="00EE3F02">
              <w:rPr>
                <w:b/>
              </w:rPr>
              <w:t>Всего:</w:t>
            </w:r>
          </w:p>
        </w:tc>
        <w:tc>
          <w:tcPr>
            <w:tcW w:w="1843" w:type="dxa"/>
            <w:shd w:val="clear" w:color="auto" w:fill="C2D69B"/>
            <w:vAlign w:val="center"/>
          </w:tcPr>
          <w:p w:rsidR="00082FF4" w:rsidRPr="00E66512" w:rsidRDefault="00082FF4" w:rsidP="00134A77">
            <w:pPr>
              <w:jc w:val="center"/>
              <w:rPr>
                <w:b/>
                <w:color w:val="000000"/>
                <w:szCs w:val="22"/>
              </w:rPr>
            </w:pPr>
            <w:r w:rsidRPr="00E66512">
              <w:rPr>
                <w:b/>
                <w:color w:val="000000"/>
                <w:szCs w:val="22"/>
              </w:rPr>
              <w:t>55 919,6</w:t>
            </w:r>
          </w:p>
        </w:tc>
        <w:tc>
          <w:tcPr>
            <w:tcW w:w="1559" w:type="dxa"/>
            <w:shd w:val="clear" w:color="auto" w:fill="C2D69B"/>
            <w:vAlign w:val="center"/>
          </w:tcPr>
          <w:p w:rsidR="00082FF4" w:rsidRPr="00E66512" w:rsidRDefault="00082FF4" w:rsidP="00134A77">
            <w:pPr>
              <w:jc w:val="center"/>
              <w:rPr>
                <w:b/>
                <w:color w:val="000000"/>
                <w:szCs w:val="22"/>
              </w:rPr>
            </w:pPr>
            <w:r w:rsidRPr="00E66512">
              <w:rPr>
                <w:b/>
                <w:color w:val="000000"/>
                <w:szCs w:val="22"/>
              </w:rPr>
              <w:t>822 821,6</w:t>
            </w:r>
          </w:p>
        </w:tc>
        <w:tc>
          <w:tcPr>
            <w:tcW w:w="1914" w:type="dxa"/>
            <w:shd w:val="clear" w:color="auto" w:fill="C2D69B"/>
            <w:vAlign w:val="center"/>
          </w:tcPr>
          <w:p w:rsidR="00082FF4" w:rsidRPr="00E66512" w:rsidRDefault="00082FF4" w:rsidP="00134A77">
            <w:pPr>
              <w:jc w:val="center"/>
              <w:rPr>
                <w:b/>
                <w:color w:val="000000"/>
                <w:szCs w:val="22"/>
              </w:rPr>
            </w:pPr>
            <w:r w:rsidRPr="00E66512">
              <w:rPr>
                <w:b/>
                <w:color w:val="000000"/>
                <w:szCs w:val="22"/>
              </w:rPr>
              <w:t>174 872,2</w:t>
            </w:r>
          </w:p>
        </w:tc>
        <w:tc>
          <w:tcPr>
            <w:tcW w:w="1914" w:type="dxa"/>
            <w:shd w:val="clear" w:color="auto" w:fill="C2D69B"/>
            <w:vAlign w:val="center"/>
          </w:tcPr>
          <w:p w:rsidR="00082FF4" w:rsidRPr="00E66512" w:rsidRDefault="00082FF4" w:rsidP="00134A77">
            <w:pPr>
              <w:jc w:val="center"/>
              <w:rPr>
                <w:b/>
                <w:color w:val="000000"/>
                <w:szCs w:val="22"/>
              </w:rPr>
            </w:pPr>
            <w:r w:rsidRPr="00E66512">
              <w:rPr>
                <w:b/>
                <w:color w:val="000000"/>
                <w:szCs w:val="22"/>
              </w:rPr>
              <w:t>6 681 300,6</w:t>
            </w:r>
          </w:p>
        </w:tc>
      </w:tr>
    </w:tbl>
    <w:p w:rsidR="00082FF4" w:rsidRDefault="00082FF4" w:rsidP="00082FF4">
      <w:pPr>
        <w:ind w:firstLine="709"/>
        <w:jc w:val="both"/>
        <w:rPr>
          <w:sz w:val="28"/>
          <w:szCs w:val="28"/>
        </w:rPr>
      </w:pPr>
      <w:r>
        <w:rPr>
          <w:sz w:val="28"/>
          <w:szCs w:val="28"/>
        </w:rPr>
        <w:t xml:space="preserve">Отчасти проблема низкого использования </w:t>
      </w:r>
      <w:r>
        <w:rPr>
          <w:sz w:val="28"/>
          <w:szCs w:val="28"/>
          <w:lang w:val="en-US"/>
        </w:rPr>
        <w:t>POS</w:t>
      </w:r>
      <w:r>
        <w:rPr>
          <w:sz w:val="28"/>
          <w:szCs w:val="28"/>
        </w:rPr>
        <w:t>-терминалов заключается в их недостаточном количестве. То есть, как выше уже было отмечено, где бы покупатель не покупал товар или не оплачивал услугу, должна иметься возможность расчета карточкой. Если эта возможность реализована, как показывает практика стран с высоким уровнем безналичных расчетов, следует многократный эффект увеличения таких платежей. Люди быстро привыкают к удобству безналичной оплаты, что становится привычным и, со временем, перестают использовать наличные деньги. В этом случае наглядно поведение в Казахстане иностранных граждан, пытающихся (вероятно не задумываясь) везде предъявить к оплате платежные карточки.</w:t>
      </w:r>
    </w:p>
    <w:p w:rsidR="00082FF4" w:rsidRDefault="00082FF4" w:rsidP="00082FF4">
      <w:pPr>
        <w:ind w:firstLine="709"/>
        <w:jc w:val="both"/>
        <w:rPr>
          <w:sz w:val="28"/>
          <w:szCs w:val="28"/>
        </w:rPr>
      </w:pPr>
      <w:r>
        <w:rPr>
          <w:sz w:val="28"/>
          <w:szCs w:val="28"/>
        </w:rPr>
        <w:t xml:space="preserve">Причем, если раньше проблемой расширения сети </w:t>
      </w:r>
      <w:r>
        <w:rPr>
          <w:sz w:val="28"/>
          <w:szCs w:val="28"/>
          <w:lang w:val="en-US"/>
        </w:rPr>
        <w:t>POS</w:t>
      </w:r>
      <w:r w:rsidRPr="00422F5D">
        <w:rPr>
          <w:sz w:val="28"/>
          <w:szCs w:val="28"/>
        </w:rPr>
        <w:t>-</w:t>
      </w:r>
      <w:r>
        <w:rPr>
          <w:sz w:val="28"/>
          <w:szCs w:val="28"/>
        </w:rPr>
        <w:t xml:space="preserve">терминалов являлась их относительно высокая стоимость, то уже более года реализована возможность использования мобильных </w:t>
      </w:r>
      <w:r>
        <w:rPr>
          <w:sz w:val="28"/>
          <w:szCs w:val="28"/>
          <w:lang w:val="en-US"/>
        </w:rPr>
        <w:t>POS</w:t>
      </w:r>
      <w:r w:rsidRPr="00422F5D">
        <w:rPr>
          <w:sz w:val="28"/>
          <w:szCs w:val="28"/>
        </w:rPr>
        <w:t>-</w:t>
      </w:r>
      <w:r>
        <w:rPr>
          <w:sz w:val="28"/>
          <w:szCs w:val="28"/>
        </w:rPr>
        <w:t>терминалов</w:t>
      </w:r>
      <w:r>
        <w:rPr>
          <w:rStyle w:val="ab"/>
          <w:sz w:val="28"/>
          <w:szCs w:val="28"/>
        </w:rPr>
        <w:footnoteReference w:id="19"/>
      </w:r>
      <w:r>
        <w:rPr>
          <w:sz w:val="28"/>
          <w:szCs w:val="28"/>
        </w:rPr>
        <w:t xml:space="preserve"> (</w:t>
      </w:r>
      <w:r>
        <w:rPr>
          <w:sz w:val="28"/>
          <w:szCs w:val="28"/>
          <w:lang w:val="en-US"/>
        </w:rPr>
        <w:t>mPOS</w:t>
      </w:r>
      <w:r>
        <w:rPr>
          <w:sz w:val="28"/>
          <w:szCs w:val="28"/>
        </w:rPr>
        <w:t>), которые не только по стоимости на порядок ниже, но и универсальны в использовании, то есть, не привязаны к месту дислокации (ограничения лишь по зоне работы сети мобильных операторов).</w:t>
      </w:r>
    </w:p>
    <w:p w:rsidR="00082FF4" w:rsidRPr="00422F5D" w:rsidRDefault="00082FF4" w:rsidP="00082FF4">
      <w:pPr>
        <w:ind w:firstLine="709"/>
        <w:jc w:val="both"/>
        <w:rPr>
          <w:sz w:val="28"/>
          <w:szCs w:val="28"/>
        </w:rPr>
      </w:pPr>
      <w:r>
        <w:rPr>
          <w:sz w:val="28"/>
          <w:szCs w:val="28"/>
        </w:rPr>
        <w:t>Таким образом, для повсеместного приема платежей с использованием платежных карточек созданы почти все условия, не решенной остается одна из важнейших задач – создание стимула в приеме таких платежей предпринимателями, путем представления налоговых преференций, создани</w:t>
      </w:r>
      <w:r w:rsidR="00AB15DF">
        <w:rPr>
          <w:sz w:val="28"/>
          <w:szCs w:val="28"/>
        </w:rPr>
        <w:t>я</w:t>
      </w:r>
      <w:r>
        <w:rPr>
          <w:sz w:val="28"/>
          <w:szCs w:val="28"/>
        </w:rPr>
        <w:t xml:space="preserve"> условий по снижению межбанковских комиссий, а также проведени</w:t>
      </w:r>
      <w:r w:rsidR="00AB15DF">
        <w:rPr>
          <w:sz w:val="28"/>
          <w:szCs w:val="28"/>
        </w:rPr>
        <w:t>я</w:t>
      </w:r>
      <w:r>
        <w:rPr>
          <w:sz w:val="28"/>
          <w:szCs w:val="28"/>
        </w:rPr>
        <w:t xml:space="preserve"> информационных кампаний.</w:t>
      </w:r>
    </w:p>
    <w:p w:rsidR="00082FF4" w:rsidRDefault="00082FF4" w:rsidP="00082FF4">
      <w:pPr>
        <w:ind w:firstLine="709"/>
        <w:jc w:val="both"/>
        <w:rPr>
          <w:sz w:val="28"/>
          <w:szCs w:val="28"/>
        </w:rPr>
      </w:pPr>
      <w:r>
        <w:rPr>
          <w:sz w:val="28"/>
          <w:szCs w:val="28"/>
          <w:lang w:val="kk-KZ"/>
        </w:rPr>
        <w:t>П</w:t>
      </w:r>
      <w:r w:rsidRPr="00B04729">
        <w:rPr>
          <w:sz w:val="28"/>
          <w:szCs w:val="28"/>
        </w:rPr>
        <w:t>омимо</w:t>
      </w:r>
      <w:r>
        <w:rPr>
          <w:sz w:val="28"/>
          <w:szCs w:val="28"/>
        </w:rPr>
        <w:t xml:space="preserve"> развития сети приема к оплате платежных карточек в торговых и обслуживающих организациях посредством </w:t>
      </w:r>
      <w:r>
        <w:rPr>
          <w:sz w:val="28"/>
          <w:szCs w:val="28"/>
          <w:lang w:val="en-US"/>
        </w:rPr>
        <w:t>POS</w:t>
      </w:r>
      <w:r w:rsidRPr="00422F5D">
        <w:rPr>
          <w:sz w:val="28"/>
          <w:szCs w:val="28"/>
        </w:rPr>
        <w:t>-</w:t>
      </w:r>
      <w:r>
        <w:rPr>
          <w:sz w:val="28"/>
          <w:szCs w:val="28"/>
        </w:rPr>
        <w:t xml:space="preserve">терминалов, перспективной средой роста безналичных расчетов является интернет. Стимулом к росту таких </w:t>
      </w:r>
      <w:r>
        <w:rPr>
          <w:sz w:val="28"/>
          <w:szCs w:val="28"/>
        </w:rPr>
        <w:lastRenderedPageBreak/>
        <w:t>расчетов может быть расширение интернет аудитории. Согласно официальным данным</w:t>
      </w:r>
      <w:r>
        <w:rPr>
          <w:rStyle w:val="ab"/>
          <w:sz w:val="28"/>
          <w:szCs w:val="28"/>
        </w:rPr>
        <w:footnoteReference w:id="20"/>
      </w:r>
      <w:r>
        <w:rPr>
          <w:sz w:val="28"/>
          <w:szCs w:val="28"/>
        </w:rPr>
        <w:t>, на конец 2013 года в Казахстане зарегистрировано 1 976 тыс. стационарных интернет-абонентов. Данная цифра не отражает реального количества пользователей интернет, поскольку, особенно в последние годы с улучшением качества связи путем введения стандартов 3</w:t>
      </w:r>
      <w:r>
        <w:rPr>
          <w:sz w:val="28"/>
          <w:szCs w:val="28"/>
          <w:lang w:val="en-US"/>
        </w:rPr>
        <w:t>G</w:t>
      </w:r>
      <w:r w:rsidRPr="00BB7CF9">
        <w:rPr>
          <w:sz w:val="28"/>
          <w:szCs w:val="28"/>
        </w:rPr>
        <w:t xml:space="preserve"> </w:t>
      </w:r>
      <w:r>
        <w:rPr>
          <w:sz w:val="28"/>
          <w:szCs w:val="28"/>
        </w:rPr>
        <w:t>и 4</w:t>
      </w:r>
      <w:r>
        <w:rPr>
          <w:sz w:val="28"/>
          <w:szCs w:val="28"/>
          <w:lang w:val="en-US"/>
        </w:rPr>
        <w:t>G</w:t>
      </w:r>
      <w:r>
        <w:rPr>
          <w:sz w:val="28"/>
          <w:szCs w:val="28"/>
        </w:rPr>
        <w:t>, а также снижением тарифов, люди активно подключаются к интернет посредством мобильных телефонов. Доступность мобильного интернета впоследствии должна способствовать увеличению доли платежей, совершенных через интернет. Л</w:t>
      </w:r>
      <w:r w:rsidRPr="00C46ECC">
        <w:rPr>
          <w:sz w:val="28"/>
          <w:szCs w:val="28"/>
        </w:rPr>
        <w:t>огичными явля</w:t>
      </w:r>
      <w:r>
        <w:rPr>
          <w:sz w:val="28"/>
          <w:szCs w:val="28"/>
        </w:rPr>
        <w:t>ются ожидания увеличения доли интернет-транзакций за счет уменьшения доли безналичных платежей посредством банкоматов. Во всяком случае, основными казахстанскими эквайерами реализована возможность оплаты через интернет-кабинет не только услуг, аналогичных контекстному меню банкоматов, но и более широкого спектра. Так, в 2014 году по сравнению с 2013 годом доля количества и суммы интернет-платежей в общей структуре безналичных платежей возросла (с 5,8% и 2,5% количества и суммы до 13,4% и 4,5% с</w:t>
      </w:r>
      <w:r w:rsidR="00AB15DF">
        <w:rPr>
          <w:sz w:val="28"/>
          <w:szCs w:val="28"/>
        </w:rPr>
        <w:t>оответственно), тогда</w:t>
      </w:r>
      <w:r>
        <w:rPr>
          <w:sz w:val="28"/>
          <w:szCs w:val="28"/>
        </w:rPr>
        <w:t xml:space="preserve"> как доля платежей посредством банкомата снизилась (с 36,3% и 24,8% количества и суммы до 31,1% и 22,6% соответственно).</w:t>
      </w:r>
    </w:p>
    <w:p w:rsidR="00082FF4" w:rsidRDefault="00082FF4" w:rsidP="00082FF4">
      <w:pPr>
        <w:ind w:firstLine="709"/>
        <w:jc w:val="both"/>
        <w:rPr>
          <w:sz w:val="28"/>
          <w:szCs w:val="28"/>
        </w:rPr>
      </w:pPr>
      <w:r>
        <w:rPr>
          <w:sz w:val="28"/>
          <w:szCs w:val="28"/>
        </w:rPr>
        <w:t>Вместе с тем, наряду с расширением интернет-аудитории необходимо наличие сервисов по совершению интернет платежей. Развитие проектов электронной коммерции, а также иных электронных сервисов  должно способствовать росту интернет-платежей.</w:t>
      </w:r>
    </w:p>
    <w:p w:rsidR="00082FF4" w:rsidRDefault="00082FF4" w:rsidP="00082FF4">
      <w:pPr>
        <w:ind w:firstLine="709"/>
        <w:jc w:val="both"/>
        <w:rPr>
          <w:sz w:val="28"/>
          <w:szCs w:val="28"/>
        </w:rPr>
      </w:pPr>
      <w:r>
        <w:rPr>
          <w:sz w:val="28"/>
          <w:szCs w:val="28"/>
        </w:rPr>
        <w:t>Еще одной из заметных особенностей 2014 года является изменение структуры платежей с использованием платежных карточек. На протяжении последних пяти лет наблюдалась опережающая динамика роста количества и суммы безналичных платежей по отношению к росту операций по выдаче наличных денег.</w:t>
      </w:r>
    </w:p>
    <w:p w:rsidR="00082FF4" w:rsidRPr="00B245D5" w:rsidRDefault="00082FF4" w:rsidP="00082FF4">
      <w:pPr>
        <w:ind w:firstLine="709"/>
        <w:jc w:val="center"/>
        <w:rPr>
          <w:sz w:val="28"/>
          <w:szCs w:val="28"/>
        </w:rPr>
      </w:pPr>
      <w:r>
        <w:rPr>
          <w:b/>
          <w:sz w:val="28"/>
          <w:szCs w:val="28"/>
        </w:rPr>
        <w:t>Динамика роста платежей с использованием платежных карточек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40"/>
        <w:gridCol w:w="1351"/>
        <w:gridCol w:w="1351"/>
        <w:gridCol w:w="1351"/>
        <w:gridCol w:w="1351"/>
        <w:gridCol w:w="1351"/>
      </w:tblGrid>
      <w:tr w:rsidR="00082FF4" w:rsidRPr="004D69B6" w:rsidTr="00134A77">
        <w:tc>
          <w:tcPr>
            <w:tcW w:w="2991" w:type="dxa"/>
            <w:gridSpan w:val="2"/>
            <w:shd w:val="clear" w:color="auto" w:fill="auto"/>
          </w:tcPr>
          <w:p w:rsidR="00082FF4" w:rsidRPr="004D69B6" w:rsidRDefault="00082FF4" w:rsidP="00134A77">
            <w:pPr>
              <w:rPr>
                <w:b/>
              </w:rPr>
            </w:pPr>
            <w:r w:rsidRPr="004D69B6">
              <w:rPr>
                <w:b/>
              </w:rPr>
              <w:t>Период</w:t>
            </w:r>
          </w:p>
        </w:tc>
        <w:tc>
          <w:tcPr>
            <w:tcW w:w="1351" w:type="dxa"/>
            <w:shd w:val="clear" w:color="auto" w:fill="auto"/>
          </w:tcPr>
          <w:p w:rsidR="00082FF4" w:rsidRPr="004D69B6" w:rsidRDefault="00082FF4" w:rsidP="00134A77">
            <w:pPr>
              <w:jc w:val="center"/>
              <w:rPr>
                <w:b/>
              </w:rPr>
            </w:pPr>
            <w:r w:rsidRPr="004D69B6">
              <w:rPr>
                <w:b/>
              </w:rPr>
              <w:t>2010</w:t>
            </w:r>
          </w:p>
        </w:tc>
        <w:tc>
          <w:tcPr>
            <w:tcW w:w="1351" w:type="dxa"/>
            <w:shd w:val="clear" w:color="auto" w:fill="auto"/>
          </w:tcPr>
          <w:p w:rsidR="00082FF4" w:rsidRPr="004D69B6" w:rsidRDefault="00082FF4" w:rsidP="00134A77">
            <w:pPr>
              <w:jc w:val="center"/>
              <w:rPr>
                <w:b/>
              </w:rPr>
            </w:pPr>
            <w:r w:rsidRPr="004D69B6">
              <w:rPr>
                <w:b/>
              </w:rPr>
              <w:t>2011</w:t>
            </w:r>
          </w:p>
        </w:tc>
        <w:tc>
          <w:tcPr>
            <w:tcW w:w="1351" w:type="dxa"/>
            <w:shd w:val="clear" w:color="auto" w:fill="auto"/>
          </w:tcPr>
          <w:p w:rsidR="00082FF4" w:rsidRPr="004D69B6" w:rsidRDefault="00082FF4" w:rsidP="00134A77">
            <w:pPr>
              <w:jc w:val="center"/>
              <w:rPr>
                <w:b/>
              </w:rPr>
            </w:pPr>
            <w:r w:rsidRPr="004D69B6">
              <w:rPr>
                <w:b/>
              </w:rPr>
              <w:t>2012</w:t>
            </w:r>
          </w:p>
        </w:tc>
        <w:tc>
          <w:tcPr>
            <w:tcW w:w="1351" w:type="dxa"/>
            <w:shd w:val="clear" w:color="auto" w:fill="auto"/>
          </w:tcPr>
          <w:p w:rsidR="00082FF4" w:rsidRPr="004D69B6" w:rsidRDefault="00082FF4" w:rsidP="00134A77">
            <w:pPr>
              <w:jc w:val="center"/>
              <w:rPr>
                <w:b/>
              </w:rPr>
            </w:pPr>
            <w:r w:rsidRPr="004D69B6">
              <w:rPr>
                <w:b/>
              </w:rPr>
              <w:t>2013</w:t>
            </w:r>
          </w:p>
        </w:tc>
        <w:tc>
          <w:tcPr>
            <w:tcW w:w="1351" w:type="dxa"/>
            <w:shd w:val="clear" w:color="auto" w:fill="auto"/>
          </w:tcPr>
          <w:p w:rsidR="00082FF4" w:rsidRPr="004D69B6" w:rsidRDefault="00082FF4" w:rsidP="00134A77">
            <w:pPr>
              <w:jc w:val="center"/>
              <w:rPr>
                <w:b/>
              </w:rPr>
            </w:pPr>
            <w:r w:rsidRPr="004D69B6">
              <w:rPr>
                <w:b/>
              </w:rPr>
              <w:t>2014</w:t>
            </w:r>
          </w:p>
        </w:tc>
      </w:tr>
      <w:tr w:rsidR="00082FF4" w:rsidRPr="004D69B6" w:rsidTr="00134A77">
        <w:tc>
          <w:tcPr>
            <w:tcW w:w="1451" w:type="dxa"/>
            <w:vMerge w:val="restart"/>
            <w:shd w:val="clear" w:color="auto" w:fill="auto"/>
            <w:vAlign w:val="center"/>
          </w:tcPr>
          <w:p w:rsidR="00082FF4" w:rsidRPr="00B37B73" w:rsidRDefault="00082FF4" w:rsidP="00134A77">
            <w:r w:rsidRPr="00B37B73">
              <w:t>количество</w:t>
            </w:r>
          </w:p>
        </w:tc>
        <w:tc>
          <w:tcPr>
            <w:tcW w:w="1540" w:type="dxa"/>
            <w:shd w:val="clear" w:color="auto" w:fill="auto"/>
            <w:vAlign w:val="center"/>
          </w:tcPr>
          <w:p w:rsidR="00082FF4" w:rsidRPr="00B37B73" w:rsidRDefault="00082FF4" w:rsidP="00134A77">
            <w:r w:rsidRPr="00B37B73">
              <w:t>безналич</w:t>
            </w:r>
            <w:r>
              <w:t>ные</w:t>
            </w:r>
          </w:p>
        </w:tc>
        <w:tc>
          <w:tcPr>
            <w:tcW w:w="1351" w:type="dxa"/>
            <w:shd w:val="clear" w:color="auto" w:fill="auto"/>
            <w:vAlign w:val="center"/>
          </w:tcPr>
          <w:p w:rsidR="00082FF4" w:rsidRPr="007D079F" w:rsidRDefault="00082FF4" w:rsidP="00134A77">
            <w:pPr>
              <w:jc w:val="center"/>
            </w:pPr>
            <w:r w:rsidRPr="007D079F">
              <w:t>25,4%</w:t>
            </w:r>
          </w:p>
        </w:tc>
        <w:tc>
          <w:tcPr>
            <w:tcW w:w="1351" w:type="dxa"/>
            <w:shd w:val="clear" w:color="auto" w:fill="auto"/>
            <w:vAlign w:val="center"/>
          </w:tcPr>
          <w:p w:rsidR="00082FF4" w:rsidRPr="007D079F" w:rsidRDefault="00082FF4" w:rsidP="00134A77">
            <w:pPr>
              <w:jc w:val="center"/>
            </w:pPr>
            <w:r w:rsidRPr="007D079F">
              <w:t>20,4%</w:t>
            </w:r>
          </w:p>
        </w:tc>
        <w:tc>
          <w:tcPr>
            <w:tcW w:w="1351" w:type="dxa"/>
            <w:shd w:val="clear" w:color="auto" w:fill="auto"/>
            <w:vAlign w:val="center"/>
          </w:tcPr>
          <w:p w:rsidR="00082FF4" w:rsidRPr="007D079F" w:rsidRDefault="00082FF4" w:rsidP="00134A77">
            <w:pPr>
              <w:jc w:val="center"/>
            </w:pPr>
            <w:r w:rsidRPr="007D079F">
              <w:t>33,9%</w:t>
            </w:r>
          </w:p>
        </w:tc>
        <w:tc>
          <w:tcPr>
            <w:tcW w:w="1351" w:type="dxa"/>
            <w:shd w:val="clear" w:color="auto" w:fill="auto"/>
            <w:vAlign w:val="center"/>
          </w:tcPr>
          <w:p w:rsidR="00082FF4" w:rsidRPr="007D079F" w:rsidRDefault="00082FF4" w:rsidP="00134A77">
            <w:pPr>
              <w:jc w:val="center"/>
            </w:pPr>
            <w:r w:rsidRPr="007D079F">
              <w:t>31,3%</w:t>
            </w:r>
          </w:p>
        </w:tc>
        <w:tc>
          <w:tcPr>
            <w:tcW w:w="1351" w:type="dxa"/>
            <w:shd w:val="clear" w:color="auto" w:fill="auto"/>
            <w:vAlign w:val="center"/>
          </w:tcPr>
          <w:p w:rsidR="00082FF4" w:rsidRPr="007D079F" w:rsidRDefault="00082FF4" w:rsidP="00134A77">
            <w:pPr>
              <w:jc w:val="center"/>
            </w:pPr>
            <w:r w:rsidRPr="007D079F">
              <w:t>19,7%</w:t>
            </w:r>
          </w:p>
        </w:tc>
      </w:tr>
      <w:tr w:rsidR="00082FF4" w:rsidRPr="004D69B6" w:rsidTr="00134A77">
        <w:tc>
          <w:tcPr>
            <w:tcW w:w="1451" w:type="dxa"/>
            <w:vMerge/>
            <w:shd w:val="clear" w:color="auto" w:fill="auto"/>
            <w:vAlign w:val="center"/>
          </w:tcPr>
          <w:p w:rsidR="00082FF4" w:rsidRPr="00B37B73" w:rsidRDefault="00082FF4" w:rsidP="00134A77"/>
        </w:tc>
        <w:tc>
          <w:tcPr>
            <w:tcW w:w="1540" w:type="dxa"/>
            <w:shd w:val="clear" w:color="auto" w:fill="auto"/>
            <w:vAlign w:val="center"/>
          </w:tcPr>
          <w:p w:rsidR="00082FF4" w:rsidRPr="00B37B73" w:rsidRDefault="00082FF4" w:rsidP="00134A77">
            <w:r w:rsidRPr="00B37B73">
              <w:t>налич</w:t>
            </w:r>
            <w:r>
              <w:t>ные</w:t>
            </w:r>
          </w:p>
        </w:tc>
        <w:tc>
          <w:tcPr>
            <w:tcW w:w="1351" w:type="dxa"/>
            <w:shd w:val="clear" w:color="auto" w:fill="auto"/>
            <w:vAlign w:val="center"/>
          </w:tcPr>
          <w:p w:rsidR="00082FF4" w:rsidRPr="007D079F" w:rsidRDefault="00082FF4" w:rsidP="00134A77">
            <w:pPr>
              <w:jc w:val="center"/>
            </w:pPr>
            <w:r w:rsidRPr="007D079F">
              <w:t>13,3%</w:t>
            </w:r>
          </w:p>
        </w:tc>
        <w:tc>
          <w:tcPr>
            <w:tcW w:w="1351" w:type="dxa"/>
            <w:shd w:val="clear" w:color="auto" w:fill="auto"/>
            <w:vAlign w:val="center"/>
          </w:tcPr>
          <w:p w:rsidR="00082FF4" w:rsidRPr="007D079F" w:rsidRDefault="00082FF4" w:rsidP="00134A77">
            <w:pPr>
              <w:jc w:val="center"/>
            </w:pPr>
            <w:r w:rsidRPr="007D079F">
              <w:t>12,8%</w:t>
            </w:r>
          </w:p>
        </w:tc>
        <w:tc>
          <w:tcPr>
            <w:tcW w:w="1351" w:type="dxa"/>
            <w:shd w:val="clear" w:color="auto" w:fill="auto"/>
            <w:vAlign w:val="center"/>
          </w:tcPr>
          <w:p w:rsidR="00082FF4" w:rsidRPr="007D079F" w:rsidRDefault="00082FF4" w:rsidP="00134A77">
            <w:pPr>
              <w:jc w:val="center"/>
            </w:pPr>
            <w:r w:rsidRPr="007D079F">
              <w:t>17,2%</w:t>
            </w:r>
          </w:p>
        </w:tc>
        <w:tc>
          <w:tcPr>
            <w:tcW w:w="1351" w:type="dxa"/>
            <w:shd w:val="clear" w:color="auto" w:fill="auto"/>
            <w:vAlign w:val="center"/>
          </w:tcPr>
          <w:p w:rsidR="00082FF4" w:rsidRPr="007D079F" w:rsidRDefault="00082FF4" w:rsidP="00134A77">
            <w:pPr>
              <w:jc w:val="center"/>
            </w:pPr>
            <w:r w:rsidRPr="007D079F">
              <w:t>9,9%</w:t>
            </w:r>
          </w:p>
        </w:tc>
        <w:tc>
          <w:tcPr>
            <w:tcW w:w="1351" w:type="dxa"/>
            <w:shd w:val="clear" w:color="auto" w:fill="auto"/>
            <w:vAlign w:val="center"/>
          </w:tcPr>
          <w:p w:rsidR="00082FF4" w:rsidRPr="007D079F" w:rsidRDefault="00082FF4" w:rsidP="00134A77">
            <w:pPr>
              <w:jc w:val="center"/>
            </w:pPr>
            <w:r w:rsidRPr="007D079F">
              <w:t>9,3%</w:t>
            </w:r>
          </w:p>
        </w:tc>
      </w:tr>
      <w:tr w:rsidR="00082FF4" w:rsidRPr="004D69B6" w:rsidTr="00134A77">
        <w:tc>
          <w:tcPr>
            <w:tcW w:w="1451" w:type="dxa"/>
            <w:vMerge w:val="restart"/>
            <w:shd w:val="clear" w:color="auto" w:fill="auto"/>
            <w:vAlign w:val="center"/>
          </w:tcPr>
          <w:p w:rsidR="00082FF4" w:rsidRPr="00B37B73" w:rsidRDefault="00082FF4" w:rsidP="00134A77">
            <w:r w:rsidRPr="00B37B73">
              <w:t>сумма</w:t>
            </w:r>
          </w:p>
        </w:tc>
        <w:tc>
          <w:tcPr>
            <w:tcW w:w="1540" w:type="dxa"/>
            <w:shd w:val="clear" w:color="auto" w:fill="auto"/>
            <w:vAlign w:val="center"/>
          </w:tcPr>
          <w:p w:rsidR="00082FF4" w:rsidRPr="00B37B73" w:rsidRDefault="00082FF4" w:rsidP="00134A77">
            <w:r w:rsidRPr="00B37B73">
              <w:t>безналич</w:t>
            </w:r>
            <w:r>
              <w:t>ные</w:t>
            </w:r>
          </w:p>
        </w:tc>
        <w:tc>
          <w:tcPr>
            <w:tcW w:w="1351" w:type="dxa"/>
            <w:shd w:val="clear" w:color="auto" w:fill="auto"/>
            <w:vAlign w:val="center"/>
          </w:tcPr>
          <w:p w:rsidR="00082FF4" w:rsidRPr="007D079F" w:rsidRDefault="00082FF4" w:rsidP="00134A77">
            <w:pPr>
              <w:jc w:val="center"/>
            </w:pPr>
            <w:r w:rsidRPr="007D079F">
              <w:t>34,9%</w:t>
            </w:r>
          </w:p>
        </w:tc>
        <w:tc>
          <w:tcPr>
            <w:tcW w:w="1351" w:type="dxa"/>
            <w:shd w:val="clear" w:color="auto" w:fill="auto"/>
            <w:vAlign w:val="center"/>
          </w:tcPr>
          <w:p w:rsidR="00082FF4" w:rsidRPr="007D079F" w:rsidRDefault="00082FF4" w:rsidP="00134A77">
            <w:pPr>
              <w:jc w:val="center"/>
            </w:pPr>
            <w:r w:rsidRPr="007D079F">
              <w:t>42,2%</w:t>
            </w:r>
          </w:p>
        </w:tc>
        <w:tc>
          <w:tcPr>
            <w:tcW w:w="1351" w:type="dxa"/>
            <w:shd w:val="clear" w:color="auto" w:fill="auto"/>
            <w:vAlign w:val="center"/>
          </w:tcPr>
          <w:p w:rsidR="00082FF4" w:rsidRPr="007D079F" w:rsidRDefault="00082FF4" w:rsidP="00134A77">
            <w:pPr>
              <w:jc w:val="center"/>
            </w:pPr>
            <w:r w:rsidRPr="007D079F">
              <w:t>31,6%</w:t>
            </w:r>
          </w:p>
        </w:tc>
        <w:tc>
          <w:tcPr>
            <w:tcW w:w="1351" w:type="dxa"/>
            <w:shd w:val="clear" w:color="auto" w:fill="auto"/>
            <w:vAlign w:val="center"/>
          </w:tcPr>
          <w:p w:rsidR="00082FF4" w:rsidRPr="007D079F" w:rsidRDefault="00082FF4" w:rsidP="00134A77">
            <w:pPr>
              <w:jc w:val="center"/>
            </w:pPr>
            <w:r w:rsidRPr="007D079F">
              <w:t>19,8%</w:t>
            </w:r>
          </w:p>
        </w:tc>
        <w:tc>
          <w:tcPr>
            <w:tcW w:w="1351" w:type="dxa"/>
            <w:shd w:val="clear" w:color="auto" w:fill="auto"/>
            <w:vAlign w:val="center"/>
          </w:tcPr>
          <w:p w:rsidR="00082FF4" w:rsidRPr="007D079F" w:rsidRDefault="00082FF4" w:rsidP="00134A77">
            <w:pPr>
              <w:jc w:val="center"/>
            </w:pPr>
            <w:r w:rsidRPr="007D079F">
              <w:t>7,3%</w:t>
            </w:r>
          </w:p>
        </w:tc>
      </w:tr>
      <w:tr w:rsidR="00082FF4" w:rsidRPr="004D69B6" w:rsidTr="00134A77">
        <w:tc>
          <w:tcPr>
            <w:tcW w:w="1451" w:type="dxa"/>
            <w:vMerge/>
            <w:shd w:val="clear" w:color="auto" w:fill="auto"/>
            <w:vAlign w:val="center"/>
          </w:tcPr>
          <w:p w:rsidR="00082FF4" w:rsidRPr="004D69B6" w:rsidRDefault="00082FF4" w:rsidP="00134A77">
            <w:pPr>
              <w:rPr>
                <w:sz w:val="28"/>
                <w:szCs w:val="28"/>
              </w:rPr>
            </w:pPr>
          </w:p>
        </w:tc>
        <w:tc>
          <w:tcPr>
            <w:tcW w:w="1540" w:type="dxa"/>
            <w:shd w:val="clear" w:color="auto" w:fill="auto"/>
            <w:vAlign w:val="center"/>
          </w:tcPr>
          <w:p w:rsidR="00082FF4" w:rsidRPr="00B37B73" w:rsidRDefault="00082FF4" w:rsidP="00134A77">
            <w:r w:rsidRPr="00B37B73">
              <w:t>налич</w:t>
            </w:r>
            <w:r>
              <w:t>ные</w:t>
            </w:r>
          </w:p>
        </w:tc>
        <w:tc>
          <w:tcPr>
            <w:tcW w:w="1351" w:type="dxa"/>
            <w:shd w:val="clear" w:color="auto" w:fill="auto"/>
            <w:vAlign w:val="center"/>
          </w:tcPr>
          <w:p w:rsidR="00082FF4" w:rsidRPr="007D079F" w:rsidRDefault="00082FF4" w:rsidP="00134A77">
            <w:pPr>
              <w:jc w:val="center"/>
            </w:pPr>
            <w:r w:rsidRPr="007D079F">
              <w:t>25,2%</w:t>
            </w:r>
          </w:p>
        </w:tc>
        <w:tc>
          <w:tcPr>
            <w:tcW w:w="1351" w:type="dxa"/>
            <w:shd w:val="clear" w:color="auto" w:fill="auto"/>
            <w:vAlign w:val="center"/>
          </w:tcPr>
          <w:p w:rsidR="00082FF4" w:rsidRPr="007D079F" w:rsidRDefault="00082FF4" w:rsidP="00134A77">
            <w:pPr>
              <w:jc w:val="center"/>
            </w:pPr>
            <w:r w:rsidRPr="007D079F">
              <w:t>28,2%</w:t>
            </w:r>
          </w:p>
        </w:tc>
        <w:tc>
          <w:tcPr>
            <w:tcW w:w="1351" w:type="dxa"/>
            <w:shd w:val="clear" w:color="auto" w:fill="auto"/>
            <w:vAlign w:val="center"/>
          </w:tcPr>
          <w:p w:rsidR="00082FF4" w:rsidRPr="007D079F" w:rsidRDefault="00082FF4" w:rsidP="00134A77">
            <w:pPr>
              <w:jc w:val="center"/>
            </w:pPr>
            <w:r w:rsidRPr="007D079F">
              <w:t>27,4%</w:t>
            </w:r>
          </w:p>
        </w:tc>
        <w:tc>
          <w:tcPr>
            <w:tcW w:w="1351" w:type="dxa"/>
            <w:shd w:val="clear" w:color="auto" w:fill="auto"/>
            <w:vAlign w:val="center"/>
          </w:tcPr>
          <w:p w:rsidR="00082FF4" w:rsidRPr="007D079F" w:rsidRDefault="00082FF4" w:rsidP="00134A77">
            <w:pPr>
              <w:jc w:val="center"/>
            </w:pPr>
            <w:r w:rsidRPr="007D079F">
              <w:t>17,2%</w:t>
            </w:r>
          </w:p>
        </w:tc>
        <w:tc>
          <w:tcPr>
            <w:tcW w:w="1351" w:type="dxa"/>
            <w:shd w:val="clear" w:color="auto" w:fill="auto"/>
            <w:vAlign w:val="center"/>
          </w:tcPr>
          <w:p w:rsidR="00082FF4" w:rsidRPr="007D079F" w:rsidRDefault="00082FF4" w:rsidP="00134A77">
            <w:pPr>
              <w:jc w:val="center"/>
            </w:pPr>
            <w:r w:rsidRPr="007D079F">
              <w:t>20,1%</w:t>
            </w:r>
          </w:p>
        </w:tc>
      </w:tr>
    </w:tbl>
    <w:p w:rsidR="00082FF4" w:rsidRDefault="00082FF4" w:rsidP="00082FF4">
      <w:pPr>
        <w:ind w:firstLine="709"/>
        <w:jc w:val="both"/>
        <w:rPr>
          <w:sz w:val="28"/>
          <w:szCs w:val="28"/>
        </w:rPr>
      </w:pPr>
      <w:r>
        <w:rPr>
          <w:sz w:val="28"/>
          <w:szCs w:val="28"/>
        </w:rPr>
        <w:t>В 2014 году прирост объемов безналичных платежей почти в три раза оказался меньше роста объемов операций по выдаче наличных денег. Доля объемов безналичных платежей в 2014 году составила 12,8%, тогда как в 2013 году – 14,1%.</w:t>
      </w:r>
    </w:p>
    <w:p w:rsidR="00082FF4" w:rsidRDefault="00786A4E" w:rsidP="00082FF4">
      <w:pPr>
        <w:jc w:val="both"/>
        <w:rPr>
          <w:sz w:val="28"/>
          <w:szCs w:val="28"/>
        </w:rPr>
      </w:pPr>
      <w:r w:rsidRPr="007A05EB">
        <w:rPr>
          <w:noProof/>
          <w:sz w:val="28"/>
          <w:szCs w:val="28"/>
        </w:rPr>
        <w:lastRenderedPageBreak/>
        <w:drawing>
          <wp:inline distT="0" distB="0" distL="0" distR="0">
            <wp:extent cx="6315075" cy="2314575"/>
            <wp:effectExtent l="0" t="0" r="0" b="0"/>
            <wp:docPr id="20" name="Объект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082FF4">
        <w:rPr>
          <w:sz w:val="28"/>
          <w:szCs w:val="28"/>
        </w:rPr>
        <w:tab/>
        <w:t>Связано это вероятнее всего с ожиданиями людей по резкому изменению валютного курса, что повлекло изменение пропорций в сторону снятия наличных средств. Также следует отметить и рост средней суммы операции по снятию наличных денег – увеличение с 34,9 тыс. тенге в 2013 году до 38,3 тысяч в 2014 году, тогда как средняя сумма безналичных платежей (без учета таможенных платежей</w:t>
      </w:r>
      <w:r w:rsidR="00082FF4">
        <w:rPr>
          <w:rStyle w:val="ab"/>
          <w:sz w:val="28"/>
          <w:szCs w:val="28"/>
        </w:rPr>
        <w:footnoteReference w:id="21"/>
      </w:r>
      <w:r w:rsidR="00082FF4">
        <w:rPr>
          <w:sz w:val="28"/>
          <w:szCs w:val="28"/>
        </w:rPr>
        <w:t>) немного уменьшилась, составив 11,7 и 11,3 тыс. тенге в 2013-2014 годах соответственно. При этом сохранилась динамика опережающего роста количества безналичных платежей, хотя и менее выразительно по сравнению с предыдущими годами. Доля количества безналичных платежей увеличилась в 2014 году с 25,2% до 26,9%.</w:t>
      </w:r>
    </w:p>
    <w:p w:rsidR="00082FF4" w:rsidRDefault="00786A4E" w:rsidP="00082FF4">
      <w:pPr>
        <w:jc w:val="both"/>
      </w:pPr>
      <w:r w:rsidRPr="007A05EB">
        <w:rPr>
          <w:noProof/>
          <w:sz w:val="28"/>
          <w:szCs w:val="28"/>
        </w:rPr>
        <w:drawing>
          <wp:inline distT="0" distB="0" distL="0" distR="0">
            <wp:extent cx="6200775" cy="2190750"/>
            <wp:effectExtent l="0" t="0" r="0" b="0"/>
            <wp:docPr id="21" name="Объект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082FF4">
        <w:tab/>
      </w:r>
      <w:r w:rsidR="00082FF4" w:rsidRPr="000A79A7">
        <w:rPr>
          <w:sz w:val="28"/>
          <w:szCs w:val="28"/>
        </w:rPr>
        <w:t>Таким образом</w:t>
      </w:r>
      <w:r w:rsidR="00082FF4">
        <w:rPr>
          <w:sz w:val="28"/>
          <w:szCs w:val="28"/>
        </w:rPr>
        <w:t>, на протяжении последних лет наблюдаются положительные тенденции в использовании платежных карточек для оплаты товаров и услуг на небольшие суммы.</w:t>
      </w:r>
    </w:p>
    <w:p w:rsidR="00082FF4" w:rsidRDefault="00082FF4" w:rsidP="00082FF4">
      <w:pPr>
        <w:ind w:firstLine="708"/>
        <w:jc w:val="both"/>
        <w:rPr>
          <w:sz w:val="28"/>
          <w:szCs w:val="28"/>
        </w:rPr>
      </w:pPr>
      <w:r>
        <w:rPr>
          <w:sz w:val="28"/>
          <w:szCs w:val="28"/>
        </w:rPr>
        <w:t>При сравнении с похожими рынками других стран доля безналичных платежей в общей структуре платежей с использованием платежных карточек в Казахстане остается низкой. Так, в России указанные платежи за 1-3 кварталы 2014 года составил</w:t>
      </w:r>
      <w:r w:rsidR="00AB15DF">
        <w:rPr>
          <w:sz w:val="28"/>
          <w:szCs w:val="28"/>
        </w:rPr>
        <w:t>и</w:t>
      </w:r>
      <w:r>
        <w:rPr>
          <w:sz w:val="28"/>
          <w:szCs w:val="28"/>
        </w:rPr>
        <w:t xml:space="preserve"> 57,9% от количества и 19,8% от суммы, в Белоруссии в 2014 году - 72,0% от количества и 25,9% от суммы.</w:t>
      </w:r>
    </w:p>
    <w:p w:rsidR="00082FF4" w:rsidRDefault="00082FF4" w:rsidP="00082FF4">
      <w:pPr>
        <w:ind w:firstLine="709"/>
        <w:jc w:val="both"/>
        <w:rPr>
          <w:sz w:val="28"/>
          <w:szCs w:val="28"/>
        </w:rPr>
      </w:pPr>
      <w:r>
        <w:rPr>
          <w:sz w:val="28"/>
          <w:szCs w:val="28"/>
        </w:rPr>
        <w:t xml:space="preserve">В региональном разрезе рынок электронных банковских услуг в 2014 году кардинальных изменений не претерпел. По-прежнему, наиболее позитивная ситуация развития рынка наблюдается в г. Алматы и г. Астана, в </w:t>
      </w:r>
      <w:r>
        <w:rPr>
          <w:sz w:val="28"/>
          <w:szCs w:val="28"/>
        </w:rPr>
        <w:lastRenderedPageBreak/>
        <w:t>частности, при соотношении жителей данных городов с показателями рынка платежных карточек.</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1526"/>
        <w:gridCol w:w="1276"/>
        <w:gridCol w:w="1276"/>
        <w:gridCol w:w="1842"/>
        <w:gridCol w:w="2127"/>
      </w:tblGrid>
      <w:tr w:rsidR="00082FF4" w:rsidRPr="00B245D5" w:rsidTr="00134A77">
        <w:trPr>
          <w:trHeight w:val="735"/>
        </w:trPr>
        <w:tc>
          <w:tcPr>
            <w:tcW w:w="2018" w:type="dxa"/>
            <w:vMerge w:val="restart"/>
            <w:shd w:val="clear" w:color="auto" w:fill="C2D69B"/>
            <w:vAlign w:val="center"/>
          </w:tcPr>
          <w:p w:rsidR="00082FF4" w:rsidRPr="00B245D5" w:rsidRDefault="00082FF4" w:rsidP="00134A77">
            <w:pPr>
              <w:rPr>
                <w:b/>
              </w:rPr>
            </w:pPr>
            <w:r w:rsidRPr="00B245D5">
              <w:rPr>
                <w:b/>
              </w:rPr>
              <w:t>Наименование области/города</w:t>
            </w:r>
          </w:p>
        </w:tc>
        <w:tc>
          <w:tcPr>
            <w:tcW w:w="4078" w:type="dxa"/>
            <w:gridSpan w:val="3"/>
            <w:shd w:val="clear" w:color="auto" w:fill="C2D69B"/>
            <w:vAlign w:val="center"/>
          </w:tcPr>
          <w:p w:rsidR="00082FF4" w:rsidRPr="00B245D5" w:rsidRDefault="00082FF4" w:rsidP="00134A77">
            <w:pPr>
              <w:jc w:val="center"/>
              <w:rPr>
                <w:b/>
              </w:rPr>
            </w:pPr>
            <w:r>
              <w:rPr>
                <w:b/>
              </w:rPr>
              <w:t>к</w:t>
            </w:r>
            <w:r w:rsidRPr="00B245D5">
              <w:rPr>
                <w:b/>
              </w:rPr>
              <w:t>ол</w:t>
            </w:r>
            <w:r>
              <w:rPr>
                <w:b/>
              </w:rPr>
              <w:t>-</w:t>
            </w:r>
            <w:r w:rsidRPr="00B245D5">
              <w:rPr>
                <w:b/>
              </w:rPr>
              <w:t>во жителей региона, приходящихся на единицу показателя в 2014 году</w:t>
            </w:r>
          </w:p>
        </w:tc>
        <w:tc>
          <w:tcPr>
            <w:tcW w:w="3969" w:type="dxa"/>
            <w:gridSpan w:val="2"/>
            <w:shd w:val="clear" w:color="auto" w:fill="C2D69B"/>
            <w:vAlign w:val="center"/>
          </w:tcPr>
          <w:p w:rsidR="00082FF4" w:rsidRPr="00B245D5" w:rsidRDefault="00082FF4" w:rsidP="00134A77">
            <w:pPr>
              <w:ind w:hanging="108"/>
              <w:jc w:val="center"/>
              <w:rPr>
                <w:b/>
              </w:rPr>
            </w:pPr>
            <w:r>
              <w:rPr>
                <w:b/>
              </w:rPr>
              <w:t>к</w:t>
            </w:r>
            <w:r w:rsidRPr="00B245D5">
              <w:rPr>
                <w:b/>
              </w:rPr>
              <w:t>ол</w:t>
            </w:r>
            <w:r>
              <w:rPr>
                <w:b/>
              </w:rPr>
              <w:t>-</w:t>
            </w:r>
            <w:r w:rsidRPr="00B245D5">
              <w:rPr>
                <w:b/>
              </w:rPr>
              <w:t>во платежей с использованием платежных карточек, приходящихся на одного жителя региона в 2014 году</w:t>
            </w:r>
          </w:p>
        </w:tc>
      </w:tr>
      <w:tr w:rsidR="00082FF4" w:rsidRPr="00B245D5" w:rsidTr="00134A77">
        <w:tc>
          <w:tcPr>
            <w:tcW w:w="2018" w:type="dxa"/>
            <w:vMerge/>
            <w:shd w:val="clear" w:color="auto" w:fill="C2D69B"/>
          </w:tcPr>
          <w:p w:rsidR="00082FF4" w:rsidRPr="00B245D5" w:rsidRDefault="00082FF4" w:rsidP="00134A77">
            <w:pPr>
              <w:jc w:val="both"/>
              <w:rPr>
                <w:b/>
              </w:rPr>
            </w:pPr>
          </w:p>
        </w:tc>
        <w:tc>
          <w:tcPr>
            <w:tcW w:w="1526" w:type="dxa"/>
            <w:shd w:val="clear" w:color="auto" w:fill="C2D69B"/>
            <w:vAlign w:val="center"/>
          </w:tcPr>
          <w:p w:rsidR="00082FF4" w:rsidRPr="00B245D5" w:rsidRDefault="00082FF4" w:rsidP="00134A77">
            <w:pPr>
              <w:jc w:val="center"/>
            </w:pPr>
            <w:r w:rsidRPr="00B245D5">
              <w:t>активная платежная карта</w:t>
            </w:r>
            <w:r w:rsidRPr="00B245D5">
              <w:rPr>
                <w:rStyle w:val="ab"/>
              </w:rPr>
              <w:footnoteReference w:id="22"/>
            </w:r>
          </w:p>
        </w:tc>
        <w:tc>
          <w:tcPr>
            <w:tcW w:w="1276" w:type="dxa"/>
            <w:shd w:val="clear" w:color="auto" w:fill="C2D69B"/>
            <w:vAlign w:val="center"/>
          </w:tcPr>
          <w:p w:rsidR="00082FF4" w:rsidRPr="00B245D5" w:rsidRDefault="00082FF4" w:rsidP="00134A77">
            <w:pPr>
              <w:jc w:val="center"/>
            </w:pPr>
            <w:r w:rsidRPr="00B245D5">
              <w:t>POS-терминал</w:t>
            </w:r>
          </w:p>
        </w:tc>
        <w:tc>
          <w:tcPr>
            <w:tcW w:w="1276" w:type="dxa"/>
            <w:shd w:val="clear" w:color="auto" w:fill="C2D69B"/>
            <w:vAlign w:val="center"/>
          </w:tcPr>
          <w:p w:rsidR="00082FF4" w:rsidRPr="00B245D5" w:rsidRDefault="00082FF4" w:rsidP="00134A77">
            <w:pPr>
              <w:jc w:val="center"/>
            </w:pPr>
            <w:r w:rsidRPr="00B245D5">
              <w:t>банкомат</w:t>
            </w:r>
          </w:p>
        </w:tc>
        <w:tc>
          <w:tcPr>
            <w:tcW w:w="1842" w:type="dxa"/>
            <w:shd w:val="clear" w:color="auto" w:fill="C2D69B"/>
            <w:vAlign w:val="center"/>
          </w:tcPr>
          <w:p w:rsidR="00082FF4" w:rsidRPr="00B245D5" w:rsidRDefault="00082FF4" w:rsidP="00134A77">
            <w:pPr>
              <w:jc w:val="center"/>
            </w:pPr>
            <w:r w:rsidRPr="00B245D5">
              <w:t>безналичные</w:t>
            </w:r>
          </w:p>
        </w:tc>
        <w:tc>
          <w:tcPr>
            <w:tcW w:w="2127" w:type="dxa"/>
            <w:shd w:val="clear" w:color="auto" w:fill="C2D69B"/>
            <w:vAlign w:val="center"/>
          </w:tcPr>
          <w:p w:rsidR="00082FF4" w:rsidRPr="00B245D5" w:rsidRDefault="00082FF4" w:rsidP="00134A77">
            <w:pPr>
              <w:jc w:val="center"/>
            </w:pPr>
            <w:r w:rsidRPr="00B245D5">
              <w:t>с использованием наличных денег</w:t>
            </w:r>
          </w:p>
        </w:tc>
      </w:tr>
      <w:tr w:rsidR="00082FF4" w:rsidRPr="00B245D5" w:rsidTr="00134A77">
        <w:tc>
          <w:tcPr>
            <w:tcW w:w="2018" w:type="dxa"/>
            <w:shd w:val="clear" w:color="auto" w:fill="EAF1DD"/>
            <w:vAlign w:val="bottom"/>
          </w:tcPr>
          <w:p w:rsidR="00082FF4" w:rsidRPr="00B245D5" w:rsidRDefault="00082FF4" w:rsidP="00134A77">
            <w:r w:rsidRPr="00B245D5">
              <w:t xml:space="preserve">Акмолинская                  </w:t>
            </w:r>
          </w:p>
        </w:tc>
        <w:tc>
          <w:tcPr>
            <w:tcW w:w="1526" w:type="dxa"/>
            <w:vAlign w:val="center"/>
          </w:tcPr>
          <w:p w:rsidR="00082FF4" w:rsidRPr="00B245D5" w:rsidRDefault="00082FF4" w:rsidP="00134A77">
            <w:pPr>
              <w:jc w:val="center"/>
            </w:pPr>
            <w:r w:rsidRPr="00B245D5">
              <w:t>4</w:t>
            </w:r>
          </w:p>
        </w:tc>
        <w:tc>
          <w:tcPr>
            <w:tcW w:w="1276" w:type="dxa"/>
            <w:vAlign w:val="center"/>
          </w:tcPr>
          <w:p w:rsidR="00082FF4" w:rsidRPr="00B245D5" w:rsidRDefault="00082FF4" w:rsidP="00134A77">
            <w:pPr>
              <w:jc w:val="center"/>
            </w:pPr>
            <w:r w:rsidRPr="00B245D5">
              <w:t>656</w:t>
            </w:r>
          </w:p>
        </w:tc>
        <w:tc>
          <w:tcPr>
            <w:tcW w:w="1276" w:type="dxa"/>
            <w:vAlign w:val="center"/>
          </w:tcPr>
          <w:p w:rsidR="00082FF4" w:rsidRPr="00B245D5" w:rsidRDefault="00082FF4" w:rsidP="00134A77">
            <w:pPr>
              <w:jc w:val="center"/>
            </w:pPr>
            <w:r w:rsidRPr="00B245D5">
              <w:t>2 384</w:t>
            </w:r>
          </w:p>
        </w:tc>
        <w:tc>
          <w:tcPr>
            <w:tcW w:w="1842" w:type="dxa"/>
            <w:vAlign w:val="center"/>
          </w:tcPr>
          <w:p w:rsidR="00082FF4" w:rsidRPr="00B245D5" w:rsidRDefault="00082FF4" w:rsidP="00134A77">
            <w:pPr>
              <w:jc w:val="center"/>
            </w:pPr>
            <w:r w:rsidRPr="00B245D5">
              <w:t>1</w:t>
            </w:r>
          </w:p>
        </w:tc>
        <w:tc>
          <w:tcPr>
            <w:tcW w:w="2127" w:type="dxa"/>
            <w:vAlign w:val="center"/>
          </w:tcPr>
          <w:p w:rsidR="00082FF4" w:rsidRPr="00B245D5" w:rsidRDefault="00082FF4" w:rsidP="00134A77">
            <w:pPr>
              <w:jc w:val="center"/>
            </w:pPr>
            <w:r w:rsidRPr="00B245D5">
              <w:t>8</w:t>
            </w:r>
          </w:p>
        </w:tc>
      </w:tr>
      <w:tr w:rsidR="00082FF4" w:rsidRPr="00B245D5" w:rsidTr="00134A77">
        <w:tc>
          <w:tcPr>
            <w:tcW w:w="2018" w:type="dxa"/>
            <w:shd w:val="clear" w:color="auto" w:fill="EAF1DD"/>
            <w:vAlign w:val="bottom"/>
          </w:tcPr>
          <w:p w:rsidR="00082FF4" w:rsidRPr="00B245D5" w:rsidRDefault="00082FF4" w:rsidP="00134A77">
            <w:r w:rsidRPr="00B245D5">
              <w:t>Актюбинская</w:t>
            </w:r>
          </w:p>
        </w:tc>
        <w:tc>
          <w:tcPr>
            <w:tcW w:w="1526" w:type="dxa"/>
            <w:vAlign w:val="center"/>
          </w:tcPr>
          <w:p w:rsidR="00082FF4" w:rsidRPr="00B245D5" w:rsidRDefault="00082FF4" w:rsidP="00134A77">
            <w:pPr>
              <w:jc w:val="center"/>
            </w:pPr>
            <w:r w:rsidRPr="00B245D5">
              <w:t>3</w:t>
            </w:r>
          </w:p>
        </w:tc>
        <w:tc>
          <w:tcPr>
            <w:tcW w:w="1276" w:type="dxa"/>
            <w:vAlign w:val="center"/>
          </w:tcPr>
          <w:p w:rsidR="00082FF4" w:rsidRPr="00B245D5" w:rsidRDefault="00082FF4" w:rsidP="00134A77">
            <w:pPr>
              <w:jc w:val="center"/>
            </w:pPr>
            <w:r w:rsidRPr="00B245D5">
              <w:t>395</w:t>
            </w:r>
          </w:p>
        </w:tc>
        <w:tc>
          <w:tcPr>
            <w:tcW w:w="1276" w:type="dxa"/>
            <w:vAlign w:val="center"/>
          </w:tcPr>
          <w:p w:rsidR="00082FF4" w:rsidRPr="00B245D5" w:rsidRDefault="00082FF4" w:rsidP="00134A77">
            <w:pPr>
              <w:jc w:val="center"/>
            </w:pPr>
            <w:r w:rsidRPr="00B245D5">
              <w:t>1 750</w:t>
            </w:r>
          </w:p>
        </w:tc>
        <w:tc>
          <w:tcPr>
            <w:tcW w:w="1842" w:type="dxa"/>
            <w:vAlign w:val="center"/>
          </w:tcPr>
          <w:p w:rsidR="00082FF4" w:rsidRPr="00B245D5" w:rsidRDefault="00082FF4" w:rsidP="00134A77">
            <w:pPr>
              <w:jc w:val="center"/>
            </w:pPr>
            <w:r w:rsidRPr="00B245D5">
              <w:t>2</w:t>
            </w:r>
          </w:p>
        </w:tc>
        <w:tc>
          <w:tcPr>
            <w:tcW w:w="2127" w:type="dxa"/>
            <w:vAlign w:val="center"/>
          </w:tcPr>
          <w:p w:rsidR="00082FF4" w:rsidRPr="00B245D5" w:rsidRDefault="00082FF4" w:rsidP="00134A77">
            <w:pPr>
              <w:jc w:val="center"/>
            </w:pPr>
            <w:r w:rsidRPr="00B245D5">
              <w:t>11</w:t>
            </w:r>
          </w:p>
        </w:tc>
      </w:tr>
      <w:tr w:rsidR="00082FF4" w:rsidRPr="00B245D5" w:rsidTr="00134A77">
        <w:tc>
          <w:tcPr>
            <w:tcW w:w="2018" w:type="dxa"/>
            <w:shd w:val="clear" w:color="auto" w:fill="EAF1DD"/>
            <w:vAlign w:val="bottom"/>
          </w:tcPr>
          <w:p w:rsidR="00082FF4" w:rsidRPr="00B245D5" w:rsidRDefault="00082FF4" w:rsidP="00134A77">
            <w:r w:rsidRPr="00B245D5">
              <w:t xml:space="preserve">Алматинская                   </w:t>
            </w:r>
          </w:p>
        </w:tc>
        <w:tc>
          <w:tcPr>
            <w:tcW w:w="1526" w:type="dxa"/>
            <w:vAlign w:val="center"/>
          </w:tcPr>
          <w:p w:rsidR="00082FF4" w:rsidRPr="00B245D5" w:rsidRDefault="00082FF4" w:rsidP="00134A77">
            <w:pPr>
              <w:jc w:val="center"/>
            </w:pPr>
            <w:r w:rsidRPr="00B245D5">
              <w:t>7</w:t>
            </w:r>
          </w:p>
        </w:tc>
        <w:tc>
          <w:tcPr>
            <w:tcW w:w="1276" w:type="dxa"/>
            <w:vAlign w:val="center"/>
          </w:tcPr>
          <w:p w:rsidR="00082FF4" w:rsidRPr="00B245D5" w:rsidRDefault="00082FF4" w:rsidP="00134A77">
            <w:pPr>
              <w:jc w:val="center"/>
            </w:pPr>
            <w:r w:rsidRPr="00B245D5">
              <w:t>1 626</w:t>
            </w:r>
          </w:p>
        </w:tc>
        <w:tc>
          <w:tcPr>
            <w:tcW w:w="1276" w:type="dxa"/>
            <w:vAlign w:val="center"/>
          </w:tcPr>
          <w:p w:rsidR="00082FF4" w:rsidRPr="00B245D5" w:rsidRDefault="00082FF4" w:rsidP="00134A77">
            <w:pPr>
              <w:jc w:val="center"/>
            </w:pPr>
            <w:r w:rsidRPr="00B245D5">
              <w:t>5 553</w:t>
            </w:r>
          </w:p>
        </w:tc>
        <w:tc>
          <w:tcPr>
            <w:tcW w:w="1842" w:type="dxa"/>
            <w:vAlign w:val="center"/>
          </w:tcPr>
          <w:p w:rsidR="00082FF4" w:rsidRPr="00B245D5" w:rsidRDefault="00082FF4" w:rsidP="00134A77">
            <w:pPr>
              <w:jc w:val="center"/>
            </w:pPr>
            <w:r w:rsidRPr="00B245D5">
              <w:t>1</w:t>
            </w:r>
          </w:p>
        </w:tc>
        <w:tc>
          <w:tcPr>
            <w:tcW w:w="2127" w:type="dxa"/>
            <w:vAlign w:val="center"/>
          </w:tcPr>
          <w:p w:rsidR="00082FF4" w:rsidRPr="00B245D5" w:rsidRDefault="00082FF4" w:rsidP="00134A77">
            <w:pPr>
              <w:jc w:val="center"/>
            </w:pPr>
            <w:r w:rsidRPr="00B245D5">
              <w:t>4</w:t>
            </w:r>
          </w:p>
        </w:tc>
      </w:tr>
      <w:tr w:rsidR="00082FF4" w:rsidRPr="00B245D5" w:rsidTr="00134A77">
        <w:tc>
          <w:tcPr>
            <w:tcW w:w="2018" w:type="dxa"/>
            <w:shd w:val="clear" w:color="auto" w:fill="EAF1DD"/>
            <w:vAlign w:val="bottom"/>
          </w:tcPr>
          <w:p w:rsidR="00082FF4" w:rsidRPr="00B245D5" w:rsidRDefault="00082FF4" w:rsidP="00134A77">
            <w:r w:rsidRPr="00B245D5">
              <w:t xml:space="preserve">Атырауская                    </w:t>
            </w:r>
          </w:p>
        </w:tc>
        <w:tc>
          <w:tcPr>
            <w:tcW w:w="1526" w:type="dxa"/>
            <w:vAlign w:val="center"/>
          </w:tcPr>
          <w:p w:rsidR="00082FF4" w:rsidRPr="00B245D5" w:rsidRDefault="00082FF4" w:rsidP="00134A77">
            <w:pPr>
              <w:jc w:val="center"/>
            </w:pPr>
            <w:r w:rsidRPr="00B245D5">
              <w:t>2</w:t>
            </w:r>
          </w:p>
        </w:tc>
        <w:tc>
          <w:tcPr>
            <w:tcW w:w="1276" w:type="dxa"/>
            <w:vAlign w:val="center"/>
          </w:tcPr>
          <w:p w:rsidR="00082FF4" w:rsidRPr="00B245D5" w:rsidRDefault="00082FF4" w:rsidP="00134A77">
            <w:pPr>
              <w:jc w:val="center"/>
            </w:pPr>
            <w:r w:rsidRPr="00B245D5">
              <w:t>255</w:t>
            </w:r>
          </w:p>
        </w:tc>
        <w:tc>
          <w:tcPr>
            <w:tcW w:w="1276" w:type="dxa"/>
            <w:vAlign w:val="center"/>
          </w:tcPr>
          <w:p w:rsidR="00082FF4" w:rsidRPr="00B245D5" w:rsidRDefault="00082FF4" w:rsidP="00134A77">
            <w:pPr>
              <w:jc w:val="center"/>
            </w:pPr>
            <w:r w:rsidRPr="00B245D5">
              <w:t>1 120</w:t>
            </w:r>
          </w:p>
        </w:tc>
        <w:tc>
          <w:tcPr>
            <w:tcW w:w="1842" w:type="dxa"/>
            <w:vAlign w:val="center"/>
          </w:tcPr>
          <w:p w:rsidR="00082FF4" w:rsidRPr="00B245D5" w:rsidRDefault="00082FF4" w:rsidP="00134A77">
            <w:pPr>
              <w:jc w:val="center"/>
            </w:pPr>
            <w:r w:rsidRPr="00B245D5">
              <w:t>3</w:t>
            </w:r>
          </w:p>
        </w:tc>
        <w:tc>
          <w:tcPr>
            <w:tcW w:w="2127" w:type="dxa"/>
            <w:vAlign w:val="center"/>
          </w:tcPr>
          <w:p w:rsidR="00082FF4" w:rsidRPr="00B245D5" w:rsidRDefault="00082FF4" w:rsidP="00134A77">
            <w:pPr>
              <w:jc w:val="center"/>
            </w:pPr>
            <w:r w:rsidRPr="00B245D5">
              <w:t>15</w:t>
            </w:r>
          </w:p>
        </w:tc>
      </w:tr>
      <w:tr w:rsidR="00082FF4" w:rsidRPr="00B245D5" w:rsidTr="00134A77">
        <w:tc>
          <w:tcPr>
            <w:tcW w:w="2018" w:type="dxa"/>
            <w:shd w:val="clear" w:color="auto" w:fill="EAF1DD"/>
            <w:vAlign w:val="bottom"/>
          </w:tcPr>
          <w:p w:rsidR="00082FF4" w:rsidRPr="00B245D5" w:rsidRDefault="00082FF4" w:rsidP="00134A77">
            <w:r w:rsidRPr="00B245D5">
              <w:t>ВКО</w:t>
            </w:r>
          </w:p>
        </w:tc>
        <w:tc>
          <w:tcPr>
            <w:tcW w:w="1526" w:type="dxa"/>
            <w:vAlign w:val="center"/>
          </w:tcPr>
          <w:p w:rsidR="00082FF4" w:rsidRPr="00B245D5" w:rsidRDefault="00082FF4" w:rsidP="00134A77">
            <w:pPr>
              <w:jc w:val="center"/>
            </w:pPr>
            <w:r w:rsidRPr="00B245D5">
              <w:t>3</w:t>
            </w:r>
          </w:p>
        </w:tc>
        <w:tc>
          <w:tcPr>
            <w:tcW w:w="1276" w:type="dxa"/>
            <w:vAlign w:val="center"/>
          </w:tcPr>
          <w:p w:rsidR="00082FF4" w:rsidRPr="00B245D5" w:rsidRDefault="00082FF4" w:rsidP="00134A77">
            <w:pPr>
              <w:jc w:val="center"/>
            </w:pPr>
            <w:r w:rsidRPr="00B245D5">
              <w:t>460</w:t>
            </w:r>
          </w:p>
        </w:tc>
        <w:tc>
          <w:tcPr>
            <w:tcW w:w="1276" w:type="dxa"/>
            <w:vAlign w:val="center"/>
          </w:tcPr>
          <w:p w:rsidR="00082FF4" w:rsidRPr="00B245D5" w:rsidRDefault="00082FF4" w:rsidP="00134A77">
            <w:pPr>
              <w:jc w:val="center"/>
            </w:pPr>
            <w:r w:rsidRPr="00B245D5">
              <w:t>1 922</w:t>
            </w:r>
          </w:p>
        </w:tc>
        <w:tc>
          <w:tcPr>
            <w:tcW w:w="1842" w:type="dxa"/>
            <w:vAlign w:val="center"/>
          </w:tcPr>
          <w:p w:rsidR="00082FF4" w:rsidRPr="00B245D5" w:rsidRDefault="00082FF4" w:rsidP="00134A77">
            <w:pPr>
              <w:jc w:val="center"/>
            </w:pPr>
            <w:r w:rsidRPr="00B245D5">
              <w:t>1</w:t>
            </w:r>
          </w:p>
        </w:tc>
        <w:tc>
          <w:tcPr>
            <w:tcW w:w="2127" w:type="dxa"/>
            <w:vAlign w:val="center"/>
          </w:tcPr>
          <w:p w:rsidR="00082FF4" w:rsidRPr="00B245D5" w:rsidRDefault="00082FF4" w:rsidP="00134A77">
            <w:pPr>
              <w:jc w:val="center"/>
            </w:pPr>
            <w:r w:rsidRPr="00B245D5">
              <w:t>10</w:t>
            </w:r>
          </w:p>
        </w:tc>
      </w:tr>
      <w:tr w:rsidR="00082FF4" w:rsidRPr="00B245D5" w:rsidTr="00134A77">
        <w:tc>
          <w:tcPr>
            <w:tcW w:w="2018" w:type="dxa"/>
            <w:shd w:val="clear" w:color="auto" w:fill="EAF1DD"/>
            <w:vAlign w:val="bottom"/>
          </w:tcPr>
          <w:p w:rsidR="00082FF4" w:rsidRPr="00B245D5" w:rsidRDefault="00082FF4" w:rsidP="00134A77">
            <w:r w:rsidRPr="00B245D5">
              <w:t>Жамбылская</w:t>
            </w:r>
          </w:p>
        </w:tc>
        <w:tc>
          <w:tcPr>
            <w:tcW w:w="1526" w:type="dxa"/>
            <w:vAlign w:val="center"/>
          </w:tcPr>
          <w:p w:rsidR="00082FF4" w:rsidRPr="00B245D5" w:rsidRDefault="00082FF4" w:rsidP="00134A77">
            <w:pPr>
              <w:jc w:val="center"/>
            </w:pPr>
            <w:r w:rsidRPr="00B245D5">
              <w:t>4</w:t>
            </w:r>
          </w:p>
        </w:tc>
        <w:tc>
          <w:tcPr>
            <w:tcW w:w="1276" w:type="dxa"/>
            <w:vAlign w:val="center"/>
          </w:tcPr>
          <w:p w:rsidR="00082FF4" w:rsidRPr="00B245D5" w:rsidRDefault="00082FF4" w:rsidP="00134A77">
            <w:pPr>
              <w:jc w:val="center"/>
            </w:pPr>
            <w:r w:rsidRPr="00B245D5">
              <w:t>1 243</w:t>
            </w:r>
          </w:p>
        </w:tc>
        <w:tc>
          <w:tcPr>
            <w:tcW w:w="1276" w:type="dxa"/>
            <w:vAlign w:val="center"/>
          </w:tcPr>
          <w:p w:rsidR="00082FF4" w:rsidRPr="00B245D5" w:rsidRDefault="00082FF4" w:rsidP="00134A77">
            <w:pPr>
              <w:jc w:val="center"/>
            </w:pPr>
            <w:r w:rsidRPr="00B245D5">
              <w:t>3 391</w:t>
            </w:r>
          </w:p>
        </w:tc>
        <w:tc>
          <w:tcPr>
            <w:tcW w:w="1842" w:type="dxa"/>
            <w:vAlign w:val="center"/>
          </w:tcPr>
          <w:p w:rsidR="00082FF4" w:rsidRPr="00B245D5" w:rsidRDefault="00082FF4" w:rsidP="00134A77">
            <w:pPr>
              <w:jc w:val="center"/>
            </w:pPr>
            <w:r w:rsidRPr="00B245D5">
              <w:t>1</w:t>
            </w:r>
          </w:p>
        </w:tc>
        <w:tc>
          <w:tcPr>
            <w:tcW w:w="2127" w:type="dxa"/>
            <w:vAlign w:val="center"/>
          </w:tcPr>
          <w:p w:rsidR="00082FF4" w:rsidRPr="00B245D5" w:rsidRDefault="00082FF4" w:rsidP="00134A77">
            <w:pPr>
              <w:jc w:val="center"/>
            </w:pPr>
            <w:r w:rsidRPr="00B245D5">
              <w:t>7</w:t>
            </w:r>
          </w:p>
        </w:tc>
      </w:tr>
      <w:tr w:rsidR="00082FF4" w:rsidRPr="00B245D5" w:rsidTr="00134A77">
        <w:tc>
          <w:tcPr>
            <w:tcW w:w="2018" w:type="dxa"/>
            <w:shd w:val="clear" w:color="auto" w:fill="EAF1DD"/>
            <w:vAlign w:val="bottom"/>
          </w:tcPr>
          <w:p w:rsidR="00082FF4" w:rsidRPr="00B245D5" w:rsidRDefault="00082FF4" w:rsidP="00134A77">
            <w:r w:rsidRPr="00B245D5">
              <w:t>ЗКО</w:t>
            </w:r>
          </w:p>
        </w:tc>
        <w:tc>
          <w:tcPr>
            <w:tcW w:w="1526" w:type="dxa"/>
            <w:vAlign w:val="center"/>
          </w:tcPr>
          <w:p w:rsidR="00082FF4" w:rsidRPr="00B245D5" w:rsidRDefault="00082FF4" w:rsidP="00134A77">
            <w:pPr>
              <w:jc w:val="center"/>
            </w:pPr>
            <w:r w:rsidRPr="00B245D5">
              <w:t>3</w:t>
            </w:r>
          </w:p>
        </w:tc>
        <w:tc>
          <w:tcPr>
            <w:tcW w:w="1276" w:type="dxa"/>
            <w:vAlign w:val="center"/>
          </w:tcPr>
          <w:p w:rsidR="00082FF4" w:rsidRPr="00B245D5" w:rsidRDefault="00082FF4" w:rsidP="00134A77">
            <w:pPr>
              <w:jc w:val="center"/>
            </w:pPr>
            <w:r w:rsidRPr="00B245D5">
              <w:t>354</w:t>
            </w:r>
          </w:p>
        </w:tc>
        <w:tc>
          <w:tcPr>
            <w:tcW w:w="1276" w:type="dxa"/>
            <w:vAlign w:val="center"/>
          </w:tcPr>
          <w:p w:rsidR="00082FF4" w:rsidRPr="00B245D5" w:rsidRDefault="00082FF4" w:rsidP="00134A77">
            <w:pPr>
              <w:jc w:val="center"/>
            </w:pPr>
            <w:r w:rsidRPr="00B245D5">
              <w:t>1 869</w:t>
            </w:r>
          </w:p>
        </w:tc>
        <w:tc>
          <w:tcPr>
            <w:tcW w:w="1842" w:type="dxa"/>
            <w:vAlign w:val="center"/>
          </w:tcPr>
          <w:p w:rsidR="00082FF4" w:rsidRPr="00B245D5" w:rsidRDefault="00082FF4" w:rsidP="00134A77">
            <w:pPr>
              <w:jc w:val="center"/>
            </w:pPr>
            <w:r w:rsidRPr="00B245D5">
              <w:t>2</w:t>
            </w:r>
          </w:p>
        </w:tc>
        <w:tc>
          <w:tcPr>
            <w:tcW w:w="2127" w:type="dxa"/>
            <w:vAlign w:val="center"/>
          </w:tcPr>
          <w:p w:rsidR="00082FF4" w:rsidRPr="00B245D5" w:rsidRDefault="00082FF4" w:rsidP="00134A77">
            <w:pPr>
              <w:jc w:val="center"/>
            </w:pPr>
            <w:r w:rsidRPr="00B245D5">
              <w:t>11</w:t>
            </w:r>
          </w:p>
        </w:tc>
      </w:tr>
      <w:tr w:rsidR="00082FF4" w:rsidRPr="00B245D5" w:rsidTr="00134A77">
        <w:tc>
          <w:tcPr>
            <w:tcW w:w="2018" w:type="dxa"/>
            <w:shd w:val="clear" w:color="auto" w:fill="EAF1DD"/>
            <w:vAlign w:val="bottom"/>
          </w:tcPr>
          <w:p w:rsidR="00082FF4" w:rsidRPr="00B245D5" w:rsidRDefault="00082FF4" w:rsidP="00134A77">
            <w:r w:rsidRPr="00B245D5">
              <w:t xml:space="preserve">Карагандинская                </w:t>
            </w:r>
          </w:p>
        </w:tc>
        <w:tc>
          <w:tcPr>
            <w:tcW w:w="1526" w:type="dxa"/>
            <w:vAlign w:val="center"/>
          </w:tcPr>
          <w:p w:rsidR="00082FF4" w:rsidRPr="00B245D5" w:rsidRDefault="00082FF4" w:rsidP="00134A77">
            <w:pPr>
              <w:jc w:val="center"/>
            </w:pPr>
            <w:r w:rsidRPr="00B245D5">
              <w:t>2</w:t>
            </w:r>
          </w:p>
        </w:tc>
        <w:tc>
          <w:tcPr>
            <w:tcW w:w="1276" w:type="dxa"/>
            <w:vAlign w:val="center"/>
          </w:tcPr>
          <w:p w:rsidR="00082FF4" w:rsidRPr="00B245D5" w:rsidRDefault="00082FF4" w:rsidP="00134A77">
            <w:pPr>
              <w:jc w:val="center"/>
            </w:pPr>
            <w:r w:rsidRPr="00B245D5">
              <w:t>317</w:t>
            </w:r>
          </w:p>
        </w:tc>
        <w:tc>
          <w:tcPr>
            <w:tcW w:w="1276" w:type="dxa"/>
            <w:vAlign w:val="center"/>
          </w:tcPr>
          <w:p w:rsidR="00082FF4" w:rsidRPr="00B245D5" w:rsidRDefault="00082FF4" w:rsidP="00134A77">
            <w:pPr>
              <w:jc w:val="center"/>
            </w:pPr>
            <w:r w:rsidRPr="00B245D5">
              <w:t>1 795</w:t>
            </w:r>
          </w:p>
        </w:tc>
        <w:tc>
          <w:tcPr>
            <w:tcW w:w="1842" w:type="dxa"/>
            <w:vAlign w:val="center"/>
          </w:tcPr>
          <w:p w:rsidR="00082FF4" w:rsidRPr="00B245D5" w:rsidRDefault="00082FF4" w:rsidP="00134A77">
            <w:pPr>
              <w:jc w:val="center"/>
            </w:pPr>
            <w:r w:rsidRPr="00B245D5">
              <w:t>2</w:t>
            </w:r>
          </w:p>
        </w:tc>
        <w:tc>
          <w:tcPr>
            <w:tcW w:w="2127" w:type="dxa"/>
            <w:vAlign w:val="center"/>
          </w:tcPr>
          <w:p w:rsidR="00082FF4" w:rsidRPr="00B245D5" w:rsidRDefault="00082FF4" w:rsidP="00134A77">
            <w:pPr>
              <w:jc w:val="center"/>
            </w:pPr>
            <w:r w:rsidRPr="00B245D5">
              <w:t>12</w:t>
            </w:r>
          </w:p>
        </w:tc>
      </w:tr>
      <w:tr w:rsidR="00082FF4" w:rsidRPr="00B245D5" w:rsidTr="00134A77">
        <w:tc>
          <w:tcPr>
            <w:tcW w:w="2018" w:type="dxa"/>
            <w:shd w:val="clear" w:color="auto" w:fill="EAF1DD"/>
            <w:vAlign w:val="bottom"/>
          </w:tcPr>
          <w:p w:rsidR="00082FF4" w:rsidRPr="00B245D5" w:rsidRDefault="00082FF4" w:rsidP="00134A77">
            <w:r w:rsidRPr="00B245D5">
              <w:t xml:space="preserve">Костанайская                  </w:t>
            </w:r>
          </w:p>
        </w:tc>
        <w:tc>
          <w:tcPr>
            <w:tcW w:w="1526" w:type="dxa"/>
            <w:vAlign w:val="center"/>
          </w:tcPr>
          <w:p w:rsidR="00082FF4" w:rsidRPr="00B245D5" w:rsidRDefault="00082FF4" w:rsidP="00134A77">
            <w:pPr>
              <w:jc w:val="center"/>
            </w:pPr>
            <w:r w:rsidRPr="00B245D5">
              <w:t>3</w:t>
            </w:r>
          </w:p>
        </w:tc>
        <w:tc>
          <w:tcPr>
            <w:tcW w:w="1276" w:type="dxa"/>
            <w:vAlign w:val="center"/>
          </w:tcPr>
          <w:p w:rsidR="00082FF4" w:rsidRPr="00B245D5" w:rsidRDefault="00082FF4" w:rsidP="00134A77">
            <w:pPr>
              <w:jc w:val="center"/>
            </w:pPr>
            <w:r w:rsidRPr="00B245D5">
              <w:t>286</w:t>
            </w:r>
          </w:p>
        </w:tc>
        <w:tc>
          <w:tcPr>
            <w:tcW w:w="1276" w:type="dxa"/>
            <w:vAlign w:val="center"/>
          </w:tcPr>
          <w:p w:rsidR="00082FF4" w:rsidRPr="00B245D5" w:rsidRDefault="00082FF4" w:rsidP="00134A77">
            <w:pPr>
              <w:jc w:val="center"/>
            </w:pPr>
            <w:r w:rsidRPr="00B245D5">
              <w:t>2 382</w:t>
            </w:r>
          </w:p>
        </w:tc>
        <w:tc>
          <w:tcPr>
            <w:tcW w:w="1842" w:type="dxa"/>
            <w:vAlign w:val="center"/>
          </w:tcPr>
          <w:p w:rsidR="00082FF4" w:rsidRPr="00B245D5" w:rsidRDefault="00082FF4" w:rsidP="00134A77">
            <w:pPr>
              <w:jc w:val="center"/>
            </w:pPr>
            <w:r w:rsidRPr="00B245D5">
              <w:t>6</w:t>
            </w:r>
          </w:p>
        </w:tc>
        <w:tc>
          <w:tcPr>
            <w:tcW w:w="2127" w:type="dxa"/>
            <w:vAlign w:val="center"/>
          </w:tcPr>
          <w:p w:rsidR="00082FF4" w:rsidRPr="00B245D5" w:rsidRDefault="00082FF4" w:rsidP="00134A77">
            <w:pPr>
              <w:jc w:val="center"/>
            </w:pPr>
            <w:r w:rsidRPr="00B245D5">
              <w:t>9</w:t>
            </w:r>
          </w:p>
        </w:tc>
      </w:tr>
      <w:tr w:rsidR="00082FF4" w:rsidRPr="00B245D5" w:rsidTr="00134A77">
        <w:tc>
          <w:tcPr>
            <w:tcW w:w="2018" w:type="dxa"/>
            <w:shd w:val="clear" w:color="auto" w:fill="EAF1DD"/>
            <w:vAlign w:val="bottom"/>
          </w:tcPr>
          <w:p w:rsidR="00082FF4" w:rsidRPr="00B245D5" w:rsidRDefault="00082FF4" w:rsidP="00134A77">
            <w:r w:rsidRPr="00B245D5">
              <w:t xml:space="preserve">Кызылординская              </w:t>
            </w:r>
          </w:p>
        </w:tc>
        <w:tc>
          <w:tcPr>
            <w:tcW w:w="1526" w:type="dxa"/>
            <w:vAlign w:val="center"/>
          </w:tcPr>
          <w:p w:rsidR="00082FF4" w:rsidRPr="00B245D5" w:rsidRDefault="00082FF4" w:rsidP="00134A77">
            <w:pPr>
              <w:jc w:val="center"/>
            </w:pPr>
            <w:r w:rsidRPr="00B245D5">
              <w:t>3</w:t>
            </w:r>
          </w:p>
        </w:tc>
        <w:tc>
          <w:tcPr>
            <w:tcW w:w="1276" w:type="dxa"/>
            <w:vAlign w:val="center"/>
          </w:tcPr>
          <w:p w:rsidR="00082FF4" w:rsidRPr="00B245D5" w:rsidRDefault="00082FF4" w:rsidP="00134A77">
            <w:pPr>
              <w:jc w:val="center"/>
            </w:pPr>
            <w:r w:rsidRPr="00B245D5">
              <w:t>1 076</w:t>
            </w:r>
          </w:p>
        </w:tc>
        <w:tc>
          <w:tcPr>
            <w:tcW w:w="1276" w:type="dxa"/>
            <w:vAlign w:val="center"/>
          </w:tcPr>
          <w:p w:rsidR="00082FF4" w:rsidRPr="00B245D5" w:rsidRDefault="00082FF4" w:rsidP="00134A77">
            <w:pPr>
              <w:jc w:val="center"/>
            </w:pPr>
            <w:r w:rsidRPr="00B245D5">
              <w:t>2 462</w:t>
            </w:r>
          </w:p>
        </w:tc>
        <w:tc>
          <w:tcPr>
            <w:tcW w:w="1842" w:type="dxa"/>
            <w:vAlign w:val="center"/>
          </w:tcPr>
          <w:p w:rsidR="00082FF4" w:rsidRPr="00B245D5" w:rsidRDefault="00082FF4" w:rsidP="00134A77">
            <w:pPr>
              <w:jc w:val="center"/>
            </w:pPr>
            <w:r w:rsidRPr="00B245D5">
              <w:t>2</w:t>
            </w:r>
          </w:p>
        </w:tc>
        <w:tc>
          <w:tcPr>
            <w:tcW w:w="2127" w:type="dxa"/>
            <w:vAlign w:val="center"/>
          </w:tcPr>
          <w:p w:rsidR="00082FF4" w:rsidRPr="00B245D5" w:rsidRDefault="00082FF4" w:rsidP="00134A77">
            <w:pPr>
              <w:jc w:val="center"/>
            </w:pPr>
            <w:r w:rsidRPr="00B245D5">
              <w:t>8</w:t>
            </w:r>
          </w:p>
        </w:tc>
      </w:tr>
      <w:tr w:rsidR="00082FF4" w:rsidRPr="00B245D5" w:rsidTr="00134A77">
        <w:tc>
          <w:tcPr>
            <w:tcW w:w="2018" w:type="dxa"/>
            <w:shd w:val="clear" w:color="auto" w:fill="EAF1DD"/>
            <w:vAlign w:val="bottom"/>
          </w:tcPr>
          <w:p w:rsidR="00082FF4" w:rsidRPr="00B245D5" w:rsidRDefault="00082FF4" w:rsidP="00134A77">
            <w:r w:rsidRPr="00B245D5">
              <w:t xml:space="preserve">Мангистауская                 </w:t>
            </w:r>
          </w:p>
        </w:tc>
        <w:tc>
          <w:tcPr>
            <w:tcW w:w="1526" w:type="dxa"/>
            <w:vAlign w:val="center"/>
          </w:tcPr>
          <w:p w:rsidR="00082FF4" w:rsidRPr="00B245D5" w:rsidRDefault="00082FF4" w:rsidP="00134A77">
            <w:pPr>
              <w:jc w:val="center"/>
            </w:pPr>
            <w:r w:rsidRPr="00B245D5">
              <w:t>2</w:t>
            </w:r>
          </w:p>
        </w:tc>
        <w:tc>
          <w:tcPr>
            <w:tcW w:w="1276" w:type="dxa"/>
            <w:vAlign w:val="center"/>
          </w:tcPr>
          <w:p w:rsidR="00082FF4" w:rsidRPr="00B245D5" w:rsidRDefault="00082FF4" w:rsidP="00134A77">
            <w:pPr>
              <w:jc w:val="center"/>
            </w:pPr>
            <w:r w:rsidRPr="00B245D5">
              <w:t>342</w:t>
            </w:r>
          </w:p>
        </w:tc>
        <w:tc>
          <w:tcPr>
            <w:tcW w:w="1276" w:type="dxa"/>
            <w:vAlign w:val="center"/>
          </w:tcPr>
          <w:p w:rsidR="00082FF4" w:rsidRPr="00B245D5" w:rsidRDefault="00082FF4" w:rsidP="00134A77">
            <w:pPr>
              <w:jc w:val="center"/>
            </w:pPr>
            <w:r w:rsidRPr="00B245D5">
              <w:t>1 221</w:t>
            </w:r>
          </w:p>
        </w:tc>
        <w:tc>
          <w:tcPr>
            <w:tcW w:w="1842" w:type="dxa"/>
            <w:vAlign w:val="center"/>
          </w:tcPr>
          <w:p w:rsidR="00082FF4" w:rsidRPr="00B245D5" w:rsidRDefault="00082FF4" w:rsidP="00134A77">
            <w:pPr>
              <w:jc w:val="center"/>
            </w:pPr>
            <w:r w:rsidRPr="00B245D5">
              <w:t>3</w:t>
            </w:r>
          </w:p>
        </w:tc>
        <w:tc>
          <w:tcPr>
            <w:tcW w:w="2127" w:type="dxa"/>
            <w:vAlign w:val="center"/>
          </w:tcPr>
          <w:p w:rsidR="00082FF4" w:rsidRPr="00B245D5" w:rsidRDefault="00082FF4" w:rsidP="00134A77">
            <w:pPr>
              <w:jc w:val="center"/>
            </w:pPr>
            <w:r w:rsidRPr="00B245D5">
              <w:t>13</w:t>
            </w:r>
          </w:p>
        </w:tc>
      </w:tr>
      <w:tr w:rsidR="00082FF4" w:rsidRPr="00B245D5" w:rsidTr="00134A77">
        <w:tc>
          <w:tcPr>
            <w:tcW w:w="2018" w:type="dxa"/>
            <w:shd w:val="clear" w:color="auto" w:fill="EAF1DD"/>
            <w:vAlign w:val="bottom"/>
          </w:tcPr>
          <w:p w:rsidR="00082FF4" w:rsidRPr="00B245D5" w:rsidRDefault="00082FF4" w:rsidP="00134A77">
            <w:r w:rsidRPr="00B245D5">
              <w:t xml:space="preserve">Павлодарская                  </w:t>
            </w:r>
          </w:p>
        </w:tc>
        <w:tc>
          <w:tcPr>
            <w:tcW w:w="1526" w:type="dxa"/>
            <w:vAlign w:val="center"/>
          </w:tcPr>
          <w:p w:rsidR="00082FF4" w:rsidRPr="00B245D5" w:rsidRDefault="00082FF4" w:rsidP="00134A77">
            <w:pPr>
              <w:jc w:val="center"/>
            </w:pPr>
            <w:r w:rsidRPr="00B245D5">
              <w:t>2</w:t>
            </w:r>
          </w:p>
        </w:tc>
        <w:tc>
          <w:tcPr>
            <w:tcW w:w="1276" w:type="dxa"/>
            <w:vAlign w:val="center"/>
          </w:tcPr>
          <w:p w:rsidR="00082FF4" w:rsidRPr="00B245D5" w:rsidRDefault="00082FF4" w:rsidP="00134A77">
            <w:pPr>
              <w:jc w:val="center"/>
            </w:pPr>
            <w:r w:rsidRPr="00B245D5">
              <w:t>288</w:t>
            </w:r>
          </w:p>
        </w:tc>
        <w:tc>
          <w:tcPr>
            <w:tcW w:w="1276" w:type="dxa"/>
            <w:vAlign w:val="center"/>
          </w:tcPr>
          <w:p w:rsidR="00082FF4" w:rsidRPr="00B245D5" w:rsidRDefault="00082FF4" w:rsidP="00134A77">
            <w:pPr>
              <w:jc w:val="center"/>
            </w:pPr>
            <w:r w:rsidRPr="00B245D5">
              <w:t>1 412</w:t>
            </w:r>
          </w:p>
        </w:tc>
        <w:tc>
          <w:tcPr>
            <w:tcW w:w="1842" w:type="dxa"/>
            <w:vAlign w:val="center"/>
          </w:tcPr>
          <w:p w:rsidR="00082FF4" w:rsidRPr="00B245D5" w:rsidRDefault="00082FF4" w:rsidP="00134A77">
            <w:pPr>
              <w:jc w:val="center"/>
            </w:pPr>
            <w:r w:rsidRPr="00B245D5">
              <w:t>2</w:t>
            </w:r>
          </w:p>
        </w:tc>
        <w:tc>
          <w:tcPr>
            <w:tcW w:w="2127" w:type="dxa"/>
            <w:vAlign w:val="center"/>
          </w:tcPr>
          <w:p w:rsidR="00082FF4" w:rsidRPr="00B245D5" w:rsidRDefault="00082FF4" w:rsidP="00134A77">
            <w:pPr>
              <w:jc w:val="center"/>
            </w:pPr>
            <w:r w:rsidRPr="00B245D5">
              <w:t>11</w:t>
            </w:r>
          </w:p>
        </w:tc>
      </w:tr>
      <w:tr w:rsidR="00082FF4" w:rsidRPr="00B245D5" w:rsidTr="00134A77">
        <w:tc>
          <w:tcPr>
            <w:tcW w:w="2018" w:type="dxa"/>
            <w:shd w:val="clear" w:color="auto" w:fill="EAF1DD"/>
            <w:vAlign w:val="bottom"/>
          </w:tcPr>
          <w:p w:rsidR="00082FF4" w:rsidRPr="00B245D5" w:rsidRDefault="00082FF4" w:rsidP="00134A77">
            <w:r w:rsidRPr="00B245D5">
              <w:t>СКО</w:t>
            </w:r>
          </w:p>
        </w:tc>
        <w:tc>
          <w:tcPr>
            <w:tcW w:w="1526" w:type="dxa"/>
            <w:vAlign w:val="center"/>
          </w:tcPr>
          <w:p w:rsidR="00082FF4" w:rsidRPr="00B245D5" w:rsidRDefault="00082FF4" w:rsidP="00134A77">
            <w:pPr>
              <w:jc w:val="center"/>
            </w:pPr>
            <w:r w:rsidRPr="00B245D5">
              <w:t>3</w:t>
            </w:r>
          </w:p>
        </w:tc>
        <w:tc>
          <w:tcPr>
            <w:tcW w:w="1276" w:type="dxa"/>
            <w:vAlign w:val="center"/>
          </w:tcPr>
          <w:p w:rsidR="00082FF4" w:rsidRPr="00B245D5" w:rsidRDefault="00082FF4" w:rsidP="00134A77">
            <w:pPr>
              <w:jc w:val="center"/>
            </w:pPr>
            <w:r w:rsidRPr="00B245D5">
              <w:t>428</w:t>
            </w:r>
          </w:p>
        </w:tc>
        <w:tc>
          <w:tcPr>
            <w:tcW w:w="1276" w:type="dxa"/>
            <w:vAlign w:val="center"/>
          </w:tcPr>
          <w:p w:rsidR="00082FF4" w:rsidRPr="00B245D5" w:rsidRDefault="00082FF4" w:rsidP="00134A77">
            <w:pPr>
              <w:jc w:val="center"/>
            </w:pPr>
            <w:r w:rsidRPr="00B245D5">
              <w:t>2 056</w:t>
            </w:r>
          </w:p>
        </w:tc>
        <w:tc>
          <w:tcPr>
            <w:tcW w:w="1842" w:type="dxa"/>
            <w:vAlign w:val="center"/>
          </w:tcPr>
          <w:p w:rsidR="00082FF4" w:rsidRPr="00B245D5" w:rsidRDefault="00082FF4" w:rsidP="00134A77">
            <w:pPr>
              <w:jc w:val="center"/>
            </w:pPr>
            <w:r w:rsidRPr="00B245D5">
              <w:t>1</w:t>
            </w:r>
          </w:p>
        </w:tc>
        <w:tc>
          <w:tcPr>
            <w:tcW w:w="2127" w:type="dxa"/>
            <w:vAlign w:val="center"/>
          </w:tcPr>
          <w:p w:rsidR="00082FF4" w:rsidRPr="00B245D5" w:rsidRDefault="00082FF4" w:rsidP="00134A77">
            <w:pPr>
              <w:jc w:val="center"/>
            </w:pPr>
            <w:r w:rsidRPr="00B245D5">
              <w:t>8</w:t>
            </w:r>
          </w:p>
        </w:tc>
      </w:tr>
      <w:tr w:rsidR="00082FF4" w:rsidRPr="00B245D5" w:rsidTr="00134A77">
        <w:tc>
          <w:tcPr>
            <w:tcW w:w="2018" w:type="dxa"/>
            <w:shd w:val="clear" w:color="auto" w:fill="EAF1DD"/>
            <w:vAlign w:val="bottom"/>
          </w:tcPr>
          <w:p w:rsidR="00082FF4" w:rsidRPr="00B245D5" w:rsidRDefault="00082FF4" w:rsidP="00134A77">
            <w:r w:rsidRPr="00B245D5">
              <w:t>ЮКО</w:t>
            </w:r>
          </w:p>
        </w:tc>
        <w:tc>
          <w:tcPr>
            <w:tcW w:w="1526" w:type="dxa"/>
            <w:vAlign w:val="center"/>
          </w:tcPr>
          <w:p w:rsidR="00082FF4" w:rsidRPr="00B245D5" w:rsidRDefault="00082FF4" w:rsidP="00134A77">
            <w:pPr>
              <w:jc w:val="center"/>
            </w:pPr>
            <w:r w:rsidRPr="00B245D5">
              <w:t>5</w:t>
            </w:r>
          </w:p>
        </w:tc>
        <w:tc>
          <w:tcPr>
            <w:tcW w:w="1276" w:type="dxa"/>
            <w:vAlign w:val="center"/>
          </w:tcPr>
          <w:p w:rsidR="00082FF4" w:rsidRPr="00B245D5" w:rsidRDefault="00082FF4" w:rsidP="00134A77">
            <w:pPr>
              <w:jc w:val="center"/>
            </w:pPr>
            <w:r w:rsidRPr="00B245D5">
              <w:t>1 167</w:t>
            </w:r>
          </w:p>
        </w:tc>
        <w:tc>
          <w:tcPr>
            <w:tcW w:w="1276" w:type="dxa"/>
            <w:vAlign w:val="center"/>
          </w:tcPr>
          <w:p w:rsidR="00082FF4" w:rsidRPr="00B245D5" w:rsidRDefault="00082FF4" w:rsidP="00134A77">
            <w:pPr>
              <w:jc w:val="center"/>
            </w:pPr>
            <w:r w:rsidRPr="00B245D5">
              <w:t>4 719</w:t>
            </w:r>
          </w:p>
        </w:tc>
        <w:tc>
          <w:tcPr>
            <w:tcW w:w="1842" w:type="dxa"/>
            <w:vAlign w:val="center"/>
          </w:tcPr>
          <w:p w:rsidR="00082FF4" w:rsidRPr="00B245D5" w:rsidRDefault="00082FF4" w:rsidP="00134A77">
            <w:pPr>
              <w:jc w:val="center"/>
            </w:pPr>
            <w:r w:rsidRPr="00B245D5">
              <w:t>1</w:t>
            </w:r>
          </w:p>
        </w:tc>
        <w:tc>
          <w:tcPr>
            <w:tcW w:w="2127" w:type="dxa"/>
            <w:vAlign w:val="center"/>
          </w:tcPr>
          <w:p w:rsidR="00082FF4" w:rsidRPr="00B245D5" w:rsidRDefault="00082FF4" w:rsidP="00134A77">
            <w:pPr>
              <w:jc w:val="center"/>
            </w:pPr>
            <w:r w:rsidRPr="00B245D5">
              <w:t>5</w:t>
            </w:r>
          </w:p>
        </w:tc>
      </w:tr>
      <w:tr w:rsidR="00082FF4" w:rsidRPr="00B245D5" w:rsidTr="00134A77">
        <w:tc>
          <w:tcPr>
            <w:tcW w:w="2018" w:type="dxa"/>
            <w:shd w:val="clear" w:color="auto" w:fill="EAF1DD"/>
            <w:vAlign w:val="bottom"/>
          </w:tcPr>
          <w:p w:rsidR="00082FF4" w:rsidRPr="00B245D5" w:rsidRDefault="00082FF4" w:rsidP="00134A77">
            <w:r w:rsidRPr="00B245D5">
              <w:t xml:space="preserve">Алматы                     </w:t>
            </w:r>
          </w:p>
        </w:tc>
        <w:tc>
          <w:tcPr>
            <w:tcW w:w="1526" w:type="dxa"/>
            <w:vAlign w:val="center"/>
          </w:tcPr>
          <w:p w:rsidR="00082FF4" w:rsidRPr="00B245D5" w:rsidRDefault="00082FF4" w:rsidP="00134A77">
            <w:pPr>
              <w:jc w:val="center"/>
            </w:pPr>
            <w:r w:rsidRPr="00B245D5">
              <w:t>1</w:t>
            </w:r>
          </w:p>
        </w:tc>
        <w:tc>
          <w:tcPr>
            <w:tcW w:w="1276" w:type="dxa"/>
            <w:vAlign w:val="center"/>
          </w:tcPr>
          <w:p w:rsidR="00082FF4" w:rsidRPr="00B245D5" w:rsidRDefault="00082FF4" w:rsidP="00134A77">
            <w:pPr>
              <w:jc w:val="center"/>
            </w:pPr>
            <w:r w:rsidRPr="00B245D5">
              <w:t>77</w:t>
            </w:r>
          </w:p>
        </w:tc>
        <w:tc>
          <w:tcPr>
            <w:tcW w:w="1276" w:type="dxa"/>
            <w:vAlign w:val="center"/>
          </w:tcPr>
          <w:p w:rsidR="00082FF4" w:rsidRPr="00B245D5" w:rsidRDefault="00082FF4" w:rsidP="00134A77">
            <w:pPr>
              <w:jc w:val="center"/>
            </w:pPr>
            <w:r w:rsidRPr="00B245D5">
              <w:t>823</w:t>
            </w:r>
          </w:p>
        </w:tc>
        <w:tc>
          <w:tcPr>
            <w:tcW w:w="1842" w:type="dxa"/>
            <w:vAlign w:val="center"/>
          </w:tcPr>
          <w:p w:rsidR="00082FF4" w:rsidRPr="00B245D5" w:rsidRDefault="00082FF4" w:rsidP="00134A77">
            <w:pPr>
              <w:jc w:val="center"/>
            </w:pPr>
            <w:r w:rsidRPr="00B245D5">
              <w:t>16</w:t>
            </w:r>
          </w:p>
        </w:tc>
        <w:tc>
          <w:tcPr>
            <w:tcW w:w="2127" w:type="dxa"/>
            <w:vAlign w:val="center"/>
          </w:tcPr>
          <w:p w:rsidR="00082FF4" w:rsidRPr="00B245D5" w:rsidRDefault="00082FF4" w:rsidP="00134A77">
            <w:pPr>
              <w:jc w:val="center"/>
            </w:pPr>
            <w:r w:rsidRPr="00B245D5">
              <w:t>21</w:t>
            </w:r>
          </w:p>
        </w:tc>
      </w:tr>
      <w:tr w:rsidR="00082FF4" w:rsidRPr="00B245D5" w:rsidTr="00134A77">
        <w:tc>
          <w:tcPr>
            <w:tcW w:w="2018" w:type="dxa"/>
            <w:shd w:val="clear" w:color="auto" w:fill="EAF1DD"/>
            <w:vAlign w:val="bottom"/>
          </w:tcPr>
          <w:p w:rsidR="00082FF4" w:rsidRPr="00B245D5" w:rsidRDefault="00082FF4" w:rsidP="00134A77">
            <w:r w:rsidRPr="00B245D5">
              <w:t xml:space="preserve">Астана                     </w:t>
            </w:r>
          </w:p>
        </w:tc>
        <w:tc>
          <w:tcPr>
            <w:tcW w:w="1526" w:type="dxa"/>
            <w:vAlign w:val="center"/>
          </w:tcPr>
          <w:p w:rsidR="00082FF4" w:rsidRPr="00B245D5" w:rsidRDefault="00082FF4" w:rsidP="00134A77">
            <w:pPr>
              <w:jc w:val="center"/>
            </w:pPr>
            <w:r w:rsidRPr="00B245D5">
              <w:t>2</w:t>
            </w:r>
          </w:p>
        </w:tc>
        <w:tc>
          <w:tcPr>
            <w:tcW w:w="1276" w:type="dxa"/>
            <w:vAlign w:val="center"/>
          </w:tcPr>
          <w:p w:rsidR="00082FF4" w:rsidRPr="00B245D5" w:rsidRDefault="00082FF4" w:rsidP="00134A77">
            <w:pPr>
              <w:jc w:val="center"/>
            </w:pPr>
            <w:r w:rsidRPr="00B245D5">
              <w:t>115</w:t>
            </w:r>
          </w:p>
        </w:tc>
        <w:tc>
          <w:tcPr>
            <w:tcW w:w="1276" w:type="dxa"/>
            <w:vAlign w:val="center"/>
          </w:tcPr>
          <w:p w:rsidR="00082FF4" w:rsidRPr="00B245D5" w:rsidRDefault="00082FF4" w:rsidP="00134A77">
            <w:pPr>
              <w:jc w:val="center"/>
            </w:pPr>
            <w:r w:rsidRPr="00B245D5">
              <w:t>916</w:t>
            </w:r>
          </w:p>
        </w:tc>
        <w:tc>
          <w:tcPr>
            <w:tcW w:w="1842" w:type="dxa"/>
            <w:vAlign w:val="center"/>
          </w:tcPr>
          <w:p w:rsidR="00082FF4" w:rsidRPr="00B245D5" w:rsidRDefault="00082FF4" w:rsidP="00134A77">
            <w:pPr>
              <w:jc w:val="center"/>
            </w:pPr>
            <w:r w:rsidRPr="00B245D5">
              <w:t>9</w:t>
            </w:r>
          </w:p>
        </w:tc>
        <w:tc>
          <w:tcPr>
            <w:tcW w:w="2127" w:type="dxa"/>
            <w:vAlign w:val="center"/>
          </w:tcPr>
          <w:p w:rsidR="00082FF4" w:rsidRPr="00B245D5" w:rsidRDefault="00082FF4" w:rsidP="00134A77">
            <w:pPr>
              <w:jc w:val="center"/>
            </w:pPr>
            <w:r w:rsidRPr="00B245D5">
              <w:t>21</w:t>
            </w:r>
          </w:p>
        </w:tc>
      </w:tr>
      <w:tr w:rsidR="00082FF4" w:rsidRPr="00B245D5" w:rsidTr="00134A77">
        <w:tc>
          <w:tcPr>
            <w:tcW w:w="2018" w:type="dxa"/>
            <w:shd w:val="clear" w:color="auto" w:fill="C2D69B"/>
          </w:tcPr>
          <w:p w:rsidR="00082FF4" w:rsidRPr="00B245D5" w:rsidRDefault="00082FF4" w:rsidP="00134A77">
            <w:pPr>
              <w:jc w:val="both"/>
              <w:rPr>
                <w:b/>
              </w:rPr>
            </w:pPr>
            <w:r w:rsidRPr="00B245D5">
              <w:rPr>
                <w:b/>
              </w:rPr>
              <w:t>Р.Казахстан</w:t>
            </w:r>
          </w:p>
        </w:tc>
        <w:tc>
          <w:tcPr>
            <w:tcW w:w="1526" w:type="dxa"/>
            <w:shd w:val="clear" w:color="auto" w:fill="C2D69B"/>
            <w:vAlign w:val="center"/>
          </w:tcPr>
          <w:p w:rsidR="00082FF4" w:rsidRPr="00B245D5" w:rsidRDefault="00082FF4" w:rsidP="00134A77">
            <w:pPr>
              <w:jc w:val="center"/>
              <w:rPr>
                <w:b/>
              </w:rPr>
            </w:pPr>
            <w:r w:rsidRPr="00B245D5">
              <w:rPr>
                <w:b/>
              </w:rPr>
              <w:t>3</w:t>
            </w:r>
          </w:p>
        </w:tc>
        <w:tc>
          <w:tcPr>
            <w:tcW w:w="1276" w:type="dxa"/>
            <w:shd w:val="clear" w:color="auto" w:fill="C2D69B"/>
            <w:vAlign w:val="center"/>
          </w:tcPr>
          <w:p w:rsidR="00082FF4" w:rsidRPr="00B245D5" w:rsidRDefault="00082FF4" w:rsidP="00134A77">
            <w:pPr>
              <w:jc w:val="center"/>
              <w:rPr>
                <w:b/>
              </w:rPr>
            </w:pPr>
            <w:r w:rsidRPr="00B245D5">
              <w:rPr>
                <w:b/>
              </w:rPr>
              <w:t>310</w:t>
            </w:r>
          </w:p>
        </w:tc>
        <w:tc>
          <w:tcPr>
            <w:tcW w:w="1276" w:type="dxa"/>
            <w:shd w:val="clear" w:color="auto" w:fill="C2D69B"/>
            <w:vAlign w:val="center"/>
          </w:tcPr>
          <w:p w:rsidR="00082FF4" w:rsidRPr="00B245D5" w:rsidRDefault="00082FF4" w:rsidP="00134A77">
            <w:pPr>
              <w:jc w:val="center"/>
              <w:rPr>
                <w:b/>
              </w:rPr>
            </w:pPr>
            <w:r w:rsidRPr="00B245D5">
              <w:rPr>
                <w:b/>
              </w:rPr>
              <w:t>1 892</w:t>
            </w:r>
          </w:p>
        </w:tc>
        <w:tc>
          <w:tcPr>
            <w:tcW w:w="1842" w:type="dxa"/>
            <w:shd w:val="clear" w:color="auto" w:fill="C2D69B"/>
            <w:vAlign w:val="center"/>
          </w:tcPr>
          <w:p w:rsidR="00082FF4" w:rsidRPr="00B245D5" w:rsidRDefault="00082FF4" w:rsidP="00134A77">
            <w:pPr>
              <w:jc w:val="center"/>
              <w:rPr>
                <w:b/>
              </w:rPr>
            </w:pPr>
            <w:r w:rsidRPr="00B245D5">
              <w:rPr>
                <w:b/>
              </w:rPr>
              <w:t>3</w:t>
            </w:r>
          </w:p>
        </w:tc>
        <w:tc>
          <w:tcPr>
            <w:tcW w:w="2127" w:type="dxa"/>
            <w:shd w:val="clear" w:color="auto" w:fill="C2D69B"/>
            <w:vAlign w:val="center"/>
          </w:tcPr>
          <w:p w:rsidR="00082FF4" w:rsidRPr="00B245D5" w:rsidRDefault="00082FF4" w:rsidP="00134A77">
            <w:pPr>
              <w:jc w:val="center"/>
              <w:rPr>
                <w:b/>
              </w:rPr>
            </w:pPr>
            <w:r w:rsidRPr="00B245D5">
              <w:rPr>
                <w:b/>
              </w:rPr>
              <w:t>10</w:t>
            </w:r>
          </w:p>
        </w:tc>
      </w:tr>
    </w:tbl>
    <w:p w:rsidR="00082FF4" w:rsidRDefault="00082FF4" w:rsidP="00082FF4">
      <w:pPr>
        <w:ind w:firstLine="709"/>
        <w:jc w:val="both"/>
        <w:rPr>
          <w:sz w:val="28"/>
          <w:szCs w:val="28"/>
        </w:rPr>
      </w:pPr>
      <w:r>
        <w:rPr>
          <w:sz w:val="28"/>
          <w:szCs w:val="28"/>
        </w:rPr>
        <w:t xml:space="preserve">При этом по соотношению количества </w:t>
      </w:r>
      <w:r>
        <w:rPr>
          <w:sz w:val="28"/>
          <w:szCs w:val="28"/>
          <w:lang w:val="en-US"/>
        </w:rPr>
        <w:t>POS</w:t>
      </w:r>
      <w:r w:rsidRPr="008A31CE">
        <w:rPr>
          <w:sz w:val="28"/>
          <w:szCs w:val="28"/>
        </w:rPr>
        <w:t>-</w:t>
      </w:r>
      <w:r>
        <w:rPr>
          <w:sz w:val="28"/>
          <w:szCs w:val="28"/>
        </w:rPr>
        <w:t xml:space="preserve">терминалов к жителям региона ухудшились показатели по Алматинской, Южно-Казахстанской и Жамбылской областях, что отчасти объясняется приростом населения по данным регионам </w:t>
      </w:r>
      <w:r w:rsidRPr="00B245D5">
        <w:rPr>
          <w:sz w:val="28"/>
          <w:szCs w:val="28"/>
        </w:rPr>
        <w:t>выше среднего</w:t>
      </w:r>
      <w:r>
        <w:rPr>
          <w:sz w:val="28"/>
          <w:szCs w:val="28"/>
        </w:rPr>
        <w:t xml:space="preserve"> показателя по Казахстану.</w:t>
      </w:r>
    </w:p>
    <w:p w:rsidR="00082FF4" w:rsidRDefault="00082FF4" w:rsidP="00082FF4">
      <w:pPr>
        <w:ind w:firstLine="709"/>
        <w:jc w:val="both"/>
        <w:rPr>
          <w:sz w:val="28"/>
          <w:szCs w:val="28"/>
        </w:rPr>
      </w:pPr>
      <w:r>
        <w:rPr>
          <w:sz w:val="28"/>
          <w:szCs w:val="28"/>
        </w:rPr>
        <w:t>В целом, надо отметить о продолжении наметившейся тенденции сглаживания резкой дифференциации качественных показателей рынка электронных банковских услуг между отдельными регионами.</w:t>
      </w:r>
    </w:p>
    <w:p w:rsidR="00082FF4" w:rsidRDefault="00082FF4" w:rsidP="00082FF4">
      <w:pPr>
        <w:widowControl w:val="0"/>
        <w:suppressAutoHyphens/>
        <w:ind w:firstLine="709"/>
        <w:jc w:val="both"/>
        <w:rPr>
          <w:sz w:val="28"/>
          <w:szCs w:val="28"/>
        </w:rPr>
      </w:pPr>
    </w:p>
    <w:p w:rsidR="00082FF4" w:rsidRDefault="00082FF4" w:rsidP="00082FF4">
      <w:pPr>
        <w:pStyle w:val="1"/>
        <w:tabs>
          <w:tab w:val="left" w:pos="561"/>
        </w:tabs>
        <w:spacing w:before="0" w:after="0"/>
        <w:jc w:val="center"/>
        <w:rPr>
          <w:sz w:val="28"/>
          <w:szCs w:val="28"/>
        </w:rPr>
      </w:pPr>
    </w:p>
    <w:p w:rsidR="00082FF4" w:rsidRDefault="00082FF4" w:rsidP="00082FF4">
      <w:pPr>
        <w:tabs>
          <w:tab w:val="num" w:pos="993"/>
        </w:tabs>
        <w:ind w:firstLine="709"/>
        <w:jc w:val="both"/>
        <w:rPr>
          <w:sz w:val="28"/>
          <w:szCs w:val="28"/>
        </w:rPr>
      </w:pPr>
      <w:r>
        <w:rPr>
          <w:sz w:val="20"/>
          <w:szCs w:val="20"/>
        </w:rPr>
        <w:t>.</w:t>
      </w:r>
    </w:p>
    <w:p w:rsidR="00617F41" w:rsidRPr="00B245D5" w:rsidRDefault="005B0B94" w:rsidP="005B0B94">
      <w:pPr>
        <w:pStyle w:val="1"/>
        <w:tabs>
          <w:tab w:val="left" w:pos="561"/>
        </w:tabs>
        <w:spacing w:before="0" w:after="0"/>
        <w:jc w:val="center"/>
        <w:rPr>
          <w:bCs w:val="0"/>
          <w:snapToGrid w:val="0"/>
          <w:color w:val="008000"/>
          <w:spacing w:val="-2"/>
          <w:kern w:val="0"/>
          <w:sz w:val="36"/>
          <w:szCs w:val="36"/>
        </w:rPr>
      </w:pPr>
      <w:r>
        <w:rPr>
          <w:bCs w:val="0"/>
          <w:snapToGrid w:val="0"/>
          <w:color w:val="008000"/>
          <w:spacing w:val="-2"/>
          <w:kern w:val="0"/>
          <w:sz w:val="36"/>
          <w:szCs w:val="36"/>
        </w:rPr>
        <w:br w:type="page"/>
      </w:r>
      <w:r w:rsidR="00617F41">
        <w:rPr>
          <w:bCs w:val="0"/>
          <w:snapToGrid w:val="0"/>
          <w:color w:val="008000"/>
          <w:spacing w:val="-2"/>
          <w:kern w:val="0"/>
          <w:sz w:val="36"/>
          <w:szCs w:val="36"/>
        </w:rPr>
        <w:lastRenderedPageBreak/>
        <w:t>СИСТЕМЫ</w:t>
      </w:r>
      <w:r w:rsidR="00617F41" w:rsidRPr="00B245D5">
        <w:rPr>
          <w:bCs w:val="0"/>
          <w:snapToGrid w:val="0"/>
          <w:color w:val="008000"/>
          <w:spacing w:val="-2"/>
          <w:kern w:val="0"/>
          <w:sz w:val="36"/>
          <w:szCs w:val="36"/>
        </w:rPr>
        <w:t xml:space="preserve"> МЕЖДУНАРОДНЫХ</w:t>
      </w:r>
      <w:bookmarkEnd w:id="3"/>
      <w:bookmarkEnd w:id="4"/>
      <w:r w:rsidR="00617F41">
        <w:rPr>
          <w:bCs w:val="0"/>
          <w:snapToGrid w:val="0"/>
          <w:color w:val="008000"/>
          <w:spacing w:val="-2"/>
          <w:kern w:val="0"/>
          <w:sz w:val="36"/>
          <w:szCs w:val="36"/>
        </w:rPr>
        <w:t xml:space="preserve"> </w:t>
      </w:r>
      <w:r w:rsidR="00617F41" w:rsidRPr="00B245D5">
        <w:rPr>
          <w:bCs w:val="0"/>
          <w:snapToGrid w:val="0"/>
          <w:color w:val="008000"/>
          <w:spacing w:val="-2"/>
          <w:kern w:val="0"/>
          <w:sz w:val="36"/>
          <w:szCs w:val="36"/>
        </w:rPr>
        <w:t>ДЕНЕЖНЫХ ПЕРЕВОДОВ</w:t>
      </w:r>
      <w:bookmarkEnd w:id="5"/>
    </w:p>
    <w:p w:rsidR="00617F41" w:rsidRDefault="00617F41" w:rsidP="006702BF">
      <w:pPr>
        <w:tabs>
          <w:tab w:val="num" w:pos="993"/>
        </w:tabs>
        <w:ind w:firstLine="709"/>
        <w:jc w:val="both"/>
        <w:rPr>
          <w:sz w:val="28"/>
          <w:szCs w:val="28"/>
        </w:rPr>
      </w:pPr>
    </w:p>
    <w:p w:rsidR="00617F41" w:rsidRDefault="00617F41" w:rsidP="006702BF">
      <w:pPr>
        <w:tabs>
          <w:tab w:val="num" w:pos="993"/>
        </w:tabs>
        <w:ind w:firstLine="709"/>
        <w:jc w:val="both"/>
        <w:rPr>
          <w:sz w:val="28"/>
          <w:szCs w:val="28"/>
        </w:rPr>
      </w:pPr>
      <w:r>
        <w:rPr>
          <w:sz w:val="28"/>
          <w:szCs w:val="28"/>
        </w:rPr>
        <w:t xml:space="preserve">Рынок услуг быстрых денежных переводов в Казахстане представлен большим ассортиментом систем, посредством которых </w:t>
      </w:r>
      <w:r w:rsidRPr="00780B8F">
        <w:rPr>
          <w:sz w:val="28"/>
          <w:szCs w:val="28"/>
        </w:rPr>
        <w:t xml:space="preserve">возможно осуществление переводов денег </w:t>
      </w:r>
      <w:r>
        <w:rPr>
          <w:sz w:val="28"/>
          <w:szCs w:val="28"/>
        </w:rPr>
        <w:t xml:space="preserve">адресату, находящемуся в другой стране, в считанные минуты. Так, для быстрого и безопасного осуществления переводов денег можно воспользоваться услугами банков и АО «Казпочта» по осуществлению переводных операций через такие системы, как </w:t>
      </w:r>
      <w:r w:rsidRPr="008741BF">
        <w:rPr>
          <w:sz w:val="28"/>
          <w:szCs w:val="28"/>
        </w:rPr>
        <w:t xml:space="preserve">Золотая корона, Western Union, </w:t>
      </w:r>
      <w:r>
        <w:rPr>
          <w:sz w:val="28"/>
          <w:szCs w:val="28"/>
        </w:rPr>
        <w:t>Юнистрим</w:t>
      </w:r>
      <w:r w:rsidRPr="008741BF">
        <w:rPr>
          <w:sz w:val="28"/>
          <w:szCs w:val="28"/>
        </w:rPr>
        <w:t xml:space="preserve">, Faster, Contact, Блиц, Лидер, MoneyGram, Систему всемирного почтового союза, Анелик, Быструю почту, InterBanking, Coinstar Money Transfer, IntelExpress, Migom и другие системы. </w:t>
      </w:r>
    </w:p>
    <w:p w:rsidR="00617F41" w:rsidRDefault="00617F41" w:rsidP="006702BF">
      <w:pPr>
        <w:tabs>
          <w:tab w:val="num" w:pos="993"/>
        </w:tabs>
        <w:ind w:firstLine="709"/>
        <w:jc w:val="both"/>
        <w:rPr>
          <w:sz w:val="28"/>
          <w:szCs w:val="28"/>
        </w:rPr>
      </w:pPr>
      <w:r>
        <w:rPr>
          <w:sz w:val="28"/>
          <w:szCs w:val="28"/>
        </w:rPr>
        <w:t xml:space="preserve">В Казахстане </w:t>
      </w:r>
      <w:r w:rsidRPr="00657E6B">
        <w:rPr>
          <w:sz w:val="28"/>
          <w:szCs w:val="28"/>
        </w:rPr>
        <w:t>функции агентов систем международных денежных переводов выполняют только банки второго уровня и АО «Казпочта»</w:t>
      </w:r>
      <w:r>
        <w:rPr>
          <w:sz w:val="28"/>
          <w:szCs w:val="28"/>
        </w:rPr>
        <w:t xml:space="preserve">, </w:t>
      </w:r>
      <w:r w:rsidRPr="00623702">
        <w:rPr>
          <w:sz w:val="28"/>
          <w:szCs w:val="28"/>
        </w:rPr>
        <w:t xml:space="preserve">которые заключили агентские соглашения с системами денежных переводов или являются непосредственно операторами систем, </w:t>
      </w:r>
      <w:r>
        <w:rPr>
          <w:sz w:val="28"/>
          <w:szCs w:val="28"/>
        </w:rPr>
        <w:t xml:space="preserve">что способствует сокращению финансовых рисков и выполнению основного принципа </w:t>
      </w:r>
      <w:r w:rsidRPr="00623702">
        <w:rPr>
          <w:sz w:val="28"/>
          <w:szCs w:val="28"/>
        </w:rPr>
        <w:t>по оказанию услуг по переводу денег</w:t>
      </w:r>
      <w:r>
        <w:rPr>
          <w:sz w:val="28"/>
          <w:szCs w:val="28"/>
        </w:rPr>
        <w:t xml:space="preserve"> в части обеспечения </w:t>
      </w:r>
      <w:r w:rsidRPr="00623702">
        <w:rPr>
          <w:sz w:val="28"/>
          <w:szCs w:val="28"/>
        </w:rPr>
        <w:t>прозрачност</w:t>
      </w:r>
      <w:r>
        <w:rPr>
          <w:sz w:val="28"/>
          <w:szCs w:val="28"/>
        </w:rPr>
        <w:t>и</w:t>
      </w:r>
      <w:r w:rsidRPr="00623702">
        <w:rPr>
          <w:sz w:val="28"/>
          <w:szCs w:val="28"/>
        </w:rPr>
        <w:t xml:space="preserve"> операций и защит</w:t>
      </w:r>
      <w:r>
        <w:rPr>
          <w:sz w:val="28"/>
          <w:szCs w:val="28"/>
        </w:rPr>
        <w:t>ы</w:t>
      </w:r>
      <w:r w:rsidRPr="00623702">
        <w:rPr>
          <w:sz w:val="28"/>
          <w:szCs w:val="28"/>
        </w:rPr>
        <w:t xml:space="preserve"> потребителя</w:t>
      </w:r>
      <w:r>
        <w:rPr>
          <w:sz w:val="28"/>
          <w:szCs w:val="28"/>
        </w:rPr>
        <w:t xml:space="preserve">. </w:t>
      </w:r>
    </w:p>
    <w:p w:rsidR="00617F41" w:rsidRPr="008741BF" w:rsidRDefault="00617F41" w:rsidP="006702BF">
      <w:pPr>
        <w:tabs>
          <w:tab w:val="num" w:pos="993"/>
        </w:tabs>
        <w:ind w:firstLine="709"/>
        <w:jc w:val="both"/>
        <w:rPr>
          <w:sz w:val="28"/>
          <w:szCs w:val="28"/>
        </w:rPr>
      </w:pPr>
      <w:r>
        <w:rPr>
          <w:sz w:val="28"/>
          <w:szCs w:val="28"/>
        </w:rPr>
        <w:t>Ввиду удобства и скорости проведения операций системы денежных переводов (далее – СДП) п</w:t>
      </w:r>
      <w:r w:rsidRPr="00657E6B">
        <w:rPr>
          <w:sz w:val="28"/>
          <w:szCs w:val="28"/>
        </w:rPr>
        <w:t>риобретают все большую попу</w:t>
      </w:r>
      <w:r>
        <w:rPr>
          <w:sz w:val="28"/>
          <w:szCs w:val="28"/>
        </w:rPr>
        <w:t>лярность среди населения страны, что характеризуется ежегодным ростом объемов переводов, проводимых через данные системы. Так, в 2014 году о</w:t>
      </w:r>
      <w:r w:rsidRPr="008741BF">
        <w:rPr>
          <w:sz w:val="28"/>
          <w:szCs w:val="28"/>
        </w:rPr>
        <w:t xml:space="preserve">бъем переводов денег, отправленных через </w:t>
      </w:r>
      <w:r>
        <w:rPr>
          <w:sz w:val="28"/>
          <w:szCs w:val="28"/>
        </w:rPr>
        <w:t xml:space="preserve">СДП, </w:t>
      </w:r>
      <w:r w:rsidRPr="008741BF">
        <w:rPr>
          <w:sz w:val="28"/>
          <w:szCs w:val="28"/>
        </w:rPr>
        <w:t>составил 2 474,1 тыс. транзакций на сумму 321,2 млрд. тенге (1 792,3 млн. долл. США), что превышает показатели 2013 года на 7,3% по количеству и 14,2% по объемам переводов денег.</w:t>
      </w:r>
      <w:r>
        <w:rPr>
          <w:sz w:val="28"/>
          <w:szCs w:val="28"/>
        </w:rPr>
        <w:t xml:space="preserve"> При этом СДП </w:t>
      </w:r>
      <w:r w:rsidRPr="008741BF">
        <w:rPr>
          <w:sz w:val="28"/>
          <w:szCs w:val="28"/>
        </w:rPr>
        <w:t xml:space="preserve">могут использоваться не только </w:t>
      </w:r>
      <w:r>
        <w:rPr>
          <w:sz w:val="28"/>
          <w:szCs w:val="28"/>
        </w:rPr>
        <w:t>физическими лицами</w:t>
      </w:r>
      <w:r w:rsidRPr="008741BF">
        <w:rPr>
          <w:rStyle w:val="ab"/>
          <w:sz w:val="28"/>
          <w:szCs w:val="28"/>
        </w:rPr>
        <w:footnoteReference w:id="23"/>
      </w:r>
      <w:r w:rsidRPr="008741BF">
        <w:rPr>
          <w:sz w:val="28"/>
          <w:szCs w:val="28"/>
        </w:rPr>
        <w:t xml:space="preserve">, но и юридическими лицами (доля </w:t>
      </w:r>
      <w:r>
        <w:rPr>
          <w:sz w:val="28"/>
          <w:szCs w:val="28"/>
        </w:rPr>
        <w:t>п</w:t>
      </w:r>
      <w:r w:rsidRPr="008741BF">
        <w:rPr>
          <w:sz w:val="28"/>
          <w:szCs w:val="28"/>
        </w:rPr>
        <w:t>ереводов денег физических лиц составляет 96,5% и 94,5% от общего количества и суммы, юридических лиц – 3,5% и 5,5% соответственно).</w:t>
      </w:r>
    </w:p>
    <w:p w:rsidR="00617F41" w:rsidRDefault="00617F41" w:rsidP="006702BF">
      <w:pPr>
        <w:ind w:firstLine="709"/>
        <w:jc w:val="both"/>
        <w:rPr>
          <w:sz w:val="28"/>
          <w:szCs w:val="28"/>
        </w:rPr>
      </w:pPr>
      <w:r>
        <w:rPr>
          <w:sz w:val="28"/>
          <w:szCs w:val="28"/>
        </w:rPr>
        <w:t>В большинстве случаев СДП используются населением страны для проведения переводов  денег за рубеж (</w:t>
      </w:r>
      <w:r w:rsidRPr="008741BF">
        <w:rPr>
          <w:sz w:val="28"/>
          <w:szCs w:val="28"/>
        </w:rPr>
        <w:t xml:space="preserve">доля отправленных за рубеж платежей и переводов денег через системы составила 75,6% от общего количества и 87,3% от общей суммы отправленных через системы транзакций). </w:t>
      </w:r>
      <w:r>
        <w:rPr>
          <w:sz w:val="28"/>
          <w:szCs w:val="28"/>
        </w:rPr>
        <w:t xml:space="preserve"> Вместе  с тем, данные системы также применяются для осуществления срочных переводов по Казахстану</w:t>
      </w:r>
      <w:r w:rsidR="00734F96" w:rsidRPr="000D17E3">
        <w:rPr>
          <w:sz w:val="28"/>
          <w:szCs w:val="28"/>
        </w:rPr>
        <w:t>, средняя сумма которых составляет порядка 67,5 тыс. тенге</w:t>
      </w:r>
      <w:r>
        <w:rPr>
          <w:sz w:val="28"/>
          <w:szCs w:val="28"/>
        </w:rPr>
        <w:t>.</w:t>
      </w:r>
    </w:p>
    <w:p w:rsidR="006F791D" w:rsidRPr="006F791D" w:rsidRDefault="006F791D" w:rsidP="006F791D">
      <w:pPr>
        <w:ind w:firstLine="709"/>
        <w:jc w:val="both"/>
        <w:rPr>
          <w:sz w:val="28"/>
          <w:szCs w:val="28"/>
        </w:rPr>
      </w:pPr>
      <w:r w:rsidRPr="006F791D">
        <w:rPr>
          <w:sz w:val="28"/>
          <w:szCs w:val="28"/>
        </w:rPr>
        <w:t xml:space="preserve">Так, в 2014 году по Казахстану с использованием СДП было проведено 604,5 тыс. транзакций на сумму 40,8 млрд. тенге (227,7 млн. долл. США). При этом из общего объема 474,5 тыс. транзакций на сумму 19,9 млрд. тенге проведено в национальной валюте - тенге (78,5% и 48,7% от общего количества и суммы переводов денег, проведенных через СДП). Доля данных переводов от общего объема переводов физических  лиц, проведенных в тенге через национальные платежные системы Казахстана (МСПД и СМК) и СДП, составила всего 1,0% по сумме платежей. </w:t>
      </w:r>
    </w:p>
    <w:p w:rsidR="006F791D" w:rsidRPr="006F791D" w:rsidRDefault="006F791D" w:rsidP="006F791D">
      <w:pPr>
        <w:ind w:firstLine="709"/>
        <w:jc w:val="both"/>
        <w:rPr>
          <w:sz w:val="28"/>
          <w:szCs w:val="28"/>
        </w:rPr>
      </w:pPr>
      <w:r w:rsidRPr="006F791D">
        <w:rPr>
          <w:sz w:val="28"/>
          <w:szCs w:val="28"/>
        </w:rPr>
        <w:lastRenderedPageBreak/>
        <w:t xml:space="preserve">Однако, следует учесть, </w:t>
      </w:r>
      <w:r w:rsidR="00221668">
        <w:rPr>
          <w:sz w:val="28"/>
          <w:szCs w:val="28"/>
        </w:rPr>
        <w:t>что СДП в основном ориентированы</w:t>
      </w:r>
      <w:r w:rsidRPr="006F791D">
        <w:rPr>
          <w:sz w:val="28"/>
          <w:szCs w:val="28"/>
        </w:rPr>
        <w:t xml:space="preserve"> на проведение безвозмездных специфических переводов (99,5% от общей суммы переводов денег в тенге через СДП), на которых приходится порядка 13% от общего объема подобных переводов в тенге, проведенных в стране (через МСПД, СМК и СДП). </w:t>
      </w:r>
    </w:p>
    <w:p w:rsidR="00617F41" w:rsidRDefault="00617F41" w:rsidP="006702BF">
      <w:pPr>
        <w:ind w:firstLine="709"/>
        <w:jc w:val="both"/>
        <w:rPr>
          <w:sz w:val="28"/>
          <w:szCs w:val="28"/>
        </w:rPr>
      </w:pPr>
      <w:r>
        <w:rPr>
          <w:sz w:val="28"/>
          <w:szCs w:val="28"/>
        </w:rPr>
        <w:t xml:space="preserve">Наиболее популярной системой для переводов денег по Казахстану является система </w:t>
      </w:r>
      <w:r w:rsidRPr="008741BF">
        <w:rPr>
          <w:sz w:val="28"/>
          <w:szCs w:val="28"/>
        </w:rPr>
        <w:t>Faster (</w:t>
      </w:r>
      <w:r>
        <w:rPr>
          <w:sz w:val="28"/>
          <w:szCs w:val="28"/>
        </w:rPr>
        <w:t xml:space="preserve">казахстанская </w:t>
      </w:r>
      <w:r w:rsidRPr="008741BF">
        <w:rPr>
          <w:sz w:val="28"/>
          <w:szCs w:val="28"/>
        </w:rPr>
        <w:t>систем</w:t>
      </w:r>
      <w:r>
        <w:rPr>
          <w:sz w:val="28"/>
          <w:szCs w:val="28"/>
        </w:rPr>
        <w:t>а</w:t>
      </w:r>
      <w:r w:rsidRPr="008741BF">
        <w:rPr>
          <w:sz w:val="28"/>
          <w:szCs w:val="28"/>
        </w:rPr>
        <w:t xml:space="preserve"> </w:t>
      </w:r>
      <w:r w:rsidRPr="003C19C9">
        <w:rPr>
          <w:sz w:val="28"/>
          <w:szCs w:val="28"/>
        </w:rPr>
        <w:t>международных денежных экспресс-переводов между физическими лицами без открытия банковского счета</w:t>
      </w:r>
      <w:r w:rsidRPr="008741BF">
        <w:rPr>
          <w:sz w:val="28"/>
          <w:szCs w:val="28"/>
        </w:rPr>
        <w:t>)</w:t>
      </w:r>
      <w:r>
        <w:rPr>
          <w:sz w:val="28"/>
          <w:szCs w:val="28"/>
        </w:rPr>
        <w:t xml:space="preserve">, через которую в 2014 году было проведено </w:t>
      </w:r>
      <w:r w:rsidRPr="008741BF">
        <w:rPr>
          <w:sz w:val="28"/>
          <w:szCs w:val="28"/>
        </w:rPr>
        <w:t xml:space="preserve"> </w:t>
      </w:r>
      <w:r>
        <w:rPr>
          <w:sz w:val="28"/>
          <w:szCs w:val="28"/>
        </w:rPr>
        <w:t>33,3% и 40,5</w:t>
      </w:r>
      <w:r w:rsidRPr="008741BF">
        <w:rPr>
          <w:sz w:val="28"/>
          <w:szCs w:val="28"/>
        </w:rPr>
        <w:t xml:space="preserve">% от общего количества и суммы транзакций, проведенных по стране с использованием </w:t>
      </w:r>
      <w:r>
        <w:rPr>
          <w:sz w:val="28"/>
          <w:szCs w:val="28"/>
        </w:rPr>
        <w:t>СДП</w:t>
      </w:r>
      <w:r w:rsidRPr="008741BF">
        <w:rPr>
          <w:sz w:val="28"/>
          <w:szCs w:val="28"/>
        </w:rPr>
        <w:t>. Также активно население Казахстана использу</w:t>
      </w:r>
      <w:r>
        <w:rPr>
          <w:sz w:val="28"/>
          <w:szCs w:val="28"/>
        </w:rPr>
        <w:t>ет для внутристрановых переводов</w:t>
      </w:r>
      <w:r w:rsidRPr="008741BF">
        <w:rPr>
          <w:sz w:val="28"/>
          <w:szCs w:val="28"/>
        </w:rPr>
        <w:t xml:space="preserve"> такие системы как Western Union, </w:t>
      </w:r>
      <w:r w:rsidR="009579ED">
        <w:rPr>
          <w:sz w:val="28"/>
          <w:szCs w:val="28"/>
        </w:rPr>
        <w:t>Колибри (</w:t>
      </w:r>
      <w:r w:rsidRPr="008741BF">
        <w:rPr>
          <w:sz w:val="28"/>
          <w:szCs w:val="28"/>
        </w:rPr>
        <w:t>Блиц</w:t>
      </w:r>
      <w:r w:rsidR="009579ED">
        <w:rPr>
          <w:sz w:val="28"/>
          <w:szCs w:val="28"/>
        </w:rPr>
        <w:t>)</w:t>
      </w:r>
      <w:r w:rsidRPr="008741BF">
        <w:rPr>
          <w:sz w:val="28"/>
          <w:szCs w:val="28"/>
        </w:rPr>
        <w:t xml:space="preserve"> и почтовые переводы АО «Казпочта».</w:t>
      </w:r>
    </w:p>
    <w:p w:rsidR="000D17E3" w:rsidRPr="008741BF" w:rsidRDefault="000D17E3" w:rsidP="006702BF">
      <w:pPr>
        <w:ind w:firstLine="709"/>
        <w:jc w:val="both"/>
        <w:rPr>
          <w:sz w:val="28"/>
          <w:szCs w:val="28"/>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0"/>
        <w:gridCol w:w="1620"/>
        <w:gridCol w:w="1492"/>
        <w:gridCol w:w="1597"/>
        <w:gridCol w:w="1641"/>
      </w:tblGrid>
      <w:tr w:rsidR="00617F41" w:rsidRPr="008741BF" w:rsidTr="003C19C9">
        <w:trPr>
          <w:trHeight w:val="255"/>
        </w:trPr>
        <w:tc>
          <w:tcPr>
            <w:tcW w:w="3450" w:type="dxa"/>
            <w:shd w:val="clear" w:color="auto" w:fill="EAF1DD"/>
            <w:noWrap/>
            <w:vAlign w:val="center"/>
          </w:tcPr>
          <w:p w:rsidR="00617F41" w:rsidRPr="008741BF" w:rsidRDefault="00617F41" w:rsidP="006702BF">
            <w:pPr>
              <w:jc w:val="center"/>
              <w:rPr>
                <w:b/>
                <w:sz w:val="22"/>
                <w:szCs w:val="22"/>
              </w:rPr>
            </w:pPr>
            <w:r w:rsidRPr="008741BF">
              <w:rPr>
                <w:sz w:val="22"/>
                <w:szCs w:val="22"/>
              </w:rPr>
              <w:tab/>
            </w:r>
            <w:r w:rsidRPr="008741BF">
              <w:rPr>
                <w:b/>
                <w:sz w:val="22"/>
                <w:szCs w:val="22"/>
              </w:rPr>
              <w:t>Система</w:t>
            </w:r>
          </w:p>
        </w:tc>
        <w:tc>
          <w:tcPr>
            <w:tcW w:w="1620" w:type="dxa"/>
            <w:shd w:val="clear" w:color="auto" w:fill="EAF1DD"/>
            <w:noWrap/>
            <w:vAlign w:val="center"/>
          </w:tcPr>
          <w:p w:rsidR="00617F41" w:rsidRPr="008741BF" w:rsidRDefault="00617F41" w:rsidP="006702BF">
            <w:pPr>
              <w:jc w:val="center"/>
              <w:rPr>
                <w:b/>
                <w:sz w:val="22"/>
                <w:szCs w:val="22"/>
              </w:rPr>
            </w:pPr>
            <w:r w:rsidRPr="008741BF">
              <w:rPr>
                <w:b/>
                <w:sz w:val="22"/>
                <w:szCs w:val="22"/>
              </w:rPr>
              <w:t>Кол-во (тыс. транзакций)</w:t>
            </w:r>
          </w:p>
        </w:tc>
        <w:tc>
          <w:tcPr>
            <w:tcW w:w="1492" w:type="dxa"/>
            <w:shd w:val="clear" w:color="auto" w:fill="EAF1DD"/>
            <w:noWrap/>
            <w:vAlign w:val="center"/>
          </w:tcPr>
          <w:p w:rsidR="00617F41" w:rsidRPr="008741BF" w:rsidRDefault="00617F41" w:rsidP="006702BF">
            <w:pPr>
              <w:jc w:val="center"/>
              <w:rPr>
                <w:b/>
                <w:i/>
                <w:sz w:val="22"/>
                <w:szCs w:val="22"/>
              </w:rPr>
            </w:pPr>
            <w:r w:rsidRPr="008741BF">
              <w:rPr>
                <w:b/>
                <w:i/>
                <w:sz w:val="22"/>
                <w:szCs w:val="22"/>
              </w:rPr>
              <w:t>Доля от общего кол-ва, в %</w:t>
            </w:r>
          </w:p>
        </w:tc>
        <w:tc>
          <w:tcPr>
            <w:tcW w:w="1597" w:type="dxa"/>
            <w:shd w:val="clear" w:color="auto" w:fill="EAF1DD"/>
            <w:noWrap/>
            <w:vAlign w:val="center"/>
          </w:tcPr>
          <w:p w:rsidR="00617F41" w:rsidRPr="008741BF" w:rsidRDefault="00617F41" w:rsidP="006702BF">
            <w:pPr>
              <w:jc w:val="center"/>
              <w:rPr>
                <w:b/>
                <w:sz w:val="22"/>
                <w:szCs w:val="22"/>
              </w:rPr>
            </w:pPr>
            <w:r w:rsidRPr="008741BF">
              <w:rPr>
                <w:b/>
                <w:sz w:val="22"/>
                <w:szCs w:val="22"/>
              </w:rPr>
              <w:t>Сумма (млн. тенге)</w:t>
            </w:r>
          </w:p>
        </w:tc>
        <w:tc>
          <w:tcPr>
            <w:tcW w:w="1641" w:type="dxa"/>
            <w:shd w:val="clear" w:color="auto" w:fill="EAF1DD"/>
            <w:noWrap/>
            <w:vAlign w:val="center"/>
          </w:tcPr>
          <w:p w:rsidR="00617F41" w:rsidRPr="008741BF" w:rsidRDefault="00617F41" w:rsidP="006702BF">
            <w:pPr>
              <w:jc w:val="center"/>
              <w:rPr>
                <w:b/>
                <w:i/>
                <w:sz w:val="22"/>
                <w:szCs w:val="22"/>
              </w:rPr>
            </w:pPr>
            <w:r w:rsidRPr="008741BF">
              <w:rPr>
                <w:b/>
                <w:i/>
                <w:sz w:val="22"/>
                <w:szCs w:val="22"/>
              </w:rPr>
              <w:t>Доля от общей  суммы, в %</w:t>
            </w:r>
          </w:p>
        </w:tc>
      </w:tr>
      <w:tr w:rsidR="00617F41" w:rsidRPr="008741BF" w:rsidTr="003C19C9">
        <w:trPr>
          <w:trHeight w:val="171"/>
        </w:trPr>
        <w:tc>
          <w:tcPr>
            <w:tcW w:w="3450" w:type="dxa"/>
            <w:noWrap/>
            <w:vAlign w:val="center"/>
          </w:tcPr>
          <w:p w:rsidR="00617F41" w:rsidRPr="008741BF" w:rsidRDefault="00617F41" w:rsidP="006702BF">
            <w:pPr>
              <w:rPr>
                <w:sz w:val="22"/>
                <w:szCs w:val="22"/>
              </w:rPr>
            </w:pPr>
            <w:r w:rsidRPr="008741BF">
              <w:rPr>
                <w:sz w:val="22"/>
                <w:szCs w:val="22"/>
              </w:rPr>
              <w:t>Faster</w:t>
            </w:r>
          </w:p>
        </w:tc>
        <w:tc>
          <w:tcPr>
            <w:tcW w:w="1620" w:type="dxa"/>
            <w:noWrap/>
            <w:vAlign w:val="center"/>
          </w:tcPr>
          <w:p w:rsidR="00617F41" w:rsidRPr="008741BF" w:rsidRDefault="00617F41" w:rsidP="006702BF">
            <w:pPr>
              <w:jc w:val="center"/>
              <w:rPr>
                <w:sz w:val="22"/>
                <w:szCs w:val="22"/>
              </w:rPr>
            </w:pPr>
            <w:r w:rsidRPr="008741BF">
              <w:rPr>
                <w:sz w:val="22"/>
                <w:szCs w:val="22"/>
              </w:rPr>
              <w:t>201,0</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33,3%</w:t>
            </w:r>
          </w:p>
        </w:tc>
        <w:tc>
          <w:tcPr>
            <w:tcW w:w="1597" w:type="dxa"/>
            <w:noWrap/>
            <w:vAlign w:val="center"/>
          </w:tcPr>
          <w:p w:rsidR="00617F41" w:rsidRPr="008741BF" w:rsidRDefault="00617F41" w:rsidP="006702BF">
            <w:pPr>
              <w:jc w:val="center"/>
              <w:rPr>
                <w:sz w:val="22"/>
                <w:szCs w:val="22"/>
              </w:rPr>
            </w:pPr>
            <w:r w:rsidRPr="008741BF">
              <w:rPr>
                <w:sz w:val="22"/>
                <w:szCs w:val="22"/>
              </w:rPr>
              <w:t>16 536,1</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40,5%</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Western Union</w:t>
            </w:r>
          </w:p>
        </w:tc>
        <w:tc>
          <w:tcPr>
            <w:tcW w:w="1620" w:type="dxa"/>
            <w:noWrap/>
            <w:vAlign w:val="center"/>
          </w:tcPr>
          <w:p w:rsidR="00617F41" w:rsidRPr="008741BF" w:rsidRDefault="00617F41" w:rsidP="006702BF">
            <w:pPr>
              <w:jc w:val="center"/>
              <w:rPr>
                <w:sz w:val="22"/>
                <w:szCs w:val="22"/>
              </w:rPr>
            </w:pPr>
            <w:r w:rsidRPr="008741BF">
              <w:rPr>
                <w:sz w:val="22"/>
                <w:szCs w:val="22"/>
              </w:rPr>
              <w:t>88,1</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14,6%</w:t>
            </w:r>
          </w:p>
        </w:tc>
        <w:tc>
          <w:tcPr>
            <w:tcW w:w="1597" w:type="dxa"/>
            <w:noWrap/>
            <w:vAlign w:val="center"/>
          </w:tcPr>
          <w:p w:rsidR="00617F41" w:rsidRPr="008741BF" w:rsidRDefault="00617F41" w:rsidP="006702BF">
            <w:pPr>
              <w:jc w:val="center"/>
              <w:rPr>
                <w:sz w:val="22"/>
                <w:szCs w:val="22"/>
              </w:rPr>
            </w:pPr>
            <w:r w:rsidRPr="008741BF">
              <w:rPr>
                <w:sz w:val="22"/>
                <w:szCs w:val="22"/>
              </w:rPr>
              <w:t>12 035,9</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29,5%</w:t>
            </w:r>
          </w:p>
        </w:tc>
      </w:tr>
      <w:tr w:rsidR="00617F41" w:rsidRPr="008741BF" w:rsidTr="003C19C9">
        <w:trPr>
          <w:trHeight w:val="255"/>
        </w:trPr>
        <w:tc>
          <w:tcPr>
            <w:tcW w:w="3450" w:type="dxa"/>
            <w:noWrap/>
            <w:vAlign w:val="center"/>
          </w:tcPr>
          <w:p w:rsidR="00617F41" w:rsidRPr="008741BF" w:rsidRDefault="009579ED" w:rsidP="006702BF">
            <w:pPr>
              <w:rPr>
                <w:sz w:val="22"/>
                <w:szCs w:val="22"/>
              </w:rPr>
            </w:pPr>
            <w:r>
              <w:rPr>
                <w:sz w:val="22"/>
                <w:szCs w:val="22"/>
              </w:rPr>
              <w:t>Колибри (Блиц)</w:t>
            </w:r>
          </w:p>
        </w:tc>
        <w:tc>
          <w:tcPr>
            <w:tcW w:w="1620" w:type="dxa"/>
            <w:noWrap/>
            <w:vAlign w:val="center"/>
          </w:tcPr>
          <w:p w:rsidR="00617F41" w:rsidRPr="008741BF" w:rsidRDefault="00617F41" w:rsidP="006702BF">
            <w:pPr>
              <w:jc w:val="center"/>
              <w:rPr>
                <w:sz w:val="22"/>
                <w:szCs w:val="22"/>
              </w:rPr>
            </w:pPr>
            <w:r w:rsidRPr="008741BF">
              <w:rPr>
                <w:sz w:val="22"/>
                <w:szCs w:val="22"/>
              </w:rPr>
              <w:t>44,4</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7,4%</w:t>
            </w:r>
          </w:p>
        </w:tc>
        <w:tc>
          <w:tcPr>
            <w:tcW w:w="1597" w:type="dxa"/>
            <w:noWrap/>
            <w:vAlign w:val="center"/>
          </w:tcPr>
          <w:p w:rsidR="00617F41" w:rsidRPr="008741BF" w:rsidRDefault="00617F41" w:rsidP="006702BF">
            <w:pPr>
              <w:jc w:val="center"/>
              <w:rPr>
                <w:sz w:val="22"/>
                <w:szCs w:val="22"/>
              </w:rPr>
            </w:pPr>
            <w:r w:rsidRPr="008741BF">
              <w:rPr>
                <w:sz w:val="22"/>
                <w:szCs w:val="22"/>
              </w:rPr>
              <w:t>4 937,0</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12,1%</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Почтовые переводы</w:t>
            </w:r>
          </w:p>
        </w:tc>
        <w:tc>
          <w:tcPr>
            <w:tcW w:w="1620" w:type="dxa"/>
            <w:noWrap/>
            <w:vAlign w:val="center"/>
          </w:tcPr>
          <w:p w:rsidR="00617F41" w:rsidRPr="008741BF" w:rsidRDefault="00617F41" w:rsidP="006702BF">
            <w:pPr>
              <w:jc w:val="center"/>
              <w:rPr>
                <w:sz w:val="22"/>
                <w:szCs w:val="22"/>
              </w:rPr>
            </w:pPr>
            <w:r w:rsidRPr="008741BF">
              <w:rPr>
                <w:sz w:val="22"/>
                <w:szCs w:val="22"/>
              </w:rPr>
              <w:t>260,7</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43,1%</w:t>
            </w:r>
          </w:p>
        </w:tc>
        <w:tc>
          <w:tcPr>
            <w:tcW w:w="1597" w:type="dxa"/>
            <w:noWrap/>
            <w:vAlign w:val="center"/>
          </w:tcPr>
          <w:p w:rsidR="00617F41" w:rsidRPr="008741BF" w:rsidRDefault="00617F41" w:rsidP="006702BF">
            <w:pPr>
              <w:jc w:val="center"/>
              <w:rPr>
                <w:sz w:val="22"/>
                <w:szCs w:val="22"/>
              </w:rPr>
            </w:pPr>
            <w:r w:rsidRPr="008741BF">
              <w:rPr>
                <w:sz w:val="22"/>
                <w:szCs w:val="22"/>
              </w:rPr>
              <w:t>3 704,0</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9,1%</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Contact</w:t>
            </w:r>
          </w:p>
        </w:tc>
        <w:tc>
          <w:tcPr>
            <w:tcW w:w="1620" w:type="dxa"/>
            <w:noWrap/>
            <w:vAlign w:val="center"/>
          </w:tcPr>
          <w:p w:rsidR="00617F41" w:rsidRPr="008741BF" w:rsidRDefault="00617F41" w:rsidP="006702BF">
            <w:pPr>
              <w:jc w:val="center"/>
              <w:rPr>
                <w:sz w:val="22"/>
                <w:szCs w:val="22"/>
              </w:rPr>
            </w:pPr>
            <w:r w:rsidRPr="008741BF">
              <w:rPr>
                <w:sz w:val="22"/>
                <w:szCs w:val="22"/>
              </w:rPr>
              <w:t>1,9</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0,3%</w:t>
            </w:r>
          </w:p>
        </w:tc>
        <w:tc>
          <w:tcPr>
            <w:tcW w:w="1597" w:type="dxa"/>
            <w:noWrap/>
            <w:vAlign w:val="center"/>
          </w:tcPr>
          <w:p w:rsidR="00617F41" w:rsidRPr="008741BF" w:rsidRDefault="00617F41" w:rsidP="006702BF">
            <w:pPr>
              <w:jc w:val="center"/>
              <w:rPr>
                <w:sz w:val="22"/>
                <w:szCs w:val="22"/>
              </w:rPr>
            </w:pPr>
            <w:r w:rsidRPr="008741BF">
              <w:rPr>
                <w:sz w:val="22"/>
                <w:szCs w:val="22"/>
              </w:rPr>
              <w:t>1 027,2</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2,5%</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Юнистрим</w:t>
            </w:r>
          </w:p>
        </w:tc>
        <w:tc>
          <w:tcPr>
            <w:tcW w:w="1620" w:type="dxa"/>
            <w:noWrap/>
            <w:vAlign w:val="center"/>
          </w:tcPr>
          <w:p w:rsidR="00617F41" w:rsidRPr="008741BF" w:rsidRDefault="00617F41" w:rsidP="006702BF">
            <w:pPr>
              <w:jc w:val="center"/>
              <w:rPr>
                <w:sz w:val="22"/>
                <w:szCs w:val="22"/>
              </w:rPr>
            </w:pPr>
            <w:r w:rsidRPr="008741BF">
              <w:rPr>
                <w:sz w:val="22"/>
                <w:szCs w:val="22"/>
              </w:rPr>
              <w:t>2,6</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0,4%</w:t>
            </w:r>
          </w:p>
        </w:tc>
        <w:tc>
          <w:tcPr>
            <w:tcW w:w="1597" w:type="dxa"/>
            <w:noWrap/>
            <w:vAlign w:val="center"/>
          </w:tcPr>
          <w:p w:rsidR="00617F41" w:rsidRPr="008741BF" w:rsidRDefault="00617F41" w:rsidP="006702BF">
            <w:pPr>
              <w:jc w:val="center"/>
              <w:rPr>
                <w:sz w:val="22"/>
                <w:szCs w:val="22"/>
              </w:rPr>
            </w:pPr>
            <w:r w:rsidRPr="008741BF">
              <w:rPr>
                <w:sz w:val="22"/>
                <w:szCs w:val="22"/>
              </w:rPr>
              <w:t>704,9</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1,7%</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Лидер</w:t>
            </w:r>
          </w:p>
        </w:tc>
        <w:tc>
          <w:tcPr>
            <w:tcW w:w="1620" w:type="dxa"/>
            <w:noWrap/>
            <w:vAlign w:val="center"/>
          </w:tcPr>
          <w:p w:rsidR="00617F41" w:rsidRPr="008741BF" w:rsidRDefault="00617F41" w:rsidP="006702BF">
            <w:pPr>
              <w:jc w:val="center"/>
              <w:rPr>
                <w:sz w:val="22"/>
                <w:szCs w:val="22"/>
              </w:rPr>
            </w:pPr>
            <w:r w:rsidRPr="008741BF">
              <w:rPr>
                <w:sz w:val="22"/>
                <w:szCs w:val="22"/>
              </w:rPr>
              <w:t>0,3</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0,1%</w:t>
            </w:r>
          </w:p>
        </w:tc>
        <w:tc>
          <w:tcPr>
            <w:tcW w:w="1597" w:type="dxa"/>
            <w:noWrap/>
            <w:vAlign w:val="center"/>
          </w:tcPr>
          <w:p w:rsidR="00617F41" w:rsidRPr="008741BF" w:rsidRDefault="00617F41" w:rsidP="006702BF">
            <w:pPr>
              <w:jc w:val="center"/>
              <w:rPr>
                <w:sz w:val="22"/>
                <w:szCs w:val="22"/>
              </w:rPr>
            </w:pPr>
            <w:r w:rsidRPr="008741BF">
              <w:rPr>
                <w:sz w:val="22"/>
                <w:szCs w:val="22"/>
              </w:rPr>
              <w:t>526,5</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1,3%</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Быстрая почта</w:t>
            </w:r>
          </w:p>
        </w:tc>
        <w:tc>
          <w:tcPr>
            <w:tcW w:w="1620" w:type="dxa"/>
            <w:noWrap/>
            <w:vAlign w:val="center"/>
          </w:tcPr>
          <w:p w:rsidR="00617F41" w:rsidRPr="008741BF" w:rsidRDefault="00617F41" w:rsidP="006702BF">
            <w:pPr>
              <w:jc w:val="center"/>
              <w:rPr>
                <w:sz w:val="22"/>
                <w:szCs w:val="22"/>
              </w:rPr>
            </w:pPr>
            <w:r w:rsidRPr="008741BF">
              <w:rPr>
                <w:sz w:val="22"/>
                <w:szCs w:val="22"/>
              </w:rPr>
              <w:t>1,5</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0,3%</w:t>
            </w:r>
          </w:p>
        </w:tc>
        <w:tc>
          <w:tcPr>
            <w:tcW w:w="1597" w:type="dxa"/>
            <w:noWrap/>
            <w:vAlign w:val="center"/>
          </w:tcPr>
          <w:p w:rsidR="00617F41" w:rsidRPr="008741BF" w:rsidRDefault="00617F41" w:rsidP="006702BF">
            <w:pPr>
              <w:jc w:val="center"/>
              <w:rPr>
                <w:sz w:val="22"/>
                <w:szCs w:val="22"/>
              </w:rPr>
            </w:pPr>
            <w:r w:rsidRPr="008741BF">
              <w:rPr>
                <w:sz w:val="22"/>
                <w:szCs w:val="22"/>
              </w:rPr>
              <w:t>426,6</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1,0%</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Быстрые денежные переводы без открытия банковского счета</w:t>
            </w:r>
          </w:p>
        </w:tc>
        <w:tc>
          <w:tcPr>
            <w:tcW w:w="1620" w:type="dxa"/>
            <w:noWrap/>
            <w:vAlign w:val="center"/>
          </w:tcPr>
          <w:p w:rsidR="00617F41" w:rsidRPr="008741BF" w:rsidRDefault="00617F41" w:rsidP="006702BF">
            <w:pPr>
              <w:jc w:val="center"/>
              <w:rPr>
                <w:sz w:val="22"/>
                <w:szCs w:val="22"/>
              </w:rPr>
            </w:pPr>
            <w:r w:rsidRPr="008741BF">
              <w:rPr>
                <w:sz w:val="22"/>
                <w:szCs w:val="22"/>
              </w:rPr>
              <w:t>1,7</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0,3%</w:t>
            </w:r>
          </w:p>
        </w:tc>
        <w:tc>
          <w:tcPr>
            <w:tcW w:w="1597" w:type="dxa"/>
            <w:noWrap/>
            <w:vAlign w:val="center"/>
          </w:tcPr>
          <w:p w:rsidR="00617F41" w:rsidRPr="008741BF" w:rsidRDefault="00617F41" w:rsidP="006702BF">
            <w:pPr>
              <w:jc w:val="center"/>
              <w:rPr>
                <w:sz w:val="22"/>
                <w:szCs w:val="22"/>
              </w:rPr>
            </w:pPr>
            <w:r w:rsidRPr="008741BF">
              <w:rPr>
                <w:sz w:val="22"/>
                <w:szCs w:val="22"/>
              </w:rPr>
              <w:t>365,0</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0,9%</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Анелик</w:t>
            </w:r>
          </w:p>
        </w:tc>
        <w:tc>
          <w:tcPr>
            <w:tcW w:w="1620" w:type="dxa"/>
            <w:noWrap/>
            <w:vAlign w:val="center"/>
          </w:tcPr>
          <w:p w:rsidR="00617F41" w:rsidRPr="008741BF" w:rsidRDefault="00617F41" w:rsidP="006702BF">
            <w:pPr>
              <w:jc w:val="center"/>
              <w:rPr>
                <w:sz w:val="22"/>
                <w:szCs w:val="22"/>
              </w:rPr>
            </w:pPr>
            <w:r w:rsidRPr="008741BF">
              <w:rPr>
                <w:sz w:val="22"/>
                <w:szCs w:val="22"/>
              </w:rPr>
              <w:t>1,0</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0,2%</w:t>
            </w:r>
          </w:p>
        </w:tc>
        <w:tc>
          <w:tcPr>
            <w:tcW w:w="1597" w:type="dxa"/>
            <w:noWrap/>
            <w:vAlign w:val="center"/>
          </w:tcPr>
          <w:p w:rsidR="00617F41" w:rsidRPr="008741BF" w:rsidRDefault="00617F41" w:rsidP="006702BF">
            <w:pPr>
              <w:jc w:val="center"/>
              <w:rPr>
                <w:sz w:val="22"/>
                <w:szCs w:val="22"/>
              </w:rPr>
            </w:pPr>
            <w:r w:rsidRPr="008741BF">
              <w:rPr>
                <w:sz w:val="22"/>
                <w:szCs w:val="22"/>
              </w:rPr>
              <w:t>284,7</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0,7%</w:t>
            </w:r>
          </w:p>
        </w:tc>
      </w:tr>
      <w:tr w:rsidR="00617F41" w:rsidRPr="008741BF" w:rsidTr="003C19C9">
        <w:trPr>
          <w:trHeight w:val="255"/>
        </w:trPr>
        <w:tc>
          <w:tcPr>
            <w:tcW w:w="3450" w:type="dxa"/>
            <w:noWrap/>
            <w:vAlign w:val="center"/>
          </w:tcPr>
          <w:p w:rsidR="00617F41" w:rsidRPr="008741BF" w:rsidRDefault="00617F41" w:rsidP="006702BF">
            <w:pPr>
              <w:rPr>
                <w:sz w:val="22"/>
                <w:szCs w:val="22"/>
              </w:rPr>
            </w:pPr>
            <w:r w:rsidRPr="008741BF">
              <w:rPr>
                <w:sz w:val="22"/>
                <w:szCs w:val="22"/>
              </w:rPr>
              <w:t>Золотая корона</w:t>
            </w:r>
          </w:p>
        </w:tc>
        <w:tc>
          <w:tcPr>
            <w:tcW w:w="1620" w:type="dxa"/>
            <w:noWrap/>
            <w:vAlign w:val="center"/>
          </w:tcPr>
          <w:p w:rsidR="00617F41" w:rsidRPr="008741BF" w:rsidRDefault="00617F41" w:rsidP="006702BF">
            <w:pPr>
              <w:jc w:val="center"/>
              <w:rPr>
                <w:sz w:val="22"/>
                <w:szCs w:val="22"/>
              </w:rPr>
            </w:pPr>
            <w:r w:rsidRPr="008741BF">
              <w:rPr>
                <w:sz w:val="22"/>
                <w:szCs w:val="22"/>
              </w:rPr>
              <w:t>1,1</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0,2%</w:t>
            </w:r>
          </w:p>
        </w:tc>
        <w:tc>
          <w:tcPr>
            <w:tcW w:w="1597" w:type="dxa"/>
            <w:noWrap/>
            <w:vAlign w:val="center"/>
          </w:tcPr>
          <w:p w:rsidR="00617F41" w:rsidRPr="008741BF" w:rsidRDefault="00617F41" w:rsidP="006702BF">
            <w:pPr>
              <w:jc w:val="center"/>
              <w:rPr>
                <w:sz w:val="22"/>
                <w:szCs w:val="22"/>
              </w:rPr>
            </w:pPr>
            <w:r w:rsidRPr="008741BF">
              <w:rPr>
                <w:sz w:val="22"/>
                <w:szCs w:val="22"/>
              </w:rPr>
              <w:t>244,1</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0,6%</w:t>
            </w:r>
          </w:p>
        </w:tc>
      </w:tr>
      <w:tr w:rsidR="00617F41" w:rsidRPr="008741BF" w:rsidTr="003C19C9">
        <w:trPr>
          <w:trHeight w:val="296"/>
        </w:trPr>
        <w:tc>
          <w:tcPr>
            <w:tcW w:w="3450" w:type="dxa"/>
            <w:noWrap/>
            <w:vAlign w:val="center"/>
          </w:tcPr>
          <w:p w:rsidR="00617F41" w:rsidRPr="008741BF" w:rsidRDefault="00617F41" w:rsidP="006702BF">
            <w:pPr>
              <w:rPr>
                <w:sz w:val="22"/>
                <w:szCs w:val="22"/>
              </w:rPr>
            </w:pPr>
            <w:r w:rsidRPr="008741BF">
              <w:rPr>
                <w:sz w:val="22"/>
                <w:szCs w:val="22"/>
              </w:rPr>
              <w:t>Coinstar Money Transfer</w:t>
            </w:r>
          </w:p>
        </w:tc>
        <w:tc>
          <w:tcPr>
            <w:tcW w:w="1620" w:type="dxa"/>
            <w:noWrap/>
            <w:vAlign w:val="center"/>
          </w:tcPr>
          <w:p w:rsidR="00617F41" w:rsidRPr="008741BF" w:rsidRDefault="00617F41" w:rsidP="006702BF">
            <w:pPr>
              <w:jc w:val="center"/>
              <w:rPr>
                <w:sz w:val="22"/>
                <w:szCs w:val="22"/>
              </w:rPr>
            </w:pPr>
            <w:r w:rsidRPr="008741BF">
              <w:rPr>
                <w:sz w:val="22"/>
                <w:szCs w:val="22"/>
              </w:rPr>
              <w:t>0,1</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0,01%</w:t>
            </w:r>
          </w:p>
        </w:tc>
        <w:tc>
          <w:tcPr>
            <w:tcW w:w="1597" w:type="dxa"/>
            <w:noWrap/>
            <w:vAlign w:val="center"/>
          </w:tcPr>
          <w:p w:rsidR="00617F41" w:rsidRPr="008741BF" w:rsidRDefault="00617F41" w:rsidP="006702BF">
            <w:pPr>
              <w:jc w:val="center"/>
              <w:rPr>
                <w:sz w:val="22"/>
                <w:szCs w:val="22"/>
              </w:rPr>
            </w:pPr>
            <w:r w:rsidRPr="008741BF">
              <w:rPr>
                <w:sz w:val="22"/>
                <w:szCs w:val="22"/>
              </w:rPr>
              <w:t>13,6</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0,03%</w:t>
            </w:r>
          </w:p>
        </w:tc>
      </w:tr>
      <w:tr w:rsidR="00617F41" w:rsidRPr="008741BF" w:rsidTr="003C19C9">
        <w:trPr>
          <w:trHeight w:val="129"/>
        </w:trPr>
        <w:tc>
          <w:tcPr>
            <w:tcW w:w="3450" w:type="dxa"/>
            <w:noWrap/>
            <w:vAlign w:val="center"/>
          </w:tcPr>
          <w:p w:rsidR="00617F41" w:rsidRPr="008741BF" w:rsidRDefault="00617F41" w:rsidP="006702BF">
            <w:pPr>
              <w:rPr>
                <w:sz w:val="22"/>
                <w:szCs w:val="22"/>
              </w:rPr>
            </w:pPr>
            <w:r w:rsidRPr="008741BF">
              <w:rPr>
                <w:sz w:val="22"/>
                <w:szCs w:val="22"/>
              </w:rPr>
              <w:t>MoneyGram</w:t>
            </w:r>
          </w:p>
        </w:tc>
        <w:tc>
          <w:tcPr>
            <w:tcW w:w="1620" w:type="dxa"/>
            <w:noWrap/>
            <w:vAlign w:val="center"/>
          </w:tcPr>
          <w:p w:rsidR="00617F41" w:rsidRPr="008741BF" w:rsidRDefault="00617F41" w:rsidP="006702BF">
            <w:pPr>
              <w:jc w:val="center"/>
              <w:rPr>
                <w:sz w:val="22"/>
                <w:szCs w:val="22"/>
              </w:rPr>
            </w:pPr>
            <w:r w:rsidRPr="008741BF">
              <w:rPr>
                <w:sz w:val="22"/>
                <w:szCs w:val="22"/>
              </w:rPr>
              <w:t>0,002</w:t>
            </w:r>
          </w:p>
        </w:tc>
        <w:tc>
          <w:tcPr>
            <w:tcW w:w="1492" w:type="dxa"/>
            <w:noWrap/>
            <w:vAlign w:val="center"/>
          </w:tcPr>
          <w:p w:rsidR="00617F41" w:rsidRPr="008741BF" w:rsidRDefault="00617F41" w:rsidP="006702BF">
            <w:pPr>
              <w:jc w:val="center"/>
              <w:rPr>
                <w:i/>
                <w:iCs/>
                <w:sz w:val="22"/>
                <w:szCs w:val="22"/>
              </w:rPr>
            </w:pPr>
            <w:r w:rsidRPr="008741BF">
              <w:rPr>
                <w:i/>
                <w:iCs/>
                <w:sz w:val="22"/>
                <w:szCs w:val="22"/>
              </w:rPr>
              <w:t>0,0003%</w:t>
            </w:r>
          </w:p>
        </w:tc>
        <w:tc>
          <w:tcPr>
            <w:tcW w:w="1597" w:type="dxa"/>
            <w:noWrap/>
            <w:vAlign w:val="center"/>
          </w:tcPr>
          <w:p w:rsidR="00617F41" w:rsidRPr="008741BF" w:rsidRDefault="00617F41" w:rsidP="006702BF">
            <w:pPr>
              <w:jc w:val="center"/>
              <w:rPr>
                <w:sz w:val="22"/>
                <w:szCs w:val="22"/>
              </w:rPr>
            </w:pPr>
            <w:r w:rsidRPr="008741BF">
              <w:rPr>
                <w:sz w:val="22"/>
                <w:szCs w:val="22"/>
              </w:rPr>
              <w:t>0,4</w:t>
            </w:r>
          </w:p>
        </w:tc>
        <w:tc>
          <w:tcPr>
            <w:tcW w:w="1641" w:type="dxa"/>
            <w:noWrap/>
            <w:vAlign w:val="center"/>
          </w:tcPr>
          <w:p w:rsidR="00617F41" w:rsidRPr="008741BF" w:rsidRDefault="00617F41" w:rsidP="006702BF">
            <w:pPr>
              <w:jc w:val="center"/>
              <w:rPr>
                <w:i/>
                <w:iCs/>
                <w:sz w:val="22"/>
                <w:szCs w:val="22"/>
              </w:rPr>
            </w:pPr>
            <w:r w:rsidRPr="008741BF">
              <w:rPr>
                <w:i/>
                <w:iCs/>
                <w:sz w:val="22"/>
                <w:szCs w:val="22"/>
              </w:rPr>
              <w:t>0,001%</w:t>
            </w:r>
          </w:p>
        </w:tc>
      </w:tr>
      <w:tr w:rsidR="00617F41" w:rsidRPr="008741BF" w:rsidTr="003C19C9">
        <w:trPr>
          <w:trHeight w:val="255"/>
        </w:trPr>
        <w:tc>
          <w:tcPr>
            <w:tcW w:w="3450" w:type="dxa"/>
            <w:shd w:val="clear" w:color="auto" w:fill="D6E3BC"/>
            <w:noWrap/>
            <w:vAlign w:val="center"/>
          </w:tcPr>
          <w:p w:rsidR="00617F41" w:rsidRPr="008741BF" w:rsidRDefault="00617F41" w:rsidP="006702BF">
            <w:pPr>
              <w:rPr>
                <w:b/>
                <w:bCs/>
                <w:sz w:val="22"/>
                <w:szCs w:val="22"/>
              </w:rPr>
            </w:pPr>
            <w:r w:rsidRPr="008741BF">
              <w:rPr>
                <w:b/>
                <w:bCs/>
                <w:sz w:val="22"/>
                <w:szCs w:val="22"/>
              </w:rPr>
              <w:t>Общий итог</w:t>
            </w:r>
          </w:p>
        </w:tc>
        <w:tc>
          <w:tcPr>
            <w:tcW w:w="1620" w:type="dxa"/>
            <w:shd w:val="clear" w:color="auto" w:fill="D6E3BC"/>
            <w:noWrap/>
            <w:vAlign w:val="center"/>
          </w:tcPr>
          <w:p w:rsidR="00617F41" w:rsidRPr="008741BF" w:rsidRDefault="00617F41" w:rsidP="006702BF">
            <w:pPr>
              <w:jc w:val="center"/>
              <w:rPr>
                <w:b/>
                <w:bCs/>
                <w:sz w:val="22"/>
                <w:szCs w:val="22"/>
              </w:rPr>
            </w:pPr>
            <w:r w:rsidRPr="008741BF">
              <w:rPr>
                <w:b/>
                <w:bCs/>
                <w:sz w:val="22"/>
                <w:szCs w:val="22"/>
              </w:rPr>
              <w:t>604,5</w:t>
            </w:r>
          </w:p>
        </w:tc>
        <w:tc>
          <w:tcPr>
            <w:tcW w:w="1492" w:type="dxa"/>
            <w:shd w:val="clear" w:color="auto" w:fill="D6E3BC"/>
            <w:noWrap/>
            <w:vAlign w:val="center"/>
          </w:tcPr>
          <w:p w:rsidR="00617F41" w:rsidRPr="008741BF" w:rsidRDefault="00617F41" w:rsidP="006702BF">
            <w:pPr>
              <w:jc w:val="center"/>
              <w:rPr>
                <w:b/>
                <w:i/>
                <w:iCs/>
                <w:sz w:val="22"/>
                <w:szCs w:val="22"/>
              </w:rPr>
            </w:pPr>
            <w:r w:rsidRPr="008741BF">
              <w:rPr>
                <w:b/>
                <w:i/>
                <w:iCs/>
                <w:sz w:val="22"/>
                <w:szCs w:val="22"/>
              </w:rPr>
              <w:t>100,0%</w:t>
            </w:r>
          </w:p>
        </w:tc>
        <w:tc>
          <w:tcPr>
            <w:tcW w:w="1597" w:type="dxa"/>
            <w:shd w:val="clear" w:color="auto" w:fill="D6E3BC"/>
            <w:noWrap/>
            <w:vAlign w:val="center"/>
          </w:tcPr>
          <w:p w:rsidR="00617F41" w:rsidRPr="008741BF" w:rsidRDefault="00617F41" w:rsidP="006702BF">
            <w:pPr>
              <w:jc w:val="center"/>
              <w:rPr>
                <w:b/>
                <w:bCs/>
                <w:sz w:val="22"/>
                <w:szCs w:val="22"/>
              </w:rPr>
            </w:pPr>
            <w:r w:rsidRPr="008741BF">
              <w:rPr>
                <w:b/>
                <w:bCs/>
                <w:sz w:val="22"/>
                <w:szCs w:val="22"/>
              </w:rPr>
              <w:t>40 806,1</w:t>
            </w:r>
          </w:p>
        </w:tc>
        <w:tc>
          <w:tcPr>
            <w:tcW w:w="1641" w:type="dxa"/>
            <w:shd w:val="clear" w:color="auto" w:fill="D6E3BC"/>
            <w:noWrap/>
            <w:vAlign w:val="center"/>
          </w:tcPr>
          <w:p w:rsidR="00617F41" w:rsidRPr="008741BF" w:rsidRDefault="00617F41" w:rsidP="006702BF">
            <w:pPr>
              <w:jc w:val="center"/>
              <w:rPr>
                <w:b/>
                <w:i/>
                <w:iCs/>
                <w:sz w:val="22"/>
                <w:szCs w:val="22"/>
              </w:rPr>
            </w:pPr>
            <w:r w:rsidRPr="008741BF">
              <w:rPr>
                <w:b/>
                <w:i/>
                <w:iCs/>
                <w:sz w:val="22"/>
                <w:szCs w:val="22"/>
              </w:rPr>
              <w:t>100,0%</w:t>
            </w:r>
          </w:p>
        </w:tc>
      </w:tr>
    </w:tbl>
    <w:p w:rsidR="00617F41" w:rsidRDefault="00617F41" w:rsidP="006702BF">
      <w:pPr>
        <w:tabs>
          <w:tab w:val="num" w:pos="993"/>
        </w:tabs>
        <w:ind w:firstLine="709"/>
        <w:jc w:val="both"/>
        <w:rPr>
          <w:sz w:val="28"/>
          <w:szCs w:val="28"/>
        </w:rPr>
      </w:pPr>
      <w:r>
        <w:rPr>
          <w:sz w:val="28"/>
          <w:szCs w:val="28"/>
        </w:rPr>
        <w:t xml:space="preserve">При этом основное влияние на общий прирост объемов переводов, проведенных через  СДП по стране, оказало использование таких систем, как </w:t>
      </w:r>
      <w:r w:rsidRPr="008741BF">
        <w:rPr>
          <w:sz w:val="28"/>
          <w:szCs w:val="28"/>
        </w:rPr>
        <w:t xml:space="preserve">Western Union, Faster и </w:t>
      </w:r>
      <w:r w:rsidR="00AB15DF">
        <w:rPr>
          <w:sz w:val="28"/>
          <w:szCs w:val="28"/>
        </w:rPr>
        <w:t>Колибри (</w:t>
      </w:r>
      <w:r w:rsidRPr="008741BF">
        <w:rPr>
          <w:sz w:val="28"/>
          <w:szCs w:val="28"/>
        </w:rPr>
        <w:t>Блиц</w:t>
      </w:r>
      <w:r w:rsidR="00AB15DF">
        <w:rPr>
          <w:sz w:val="28"/>
          <w:szCs w:val="28"/>
        </w:rPr>
        <w:t>)</w:t>
      </w:r>
      <w:r w:rsidRPr="008741BF">
        <w:rPr>
          <w:sz w:val="28"/>
          <w:szCs w:val="28"/>
        </w:rPr>
        <w:t xml:space="preserve"> (</w:t>
      </w:r>
      <w:r>
        <w:rPr>
          <w:sz w:val="28"/>
          <w:szCs w:val="28"/>
        </w:rPr>
        <w:t xml:space="preserve">рост по сравнению с 2013 годом </w:t>
      </w:r>
      <w:r w:rsidRPr="008741BF">
        <w:rPr>
          <w:sz w:val="28"/>
          <w:szCs w:val="28"/>
        </w:rPr>
        <w:t>на 4,4 млрд. тенге, 2,2 млрд. тенге и 1,7 млрд. тенге соответственно).</w:t>
      </w:r>
    </w:p>
    <w:p w:rsidR="00617F41" w:rsidRDefault="00617F41" w:rsidP="006702BF">
      <w:pPr>
        <w:tabs>
          <w:tab w:val="num" w:pos="993"/>
        </w:tabs>
        <w:ind w:firstLine="709"/>
        <w:jc w:val="both"/>
        <w:rPr>
          <w:sz w:val="28"/>
          <w:szCs w:val="28"/>
        </w:rPr>
      </w:pPr>
      <w:r>
        <w:rPr>
          <w:sz w:val="28"/>
          <w:szCs w:val="28"/>
        </w:rPr>
        <w:t>В соответствии с основным предназначением СДП доминирующая доля приходится на безвозмездные переводы (за исключением переводов на лечение и образование) в пользу иных лиц.</w:t>
      </w:r>
    </w:p>
    <w:p w:rsidR="000D17E3" w:rsidRDefault="000D17E3" w:rsidP="006702BF">
      <w:pPr>
        <w:tabs>
          <w:tab w:val="num" w:pos="993"/>
        </w:tabs>
        <w:ind w:firstLine="709"/>
        <w:jc w:val="both"/>
        <w:rPr>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701"/>
        <w:gridCol w:w="1559"/>
        <w:gridCol w:w="1701"/>
      </w:tblGrid>
      <w:tr w:rsidR="00617F41" w:rsidRPr="0007607A" w:rsidTr="00B057F6">
        <w:trPr>
          <w:trHeight w:val="255"/>
        </w:trPr>
        <w:tc>
          <w:tcPr>
            <w:tcW w:w="4962" w:type="dxa"/>
            <w:vMerge w:val="restart"/>
            <w:shd w:val="clear" w:color="auto" w:fill="D6E3BC"/>
            <w:noWrap/>
            <w:vAlign w:val="center"/>
          </w:tcPr>
          <w:p w:rsidR="00617F41" w:rsidRPr="0007607A" w:rsidRDefault="00617F41" w:rsidP="006702BF">
            <w:pPr>
              <w:jc w:val="center"/>
              <w:rPr>
                <w:b/>
              </w:rPr>
            </w:pPr>
            <w:r w:rsidRPr="0007607A">
              <w:rPr>
                <w:b/>
              </w:rPr>
              <w:t>Назначение платежа</w:t>
            </w:r>
          </w:p>
        </w:tc>
        <w:tc>
          <w:tcPr>
            <w:tcW w:w="4961" w:type="dxa"/>
            <w:gridSpan w:val="3"/>
            <w:shd w:val="clear" w:color="auto" w:fill="D6E3BC"/>
            <w:noWrap/>
            <w:vAlign w:val="center"/>
          </w:tcPr>
          <w:p w:rsidR="00617F41" w:rsidRPr="00B057F6" w:rsidRDefault="00617F41" w:rsidP="006702BF">
            <w:pPr>
              <w:jc w:val="center"/>
              <w:rPr>
                <w:b/>
                <w:i/>
              </w:rPr>
            </w:pPr>
            <w:r w:rsidRPr="00B057F6">
              <w:rPr>
                <w:b/>
              </w:rPr>
              <w:t>Объемы транзакций, проведенных через СДП по Казахстану</w:t>
            </w:r>
            <w:r>
              <w:rPr>
                <w:b/>
              </w:rPr>
              <w:t xml:space="preserve"> (млн. тенге)</w:t>
            </w:r>
          </w:p>
        </w:tc>
      </w:tr>
      <w:tr w:rsidR="00617F41" w:rsidRPr="0007607A" w:rsidTr="00867498">
        <w:trPr>
          <w:trHeight w:val="255"/>
        </w:trPr>
        <w:tc>
          <w:tcPr>
            <w:tcW w:w="4962" w:type="dxa"/>
            <w:vMerge/>
            <w:shd w:val="clear" w:color="auto" w:fill="D6E3BC"/>
            <w:noWrap/>
            <w:vAlign w:val="center"/>
          </w:tcPr>
          <w:p w:rsidR="00617F41" w:rsidRPr="0007607A" w:rsidRDefault="00617F41" w:rsidP="006702BF">
            <w:pPr>
              <w:jc w:val="center"/>
              <w:rPr>
                <w:b/>
              </w:rPr>
            </w:pPr>
          </w:p>
        </w:tc>
        <w:tc>
          <w:tcPr>
            <w:tcW w:w="1701" w:type="dxa"/>
            <w:shd w:val="clear" w:color="auto" w:fill="D6E3BC"/>
            <w:noWrap/>
            <w:vAlign w:val="center"/>
          </w:tcPr>
          <w:p w:rsidR="00617F41" w:rsidRPr="0007607A" w:rsidRDefault="00617F41" w:rsidP="006702BF">
            <w:pPr>
              <w:jc w:val="center"/>
              <w:rPr>
                <w:b/>
              </w:rPr>
            </w:pPr>
            <w:r w:rsidRPr="0007607A">
              <w:rPr>
                <w:b/>
              </w:rPr>
              <w:t>2013</w:t>
            </w:r>
          </w:p>
        </w:tc>
        <w:tc>
          <w:tcPr>
            <w:tcW w:w="1559" w:type="dxa"/>
            <w:shd w:val="clear" w:color="auto" w:fill="D6E3BC"/>
            <w:vAlign w:val="center"/>
          </w:tcPr>
          <w:p w:rsidR="00617F41" w:rsidRPr="0007607A" w:rsidRDefault="00617F41" w:rsidP="006702BF">
            <w:pPr>
              <w:jc w:val="center"/>
              <w:rPr>
                <w:b/>
              </w:rPr>
            </w:pPr>
            <w:r w:rsidRPr="0007607A">
              <w:rPr>
                <w:b/>
              </w:rPr>
              <w:t>2014</w:t>
            </w:r>
          </w:p>
        </w:tc>
        <w:tc>
          <w:tcPr>
            <w:tcW w:w="1701" w:type="dxa"/>
            <w:shd w:val="clear" w:color="auto" w:fill="D6E3BC"/>
            <w:noWrap/>
            <w:vAlign w:val="center"/>
          </w:tcPr>
          <w:p w:rsidR="00617F41" w:rsidRPr="0007607A" w:rsidRDefault="00617F41" w:rsidP="006702BF">
            <w:pPr>
              <w:jc w:val="center"/>
              <w:rPr>
                <w:b/>
                <w:i/>
              </w:rPr>
            </w:pPr>
            <w:r w:rsidRPr="0007607A">
              <w:rPr>
                <w:b/>
                <w:i/>
              </w:rPr>
              <w:t>Изм.,</w:t>
            </w:r>
          </w:p>
          <w:p w:rsidR="00617F41" w:rsidRPr="0007607A" w:rsidRDefault="00617F41" w:rsidP="006702BF">
            <w:pPr>
              <w:jc w:val="center"/>
              <w:rPr>
                <w:b/>
                <w:i/>
              </w:rPr>
            </w:pPr>
            <w:r w:rsidRPr="0007607A">
              <w:rPr>
                <w:b/>
                <w:i/>
              </w:rPr>
              <w:t>в %/в раз</w:t>
            </w:r>
          </w:p>
        </w:tc>
      </w:tr>
      <w:tr w:rsidR="00617F41" w:rsidRPr="0007607A" w:rsidTr="00867498">
        <w:trPr>
          <w:trHeight w:val="255"/>
        </w:trPr>
        <w:tc>
          <w:tcPr>
            <w:tcW w:w="4962" w:type="dxa"/>
            <w:vAlign w:val="bottom"/>
          </w:tcPr>
          <w:p w:rsidR="00617F41" w:rsidRPr="0007607A" w:rsidRDefault="00617F41" w:rsidP="006702BF">
            <w:r w:rsidRPr="0007607A">
              <w:t>Специфические переводы</w:t>
            </w:r>
            <w:r>
              <w:t>, в том числе:</w:t>
            </w:r>
          </w:p>
        </w:tc>
        <w:tc>
          <w:tcPr>
            <w:tcW w:w="1701" w:type="dxa"/>
            <w:noWrap/>
            <w:vAlign w:val="center"/>
          </w:tcPr>
          <w:p w:rsidR="00617F41" w:rsidRPr="0007607A" w:rsidRDefault="00617F41" w:rsidP="006702BF">
            <w:pPr>
              <w:jc w:val="center"/>
            </w:pPr>
            <w:r w:rsidRPr="0007607A">
              <w:t>36 281,3</w:t>
            </w:r>
          </w:p>
        </w:tc>
        <w:tc>
          <w:tcPr>
            <w:tcW w:w="1559" w:type="dxa"/>
            <w:vAlign w:val="center"/>
          </w:tcPr>
          <w:p w:rsidR="00617F41" w:rsidRPr="0007607A" w:rsidRDefault="00617F41" w:rsidP="006702BF">
            <w:pPr>
              <w:jc w:val="center"/>
            </w:pPr>
            <w:r w:rsidRPr="0007607A">
              <w:t>40 558,2</w:t>
            </w:r>
          </w:p>
        </w:tc>
        <w:tc>
          <w:tcPr>
            <w:tcW w:w="1701" w:type="dxa"/>
            <w:noWrap/>
            <w:vAlign w:val="center"/>
          </w:tcPr>
          <w:p w:rsidR="00617F41" w:rsidRPr="0007607A" w:rsidRDefault="00617F41" w:rsidP="006702BF">
            <w:pPr>
              <w:jc w:val="center"/>
            </w:pPr>
            <w:r w:rsidRPr="0007607A">
              <w:t>11,8%</w:t>
            </w:r>
          </w:p>
        </w:tc>
      </w:tr>
      <w:tr w:rsidR="00617F41" w:rsidRPr="0007607A" w:rsidTr="00867498">
        <w:trPr>
          <w:trHeight w:val="255"/>
        </w:trPr>
        <w:tc>
          <w:tcPr>
            <w:tcW w:w="4962" w:type="dxa"/>
            <w:vAlign w:val="bottom"/>
          </w:tcPr>
          <w:p w:rsidR="00617F41" w:rsidRPr="0007607A" w:rsidRDefault="00617F41" w:rsidP="006702BF">
            <w:pPr>
              <w:rPr>
                <w:i/>
              </w:rPr>
            </w:pPr>
            <w:r w:rsidRPr="0007607A">
              <w:rPr>
                <w:i/>
              </w:rPr>
              <w:t>Прочие безвозмездные переводы</w:t>
            </w:r>
            <w:r>
              <w:rPr>
                <w:i/>
              </w:rPr>
              <w:t xml:space="preserve"> (за исключением переводов на лечение и образование)</w:t>
            </w:r>
          </w:p>
        </w:tc>
        <w:tc>
          <w:tcPr>
            <w:tcW w:w="1701" w:type="dxa"/>
            <w:noWrap/>
            <w:vAlign w:val="center"/>
          </w:tcPr>
          <w:p w:rsidR="00617F41" w:rsidRPr="0007607A" w:rsidRDefault="00617F41" w:rsidP="006702BF">
            <w:pPr>
              <w:jc w:val="center"/>
              <w:rPr>
                <w:i/>
                <w:iCs/>
              </w:rPr>
            </w:pPr>
            <w:r w:rsidRPr="0007607A">
              <w:rPr>
                <w:i/>
                <w:iCs/>
              </w:rPr>
              <w:t>36 219,4</w:t>
            </w:r>
          </w:p>
        </w:tc>
        <w:tc>
          <w:tcPr>
            <w:tcW w:w="1559" w:type="dxa"/>
            <w:vAlign w:val="center"/>
          </w:tcPr>
          <w:p w:rsidR="00617F41" w:rsidRPr="0007607A" w:rsidRDefault="00617F41" w:rsidP="006702BF">
            <w:pPr>
              <w:jc w:val="center"/>
              <w:rPr>
                <w:i/>
                <w:iCs/>
              </w:rPr>
            </w:pPr>
            <w:r w:rsidRPr="0007607A">
              <w:rPr>
                <w:i/>
                <w:iCs/>
              </w:rPr>
              <w:t>40 509,1</w:t>
            </w:r>
          </w:p>
        </w:tc>
        <w:tc>
          <w:tcPr>
            <w:tcW w:w="1701" w:type="dxa"/>
            <w:noWrap/>
            <w:vAlign w:val="center"/>
          </w:tcPr>
          <w:p w:rsidR="00617F41" w:rsidRPr="0007607A" w:rsidRDefault="00617F41" w:rsidP="006702BF">
            <w:pPr>
              <w:jc w:val="center"/>
            </w:pPr>
            <w:r w:rsidRPr="0007607A">
              <w:t>11,8%</w:t>
            </w:r>
          </w:p>
        </w:tc>
      </w:tr>
      <w:tr w:rsidR="00617F41" w:rsidRPr="0007607A" w:rsidTr="00867498">
        <w:trPr>
          <w:trHeight w:val="255"/>
        </w:trPr>
        <w:tc>
          <w:tcPr>
            <w:tcW w:w="4962" w:type="dxa"/>
            <w:vAlign w:val="bottom"/>
          </w:tcPr>
          <w:p w:rsidR="00617F41" w:rsidRPr="0007607A" w:rsidRDefault="00617F41" w:rsidP="006702BF">
            <w:r w:rsidRPr="0007607A">
              <w:t>Депозиты</w:t>
            </w:r>
          </w:p>
        </w:tc>
        <w:tc>
          <w:tcPr>
            <w:tcW w:w="1701" w:type="dxa"/>
            <w:noWrap/>
            <w:vAlign w:val="center"/>
          </w:tcPr>
          <w:p w:rsidR="00617F41" w:rsidRPr="0007607A" w:rsidRDefault="00617F41" w:rsidP="006702BF">
            <w:pPr>
              <w:jc w:val="center"/>
            </w:pPr>
            <w:r w:rsidRPr="0007607A">
              <w:t>472,9</w:t>
            </w:r>
          </w:p>
        </w:tc>
        <w:tc>
          <w:tcPr>
            <w:tcW w:w="1559" w:type="dxa"/>
            <w:vAlign w:val="center"/>
          </w:tcPr>
          <w:p w:rsidR="00617F41" w:rsidRPr="0007607A" w:rsidRDefault="00617F41" w:rsidP="006702BF">
            <w:pPr>
              <w:jc w:val="center"/>
            </w:pPr>
            <w:r w:rsidRPr="0007607A">
              <w:t>205,9</w:t>
            </w:r>
          </w:p>
        </w:tc>
        <w:tc>
          <w:tcPr>
            <w:tcW w:w="1701" w:type="dxa"/>
            <w:noWrap/>
            <w:vAlign w:val="center"/>
          </w:tcPr>
          <w:p w:rsidR="00617F41" w:rsidRPr="0007607A" w:rsidRDefault="00617F41" w:rsidP="006702BF">
            <w:pPr>
              <w:jc w:val="center"/>
            </w:pPr>
            <w:r w:rsidRPr="0007607A">
              <w:t>-56,5%</w:t>
            </w:r>
          </w:p>
        </w:tc>
      </w:tr>
      <w:tr w:rsidR="00617F41" w:rsidRPr="0007607A" w:rsidTr="00867498">
        <w:trPr>
          <w:trHeight w:val="255"/>
        </w:trPr>
        <w:tc>
          <w:tcPr>
            <w:tcW w:w="4962" w:type="dxa"/>
            <w:vAlign w:val="bottom"/>
          </w:tcPr>
          <w:p w:rsidR="00617F41" w:rsidRPr="0007607A" w:rsidRDefault="00617F41" w:rsidP="006702BF">
            <w:r w:rsidRPr="0007607A">
              <w:lastRenderedPageBreak/>
              <w:t>Товары и нематериальные активы</w:t>
            </w:r>
          </w:p>
        </w:tc>
        <w:tc>
          <w:tcPr>
            <w:tcW w:w="1701" w:type="dxa"/>
            <w:noWrap/>
            <w:vAlign w:val="center"/>
          </w:tcPr>
          <w:p w:rsidR="00617F41" w:rsidRPr="0007607A" w:rsidRDefault="00617F41" w:rsidP="006702BF">
            <w:pPr>
              <w:jc w:val="center"/>
            </w:pPr>
            <w:r w:rsidRPr="0007607A">
              <w:t>0,5</w:t>
            </w:r>
          </w:p>
        </w:tc>
        <w:tc>
          <w:tcPr>
            <w:tcW w:w="1559" w:type="dxa"/>
            <w:vAlign w:val="center"/>
          </w:tcPr>
          <w:p w:rsidR="00617F41" w:rsidRPr="0007607A" w:rsidRDefault="00617F41" w:rsidP="006702BF">
            <w:pPr>
              <w:jc w:val="center"/>
            </w:pPr>
            <w:r w:rsidRPr="0007607A">
              <w:t>1,3</w:t>
            </w:r>
          </w:p>
        </w:tc>
        <w:tc>
          <w:tcPr>
            <w:tcW w:w="1701" w:type="dxa"/>
            <w:noWrap/>
            <w:vAlign w:val="center"/>
          </w:tcPr>
          <w:p w:rsidR="00617F41" w:rsidRPr="0007607A" w:rsidRDefault="00617F41" w:rsidP="006702BF">
            <w:pPr>
              <w:jc w:val="center"/>
            </w:pPr>
            <w:r w:rsidRPr="0007607A">
              <w:t>в 2,9 раза</w:t>
            </w:r>
          </w:p>
        </w:tc>
      </w:tr>
      <w:tr w:rsidR="00617F41" w:rsidRPr="0007607A" w:rsidTr="00867498">
        <w:trPr>
          <w:trHeight w:val="255"/>
        </w:trPr>
        <w:tc>
          <w:tcPr>
            <w:tcW w:w="4962" w:type="dxa"/>
            <w:vAlign w:val="bottom"/>
          </w:tcPr>
          <w:p w:rsidR="00617F41" w:rsidRPr="0007607A" w:rsidRDefault="00617F41" w:rsidP="006702BF">
            <w:r w:rsidRPr="0007607A">
              <w:t>Услуги</w:t>
            </w:r>
          </w:p>
        </w:tc>
        <w:tc>
          <w:tcPr>
            <w:tcW w:w="1701" w:type="dxa"/>
            <w:noWrap/>
            <w:vAlign w:val="center"/>
          </w:tcPr>
          <w:p w:rsidR="00617F41" w:rsidRPr="0007607A" w:rsidRDefault="00617F41" w:rsidP="006702BF">
            <w:pPr>
              <w:jc w:val="center"/>
            </w:pPr>
            <w:r w:rsidRPr="0007607A">
              <w:t>44,1</w:t>
            </w:r>
          </w:p>
        </w:tc>
        <w:tc>
          <w:tcPr>
            <w:tcW w:w="1559" w:type="dxa"/>
            <w:vAlign w:val="center"/>
          </w:tcPr>
          <w:p w:rsidR="00617F41" w:rsidRPr="0007607A" w:rsidRDefault="00617F41" w:rsidP="006702BF">
            <w:pPr>
              <w:jc w:val="center"/>
            </w:pPr>
            <w:r w:rsidRPr="0007607A">
              <w:t>25,4</w:t>
            </w:r>
          </w:p>
        </w:tc>
        <w:tc>
          <w:tcPr>
            <w:tcW w:w="1701" w:type="dxa"/>
            <w:noWrap/>
            <w:vAlign w:val="center"/>
          </w:tcPr>
          <w:p w:rsidR="00617F41" w:rsidRPr="0007607A" w:rsidRDefault="00617F41" w:rsidP="006702BF">
            <w:pPr>
              <w:jc w:val="center"/>
            </w:pPr>
            <w:r w:rsidRPr="0007607A">
              <w:t>-42,6%</w:t>
            </w:r>
          </w:p>
        </w:tc>
      </w:tr>
      <w:tr w:rsidR="00617F41" w:rsidRPr="0007607A" w:rsidTr="00867498">
        <w:trPr>
          <w:trHeight w:val="255"/>
        </w:trPr>
        <w:tc>
          <w:tcPr>
            <w:tcW w:w="4962" w:type="dxa"/>
            <w:vAlign w:val="bottom"/>
          </w:tcPr>
          <w:p w:rsidR="00617F41" w:rsidRPr="0007607A" w:rsidRDefault="00617F41" w:rsidP="006702BF">
            <w:r w:rsidRPr="0007607A">
              <w:t xml:space="preserve">Прочие </w:t>
            </w:r>
            <w:r>
              <w:t>переводы</w:t>
            </w:r>
          </w:p>
        </w:tc>
        <w:tc>
          <w:tcPr>
            <w:tcW w:w="1701" w:type="dxa"/>
            <w:noWrap/>
            <w:vAlign w:val="center"/>
          </w:tcPr>
          <w:p w:rsidR="00617F41" w:rsidRPr="0007607A" w:rsidRDefault="00617F41" w:rsidP="006702BF">
            <w:pPr>
              <w:jc w:val="center"/>
            </w:pPr>
            <w:r w:rsidRPr="0007607A">
              <w:t>14,8</w:t>
            </w:r>
          </w:p>
        </w:tc>
        <w:tc>
          <w:tcPr>
            <w:tcW w:w="1559" w:type="dxa"/>
            <w:vAlign w:val="center"/>
          </w:tcPr>
          <w:p w:rsidR="00617F41" w:rsidRPr="0007607A" w:rsidRDefault="00617F41" w:rsidP="006702BF">
            <w:pPr>
              <w:jc w:val="center"/>
            </w:pPr>
            <w:r w:rsidRPr="0007607A">
              <w:t>15,3</w:t>
            </w:r>
          </w:p>
        </w:tc>
        <w:tc>
          <w:tcPr>
            <w:tcW w:w="1701" w:type="dxa"/>
            <w:noWrap/>
            <w:vAlign w:val="center"/>
          </w:tcPr>
          <w:p w:rsidR="00617F41" w:rsidRPr="0007607A" w:rsidRDefault="00617F41" w:rsidP="006702BF">
            <w:pPr>
              <w:jc w:val="center"/>
            </w:pPr>
            <w:r w:rsidRPr="0007607A">
              <w:t>3,4%</w:t>
            </w:r>
          </w:p>
        </w:tc>
      </w:tr>
      <w:tr w:rsidR="00617F41" w:rsidRPr="0007607A" w:rsidTr="00867498">
        <w:trPr>
          <w:trHeight w:val="255"/>
        </w:trPr>
        <w:tc>
          <w:tcPr>
            <w:tcW w:w="4962" w:type="dxa"/>
            <w:shd w:val="clear" w:color="auto" w:fill="EAF1DD"/>
            <w:vAlign w:val="bottom"/>
          </w:tcPr>
          <w:p w:rsidR="00617F41" w:rsidRPr="0007607A" w:rsidRDefault="00617F41" w:rsidP="006702BF">
            <w:pPr>
              <w:rPr>
                <w:b/>
                <w:bCs/>
              </w:rPr>
            </w:pPr>
            <w:r w:rsidRPr="0007607A">
              <w:rPr>
                <w:b/>
                <w:bCs/>
              </w:rPr>
              <w:t>Итого</w:t>
            </w:r>
          </w:p>
        </w:tc>
        <w:tc>
          <w:tcPr>
            <w:tcW w:w="1701" w:type="dxa"/>
            <w:shd w:val="clear" w:color="auto" w:fill="EAF1DD"/>
            <w:noWrap/>
            <w:vAlign w:val="center"/>
          </w:tcPr>
          <w:p w:rsidR="00617F41" w:rsidRPr="0007607A" w:rsidRDefault="00617F41" w:rsidP="006702BF">
            <w:pPr>
              <w:jc w:val="center"/>
              <w:rPr>
                <w:b/>
                <w:bCs/>
              </w:rPr>
            </w:pPr>
            <w:r w:rsidRPr="0007607A">
              <w:rPr>
                <w:b/>
                <w:bCs/>
              </w:rPr>
              <w:t>36 813,6</w:t>
            </w:r>
          </w:p>
        </w:tc>
        <w:tc>
          <w:tcPr>
            <w:tcW w:w="1559" w:type="dxa"/>
            <w:shd w:val="clear" w:color="auto" w:fill="EAF1DD"/>
            <w:vAlign w:val="center"/>
          </w:tcPr>
          <w:p w:rsidR="00617F41" w:rsidRPr="0007607A" w:rsidRDefault="00617F41" w:rsidP="006702BF">
            <w:pPr>
              <w:jc w:val="center"/>
              <w:rPr>
                <w:b/>
                <w:bCs/>
              </w:rPr>
            </w:pPr>
            <w:r w:rsidRPr="0007607A">
              <w:rPr>
                <w:b/>
                <w:bCs/>
              </w:rPr>
              <w:t>40 806,1</w:t>
            </w:r>
          </w:p>
        </w:tc>
        <w:tc>
          <w:tcPr>
            <w:tcW w:w="1701" w:type="dxa"/>
            <w:shd w:val="clear" w:color="auto" w:fill="EAF1DD"/>
            <w:noWrap/>
            <w:vAlign w:val="center"/>
          </w:tcPr>
          <w:p w:rsidR="00617F41" w:rsidRPr="0007607A" w:rsidRDefault="00617F41" w:rsidP="006702BF">
            <w:pPr>
              <w:jc w:val="center"/>
              <w:rPr>
                <w:b/>
              </w:rPr>
            </w:pPr>
            <w:r w:rsidRPr="0007607A">
              <w:rPr>
                <w:b/>
              </w:rPr>
              <w:t>10,8%</w:t>
            </w:r>
          </w:p>
        </w:tc>
      </w:tr>
    </w:tbl>
    <w:p w:rsidR="000D17E3" w:rsidRDefault="000D17E3" w:rsidP="006702BF">
      <w:pPr>
        <w:ind w:firstLine="708"/>
        <w:jc w:val="both"/>
        <w:rPr>
          <w:sz w:val="28"/>
          <w:szCs w:val="28"/>
        </w:rPr>
      </w:pPr>
    </w:p>
    <w:tbl>
      <w:tblPr>
        <w:tblW w:w="0" w:type="auto"/>
        <w:tblLook w:val="00A0" w:firstRow="1" w:lastRow="0" w:firstColumn="1" w:lastColumn="0" w:noHBand="0" w:noVBand="0"/>
      </w:tblPr>
      <w:tblGrid>
        <w:gridCol w:w="4927"/>
        <w:gridCol w:w="4927"/>
      </w:tblGrid>
      <w:tr w:rsidR="00617F41" w:rsidRPr="00665566" w:rsidTr="000D17E3">
        <w:tc>
          <w:tcPr>
            <w:tcW w:w="4927" w:type="dxa"/>
          </w:tcPr>
          <w:p w:rsidR="00617F41" w:rsidRPr="006702BF" w:rsidRDefault="00617F41" w:rsidP="006702BF">
            <w:pPr>
              <w:tabs>
                <w:tab w:val="num" w:pos="993"/>
              </w:tabs>
              <w:jc w:val="center"/>
            </w:pPr>
            <w:r w:rsidRPr="006702BF">
              <w:rPr>
                <w:b/>
              </w:rPr>
              <w:t>Доля от общего количества отправленных переводов по стране</w:t>
            </w:r>
          </w:p>
          <w:p w:rsidR="00617F41" w:rsidRPr="00667456" w:rsidRDefault="00786A4E" w:rsidP="006702BF">
            <w:pPr>
              <w:tabs>
                <w:tab w:val="num" w:pos="993"/>
              </w:tabs>
              <w:jc w:val="both"/>
            </w:pPr>
            <w:r w:rsidRPr="00EB6199">
              <w:rPr>
                <w:noProof/>
              </w:rPr>
              <w:drawing>
                <wp:inline distT="0" distB="0" distL="0" distR="0">
                  <wp:extent cx="3019425" cy="1704975"/>
                  <wp:effectExtent l="0" t="0" r="0" b="0"/>
                  <wp:docPr id="22"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27" w:type="dxa"/>
          </w:tcPr>
          <w:p w:rsidR="00617F41" w:rsidRPr="006702BF" w:rsidRDefault="00617F41" w:rsidP="006702BF">
            <w:pPr>
              <w:tabs>
                <w:tab w:val="num" w:pos="993"/>
              </w:tabs>
              <w:jc w:val="center"/>
              <w:rPr>
                <w:b/>
              </w:rPr>
            </w:pPr>
            <w:r w:rsidRPr="006702BF">
              <w:rPr>
                <w:b/>
              </w:rPr>
              <w:t>Доля от общей суммы отправленных переводов по стране</w:t>
            </w:r>
          </w:p>
          <w:p w:rsidR="00617F41" w:rsidRPr="00665566" w:rsidRDefault="00786A4E" w:rsidP="006702BF">
            <w:pPr>
              <w:tabs>
                <w:tab w:val="num" w:pos="993"/>
              </w:tabs>
              <w:jc w:val="center"/>
              <w:rPr>
                <w:b/>
              </w:rPr>
            </w:pPr>
            <w:r w:rsidRPr="00EB6199">
              <w:rPr>
                <w:noProof/>
              </w:rPr>
              <w:drawing>
                <wp:inline distT="0" distB="0" distL="0" distR="0">
                  <wp:extent cx="3019425" cy="1638300"/>
                  <wp:effectExtent l="0" t="0" r="0" b="0"/>
                  <wp:docPr id="23"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17F41" w:rsidRPr="00667456" w:rsidRDefault="00617F41" w:rsidP="006702BF">
            <w:pPr>
              <w:tabs>
                <w:tab w:val="num" w:pos="993"/>
              </w:tabs>
              <w:jc w:val="both"/>
            </w:pPr>
          </w:p>
        </w:tc>
      </w:tr>
    </w:tbl>
    <w:p w:rsidR="00617F41" w:rsidRPr="008741BF" w:rsidRDefault="00617F41" w:rsidP="006702BF">
      <w:pPr>
        <w:ind w:firstLine="708"/>
        <w:jc w:val="both"/>
        <w:rPr>
          <w:sz w:val="28"/>
          <w:szCs w:val="28"/>
        </w:rPr>
      </w:pPr>
      <w:r w:rsidRPr="008741BF">
        <w:rPr>
          <w:sz w:val="28"/>
          <w:szCs w:val="28"/>
        </w:rPr>
        <w:t xml:space="preserve">Из Казахстана, несомненно, больше отправляется за рубеж через СДП переводов денег, чем поступает в страну. Так, </w:t>
      </w:r>
      <w:r>
        <w:rPr>
          <w:sz w:val="28"/>
          <w:szCs w:val="28"/>
        </w:rPr>
        <w:t>в 2014 году</w:t>
      </w:r>
      <w:r w:rsidRPr="008741BF">
        <w:rPr>
          <w:b/>
          <w:sz w:val="28"/>
          <w:szCs w:val="28"/>
        </w:rPr>
        <w:t xml:space="preserve"> </w:t>
      </w:r>
      <w:r w:rsidRPr="000F67C1">
        <w:rPr>
          <w:b/>
          <w:sz w:val="28"/>
          <w:szCs w:val="28"/>
        </w:rPr>
        <w:t>общий объем отправленных за рубеж</w:t>
      </w:r>
      <w:r>
        <w:rPr>
          <w:sz w:val="28"/>
          <w:szCs w:val="28"/>
        </w:rPr>
        <w:t xml:space="preserve"> </w:t>
      </w:r>
      <w:r w:rsidRPr="008741BF">
        <w:rPr>
          <w:sz w:val="28"/>
          <w:szCs w:val="28"/>
        </w:rPr>
        <w:t xml:space="preserve">переводов денег из страны составил 1 869,6 тыс. транзакций на сумму 280,4 млрд. тенге, тогда как </w:t>
      </w:r>
      <w:r w:rsidRPr="000F67C1">
        <w:rPr>
          <w:b/>
          <w:sz w:val="28"/>
          <w:szCs w:val="28"/>
        </w:rPr>
        <w:t>поступившие переводы денег из-за рубежа</w:t>
      </w:r>
      <w:r w:rsidRPr="008741BF">
        <w:rPr>
          <w:sz w:val="28"/>
          <w:szCs w:val="28"/>
        </w:rPr>
        <w:t xml:space="preserve"> составили 948,3 тыс. транзакций на сумму 121,4 млрд. тенге. Таким образом, отправленные переводы денег превышают полученные в страну по количеству транзакций в 2,0 раза и по сумме – в 2,3 раза.</w:t>
      </w:r>
      <w:r w:rsidR="00FC0227">
        <w:rPr>
          <w:sz w:val="28"/>
          <w:szCs w:val="28"/>
        </w:rPr>
        <w:t xml:space="preserve"> </w:t>
      </w:r>
      <w:r w:rsidR="00FC0227" w:rsidRPr="000D17E3">
        <w:rPr>
          <w:sz w:val="28"/>
          <w:szCs w:val="28"/>
        </w:rPr>
        <w:t>Средняя сумма одного отправленного из страны перевода составляет около 150 тыс. тенге, полученного в страну перевода – 128 тыс. тенге.</w:t>
      </w:r>
    </w:p>
    <w:p w:rsidR="00617F41" w:rsidRDefault="00786A4E" w:rsidP="006702BF">
      <w:pPr>
        <w:jc w:val="both"/>
        <w:rPr>
          <w:sz w:val="28"/>
          <w:szCs w:val="28"/>
        </w:rPr>
      </w:pPr>
      <w:r w:rsidRPr="007A05EB">
        <w:rPr>
          <w:noProof/>
          <w:sz w:val="28"/>
          <w:szCs w:val="28"/>
        </w:rPr>
        <w:drawing>
          <wp:inline distT="0" distB="0" distL="0" distR="0">
            <wp:extent cx="6296025" cy="1981200"/>
            <wp:effectExtent l="0" t="0" r="0" b="0"/>
            <wp:docPr id="24" name="Объект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617F41" w:rsidRPr="008741BF">
        <w:rPr>
          <w:sz w:val="28"/>
          <w:szCs w:val="28"/>
        </w:rPr>
        <w:tab/>
        <w:t>При этом доминирование и рост объем</w:t>
      </w:r>
      <w:r w:rsidR="00617F41">
        <w:rPr>
          <w:sz w:val="28"/>
          <w:szCs w:val="28"/>
        </w:rPr>
        <w:t>ов</w:t>
      </w:r>
      <w:r w:rsidR="00617F41" w:rsidRPr="008741BF">
        <w:rPr>
          <w:sz w:val="28"/>
          <w:szCs w:val="28"/>
        </w:rPr>
        <w:t xml:space="preserve"> отправленных из страны переводов денег через СДП (прирост по сравнению с 2013 годом на 4,7% по количеству  на 17,4% по сумме транзакций) во многом зависит как от миграционной активности населения страны (в 2014 году в страну прибыло 14 842 человек), так и от потребностей населения в </w:t>
      </w:r>
      <w:r w:rsidR="00617F41">
        <w:rPr>
          <w:sz w:val="28"/>
          <w:szCs w:val="28"/>
        </w:rPr>
        <w:t>переводах денег для приобретения</w:t>
      </w:r>
      <w:r w:rsidR="00617F41" w:rsidRPr="008741BF">
        <w:rPr>
          <w:sz w:val="28"/>
          <w:szCs w:val="28"/>
        </w:rPr>
        <w:t xml:space="preserve"> тех или иных товаров и услуг за границей. </w:t>
      </w:r>
      <w:r w:rsidR="00617F41">
        <w:rPr>
          <w:sz w:val="28"/>
          <w:szCs w:val="28"/>
        </w:rPr>
        <w:t xml:space="preserve"> </w:t>
      </w:r>
      <w:r w:rsidR="00617F41" w:rsidRPr="008741BF">
        <w:rPr>
          <w:sz w:val="28"/>
          <w:szCs w:val="28"/>
        </w:rPr>
        <w:t xml:space="preserve">В частности, в декабре 2014 года наблюдается значительный рост платежей и переводов денег, отправляемых населением Казахстана в Россию  для оплаты </w:t>
      </w:r>
      <w:r w:rsidR="00617F41">
        <w:rPr>
          <w:sz w:val="28"/>
          <w:szCs w:val="28"/>
        </w:rPr>
        <w:t xml:space="preserve">покупок </w:t>
      </w:r>
      <w:r w:rsidR="00617F41" w:rsidRPr="008741BF">
        <w:rPr>
          <w:sz w:val="28"/>
          <w:szCs w:val="28"/>
        </w:rPr>
        <w:t xml:space="preserve">товаров ввиду удешевления их стоимости (более чем на 69% по сравнению с аналогичным показателем ноября месяца).  Вместе с тем, не смотря на то, что </w:t>
      </w:r>
      <w:r w:rsidR="00617F41" w:rsidRPr="008741BF">
        <w:rPr>
          <w:sz w:val="28"/>
          <w:szCs w:val="28"/>
        </w:rPr>
        <w:lastRenderedPageBreak/>
        <w:t xml:space="preserve">основной поток в Российскую Федерацию в конце 2014 года приходился на переводы денег, направляемые для дальнейшей покупки определенных товаров, их кодирование через банки было осуществлено в качестве безвозмездных переводов, что является одной из основных проблем денежных переводов. </w:t>
      </w:r>
    </w:p>
    <w:p w:rsidR="00617F41" w:rsidRPr="008741BF" w:rsidRDefault="00617F41" w:rsidP="006702BF">
      <w:pPr>
        <w:jc w:val="both"/>
        <w:rPr>
          <w:sz w:val="28"/>
          <w:szCs w:val="28"/>
        </w:rPr>
      </w:pPr>
      <w:r>
        <w:rPr>
          <w:sz w:val="28"/>
          <w:szCs w:val="28"/>
        </w:rPr>
        <w:tab/>
        <w:t xml:space="preserve">Так, </w:t>
      </w:r>
      <w:r w:rsidRPr="008741BF">
        <w:rPr>
          <w:sz w:val="28"/>
          <w:szCs w:val="28"/>
        </w:rPr>
        <w:t xml:space="preserve">безвозмездные переводы (за исключением переводов на лечение и образование) составляют более 98% </w:t>
      </w:r>
      <w:r>
        <w:rPr>
          <w:sz w:val="28"/>
          <w:szCs w:val="28"/>
        </w:rPr>
        <w:t xml:space="preserve">от </w:t>
      </w:r>
      <w:r w:rsidRPr="008741BF">
        <w:rPr>
          <w:sz w:val="28"/>
          <w:szCs w:val="28"/>
        </w:rPr>
        <w:t xml:space="preserve">всей суммы </w:t>
      </w:r>
      <w:r>
        <w:rPr>
          <w:sz w:val="28"/>
          <w:szCs w:val="28"/>
        </w:rPr>
        <w:t>переводов</w:t>
      </w:r>
      <w:r w:rsidRPr="008741BF">
        <w:rPr>
          <w:sz w:val="28"/>
          <w:szCs w:val="28"/>
        </w:rPr>
        <w:t>, отправленных через СДП за рубеж</w:t>
      </w:r>
      <w:r>
        <w:rPr>
          <w:sz w:val="28"/>
          <w:szCs w:val="28"/>
        </w:rPr>
        <w:t>.</w:t>
      </w:r>
    </w:p>
    <w:tbl>
      <w:tblPr>
        <w:tblW w:w="9923" w:type="dxa"/>
        <w:tblInd w:w="-176" w:type="dxa"/>
        <w:tblLook w:val="00A0" w:firstRow="1" w:lastRow="0" w:firstColumn="1" w:lastColumn="0" w:noHBand="0" w:noVBand="0"/>
      </w:tblPr>
      <w:tblGrid>
        <w:gridCol w:w="4962"/>
        <w:gridCol w:w="1843"/>
        <w:gridCol w:w="1559"/>
        <w:gridCol w:w="1559"/>
      </w:tblGrid>
      <w:tr w:rsidR="00617F41" w:rsidRPr="0007607A" w:rsidTr="00F10668">
        <w:trPr>
          <w:trHeight w:val="255"/>
        </w:trPr>
        <w:tc>
          <w:tcPr>
            <w:tcW w:w="4962" w:type="dxa"/>
            <w:vMerge w:val="restart"/>
            <w:tcBorders>
              <w:top w:val="single" w:sz="4" w:space="0" w:color="auto"/>
              <w:left w:val="single" w:sz="4" w:space="0" w:color="auto"/>
              <w:right w:val="single" w:sz="4" w:space="0" w:color="auto"/>
            </w:tcBorders>
            <w:shd w:val="clear" w:color="auto" w:fill="D6E3BC"/>
            <w:noWrap/>
            <w:vAlign w:val="center"/>
          </w:tcPr>
          <w:p w:rsidR="00617F41" w:rsidRPr="0007607A" w:rsidRDefault="00617F41" w:rsidP="006702BF">
            <w:pPr>
              <w:jc w:val="center"/>
              <w:rPr>
                <w:b/>
                <w:bCs/>
              </w:rPr>
            </w:pPr>
            <w:r w:rsidRPr="0007607A">
              <w:rPr>
                <w:b/>
                <w:bCs/>
              </w:rPr>
              <w:t>Назначение платежа</w:t>
            </w:r>
          </w:p>
        </w:tc>
        <w:tc>
          <w:tcPr>
            <w:tcW w:w="4961" w:type="dxa"/>
            <w:gridSpan w:val="3"/>
            <w:tcBorders>
              <w:top w:val="single" w:sz="4" w:space="0" w:color="auto"/>
              <w:left w:val="nil"/>
              <w:bottom w:val="single" w:sz="4" w:space="0" w:color="auto"/>
              <w:right w:val="single" w:sz="4" w:space="0" w:color="000000"/>
            </w:tcBorders>
            <w:shd w:val="clear" w:color="auto" w:fill="D6E3BC"/>
            <w:noWrap/>
            <w:vAlign w:val="center"/>
          </w:tcPr>
          <w:p w:rsidR="00617F41" w:rsidRPr="0007607A" w:rsidRDefault="00617F41" w:rsidP="006702BF">
            <w:pPr>
              <w:jc w:val="center"/>
              <w:rPr>
                <w:b/>
              </w:rPr>
            </w:pPr>
            <w:r w:rsidRPr="0007607A">
              <w:rPr>
                <w:b/>
              </w:rPr>
              <w:t>Отправленные за рубеж</w:t>
            </w:r>
            <w:r w:rsidRPr="0007607A">
              <w:rPr>
                <w:b/>
                <w:lang w:val="kk-KZ"/>
              </w:rPr>
              <w:t xml:space="preserve"> </w:t>
            </w:r>
            <w:r w:rsidRPr="0007607A">
              <w:rPr>
                <w:b/>
              </w:rPr>
              <w:t>(млн. тенге)</w:t>
            </w:r>
          </w:p>
        </w:tc>
      </w:tr>
      <w:tr w:rsidR="00617F41" w:rsidRPr="0007607A" w:rsidTr="00F10668">
        <w:trPr>
          <w:trHeight w:val="255"/>
        </w:trPr>
        <w:tc>
          <w:tcPr>
            <w:tcW w:w="4962" w:type="dxa"/>
            <w:vMerge/>
            <w:tcBorders>
              <w:left w:val="single" w:sz="4" w:space="0" w:color="auto"/>
              <w:bottom w:val="single" w:sz="4" w:space="0" w:color="auto"/>
              <w:right w:val="single" w:sz="4" w:space="0" w:color="auto"/>
            </w:tcBorders>
            <w:shd w:val="clear" w:color="auto" w:fill="D6E3BC"/>
            <w:noWrap/>
            <w:vAlign w:val="center"/>
          </w:tcPr>
          <w:p w:rsidR="00617F41" w:rsidRPr="0007607A" w:rsidRDefault="00617F41" w:rsidP="006702BF">
            <w:pPr>
              <w:jc w:val="center"/>
              <w:rPr>
                <w:b/>
              </w:rPr>
            </w:pPr>
          </w:p>
        </w:tc>
        <w:tc>
          <w:tcPr>
            <w:tcW w:w="1843" w:type="dxa"/>
            <w:tcBorders>
              <w:top w:val="nil"/>
              <w:left w:val="nil"/>
              <w:bottom w:val="single" w:sz="4" w:space="0" w:color="auto"/>
              <w:right w:val="single" w:sz="4" w:space="0" w:color="auto"/>
            </w:tcBorders>
            <w:shd w:val="clear" w:color="auto" w:fill="D6E3BC"/>
            <w:noWrap/>
            <w:vAlign w:val="center"/>
          </w:tcPr>
          <w:p w:rsidR="00617F41" w:rsidRPr="0007607A" w:rsidRDefault="00617F41" w:rsidP="006702BF">
            <w:pPr>
              <w:jc w:val="center"/>
              <w:rPr>
                <w:b/>
              </w:rPr>
            </w:pPr>
            <w:r w:rsidRPr="0007607A">
              <w:rPr>
                <w:b/>
              </w:rPr>
              <w:t>2013</w:t>
            </w:r>
          </w:p>
        </w:tc>
        <w:tc>
          <w:tcPr>
            <w:tcW w:w="1559" w:type="dxa"/>
            <w:tcBorders>
              <w:top w:val="nil"/>
              <w:left w:val="nil"/>
              <w:bottom w:val="single" w:sz="4" w:space="0" w:color="auto"/>
              <w:right w:val="single" w:sz="4" w:space="0" w:color="auto"/>
            </w:tcBorders>
            <w:shd w:val="clear" w:color="auto" w:fill="D6E3BC"/>
            <w:noWrap/>
            <w:vAlign w:val="center"/>
          </w:tcPr>
          <w:p w:rsidR="00617F41" w:rsidRPr="0007607A" w:rsidRDefault="00617F41" w:rsidP="006702BF">
            <w:pPr>
              <w:jc w:val="center"/>
              <w:rPr>
                <w:b/>
              </w:rPr>
            </w:pPr>
            <w:r w:rsidRPr="0007607A">
              <w:rPr>
                <w:b/>
              </w:rPr>
              <w:t>2014</w:t>
            </w:r>
          </w:p>
        </w:tc>
        <w:tc>
          <w:tcPr>
            <w:tcW w:w="1559" w:type="dxa"/>
            <w:tcBorders>
              <w:top w:val="nil"/>
              <w:left w:val="nil"/>
              <w:bottom w:val="single" w:sz="4" w:space="0" w:color="auto"/>
              <w:right w:val="single" w:sz="4" w:space="0" w:color="auto"/>
            </w:tcBorders>
            <w:shd w:val="clear" w:color="auto" w:fill="D6E3BC"/>
            <w:noWrap/>
            <w:vAlign w:val="center"/>
          </w:tcPr>
          <w:p w:rsidR="00617F41" w:rsidRPr="0007607A" w:rsidRDefault="00617F41" w:rsidP="006702BF">
            <w:pPr>
              <w:jc w:val="center"/>
              <w:rPr>
                <w:b/>
                <w:i/>
              </w:rPr>
            </w:pPr>
            <w:r w:rsidRPr="0007607A">
              <w:rPr>
                <w:b/>
                <w:i/>
              </w:rPr>
              <w:t>Изм.,</w:t>
            </w:r>
          </w:p>
          <w:p w:rsidR="00617F41" w:rsidRPr="0007607A" w:rsidRDefault="00617F41" w:rsidP="006702BF">
            <w:pPr>
              <w:jc w:val="center"/>
              <w:rPr>
                <w:b/>
                <w:i/>
              </w:rPr>
            </w:pPr>
            <w:r w:rsidRPr="0007607A">
              <w:rPr>
                <w:b/>
                <w:i/>
              </w:rPr>
              <w:t>в %, раз</w:t>
            </w:r>
          </w:p>
        </w:tc>
      </w:tr>
      <w:tr w:rsidR="00617F41" w:rsidRPr="0007607A" w:rsidTr="00887D86">
        <w:trPr>
          <w:trHeight w:val="255"/>
        </w:trPr>
        <w:tc>
          <w:tcPr>
            <w:tcW w:w="4962" w:type="dxa"/>
            <w:tcBorders>
              <w:top w:val="nil"/>
              <w:left w:val="single" w:sz="4" w:space="0" w:color="auto"/>
              <w:bottom w:val="single" w:sz="4" w:space="0" w:color="auto"/>
              <w:right w:val="single" w:sz="4" w:space="0" w:color="auto"/>
            </w:tcBorders>
            <w:vAlign w:val="bottom"/>
          </w:tcPr>
          <w:p w:rsidR="00617F41" w:rsidRPr="0007607A" w:rsidRDefault="00617F41" w:rsidP="006702BF">
            <w:r w:rsidRPr="0007607A">
              <w:t>Специфические переводы, в том числе:</w:t>
            </w:r>
          </w:p>
        </w:tc>
        <w:tc>
          <w:tcPr>
            <w:tcW w:w="1843" w:type="dxa"/>
            <w:tcBorders>
              <w:top w:val="nil"/>
              <w:left w:val="nil"/>
              <w:bottom w:val="single" w:sz="4" w:space="0" w:color="auto"/>
              <w:right w:val="single" w:sz="4" w:space="0" w:color="auto"/>
            </w:tcBorders>
            <w:noWrap/>
            <w:vAlign w:val="center"/>
          </w:tcPr>
          <w:p w:rsidR="00617F41" w:rsidRPr="0007607A" w:rsidRDefault="00617F41" w:rsidP="006702BF">
            <w:pPr>
              <w:jc w:val="center"/>
            </w:pPr>
            <w:r w:rsidRPr="0007607A">
              <w:t>232 555,3</w:t>
            </w:r>
          </w:p>
        </w:tc>
        <w:tc>
          <w:tcPr>
            <w:tcW w:w="1559" w:type="dxa"/>
            <w:tcBorders>
              <w:top w:val="nil"/>
              <w:left w:val="nil"/>
              <w:bottom w:val="single" w:sz="4" w:space="0" w:color="auto"/>
              <w:right w:val="single" w:sz="4" w:space="0" w:color="auto"/>
            </w:tcBorders>
            <w:noWrap/>
            <w:vAlign w:val="center"/>
          </w:tcPr>
          <w:p w:rsidR="00617F41" w:rsidRPr="0007607A" w:rsidRDefault="00617F41" w:rsidP="006702BF">
            <w:pPr>
              <w:jc w:val="center"/>
            </w:pPr>
            <w:r w:rsidRPr="0007607A">
              <w:t>276 588,2</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rPr>
                <w:i/>
                <w:iCs/>
              </w:rPr>
            </w:pPr>
            <w:r w:rsidRPr="0040386D">
              <w:rPr>
                <w:i/>
                <w:iCs/>
              </w:rPr>
              <w:t>18,9%</w:t>
            </w:r>
          </w:p>
        </w:tc>
      </w:tr>
      <w:tr w:rsidR="00617F41" w:rsidRPr="0007607A" w:rsidTr="00887D86">
        <w:trPr>
          <w:trHeight w:val="255"/>
        </w:trPr>
        <w:tc>
          <w:tcPr>
            <w:tcW w:w="4962" w:type="dxa"/>
            <w:tcBorders>
              <w:top w:val="nil"/>
              <w:left w:val="single" w:sz="4" w:space="0" w:color="auto"/>
              <w:bottom w:val="single" w:sz="4" w:space="0" w:color="auto"/>
              <w:right w:val="single" w:sz="4" w:space="0" w:color="auto"/>
            </w:tcBorders>
            <w:vAlign w:val="bottom"/>
          </w:tcPr>
          <w:p w:rsidR="00617F41" w:rsidRPr="0040386D" w:rsidRDefault="00617F41" w:rsidP="006702BF">
            <w:pPr>
              <w:rPr>
                <w:i/>
              </w:rPr>
            </w:pPr>
            <w:r w:rsidRPr="0040386D">
              <w:rPr>
                <w:i/>
              </w:rPr>
              <w:t>прочие безвозмездные переводы (за исключением переводов на лечение и образование)</w:t>
            </w:r>
          </w:p>
        </w:tc>
        <w:tc>
          <w:tcPr>
            <w:tcW w:w="1843" w:type="dxa"/>
            <w:tcBorders>
              <w:top w:val="nil"/>
              <w:left w:val="nil"/>
              <w:bottom w:val="single" w:sz="4" w:space="0" w:color="auto"/>
              <w:right w:val="single" w:sz="4" w:space="0" w:color="auto"/>
            </w:tcBorders>
            <w:noWrap/>
            <w:vAlign w:val="center"/>
          </w:tcPr>
          <w:p w:rsidR="00617F41" w:rsidRPr="0040386D" w:rsidRDefault="00617F41" w:rsidP="006702BF">
            <w:pPr>
              <w:jc w:val="center"/>
              <w:rPr>
                <w:bCs/>
                <w:i/>
                <w:iCs/>
              </w:rPr>
            </w:pPr>
            <w:r w:rsidRPr="0040386D">
              <w:rPr>
                <w:bCs/>
                <w:i/>
                <w:iCs/>
              </w:rPr>
              <w:t>230 750,7</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rPr>
                <w:bCs/>
                <w:i/>
                <w:iCs/>
              </w:rPr>
            </w:pPr>
            <w:r w:rsidRPr="0040386D">
              <w:rPr>
                <w:bCs/>
                <w:i/>
                <w:iCs/>
              </w:rPr>
              <w:t>275 535,7</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rPr>
                <w:i/>
                <w:iCs/>
              </w:rPr>
            </w:pPr>
            <w:r w:rsidRPr="0040386D">
              <w:rPr>
                <w:i/>
                <w:iCs/>
              </w:rPr>
              <w:t>19,4%</w:t>
            </w:r>
          </w:p>
        </w:tc>
      </w:tr>
      <w:tr w:rsidR="00617F41" w:rsidRPr="0007607A" w:rsidTr="0040386D">
        <w:trPr>
          <w:trHeight w:val="255"/>
        </w:trPr>
        <w:tc>
          <w:tcPr>
            <w:tcW w:w="4962" w:type="dxa"/>
            <w:tcBorders>
              <w:top w:val="nil"/>
              <w:left w:val="single" w:sz="4" w:space="0" w:color="auto"/>
              <w:bottom w:val="single" w:sz="4" w:space="0" w:color="auto"/>
              <w:right w:val="single" w:sz="4" w:space="0" w:color="auto"/>
            </w:tcBorders>
            <w:vAlign w:val="center"/>
          </w:tcPr>
          <w:p w:rsidR="00617F41" w:rsidRDefault="00617F41" w:rsidP="006702BF">
            <w:pPr>
              <w:rPr>
                <w:sz w:val="22"/>
                <w:szCs w:val="22"/>
              </w:rPr>
            </w:pPr>
            <w:r>
              <w:rPr>
                <w:sz w:val="22"/>
                <w:szCs w:val="22"/>
              </w:rPr>
              <w:t>Депозиты</w:t>
            </w:r>
          </w:p>
        </w:tc>
        <w:tc>
          <w:tcPr>
            <w:tcW w:w="1843"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5 444,1</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3 294,7</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rPr>
                <w:i/>
              </w:rPr>
            </w:pPr>
            <w:r w:rsidRPr="0040386D">
              <w:rPr>
                <w:i/>
              </w:rPr>
              <w:t>-39,5%</w:t>
            </w:r>
          </w:p>
        </w:tc>
      </w:tr>
      <w:tr w:rsidR="00617F41" w:rsidRPr="0007607A" w:rsidTr="0040386D">
        <w:trPr>
          <w:trHeight w:val="255"/>
        </w:trPr>
        <w:tc>
          <w:tcPr>
            <w:tcW w:w="4962" w:type="dxa"/>
            <w:tcBorders>
              <w:top w:val="nil"/>
              <w:left w:val="single" w:sz="4" w:space="0" w:color="auto"/>
              <w:bottom w:val="single" w:sz="4" w:space="0" w:color="auto"/>
              <w:right w:val="single" w:sz="4" w:space="0" w:color="auto"/>
            </w:tcBorders>
            <w:vAlign w:val="center"/>
          </w:tcPr>
          <w:p w:rsidR="00617F41" w:rsidRDefault="00617F41" w:rsidP="006702BF">
            <w:pPr>
              <w:rPr>
                <w:sz w:val="22"/>
                <w:szCs w:val="22"/>
              </w:rPr>
            </w:pPr>
            <w:r>
              <w:rPr>
                <w:sz w:val="22"/>
                <w:szCs w:val="22"/>
              </w:rPr>
              <w:t>Товары и нематериальные активы</w:t>
            </w:r>
          </w:p>
        </w:tc>
        <w:tc>
          <w:tcPr>
            <w:tcW w:w="1843"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53,2</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78,5</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rPr>
                <w:i/>
              </w:rPr>
            </w:pPr>
            <w:r w:rsidRPr="0040386D">
              <w:rPr>
                <w:i/>
              </w:rPr>
              <w:t>47,5%</w:t>
            </w:r>
          </w:p>
        </w:tc>
      </w:tr>
      <w:tr w:rsidR="00617F41" w:rsidRPr="0007607A" w:rsidTr="0040386D">
        <w:trPr>
          <w:trHeight w:val="255"/>
        </w:trPr>
        <w:tc>
          <w:tcPr>
            <w:tcW w:w="4962" w:type="dxa"/>
            <w:tcBorders>
              <w:top w:val="nil"/>
              <w:left w:val="single" w:sz="4" w:space="0" w:color="auto"/>
              <w:bottom w:val="single" w:sz="4" w:space="0" w:color="auto"/>
              <w:right w:val="single" w:sz="4" w:space="0" w:color="auto"/>
            </w:tcBorders>
            <w:vAlign w:val="center"/>
          </w:tcPr>
          <w:p w:rsidR="00617F41" w:rsidRDefault="00617F41" w:rsidP="006702BF">
            <w:pPr>
              <w:rPr>
                <w:sz w:val="22"/>
                <w:szCs w:val="22"/>
              </w:rPr>
            </w:pPr>
            <w:r>
              <w:rPr>
                <w:sz w:val="22"/>
                <w:szCs w:val="22"/>
              </w:rPr>
              <w:t>Услуги</w:t>
            </w:r>
          </w:p>
        </w:tc>
        <w:tc>
          <w:tcPr>
            <w:tcW w:w="1843"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170,4</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133,0</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rPr>
                <w:i/>
              </w:rPr>
            </w:pPr>
            <w:r w:rsidRPr="0040386D">
              <w:rPr>
                <w:i/>
              </w:rPr>
              <w:t>-22,0%</w:t>
            </w:r>
          </w:p>
        </w:tc>
      </w:tr>
      <w:tr w:rsidR="00617F41" w:rsidRPr="0007607A" w:rsidTr="0040386D">
        <w:trPr>
          <w:trHeight w:val="255"/>
        </w:trPr>
        <w:tc>
          <w:tcPr>
            <w:tcW w:w="4962" w:type="dxa"/>
            <w:tcBorders>
              <w:top w:val="nil"/>
              <w:left w:val="single" w:sz="4" w:space="0" w:color="auto"/>
              <w:bottom w:val="single" w:sz="4" w:space="0" w:color="auto"/>
              <w:right w:val="single" w:sz="4" w:space="0" w:color="auto"/>
            </w:tcBorders>
            <w:vAlign w:val="center"/>
          </w:tcPr>
          <w:p w:rsidR="00617F41" w:rsidRDefault="00617F41" w:rsidP="006702BF">
            <w:pPr>
              <w:rPr>
                <w:sz w:val="22"/>
                <w:szCs w:val="22"/>
              </w:rPr>
            </w:pPr>
            <w:r>
              <w:rPr>
                <w:sz w:val="22"/>
                <w:szCs w:val="22"/>
              </w:rPr>
              <w:t>Прочие переводы</w:t>
            </w:r>
          </w:p>
        </w:tc>
        <w:tc>
          <w:tcPr>
            <w:tcW w:w="1843"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607,0</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pPr>
            <w:r w:rsidRPr="0040386D">
              <w:t>261,2</w:t>
            </w:r>
          </w:p>
        </w:tc>
        <w:tc>
          <w:tcPr>
            <w:tcW w:w="1559" w:type="dxa"/>
            <w:tcBorders>
              <w:top w:val="nil"/>
              <w:left w:val="nil"/>
              <w:bottom w:val="single" w:sz="4" w:space="0" w:color="auto"/>
              <w:right w:val="single" w:sz="4" w:space="0" w:color="auto"/>
            </w:tcBorders>
            <w:noWrap/>
            <w:vAlign w:val="center"/>
          </w:tcPr>
          <w:p w:rsidR="00617F41" w:rsidRPr="0040386D" w:rsidRDefault="00617F41" w:rsidP="006702BF">
            <w:pPr>
              <w:jc w:val="center"/>
              <w:rPr>
                <w:i/>
              </w:rPr>
            </w:pPr>
            <w:r w:rsidRPr="0040386D">
              <w:rPr>
                <w:i/>
              </w:rPr>
              <w:t>-57,0%</w:t>
            </w:r>
          </w:p>
        </w:tc>
      </w:tr>
      <w:tr w:rsidR="00617F41" w:rsidRPr="0007607A" w:rsidTr="0040386D">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EAF1DD"/>
            <w:vAlign w:val="center"/>
          </w:tcPr>
          <w:p w:rsidR="00617F41" w:rsidRDefault="00617F41" w:rsidP="006702BF">
            <w:pPr>
              <w:rPr>
                <w:b/>
                <w:bCs/>
                <w:sz w:val="22"/>
                <w:szCs w:val="22"/>
              </w:rPr>
            </w:pPr>
            <w:r>
              <w:rPr>
                <w:b/>
                <w:bCs/>
                <w:sz w:val="22"/>
                <w:szCs w:val="22"/>
              </w:rPr>
              <w:t>Итого</w:t>
            </w:r>
          </w:p>
        </w:tc>
        <w:tc>
          <w:tcPr>
            <w:tcW w:w="1843" w:type="dxa"/>
            <w:tcBorders>
              <w:top w:val="single" w:sz="4" w:space="0" w:color="auto"/>
              <w:left w:val="nil"/>
              <w:bottom w:val="single" w:sz="4" w:space="0" w:color="auto"/>
              <w:right w:val="single" w:sz="4" w:space="0" w:color="auto"/>
            </w:tcBorders>
            <w:shd w:val="clear" w:color="auto" w:fill="EAF1DD"/>
            <w:noWrap/>
            <w:vAlign w:val="center"/>
          </w:tcPr>
          <w:p w:rsidR="00617F41" w:rsidRPr="0040386D" w:rsidRDefault="00617F41" w:rsidP="006702BF">
            <w:pPr>
              <w:jc w:val="center"/>
              <w:rPr>
                <w:b/>
              </w:rPr>
            </w:pPr>
            <w:r w:rsidRPr="0040386D">
              <w:rPr>
                <w:b/>
              </w:rPr>
              <w:t>238 830,1</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617F41" w:rsidRPr="0040386D" w:rsidRDefault="00617F41" w:rsidP="006702BF">
            <w:pPr>
              <w:jc w:val="center"/>
              <w:rPr>
                <w:b/>
              </w:rPr>
            </w:pPr>
            <w:r w:rsidRPr="0040386D">
              <w:rPr>
                <w:b/>
              </w:rPr>
              <w:t>280 355,5</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617F41" w:rsidRPr="0040386D" w:rsidRDefault="00617F41" w:rsidP="006702BF">
            <w:pPr>
              <w:jc w:val="center"/>
              <w:rPr>
                <w:b/>
                <w:i/>
              </w:rPr>
            </w:pPr>
            <w:r w:rsidRPr="0040386D">
              <w:rPr>
                <w:b/>
                <w:i/>
              </w:rPr>
              <w:t>17,4%</w:t>
            </w:r>
          </w:p>
        </w:tc>
      </w:tr>
    </w:tbl>
    <w:p w:rsidR="00617F41" w:rsidRDefault="00617F41" w:rsidP="006702BF">
      <w:pPr>
        <w:tabs>
          <w:tab w:val="num" w:pos="993"/>
        </w:tabs>
        <w:ind w:firstLine="709"/>
        <w:jc w:val="both"/>
        <w:rPr>
          <w:sz w:val="28"/>
          <w:szCs w:val="28"/>
        </w:rPr>
      </w:pPr>
      <w:r>
        <w:rPr>
          <w:sz w:val="28"/>
          <w:szCs w:val="28"/>
        </w:rPr>
        <w:t>Н</w:t>
      </w:r>
      <w:r w:rsidRPr="008741BF">
        <w:rPr>
          <w:sz w:val="28"/>
          <w:szCs w:val="28"/>
        </w:rPr>
        <w:t>аибольшей популярностью при отправке</w:t>
      </w:r>
      <w:r w:rsidRPr="000778D7">
        <w:rPr>
          <w:sz w:val="28"/>
          <w:szCs w:val="28"/>
        </w:rPr>
        <w:t xml:space="preserve"> </w:t>
      </w:r>
      <w:r w:rsidRPr="008741BF">
        <w:rPr>
          <w:sz w:val="28"/>
          <w:szCs w:val="28"/>
        </w:rPr>
        <w:t>переводов денег через СДП за рубеж пользуются та</w:t>
      </w:r>
      <w:r>
        <w:rPr>
          <w:sz w:val="28"/>
          <w:szCs w:val="28"/>
        </w:rPr>
        <w:t xml:space="preserve">кие системы, как Золотая корона и </w:t>
      </w:r>
      <w:r w:rsidRPr="008741BF">
        <w:rPr>
          <w:sz w:val="28"/>
          <w:szCs w:val="28"/>
        </w:rPr>
        <w:t>Western Union</w:t>
      </w:r>
      <w:r>
        <w:rPr>
          <w:sz w:val="28"/>
          <w:szCs w:val="28"/>
        </w:rPr>
        <w:t>, на долю которых приходится более 50% от всей суммы отправленных за рубеж посредством СДП переводов денег. Также значительны переводы денег через системы Contact, Юнистрим и</w:t>
      </w:r>
      <w:r w:rsidRPr="008741BF">
        <w:rPr>
          <w:sz w:val="28"/>
          <w:szCs w:val="28"/>
        </w:rPr>
        <w:t xml:space="preserve"> Faster.</w:t>
      </w:r>
    </w:p>
    <w:p w:rsidR="00FC0227" w:rsidRPr="000D17E3" w:rsidRDefault="00E328CA" w:rsidP="006702BF">
      <w:pPr>
        <w:tabs>
          <w:tab w:val="num" w:pos="993"/>
        </w:tabs>
        <w:ind w:firstLine="709"/>
        <w:jc w:val="both"/>
        <w:rPr>
          <w:sz w:val="28"/>
          <w:szCs w:val="28"/>
        </w:rPr>
      </w:pPr>
      <w:r w:rsidRPr="000D17E3">
        <w:rPr>
          <w:sz w:val="28"/>
          <w:szCs w:val="28"/>
        </w:rPr>
        <w:t>В</w:t>
      </w:r>
      <w:r w:rsidR="00FC0227" w:rsidRPr="000D17E3">
        <w:rPr>
          <w:sz w:val="28"/>
          <w:szCs w:val="28"/>
        </w:rPr>
        <w:t xml:space="preserve"> страны СНГ </w:t>
      </w:r>
      <w:r w:rsidRPr="000D17E3">
        <w:rPr>
          <w:sz w:val="28"/>
          <w:szCs w:val="28"/>
        </w:rPr>
        <w:t>наибольшая сумма денежных переводов отправлена через Золотую Корону (29,0%),  Western Union (15,9%), Юнистрим (15,2%), Contact (14,7%), Faster (13,0%)</w:t>
      </w:r>
      <w:r w:rsidR="00286EB9" w:rsidRPr="000D17E3">
        <w:rPr>
          <w:sz w:val="28"/>
          <w:szCs w:val="28"/>
        </w:rPr>
        <w:t>.</w:t>
      </w:r>
    </w:p>
    <w:p w:rsidR="00E328CA" w:rsidRPr="000D17E3" w:rsidRDefault="00E328CA" w:rsidP="006702BF">
      <w:pPr>
        <w:tabs>
          <w:tab w:val="num" w:pos="993"/>
        </w:tabs>
        <w:ind w:firstLine="709"/>
        <w:jc w:val="both"/>
        <w:rPr>
          <w:sz w:val="28"/>
          <w:szCs w:val="28"/>
        </w:rPr>
      </w:pPr>
      <w:r w:rsidRPr="000D17E3">
        <w:rPr>
          <w:sz w:val="28"/>
          <w:szCs w:val="28"/>
        </w:rPr>
        <w:t>В страны дальнего зарубежья основной объем переводов денег направлен через систему Western Union (53,9% от общей суммы переводов), также значительна доля системы Золотая корона  (26,0%) соответственно.</w:t>
      </w:r>
    </w:p>
    <w:tbl>
      <w:tblPr>
        <w:tblW w:w="10173" w:type="dxa"/>
        <w:tblLook w:val="00A0" w:firstRow="1" w:lastRow="0" w:firstColumn="1" w:lastColumn="0" w:noHBand="0" w:noVBand="0"/>
      </w:tblPr>
      <w:tblGrid>
        <w:gridCol w:w="5211"/>
        <w:gridCol w:w="2835"/>
        <w:gridCol w:w="1843"/>
        <w:gridCol w:w="284"/>
      </w:tblGrid>
      <w:tr w:rsidR="00617F41" w:rsidRPr="008741BF" w:rsidTr="00B057F6">
        <w:trPr>
          <w:trHeight w:val="3341"/>
        </w:trPr>
        <w:tc>
          <w:tcPr>
            <w:tcW w:w="5211" w:type="dxa"/>
          </w:tcPr>
          <w:p w:rsidR="00617F41" w:rsidRPr="006702BF" w:rsidRDefault="00617F41" w:rsidP="006702BF">
            <w:pPr>
              <w:tabs>
                <w:tab w:val="num" w:pos="993"/>
              </w:tabs>
              <w:jc w:val="center"/>
              <w:rPr>
                <w:b/>
              </w:rPr>
            </w:pPr>
            <w:r w:rsidRPr="006702BF">
              <w:rPr>
                <w:b/>
              </w:rPr>
              <w:t>Доля от общего количества отправленных через СДП переводов денег</w:t>
            </w:r>
          </w:p>
          <w:p w:rsidR="00617F41" w:rsidRPr="008741BF" w:rsidRDefault="00786A4E" w:rsidP="006702BF">
            <w:pPr>
              <w:tabs>
                <w:tab w:val="num" w:pos="993"/>
              </w:tabs>
              <w:jc w:val="both"/>
              <w:rPr>
                <w:sz w:val="28"/>
                <w:szCs w:val="28"/>
              </w:rPr>
            </w:pPr>
            <w:r w:rsidRPr="007A05EB">
              <w:rPr>
                <w:noProof/>
                <w:sz w:val="28"/>
                <w:szCs w:val="28"/>
              </w:rPr>
              <w:drawing>
                <wp:inline distT="0" distB="0" distL="0" distR="0">
                  <wp:extent cx="2943225" cy="1876425"/>
                  <wp:effectExtent l="0" t="0" r="0" b="0"/>
                  <wp:docPr id="25" name="Объект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62" w:type="dxa"/>
            <w:gridSpan w:val="3"/>
          </w:tcPr>
          <w:p w:rsidR="00617F41" w:rsidRPr="006702BF" w:rsidRDefault="00617F41" w:rsidP="006702BF">
            <w:pPr>
              <w:tabs>
                <w:tab w:val="num" w:pos="993"/>
              </w:tabs>
              <w:jc w:val="center"/>
              <w:rPr>
                <w:b/>
              </w:rPr>
            </w:pPr>
            <w:r w:rsidRPr="006702BF">
              <w:rPr>
                <w:b/>
              </w:rPr>
              <w:t>Доля от общей суммы отправленных через СДП  переводов денег</w:t>
            </w:r>
          </w:p>
          <w:p w:rsidR="00617F41" w:rsidRPr="008741BF" w:rsidRDefault="00786A4E" w:rsidP="006702BF">
            <w:pPr>
              <w:tabs>
                <w:tab w:val="num" w:pos="993"/>
              </w:tabs>
              <w:jc w:val="center"/>
              <w:rPr>
                <w:b/>
              </w:rPr>
            </w:pPr>
            <w:r w:rsidRPr="007A05EB">
              <w:rPr>
                <w:b/>
                <w:noProof/>
              </w:rPr>
              <w:drawing>
                <wp:inline distT="0" distB="0" distL="0" distR="0">
                  <wp:extent cx="2943225" cy="1943100"/>
                  <wp:effectExtent l="0" t="0" r="0" b="0"/>
                  <wp:docPr id="26" name="Объект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C2D69B"/>
            <w:noWrap/>
            <w:vAlign w:val="center"/>
          </w:tcPr>
          <w:p w:rsidR="00617F41" w:rsidRPr="008741BF" w:rsidRDefault="00617F41" w:rsidP="006702BF">
            <w:pPr>
              <w:jc w:val="center"/>
              <w:rPr>
                <w:b/>
              </w:rPr>
            </w:pPr>
            <w:r w:rsidRPr="008741BF">
              <w:tab/>
            </w:r>
            <w:r w:rsidRPr="008741BF">
              <w:rPr>
                <w:b/>
              </w:rPr>
              <w:t>Система</w:t>
            </w:r>
          </w:p>
        </w:tc>
        <w:tc>
          <w:tcPr>
            <w:tcW w:w="2835" w:type="dxa"/>
            <w:shd w:val="clear" w:color="auto" w:fill="C2D69B"/>
            <w:noWrap/>
            <w:vAlign w:val="center"/>
          </w:tcPr>
          <w:p w:rsidR="00617F41" w:rsidRPr="008741BF" w:rsidRDefault="00617F41" w:rsidP="006702BF">
            <w:pPr>
              <w:jc w:val="center"/>
              <w:rPr>
                <w:b/>
              </w:rPr>
            </w:pPr>
            <w:r w:rsidRPr="008741BF">
              <w:rPr>
                <w:b/>
              </w:rPr>
              <w:t xml:space="preserve">Кол-во </w:t>
            </w:r>
          </w:p>
          <w:p w:rsidR="00617F41" w:rsidRPr="008741BF" w:rsidRDefault="00617F41" w:rsidP="006702BF">
            <w:pPr>
              <w:jc w:val="center"/>
              <w:rPr>
                <w:b/>
              </w:rPr>
            </w:pPr>
            <w:r w:rsidRPr="008741BF">
              <w:rPr>
                <w:b/>
              </w:rPr>
              <w:t>(тыс. транзакций)</w:t>
            </w:r>
          </w:p>
        </w:tc>
        <w:tc>
          <w:tcPr>
            <w:tcW w:w="1843" w:type="dxa"/>
            <w:shd w:val="clear" w:color="auto" w:fill="C2D69B"/>
            <w:noWrap/>
            <w:vAlign w:val="center"/>
          </w:tcPr>
          <w:p w:rsidR="00617F41" w:rsidRPr="008741BF" w:rsidRDefault="00617F41" w:rsidP="006702BF">
            <w:pPr>
              <w:jc w:val="center"/>
              <w:rPr>
                <w:b/>
              </w:rPr>
            </w:pPr>
            <w:r w:rsidRPr="008741BF">
              <w:rPr>
                <w:b/>
              </w:rPr>
              <w:t xml:space="preserve">Сумма </w:t>
            </w:r>
          </w:p>
          <w:p w:rsidR="00617F41" w:rsidRPr="008741BF" w:rsidRDefault="00617F41" w:rsidP="006702BF">
            <w:pPr>
              <w:jc w:val="center"/>
              <w:rPr>
                <w:b/>
              </w:rPr>
            </w:pPr>
            <w:r w:rsidRPr="008741BF">
              <w:rPr>
                <w:b/>
              </w:rPr>
              <w:t>(млн. тенге)</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Золотая корона</w:t>
            </w:r>
          </w:p>
        </w:tc>
        <w:tc>
          <w:tcPr>
            <w:tcW w:w="2835" w:type="dxa"/>
            <w:noWrap/>
            <w:vAlign w:val="center"/>
          </w:tcPr>
          <w:p w:rsidR="00617F41" w:rsidRPr="008741BF" w:rsidRDefault="00617F41" w:rsidP="006702BF">
            <w:pPr>
              <w:jc w:val="center"/>
            </w:pPr>
            <w:r w:rsidRPr="008741BF">
              <w:t>618,5</w:t>
            </w:r>
          </w:p>
        </w:tc>
        <w:tc>
          <w:tcPr>
            <w:tcW w:w="1843" w:type="dxa"/>
            <w:noWrap/>
            <w:vAlign w:val="center"/>
          </w:tcPr>
          <w:p w:rsidR="00617F41" w:rsidRPr="008741BF" w:rsidRDefault="00617F41" w:rsidP="006702BF">
            <w:pPr>
              <w:jc w:val="center"/>
            </w:pPr>
            <w:r w:rsidRPr="008741BF">
              <w:t>79 289,2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Western Union</w:t>
            </w:r>
          </w:p>
        </w:tc>
        <w:tc>
          <w:tcPr>
            <w:tcW w:w="2835" w:type="dxa"/>
            <w:noWrap/>
            <w:vAlign w:val="center"/>
          </w:tcPr>
          <w:p w:rsidR="00617F41" w:rsidRPr="008741BF" w:rsidRDefault="00617F41" w:rsidP="006702BF">
            <w:pPr>
              <w:jc w:val="center"/>
            </w:pPr>
            <w:r w:rsidRPr="008741BF">
              <w:t>350,3</w:t>
            </w:r>
          </w:p>
        </w:tc>
        <w:tc>
          <w:tcPr>
            <w:tcW w:w="1843" w:type="dxa"/>
            <w:noWrap/>
            <w:vAlign w:val="center"/>
          </w:tcPr>
          <w:p w:rsidR="00617F41" w:rsidRPr="008741BF" w:rsidRDefault="00617F41" w:rsidP="006702BF">
            <w:pPr>
              <w:jc w:val="center"/>
            </w:pPr>
            <w:r w:rsidRPr="008741BF">
              <w:t>70 567,6</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Contact</w:t>
            </w:r>
          </w:p>
        </w:tc>
        <w:tc>
          <w:tcPr>
            <w:tcW w:w="2835" w:type="dxa"/>
            <w:noWrap/>
            <w:vAlign w:val="center"/>
          </w:tcPr>
          <w:p w:rsidR="00617F41" w:rsidRPr="008741BF" w:rsidRDefault="00617F41" w:rsidP="006702BF">
            <w:pPr>
              <w:jc w:val="center"/>
            </w:pPr>
            <w:r w:rsidRPr="008741BF">
              <w:t>163,4</w:t>
            </w:r>
          </w:p>
        </w:tc>
        <w:tc>
          <w:tcPr>
            <w:tcW w:w="1843" w:type="dxa"/>
            <w:noWrap/>
            <w:vAlign w:val="center"/>
          </w:tcPr>
          <w:p w:rsidR="00617F41" w:rsidRPr="008741BF" w:rsidRDefault="00617F41" w:rsidP="006702BF">
            <w:pPr>
              <w:jc w:val="center"/>
            </w:pPr>
            <w:r w:rsidRPr="008741BF">
              <w:t>35 324,2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Юнистрим</w:t>
            </w:r>
          </w:p>
        </w:tc>
        <w:tc>
          <w:tcPr>
            <w:tcW w:w="2835" w:type="dxa"/>
            <w:noWrap/>
            <w:vAlign w:val="center"/>
          </w:tcPr>
          <w:p w:rsidR="00617F41" w:rsidRPr="008741BF" w:rsidRDefault="00617F41" w:rsidP="006702BF">
            <w:pPr>
              <w:jc w:val="center"/>
            </w:pPr>
            <w:r w:rsidRPr="008741BF">
              <w:t>226,8</w:t>
            </w:r>
          </w:p>
        </w:tc>
        <w:tc>
          <w:tcPr>
            <w:tcW w:w="1843" w:type="dxa"/>
            <w:noWrap/>
            <w:vAlign w:val="center"/>
          </w:tcPr>
          <w:p w:rsidR="00617F41" w:rsidRPr="008741BF" w:rsidRDefault="00617F41" w:rsidP="006702BF">
            <w:pPr>
              <w:jc w:val="center"/>
            </w:pPr>
            <w:r w:rsidRPr="008741BF">
              <w:t>34 489,4</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lastRenderedPageBreak/>
              <w:t>Faster</w:t>
            </w:r>
          </w:p>
        </w:tc>
        <w:tc>
          <w:tcPr>
            <w:tcW w:w="2835" w:type="dxa"/>
            <w:noWrap/>
            <w:vAlign w:val="center"/>
          </w:tcPr>
          <w:p w:rsidR="00617F41" w:rsidRPr="008741BF" w:rsidRDefault="00617F41" w:rsidP="006702BF">
            <w:pPr>
              <w:jc w:val="center"/>
            </w:pPr>
            <w:r w:rsidRPr="008741BF">
              <w:t>269,3</w:t>
            </w:r>
          </w:p>
        </w:tc>
        <w:tc>
          <w:tcPr>
            <w:tcW w:w="1843" w:type="dxa"/>
            <w:noWrap/>
            <w:vAlign w:val="center"/>
          </w:tcPr>
          <w:p w:rsidR="00617F41" w:rsidRPr="008741BF" w:rsidRDefault="00617F41" w:rsidP="006702BF">
            <w:pPr>
              <w:jc w:val="center"/>
            </w:pPr>
            <w:r w:rsidRPr="008741BF">
              <w:t>28 254,7</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9579ED" w:rsidP="006702BF">
            <w:r>
              <w:t>Колибри (</w:t>
            </w:r>
            <w:r w:rsidR="00617F41" w:rsidRPr="008741BF">
              <w:t>Блиц</w:t>
            </w:r>
            <w:r>
              <w:t>)</w:t>
            </w:r>
          </w:p>
        </w:tc>
        <w:tc>
          <w:tcPr>
            <w:tcW w:w="2835" w:type="dxa"/>
            <w:noWrap/>
            <w:vAlign w:val="center"/>
          </w:tcPr>
          <w:p w:rsidR="00617F41" w:rsidRPr="008741BF" w:rsidRDefault="00617F41" w:rsidP="006702BF">
            <w:pPr>
              <w:jc w:val="center"/>
            </w:pPr>
            <w:r w:rsidRPr="008741BF">
              <w:t>102,7</w:t>
            </w:r>
          </w:p>
        </w:tc>
        <w:tc>
          <w:tcPr>
            <w:tcW w:w="1843" w:type="dxa"/>
            <w:noWrap/>
            <w:vAlign w:val="center"/>
          </w:tcPr>
          <w:p w:rsidR="00617F41" w:rsidRPr="008741BF" w:rsidRDefault="00617F41" w:rsidP="006702BF">
            <w:pPr>
              <w:jc w:val="center"/>
            </w:pPr>
            <w:r w:rsidRPr="008741BF">
              <w:t>11 668,1</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Лидер</w:t>
            </w:r>
          </w:p>
        </w:tc>
        <w:tc>
          <w:tcPr>
            <w:tcW w:w="2835" w:type="dxa"/>
            <w:noWrap/>
            <w:vAlign w:val="center"/>
          </w:tcPr>
          <w:p w:rsidR="00617F41" w:rsidRPr="008741BF" w:rsidRDefault="00617F41" w:rsidP="006702BF">
            <w:pPr>
              <w:jc w:val="center"/>
            </w:pPr>
            <w:r w:rsidRPr="008741BF">
              <w:t>13,5</w:t>
            </w:r>
          </w:p>
        </w:tc>
        <w:tc>
          <w:tcPr>
            <w:tcW w:w="1843" w:type="dxa"/>
            <w:noWrap/>
            <w:vAlign w:val="center"/>
          </w:tcPr>
          <w:p w:rsidR="00617F41" w:rsidRPr="008741BF" w:rsidRDefault="00617F41" w:rsidP="006702BF">
            <w:pPr>
              <w:jc w:val="center"/>
            </w:pPr>
            <w:r w:rsidRPr="008741BF">
              <w:t>7 835,6</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MoneyGram</w:t>
            </w:r>
          </w:p>
        </w:tc>
        <w:tc>
          <w:tcPr>
            <w:tcW w:w="2835" w:type="dxa"/>
            <w:noWrap/>
            <w:vAlign w:val="center"/>
          </w:tcPr>
          <w:p w:rsidR="00617F41" w:rsidRPr="008741BF" w:rsidRDefault="00617F41" w:rsidP="006702BF">
            <w:pPr>
              <w:jc w:val="center"/>
            </w:pPr>
            <w:r w:rsidRPr="008741BF">
              <w:t>23,0</w:t>
            </w:r>
          </w:p>
        </w:tc>
        <w:tc>
          <w:tcPr>
            <w:tcW w:w="1843" w:type="dxa"/>
            <w:noWrap/>
            <w:vAlign w:val="center"/>
          </w:tcPr>
          <w:p w:rsidR="00617F41" w:rsidRPr="008741BF" w:rsidRDefault="00617F41" w:rsidP="006702BF">
            <w:pPr>
              <w:jc w:val="center"/>
            </w:pPr>
            <w:r w:rsidRPr="008741BF">
              <w:t>4 402,7</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Система Всемирного почтового союза</w:t>
            </w:r>
          </w:p>
        </w:tc>
        <w:tc>
          <w:tcPr>
            <w:tcW w:w="2835" w:type="dxa"/>
            <w:noWrap/>
            <w:vAlign w:val="center"/>
          </w:tcPr>
          <w:p w:rsidR="00617F41" w:rsidRPr="008741BF" w:rsidRDefault="00617F41" w:rsidP="006702BF">
            <w:pPr>
              <w:jc w:val="center"/>
            </w:pPr>
            <w:r w:rsidRPr="008741BF">
              <w:t>87,3</w:t>
            </w:r>
          </w:p>
        </w:tc>
        <w:tc>
          <w:tcPr>
            <w:tcW w:w="1843" w:type="dxa"/>
            <w:noWrap/>
            <w:vAlign w:val="center"/>
          </w:tcPr>
          <w:p w:rsidR="00617F41" w:rsidRPr="008741BF" w:rsidRDefault="00617F41" w:rsidP="006702BF">
            <w:pPr>
              <w:jc w:val="center"/>
            </w:pPr>
            <w:r w:rsidRPr="008741BF">
              <w:t>3 802,3</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Анелик</w:t>
            </w:r>
          </w:p>
        </w:tc>
        <w:tc>
          <w:tcPr>
            <w:tcW w:w="2835" w:type="dxa"/>
            <w:noWrap/>
            <w:vAlign w:val="center"/>
          </w:tcPr>
          <w:p w:rsidR="00617F41" w:rsidRPr="008741BF" w:rsidRDefault="00617F41" w:rsidP="006702BF">
            <w:pPr>
              <w:jc w:val="center"/>
            </w:pPr>
            <w:r w:rsidRPr="008741BF">
              <w:t>6,4</w:t>
            </w:r>
          </w:p>
        </w:tc>
        <w:tc>
          <w:tcPr>
            <w:tcW w:w="1843" w:type="dxa"/>
            <w:noWrap/>
            <w:vAlign w:val="center"/>
          </w:tcPr>
          <w:p w:rsidR="00617F41" w:rsidRPr="008741BF" w:rsidRDefault="00617F41" w:rsidP="006702BF">
            <w:pPr>
              <w:jc w:val="center"/>
            </w:pPr>
            <w:r w:rsidRPr="008741BF">
              <w:t>2 190,0</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Быстрая почта</w:t>
            </w:r>
          </w:p>
        </w:tc>
        <w:tc>
          <w:tcPr>
            <w:tcW w:w="2835" w:type="dxa"/>
            <w:noWrap/>
            <w:vAlign w:val="center"/>
          </w:tcPr>
          <w:p w:rsidR="00617F41" w:rsidRPr="008741BF" w:rsidRDefault="00617F41" w:rsidP="006702BF">
            <w:pPr>
              <w:jc w:val="center"/>
            </w:pPr>
            <w:r w:rsidRPr="008741BF">
              <w:t>6,9</w:t>
            </w:r>
          </w:p>
        </w:tc>
        <w:tc>
          <w:tcPr>
            <w:tcW w:w="1843" w:type="dxa"/>
            <w:noWrap/>
            <w:vAlign w:val="center"/>
          </w:tcPr>
          <w:p w:rsidR="00617F41" w:rsidRPr="008741BF" w:rsidRDefault="00617F41" w:rsidP="006702BF">
            <w:pPr>
              <w:jc w:val="center"/>
            </w:pPr>
            <w:r w:rsidRPr="008741BF">
              <w:t>1 760,9</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InterBanking</w:t>
            </w:r>
          </w:p>
        </w:tc>
        <w:tc>
          <w:tcPr>
            <w:tcW w:w="2835" w:type="dxa"/>
            <w:noWrap/>
            <w:vAlign w:val="center"/>
          </w:tcPr>
          <w:p w:rsidR="00617F41" w:rsidRPr="008741BF" w:rsidRDefault="00617F41" w:rsidP="006702BF">
            <w:pPr>
              <w:jc w:val="center"/>
            </w:pPr>
            <w:r w:rsidRPr="008741BF">
              <w:t>1,1</w:t>
            </w:r>
          </w:p>
        </w:tc>
        <w:tc>
          <w:tcPr>
            <w:tcW w:w="1843" w:type="dxa"/>
            <w:noWrap/>
            <w:vAlign w:val="center"/>
          </w:tcPr>
          <w:p w:rsidR="00617F41" w:rsidRPr="008741BF" w:rsidRDefault="00617F41" w:rsidP="006702BF">
            <w:pPr>
              <w:jc w:val="center"/>
            </w:pPr>
            <w:r w:rsidRPr="008741BF">
              <w:t>756,7</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InterExpress</w:t>
            </w:r>
          </w:p>
        </w:tc>
        <w:tc>
          <w:tcPr>
            <w:tcW w:w="2835" w:type="dxa"/>
            <w:noWrap/>
            <w:vAlign w:val="center"/>
          </w:tcPr>
          <w:p w:rsidR="00617F41" w:rsidRPr="008741BF" w:rsidRDefault="00617F41" w:rsidP="006702BF">
            <w:pPr>
              <w:jc w:val="center"/>
            </w:pPr>
            <w:r w:rsidRPr="008741BF">
              <w:t>0,1</w:t>
            </w:r>
          </w:p>
        </w:tc>
        <w:tc>
          <w:tcPr>
            <w:tcW w:w="1843" w:type="dxa"/>
            <w:noWrap/>
            <w:vAlign w:val="center"/>
          </w:tcPr>
          <w:p w:rsidR="00617F41" w:rsidRPr="008741BF" w:rsidRDefault="00617F41" w:rsidP="006702BF">
            <w:pPr>
              <w:jc w:val="center"/>
            </w:pPr>
            <w:r w:rsidRPr="008741BF">
              <w:t>9,2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EAF1DD"/>
            <w:noWrap/>
            <w:vAlign w:val="bottom"/>
          </w:tcPr>
          <w:p w:rsidR="00617F41" w:rsidRPr="008741BF" w:rsidRDefault="00617F41" w:rsidP="006702BF">
            <w:r w:rsidRPr="008741BF">
              <w:t>Почтовые международные переводы</w:t>
            </w:r>
          </w:p>
        </w:tc>
        <w:tc>
          <w:tcPr>
            <w:tcW w:w="2835" w:type="dxa"/>
            <w:noWrap/>
            <w:vAlign w:val="center"/>
          </w:tcPr>
          <w:p w:rsidR="00617F41" w:rsidRPr="008741BF" w:rsidRDefault="00617F41" w:rsidP="006702BF">
            <w:pPr>
              <w:jc w:val="center"/>
            </w:pPr>
            <w:r w:rsidRPr="008741BF">
              <w:t>0,2</w:t>
            </w:r>
          </w:p>
        </w:tc>
        <w:tc>
          <w:tcPr>
            <w:tcW w:w="1843" w:type="dxa"/>
            <w:noWrap/>
            <w:vAlign w:val="center"/>
          </w:tcPr>
          <w:p w:rsidR="00617F41" w:rsidRPr="008741BF" w:rsidRDefault="00617F41" w:rsidP="006702BF">
            <w:pPr>
              <w:jc w:val="center"/>
            </w:pPr>
            <w:r w:rsidRPr="008741BF">
              <w:t>5,1</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9" w:type="dxa"/>
          <w:trHeight w:val="255"/>
        </w:trPr>
        <w:tc>
          <w:tcPr>
            <w:tcW w:w="5203" w:type="dxa"/>
            <w:shd w:val="clear" w:color="auto" w:fill="C2D69B"/>
            <w:noWrap/>
            <w:vAlign w:val="bottom"/>
          </w:tcPr>
          <w:p w:rsidR="00617F41" w:rsidRPr="008741BF" w:rsidRDefault="00617F41" w:rsidP="006702BF">
            <w:pPr>
              <w:rPr>
                <w:b/>
              </w:rPr>
            </w:pPr>
            <w:r w:rsidRPr="008741BF">
              <w:rPr>
                <w:b/>
              </w:rPr>
              <w:t>Общий итог</w:t>
            </w:r>
          </w:p>
        </w:tc>
        <w:tc>
          <w:tcPr>
            <w:tcW w:w="2835" w:type="dxa"/>
            <w:shd w:val="clear" w:color="auto" w:fill="C2D69B"/>
            <w:noWrap/>
            <w:vAlign w:val="center"/>
          </w:tcPr>
          <w:p w:rsidR="00617F41" w:rsidRPr="008741BF" w:rsidRDefault="00617F41" w:rsidP="006702BF">
            <w:pPr>
              <w:jc w:val="center"/>
              <w:rPr>
                <w:b/>
              </w:rPr>
            </w:pPr>
            <w:r w:rsidRPr="008741BF">
              <w:rPr>
                <w:b/>
              </w:rPr>
              <w:t>1 869,6</w:t>
            </w:r>
          </w:p>
        </w:tc>
        <w:tc>
          <w:tcPr>
            <w:tcW w:w="1843" w:type="dxa"/>
            <w:shd w:val="clear" w:color="auto" w:fill="C2D69B"/>
            <w:noWrap/>
            <w:vAlign w:val="center"/>
          </w:tcPr>
          <w:p w:rsidR="00617F41" w:rsidRPr="008741BF" w:rsidRDefault="00617F41" w:rsidP="006702BF">
            <w:pPr>
              <w:jc w:val="center"/>
              <w:rPr>
                <w:b/>
              </w:rPr>
            </w:pPr>
            <w:r w:rsidRPr="008741BF">
              <w:rPr>
                <w:b/>
              </w:rPr>
              <w:t>280 355,5</w:t>
            </w:r>
          </w:p>
        </w:tc>
      </w:tr>
    </w:tbl>
    <w:p w:rsidR="00617F41" w:rsidRPr="008741BF" w:rsidRDefault="00617F41" w:rsidP="006702BF">
      <w:pPr>
        <w:tabs>
          <w:tab w:val="num" w:pos="993"/>
        </w:tabs>
        <w:ind w:firstLine="709"/>
        <w:jc w:val="both"/>
        <w:rPr>
          <w:sz w:val="28"/>
          <w:szCs w:val="28"/>
        </w:rPr>
      </w:pPr>
      <w:r w:rsidRPr="008741BF">
        <w:rPr>
          <w:sz w:val="28"/>
          <w:szCs w:val="28"/>
        </w:rPr>
        <w:t xml:space="preserve">Основной поток переводов денег через СДП </w:t>
      </w:r>
      <w:r>
        <w:rPr>
          <w:sz w:val="28"/>
          <w:szCs w:val="28"/>
        </w:rPr>
        <w:t>был направлен</w:t>
      </w:r>
      <w:r w:rsidRPr="008741BF">
        <w:rPr>
          <w:sz w:val="28"/>
          <w:szCs w:val="28"/>
        </w:rPr>
        <w:t xml:space="preserve"> в страны СНГ  (85,8% и 75,6% от общего объема отправленных платежей и переводов денег)</w:t>
      </w:r>
      <w:r>
        <w:rPr>
          <w:sz w:val="28"/>
          <w:szCs w:val="28"/>
        </w:rPr>
        <w:t xml:space="preserve">, из которых значительную долю занимают переводы в </w:t>
      </w:r>
      <w:r w:rsidRPr="008741BF">
        <w:rPr>
          <w:sz w:val="28"/>
          <w:szCs w:val="28"/>
        </w:rPr>
        <w:t>Российск</w:t>
      </w:r>
      <w:r>
        <w:rPr>
          <w:sz w:val="28"/>
          <w:szCs w:val="28"/>
        </w:rPr>
        <w:t>ую Федерацию</w:t>
      </w:r>
      <w:r w:rsidRPr="008741BF">
        <w:rPr>
          <w:sz w:val="28"/>
          <w:szCs w:val="28"/>
        </w:rPr>
        <w:t>.</w:t>
      </w:r>
      <w:r w:rsidRPr="009379F1">
        <w:rPr>
          <w:sz w:val="28"/>
          <w:szCs w:val="28"/>
        </w:rPr>
        <w:t xml:space="preserve"> </w:t>
      </w:r>
      <w:r w:rsidRPr="008741BF">
        <w:rPr>
          <w:sz w:val="28"/>
          <w:szCs w:val="28"/>
        </w:rPr>
        <w:t>Также значительна сумма переводов денег</w:t>
      </w:r>
      <w:r>
        <w:rPr>
          <w:sz w:val="28"/>
          <w:szCs w:val="28"/>
        </w:rPr>
        <w:t>, отправленных через СДП в Узбекистан</w:t>
      </w:r>
      <w:r w:rsidRPr="008741BF">
        <w:rPr>
          <w:sz w:val="28"/>
          <w:szCs w:val="28"/>
        </w:rPr>
        <w:t>, Китай</w:t>
      </w:r>
      <w:r>
        <w:rPr>
          <w:sz w:val="28"/>
          <w:szCs w:val="28"/>
        </w:rPr>
        <w:t xml:space="preserve"> и</w:t>
      </w:r>
      <w:r w:rsidRPr="008741BF">
        <w:rPr>
          <w:sz w:val="28"/>
          <w:szCs w:val="28"/>
        </w:rPr>
        <w:t xml:space="preserve"> Кыргызстан.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617F41" w:rsidRPr="009379F1" w:rsidTr="009379F1">
        <w:tc>
          <w:tcPr>
            <w:tcW w:w="3284" w:type="dxa"/>
            <w:shd w:val="clear" w:color="auto" w:fill="C2D69B"/>
          </w:tcPr>
          <w:p w:rsidR="00617F41" w:rsidRPr="009379F1" w:rsidRDefault="00617F41" w:rsidP="006702BF">
            <w:pPr>
              <w:tabs>
                <w:tab w:val="num" w:pos="993"/>
              </w:tabs>
              <w:jc w:val="center"/>
              <w:rPr>
                <w:b/>
              </w:rPr>
            </w:pPr>
            <w:r w:rsidRPr="009379F1">
              <w:rPr>
                <w:b/>
              </w:rPr>
              <w:t>Наименование страны</w:t>
            </w:r>
          </w:p>
        </w:tc>
        <w:tc>
          <w:tcPr>
            <w:tcW w:w="3285" w:type="dxa"/>
            <w:shd w:val="clear" w:color="auto" w:fill="C2D69B"/>
            <w:vAlign w:val="bottom"/>
          </w:tcPr>
          <w:p w:rsidR="00617F41" w:rsidRPr="009379F1" w:rsidRDefault="00617F41" w:rsidP="006702BF">
            <w:pPr>
              <w:jc w:val="center"/>
              <w:rPr>
                <w:b/>
              </w:rPr>
            </w:pPr>
            <w:r w:rsidRPr="009379F1">
              <w:rPr>
                <w:b/>
              </w:rPr>
              <w:t>Кол-во (тыс. транзакций)</w:t>
            </w:r>
          </w:p>
        </w:tc>
        <w:tc>
          <w:tcPr>
            <w:tcW w:w="3285" w:type="dxa"/>
            <w:shd w:val="clear" w:color="auto" w:fill="C2D69B"/>
            <w:vAlign w:val="bottom"/>
          </w:tcPr>
          <w:p w:rsidR="00617F41" w:rsidRPr="009379F1" w:rsidRDefault="00617F41" w:rsidP="006702BF">
            <w:pPr>
              <w:jc w:val="center"/>
              <w:rPr>
                <w:b/>
              </w:rPr>
            </w:pPr>
            <w:r w:rsidRPr="009379F1">
              <w:rPr>
                <w:b/>
              </w:rPr>
              <w:t>Сумма (млн. тенге)</w:t>
            </w:r>
          </w:p>
        </w:tc>
      </w:tr>
      <w:tr w:rsidR="00617F41" w:rsidRPr="009379F1" w:rsidTr="00B057F6">
        <w:tc>
          <w:tcPr>
            <w:tcW w:w="3284" w:type="dxa"/>
            <w:shd w:val="clear" w:color="auto" w:fill="D6E3BC"/>
            <w:vAlign w:val="bottom"/>
          </w:tcPr>
          <w:p w:rsidR="00617F41" w:rsidRPr="009379F1" w:rsidRDefault="00617F41" w:rsidP="006702BF">
            <w:pPr>
              <w:rPr>
                <w:i/>
                <w:iCs/>
              </w:rPr>
            </w:pPr>
            <w:r w:rsidRPr="009379F1">
              <w:rPr>
                <w:i/>
                <w:iCs/>
              </w:rPr>
              <w:t xml:space="preserve"> Страны СНГ </w:t>
            </w:r>
          </w:p>
        </w:tc>
        <w:tc>
          <w:tcPr>
            <w:tcW w:w="3285" w:type="dxa"/>
            <w:shd w:val="clear" w:color="auto" w:fill="D6E3BC"/>
            <w:vAlign w:val="bottom"/>
          </w:tcPr>
          <w:p w:rsidR="00617F41" w:rsidRPr="009379F1" w:rsidRDefault="00617F41" w:rsidP="006702BF">
            <w:pPr>
              <w:rPr>
                <w:i/>
                <w:iCs/>
              </w:rPr>
            </w:pPr>
            <w:r w:rsidRPr="009379F1">
              <w:rPr>
                <w:i/>
                <w:iCs/>
              </w:rPr>
              <w:t xml:space="preserve">                  1 603,8   </w:t>
            </w:r>
          </w:p>
        </w:tc>
        <w:tc>
          <w:tcPr>
            <w:tcW w:w="3285" w:type="dxa"/>
            <w:shd w:val="clear" w:color="auto" w:fill="D6E3BC"/>
            <w:vAlign w:val="bottom"/>
          </w:tcPr>
          <w:p w:rsidR="00617F41" w:rsidRPr="009379F1" w:rsidRDefault="00617F41" w:rsidP="006702BF">
            <w:pPr>
              <w:rPr>
                <w:i/>
                <w:iCs/>
              </w:rPr>
            </w:pPr>
            <w:r w:rsidRPr="009379F1">
              <w:rPr>
                <w:i/>
                <w:iCs/>
              </w:rPr>
              <w:t xml:space="preserve">                211 831,3   </w:t>
            </w:r>
          </w:p>
        </w:tc>
      </w:tr>
      <w:tr w:rsidR="00617F41" w:rsidRPr="009379F1" w:rsidTr="009379F1">
        <w:tc>
          <w:tcPr>
            <w:tcW w:w="3284" w:type="dxa"/>
            <w:shd w:val="clear" w:color="auto" w:fill="EAF1DD"/>
            <w:vAlign w:val="bottom"/>
          </w:tcPr>
          <w:p w:rsidR="00617F41" w:rsidRPr="009379F1" w:rsidRDefault="00617F41" w:rsidP="006702BF">
            <w:r w:rsidRPr="009379F1">
              <w:t xml:space="preserve"> Российская Федерация </w:t>
            </w:r>
          </w:p>
        </w:tc>
        <w:tc>
          <w:tcPr>
            <w:tcW w:w="3285" w:type="dxa"/>
            <w:vAlign w:val="bottom"/>
          </w:tcPr>
          <w:p w:rsidR="00617F41" w:rsidRPr="009379F1" w:rsidRDefault="00617F41" w:rsidP="006702BF">
            <w:r w:rsidRPr="009379F1">
              <w:t xml:space="preserve">                     837,8   </w:t>
            </w:r>
          </w:p>
        </w:tc>
        <w:tc>
          <w:tcPr>
            <w:tcW w:w="3285" w:type="dxa"/>
            <w:vAlign w:val="bottom"/>
          </w:tcPr>
          <w:p w:rsidR="00617F41" w:rsidRPr="009379F1" w:rsidRDefault="00617F41" w:rsidP="006702BF">
            <w:r w:rsidRPr="009379F1">
              <w:t xml:space="preserve">                 108 952,2   </w:t>
            </w:r>
          </w:p>
        </w:tc>
      </w:tr>
      <w:tr w:rsidR="00617F41" w:rsidRPr="009379F1" w:rsidTr="009379F1">
        <w:tc>
          <w:tcPr>
            <w:tcW w:w="3284" w:type="dxa"/>
            <w:shd w:val="clear" w:color="auto" w:fill="EAF1DD"/>
            <w:vAlign w:val="bottom"/>
          </w:tcPr>
          <w:p w:rsidR="00617F41" w:rsidRPr="009379F1" w:rsidRDefault="00617F41" w:rsidP="006702BF">
            <w:r w:rsidRPr="009379F1">
              <w:t xml:space="preserve"> Узбекистан </w:t>
            </w:r>
          </w:p>
        </w:tc>
        <w:tc>
          <w:tcPr>
            <w:tcW w:w="3285" w:type="dxa"/>
            <w:vAlign w:val="bottom"/>
          </w:tcPr>
          <w:p w:rsidR="00617F41" w:rsidRPr="009379F1" w:rsidRDefault="00617F41" w:rsidP="006702BF">
            <w:r w:rsidRPr="009379F1">
              <w:t xml:space="preserve">                     420,4   </w:t>
            </w:r>
          </w:p>
        </w:tc>
        <w:tc>
          <w:tcPr>
            <w:tcW w:w="3285" w:type="dxa"/>
            <w:vAlign w:val="bottom"/>
          </w:tcPr>
          <w:p w:rsidR="00617F41" w:rsidRPr="009379F1" w:rsidRDefault="00617F41" w:rsidP="006702BF">
            <w:r w:rsidRPr="009379F1">
              <w:t xml:space="preserve">                  55 725,0   </w:t>
            </w:r>
          </w:p>
        </w:tc>
      </w:tr>
      <w:tr w:rsidR="00617F41" w:rsidRPr="009379F1" w:rsidTr="009379F1">
        <w:tc>
          <w:tcPr>
            <w:tcW w:w="3284" w:type="dxa"/>
            <w:shd w:val="clear" w:color="auto" w:fill="EAF1DD"/>
            <w:vAlign w:val="bottom"/>
          </w:tcPr>
          <w:p w:rsidR="00617F41" w:rsidRPr="009379F1" w:rsidRDefault="00617F41" w:rsidP="006702BF">
            <w:r w:rsidRPr="009379F1">
              <w:t xml:space="preserve"> Кыргызстан </w:t>
            </w:r>
          </w:p>
        </w:tc>
        <w:tc>
          <w:tcPr>
            <w:tcW w:w="3285" w:type="dxa"/>
            <w:vAlign w:val="bottom"/>
          </w:tcPr>
          <w:p w:rsidR="00617F41" w:rsidRPr="009379F1" w:rsidRDefault="00617F41" w:rsidP="006702BF">
            <w:r w:rsidRPr="009379F1">
              <w:t xml:space="preserve">                     164,4   </w:t>
            </w:r>
          </w:p>
        </w:tc>
        <w:tc>
          <w:tcPr>
            <w:tcW w:w="3285" w:type="dxa"/>
            <w:vAlign w:val="bottom"/>
          </w:tcPr>
          <w:p w:rsidR="00617F41" w:rsidRPr="009379F1" w:rsidRDefault="00617F41" w:rsidP="006702BF">
            <w:r w:rsidRPr="009379F1">
              <w:t xml:space="preserve">                  19 923,8   </w:t>
            </w:r>
          </w:p>
        </w:tc>
      </w:tr>
      <w:tr w:rsidR="00617F41" w:rsidRPr="009379F1" w:rsidTr="009379F1">
        <w:tc>
          <w:tcPr>
            <w:tcW w:w="3284" w:type="dxa"/>
            <w:shd w:val="clear" w:color="auto" w:fill="EAF1DD"/>
            <w:vAlign w:val="bottom"/>
          </w:tcPr>
          <w:p w:rsidR="00617F41" w:rsidRPr="009379F1" w:rsidRDefault="00617F41" w:rsidP="006702BF">
            <w:r w:rsidRPr="009379F1">
              <w:t xml:space="preserve"> Азербайджан </w:t>
            </w:r>
          </w:p>
        </w:tc>
        <w:tc>
          <w:tcPr>
            <w:tcW w:w="3285" w:type="dxa"/>
            <w:vAlign w:val="bottom"/>
          </w:tcPr>
          <w:p w:rsidR="00617F41" w:rsidRPr="009379F1" w:rsidRDefault="00617F41" w:rsidP="006702BF">
            <w:r w:rsidRPr="009379F1">
              <w:t xml:space="preserve">                       39,2   </w:t>
            </w:r>
          </w:p>
        </w:tc>
        <w:tc>
          <w:tcPr>
            <w:tcW w:w="3285" w:type="dxa"/>
            <w:vAlign w:val="bottom"/>
          </w:tcPr>
          <w:p w:rsidR="00617F41" w:rsidRPr="009379F1" w:rsidRDefault="00617F41" w:rsidP="006702BF">
            <w:r w:rsidRPr="009379F1">
              <w:t xml:space="preserve">                    8 639,5   </w:t>
            </w:r>
          </w:p>
        </w:tc>
      </w:tr>
      <w:tr w:rsidR="00617F41" w:rsidRPr="009379F1" w:rsidTr="009379F1">
        <w:tc>
          <w:tcPr>
            <w:tcW w:w="3284" w:type="dxa"/>
            <w:shd w:val="clear" w:color="auto" w:fill="EAF1DD"/>
            <w:vAlign w:val="bottom"/>
          </w:tcPr>
          <w:p w:rsidR="00617F41" w:rsidRPr="009379F1" w:rsidRDefault="00617F41" w:rsidP="006702BF">
            <w:r w:rsidRPr="009379F1">
              <w:t xml:space="preserve"> Украина </w:t>
            </w:r>
          </w:p>
        </w:tc>
        <w:tc>
          <w:tcPr>
            <w:tcW w:w="3285" w:type="dxa"/>
            <w:vAlign w:val="bottom"/>
          </w:tcPr>
          <w:p w:rsidR="00617F41" w:rsidRPr="009379F1" w:rsidRDefault="00617F41" w:rsidP="006702BF">
            <w:r w:rsidRPr="009379F1">
              <w:t xml:space="preserve">                       68,1   </w:t>
            </w:r>
          </w:p>
        </w:tc>
        <w:tc>
          <w:tcPr>
            <w:tcW w:w="3285" w:type="dxa"/>
            <w:vAlign w:val="bottom"/>
          </w:tcPr>
          <w:p w:rsidR="00617F41" w:rsidRPr="009379F1" w:rsidRDefault="00617F41" w:rsidP="006702BF">
            <w:r w:rsidRPr="009379F1">
              <w:t xml:space="preserve">                    7 357,6   </w:t>
            </w:r>
          </w:p>
        </w:tc>
      </w:tr>
      <w:tr w:rsidR="00617F41" w:rsidRPr="009379F1" w:rsidTr="009379F1">
        <w:tc>
          <w:tcPr>
            <w:tcW w:w="3284" w:type="dxa"/>
            <w:shd w:val="clear" w:color="auto" w:fill="EAF1DD"/>
            <w:vAlign w:val="bottom"/>
          </w:tcPr>
          <w:p w:rsidR="00617F41" w:rsidRPr="009379F1" w:rsidRDefault="00617F41" w:rsidP="006702BF">
            <w:r w:rsidRPr="009379F1">
              <w:t xml:space="preserve"> Армения </w:t>
            </w:r>
          </w:p>
        </w:tc>
        <w:tc>
          <w:tcPr>
            <w:tcW w:w="3285" w:type="dxa"/>
            <w:vAlign w:val="bottom"/>
          </w:tcPr>
          <w:p w:rsidR="00617F41" w:rsidRPr="009379F1" w:rsidRDefault="00617F41" w:rsidP="006702BF">
            <w:r w:rsidRPr="009379F1">
              <w:t xml:space="preserve">                       19,0   </w:t>
            </w:r>
          </w:p>
        </w:tc>
        <w:tc>
          <w:tcPr>
            <w:tcW w:w="3285" w:type="dxa"/>
            <w:vAlign w:val="bottom"/>
          </w:tcPr>
          <w:p w:rsidR="00617F41" w:rsidRPr="009379F1" w:rsidRDefault="00617F41" w:rsidP="006702BF">
            <w:r w:rsidRPr="009379F1">
              <w:t xml:space="preserve">                    4 535,5   </w:t>
            </w:r>
          </w:p>
        </w:tc>
      </w:tr>
      <w:tr w:rsidR="00617F41" w:rsidRPr="009379F1" w:rsidTr="009379F1">
        <w:tc>
          <w:tcPr>
            <w:tcW w:w="3284" w:type="dxa"/>
            <w:shd w:val="clear" w:color="auto" w:fill="EAF1DD"/>
            <w:vAlign w:val="bottom"/>
          </w:tcPr>
          <w:p w:rsidR="00617F41" w:rsidRPr="009379F1" w:rsidRDefault="00617F41" w:rsidP="006702BF">
            <w:r w:rsidRPr="009379F1">
              <w:t xml:space="preserve"> Таджикистан </w:t>
            </w:r>
          </w:p>
        </w:tc>
        <w:tc>
          <w:tcPr>
            <w:tcW w:w="3285" w:type="dxa"/>
            <w:vAlign w:val="bottom"/>
          </w:tcPr>
          <w:p w:rsidR="00617F41" w:rsidRPr="009379F1" w:rsidRDefault="00617F41" w:rsidP="006702BF">
            <w:r w:rsidRPr="009379F1">
              <w:t xml:space="preserve">                       32,9   </w:t>
            </w:r>
          </w:p>
        </w:tc>
        <w:tc>
          <w:tcPr>
            <w:tcW w:w="3285" w:type="dxa"/>
            <w:vAlign w:val="bottom"/>
          </w:tcPr>
          <w:p w:rsidR="00617F41" w:rsidRPr="009379F1" w:rsidRDefault="00617F41" w:rsidP="006702BF">
            <w:r w:rsidRPr="009379F1">
              <w:t xml:space="preserve">                    3 595,4   </w:t>
            </w:r>
          </w:p>
        </w:tc>
      </w:tr>
      <w:tr w:rsidR="00617F41" w:rsidRPr="009379F1" w:rsidTr="009379F1">
        <w:tc>
          <w:tcPr>
            <w:tcW w:w="3284" w:type="dxa"/>
            <w:shd w:val="clear" w:color="auto" w:fill="EAF1DD"/>
            <w:vAlign w:val="bottom"/>
          </w:tcPr>
          <w:p w:rsidR="00617F41" w:rsidRPr="009379F1" w:rsidRDefault="00617F41" w:rsidP="006702BF">
            <w:r w:rsidRPr="009379F1">
              <w:t xml:space="preserve"> Беларусь </w:t>
            </w:r>
          </w:p>
        </w:tc>
        <w:tc>
          <w:tcPr>
            <w:tcW w:w="3285" w:type="dxa"/>
            <w:vAlign w:val="bottom"/>
          </w:tcPr>
          <w:p w:rsidR="00617F41" w:rsidRPr="009379F1" w:rsidRDefault="00617F41" w:rsidP="006702BF">
            <w:r w:rsidRPr="009379F1">
              <w:t xml:space="preserve">                       14,1   </w:t>
            </w:r>
          </w:p>
        </w:tc>
        <w:tc>
          <w:tcPr>
            <w:tcW w:w="3285" w:type="dxa"/>
            <w:vAlign w:val="bottom"/>
          </w:tcPr>
          <w:p w:rsidR="00617F41" w:rsidRPr="009379F1" w:rsidRDefault="00617F41" w:rsidP="006702BF">
            <w:r w:rsidRPr="009379F1">
              <w:t xml:space="preserve">                    2 037,0   </w:t>
            </w:r>
          </w:p>
        </w:tc>
      </w:tr>
      <w:tr w:rsidR="00617F41" w:rsidRPr="009379F1" w:rsidTr="009379F1">
        <w:tc>
          <w:tcPr>
            <w:tcW w:w="3284" w:type="dxa"/>
            <w:shd w:val="clear" w:color="auto" w:fill="EAF1DD"/>
            <w:vAlign w:val="bottom"/>
          </w:tcPr>
          <w:p w:rsidR="00617F41" w:rsidRPr="009379F1" w:rsidRDefault="00617F41" w:rsidP="003222F1">
            <w:r w:rsidRPr="009379F1">
              <w:t xml:space="preserve"> </w:t>
            </w:r>
            <w:r>
              <w:t>Р</w:t>
            </w:r>
            <w:r w:rsidRPr="009379F1">
              <w:t xml:space="preserve">еспублика Молдова </w:t>
            </w:r>
          </w:p>
        </w:tc>
        <w:tc>
          <w:tcPr>
            <w:tcW w:w="3285" w:type="dxa"/>
            <w:vAlign w:val="bottom"/>
          </w:tcPr>
          <w:p w:rsidR="00617F41" w:rsidRPr="009379F1" w:rsidRDefault="00617F41" w:rsidP="006702BF">
            <w:r w:rsidRPr="009379F1">
              <w:t xml:space="preserve">                         5,5   </w:t>
            </w:r>
          </w:p>
        </w:tc>
        <w:tc>
          <w:tcPr>
            <w:tcW w:w="3285" w:type="dxa"/>
            <w:vAlign w:val="bottom"/>
          </w:tcPr>
          <w:p w:rsidR="00617F41" w:rsidRPr="009379F1" w:rsidRDefault="00617F41" w:rsidP="006702BF">
            <w:r w:rsidRPr="009379F1">
              <w:t xml:space="preserve">                       793,8   </w:t>
            </w:r>
          </w:p>
        </w:tc>
      </w:tr>
      <w:tr w:rsidR="00617F41" w:rsidRPr="009379F1" w:rsidTr="009379F1">
        <w:tc>
          <w:tcPr>
            <w:tcW w:w="3284" w:type="dxa"/>
            <w:shd w:val="clear" w:color="auto" w:fill="EAF1DD"/>
            <w:vAlign w:val="bottom"/>
          </w:tcPr>
          <w:p w:rsidR="00617F41" w:rsidRPr="009379F1" w:rsidRDefault="00617F41" w:rsidP="006702BF">
            <w:r w:rsidRPr="009379F1">
              <w:t xml:space="preserve"> Туркменистан </w:t>
            </w:r>
          </w:p>
        </w:tc>
        <w:tc>
          <w:tcPr>
            <w:tcW w:w="3285" w:type="dxa"/>
            <w:vAlign w:val="bottom"/>
          </w:tcPr>
          <w:p w:rsidR="00617F41" w:rsidRPr="009379F1" w:rsidRDefault="00617F41" w:rsidP="006702BF">
            <w:r w:rsidRPr="009379F1">
              <w:t xml:space="preserve">                         2,2   </w:t>
            </w:r>
          </w:p>
        </w:tc>
        <w:tc>
          <w:tcPr>
            <w:tcW w:w="3285" w:type="dxa"/>
            <w:vAlign w:val="bottom"/>
          </w:tcPr>
          <w:p w:rsidR="00617F41" w:rsidRPr="009379F1" w:rsidRDefault="00617F41" w:rsidP="006702BF">
            <w:r w:rsidRPr="009379F1">
              <w:t xml:space="preserve">                       271,6   </w:t>
            </w:r>
          </w:p>
        </w:tc>
      </w:tr>
      <w:tr w:rsidR="00617F41" w:rsidRPr="009379F1" w:rsidTr="00B057F6">
        <w:tc>
          <w:tcPr>
            <w:tcW w:w="3284" w:type="dxa"/>
            <w:shd w:val="clear" w:color="auto" w:fill="D6E3BC"/>
            <w:vAlign w:val="bottom"/>
          </w:tcPr>
          <w:p w:rsidR="00617F41" w:rsidRPr="009379F1" w:rsidRDefault="00617F41" w:rsidP="006702BF">
            <w:pPr>
              <w:rPr>
                <w:i/>
                <w:iCs/>
              </w:rPr>
            </w:pPr>
            <w:r w:rsidRPr="009379F1">
              <w:rPr>
                <w:i/>
                <w:iCs/>
              </w:rPr>
              <w:t xml:space="preserve"> </w:t>
            </w:r>
            <w:r>
              <w:rPr>
                <w:i/>
                <w:iCs/>
              </w:rPr>
              <w:t xml:space="preserve">Другие </w:t>
            </w:r>
            <w:r w:rsidRPr="009379F1">
              <w:rPr>
                <w:i/>
                <w:iCs/>
              </w:rPr>
              <w:t xml:space="preserve"> страны </w:t>
            </w:r>
          </w:p>
        </w:tc>
        <w:tc>
          <w:tcPr>
            <w:tcW w:w="3285" w:type="dxa"/>
            <w:shd w:val="clear" w:color="auto" w:fill="D6E3BC"/>
            <w:vAlign w:val="bottom"/>
          </w:tcPr>
          <w:p w:rsidR="00617F41" w:rsidRPr="009379F1" w:rsidRDefault="00617F41" w:rsidP="006702BF">
            <w:pPr>
              <w:rPr>
                <w:i/>
                <w:iCs/>
              </w:rPr>
            </w:pPr>
            <w:r w:rsidRPr="009379F1">
              <w:rPr>
                <w:i/>
                <w:iCs/>
              </w:rPr>
              <w:t xml:space="preserve">                     265,8   </w:t>
            </w:r>
          </w:p>
        </w:tc>
        <w:tc>
          <w:tcPr>
            <w:tcW w:w="3285" w:type="dxa"/>
            <w:shd w:val="clear" w:color="auto" w:fill="D6E3BC"/>
            <w:vAlign w:val="bottom"/>
          </w:tcPr>
          <w:p w:rsidR="00617F41" w:rsidRPr="009379F1" w:rsidRDefault="00617F41" w:rsidP="006702BF">
            <w:pPr>
              <w:rPr>
                <w:i/>
                <w:iCs/>
              </w:rPr>
            </w:pPr>
            <w:r w:rsidRPr="009379F1">
              <w:rPr>
                <w:i/>
                <w:iCs/>
              </w:rPr>
              <w:t xml:space="preserve">                  68 524,2   </w:t>
            </w:r>
          </w:p>
        </w:tc>
      </w:tr>
      <w:tr w:rsidR="00617F41" w:rsidRPr="009379F1" w:rsidTr="009379F1">
        <w:tc>
          <w:tcPr>
            <w:tcW w:w="3284" w:type="dxa"/>
            <w:shd w:val="clear" w:color="auto" w:fill="EAF1DD"/>
            <w:vAlign w:val="bottom"/>
          </w:tcPr>
          <w:p w:rsidR="00617F41" w:rsidRPr="009379F1" w:rsidRDefault="00617F41" w:rsidP="006702BF">
            <w:r w:rsidRPr="009379F1">
              <w:t xml:space="preserve"> Китай </w:t>
            </w:r>
          </w:p>
        </w:tc>
        <w:tc>
          <w:tcPr>
            <w:tcW w:w="3285" w:type="dxa"/>
            <w:vAlign w:val="bottom"/>
          </w:tcPr>
          <w:p w:rsidR="00617F41" w:rsidRPr="009379F1" w:rsidRDefault="00617F41" w:rsidP="006702BF">
            <w:r w:rsidRPr="009379F1">
              <w:t xml:space="preserve">                       49,6   </w:t>
            </w:r>
          </w:p>
        </w:tc>
        <w:tc>
          <w:tcPr>
            <w:tcW w:w="3285" w:type="dxa"/>
            <w:vAlign w:val="bottom"/>
          </w:tcPr>
          <w:p w:rsidR="00617F41" w:rsidRPr="009379F1" w:rsidRDefault="00617F41" w:rsidP="006702BF">
            <w:r w:rsidRPr="009379F1">
              <w:t xml:space="preserve">                  28 514,7   </w:t>
            </w:r>
          </w:p>
        </w:tc>
      </w:tr>
      <w:tr w:rsidR="00617F41" w:rsidRPr="009379F1" w:rsidTr="009379F1">
        <w:tc>
          <w:tcPr>
            <w:tcW w:w="3284" w:type="dxa"/>
            <w:shd w:val="clear" w:color="auto" w:fill="EAF1DD"/>
            <w:vAlign w:val="bottom"/>
          </w:tcPr>
          <w:p w:rsidR="00617F41" w:rsidRPr="009379F1" w:rsidRDefault="00617F41" w:rsidP="006702BF">
            <w:r w:rsidRPr="009379F1">
              <w:t xml:space="preserve"> Турция </w:t>
            </w:r>
          </w:p>
        </w:tc>
        <w:tc>
          <w:tcPr>
            <w:tcW w:w="3285" w:type="dxa"/>
            <w:vAlign w:val="bottom"/>
          </w:tcPr>
          <w:p w:rsidR="00617F41" w:rsidRPr="009379F1" w:rsidRDefault="00617F41" w:rsidP="006702BF">
            <w:r w:rsidRPr="009379F1">
              <w:t xml:space="preserve">                       31,7   </w:t>
            </w:r>
          </w:p>
        </w:tc>
        <w:tc>
          <w:tcPr>
            <w:tcW w:w="3285" w:type="dxa"/>
            <w:vAlign w:val="bottom"/>
          </w:tcPr>
          <w:p w:rsidR="00617F41" w:rsidRPr="009379F1" w:rsidRDefault="00617F41" w:rsidP="006702BF">
            <w:r w:rsidRPr="009379F1">
              <w:t xml:space="preserve">                    7 053,0   </w:t>
            </w:r>
          </w:p>
        </w:tc>
      </w:tr>
      <w:tr w:rsidR="00617F41" w:rsidRPr="009379F1" w:rsidTr="009379F1">
        <w:tc>
          <w:tcPr>
            <w:tcW w:w="3284" w:type="dxa"/>
            <w:shd w:val="clear" w:color="auto" w:fill="EAF1DD"/>
            <w:vAlign w:val="bottom"/>
          </w:tcPr>
          <w:p w:rsidR="00617F41" w:rsidRPr="009379F1" w:rsidRDefault="00617F41" w:rsidP="006702BF">
            <w:r w:rsidRPr="009379F1">
              <w:t xml:space="preserve"> Грузия </w:t>
            </w:r>
          </w:p>
        </w:tc>
        <w:tc>
          <w:tcPr>
            <w:tcW w:w="3285" w:type="dxa"/>
            <w:vAlign w:val="bottom"/>
          </w:tcPr>
          <w:p w:rsidR="00617F41" w:rsidRPr="009379F1" w:rsidRDefault="00617F41" w:rsidP="006702BF">
            <w:r w:rsidRPr="009379F1">
              <w:t xml:space="preserve">                       20,1   </w:t>
            </w:r>
          </w:p>
        </w:tc>
        <w:tc>
          <w:tcPr>
            <w:tcW w:w="3285" w:type="dxa"/>
            <w:vAlign w:val="bottom"/>
          </w:tcPr>
          <w:p w:rsidR="00617F41" w:rsidRPr="009379F1" w:rsidRDefault="00617F41" w:rsidP="006702BF">
            <w:r w:rsidRPr="009379F1">
              <w:t xml:space="preserve">                    2 807,8   </w:t>
            </w:r>
          </w:p>
        </w:tc>
      </w:tr>
      <w:tr w:rsidR="00617F41" w:rsidRPr="009379F1" w:rsidTr="009379F1">
        <w:tc>
          <w:tcPr>
            <w:tcW w:w="3284" w:type="dxa"/>
            <w:shd w:val="clear" w:color="auto" w:fill="EAF1DD"/>
            <w:vAlign w:val="bottom"/>
          </w:tcPr>
          <w:p w:rsidR="00617F41" w:rsidRPr="009379F1" w:rsidRDefault="00617F41" w:rsidP="006702BF">
            <w:r w:rsidRPr="009379F1">
              <w:t xml:space="preserve"> Объединенные Арабские Эмираты </w:t>
            </w:r>
          </w:p>
        </w:tc>
        <w:tc>
          <w:tcPr>
            <w:tcW w:w="3285" w:type="dxa"/>
            <w:vAlign w:val="bottom"/>
          </w:tcPr>
          <w:p w:rsidR="00617F41" w:rsidRPr="009379F1" w:rsidRDefault="00617F41" w:rsidP="006702BF">
            <w:r w:rsidRPr="009379F1">
              <w:t xml:space="preserve">                         5,7   </w:t>
            </w:r>
          </w:p>
        </w:tc>
        <w:tc>
          <w:tcPr>
            <w:tcW w:w="3285" w:type="dxa"/>
            <w:vAlign w:val="bottom"/>
          </w:tcPr>
          <w:p w:rsidR="00617F41" w:rsidRPr="009379F1" w:rsidRDefault="00617F41" w:rsidP="006702BF">
            <w:r w:rsidRPr="009379F1">
              <w:t xml:space="preserve">                    1 923,4   </w:t>
            </w:r>
          </w:p>
        </w:tc>
      </w:tr>
      <w:tr w:rsidR="00617F41" w:rsidRPr="009379F1" w:rsidTr="009379F1">
        <w:tc>
          <w:tcPr>
            <w:tcW w:w="3284" w:type="dxa"/>
            <w:shd w:val="clear" w:color="auto" w:fill="EAF1DD"/>
            <w:vAlign w:val="bottom"/>
          </w:tcPr>
          <w:p w:rsidR="00617F41" w:rsidRPr="009379F1" w:rsidRDefault="00617F41" w:rsidP="006702BF">
            <w:r w:rsidRPr="009379F1">
              <w:t xml:space="preserve"> США</w:t>
            </w:r>
          </w:p>
        </w:tc>
        <w:tc>
          <w:tcPr>
            <w:tcW w:w="3285" w:type="dxa"/>
            <w:vAlign w:val="bottom"/>
          </w:tcPr>
          <w:p w:rsidR="00617F41" w:rsidRPr="009379F1" w:rsidRDefault="00617F41" w:rsidP="006702BF">
            <w:r w:rsidRPr="009379F1">
              <w:t xml:space="preserve">                         8,2   </w:t>
            </w:r>
          </w:p>
        </w:tc>
        <w:tc>
          <w:tcPr>
            <w:tcW w:w="3285" w:type="dxa"/>
            <w:vAlign w:val="bottom"/>
          </w:tcPr>
          <w:p w:rsidR="00617F41" w:rsidRPr="009379F1" w:rsidRDefault="00617F41" w:rsidP="006702BF">
            <w:r w:rsidRPr="009379F1">
              <w:t xml:space="preserve">                    1 561,3   </w:t>
            </w:r>
          </w:p>
        </w:tc>
      </w:tr>
      <w:tr w:rsidR="00617F41" w:rsidRPr="009379F1" w:rsidTr="009379F1">
        <w:tc>
          <w:tcPr>
            <w:tcW w:w="3284" w:type="dxa"/>
            <w:shd w:val="clear" w:color="auto" w:fill="EAF1DD"/>
            <w:vAlign w:val="bottom"/>
          </w:tcPr>
          <w:p w:rsidR="00617F41" w:rsidRPr="009379F1" w:rsidRDefault="00617F41" w:rsidP="006702BF">
            <w:r w:rsidRPr="009379F1">
              <w:t xml:space="preserve"> Германия </w:t>
            </w:r>
          </w:p>
        </w:tc>
        <w:tc>
          <w:tcPr>
            <w:tcW w:w="3285" w:type="dxa"/>
            <w:vAlign w:val="bottom"/>
          </w:tcPr>
          <w:p w:rsidR="00617F41" w:rsidRPr="009379F1" w:rsidRDefault="00617F41" w:rsidP="006702BF">
            <w:r w:rsidRPr="009379F1">
              <w:t xml:space="preserve">                         8,8   </w:t>
            </w:r>
          </w:p>
        </w:tc>
        <w:tc>
          <w:tcPr>
            <w:tcW w:w="3285" w:type="dxa"/>
            <w:vAlign w:val="bottom"/>
          </w:tcPr>
          <w:p w:rsidR="00617F41" w:rsidRPr="009379F1" w:rsidRDefault="00617F41" w:rsidP="006702BF">
            <w:r w:rsidRPr="009379F1">
              <w:t xml:space="preserve">                    1 418,5   </w:t>
            </w:r>
          </w:p>
        </w:tc>
      </w:tr>
      <w:tr w:rsidR="00617F41" w:rsidRPr="009379F1" w:rsidTr="00DD007D">
        <w:tc>
          <w:tcPr>
            <w:tcW w:w="3284" w:type="dxa"/>
            <w:shd w:val="clear" w:color="auto" w:fill="EAF1DD"/>
            <w:vAlign w:val="bottom"/>
          </w:tcPr>
          <w:p w:rsidR="00617F41" w:rsidRPr="009379F1" w:rsidRDefault="00617F41" w:rsidP="006702BF">
            <w:r w:rsidRPr="009379F1">
              <w:t xml:space="preserve"> </w:t>
            </w:r>
            <w:r>
              <w:t>Иные страны</w:t>
            </w:r>
          </w:p>
        </w:tc>
        <w:tc>
          <w:tcPr>
            <w:tcW w:w="3285" w:type="dxa"/>
            <w:vAlign w:val="center"/>
          </w:tcPr>
          <w:p w:rsidR="00617F41" w:rsidRPr="009379F1" w:rsidRDefault="00617F41" w:rsidP="00DD007D">
            <w:pPr>
              <w:jc w:val="center"/>
            </w:pPr>
            <w:r>
              <w:t>141</w:t>
            </w:r>
            <w:r w:rsidRPr="009379F1">
              <w:t>,8</w:t>
            </w:r>
          </w:p>
        </w:tc>
        <w:tc>
          <w:tcPr>
            <w:tcW w:w="3285" w:type="dxa"/>
            <w:vAlign w:val="center"/>
          </w:tcPr>
          <w:p w:rsidR="00617F41" w:rsidRPr="009379F1" w:rsidRDefault="00617F41" w:rsidP="00DD007D">
            <w:pPr>
              <w:jc w:val="center"/>
            </w:pPr>
            <w:r w:rsidRPr="00DD007D">
              <w:t>25 245,62</w:t>
            </w:r>
          </w:p>
        </w:tc>
      </w:tr>
      <w:tr w:rsidR="00617F41" w:rsidRPr="009379F1" w:rsidTr="009379F1">
        <w:tc>
          <w:tcPr>
            <w:tcW w:w="3284" w:type="dxa"/>
            <w:shd w:val="clear" w:color="auto" w:fill="C2D69B"/>
            <w:vAlign w:val="bottom"/>
          </w:tcPr>
          <w:p w:rsidR="00617F41" w:rsidRPr="009379F1" w:rsidRDefault="00617F41" w:rsidP="006702BF">
            <w:pPr>
              <w:rPr>
                <w:b/>
              </w:rPr>
            </w:pPr>
            <w:r w:rsidRPr="009379F1">
              <w:rPr>
                <w:b/>
              </w:rPr>
              <w:t>Общий итог</w:t>
            </w:r>
          </w:p>
        </w:tc>
        <w:tc>
          <w:tcPr>
            <w:tcW w:w="3285" w:type="dxa"/>
            <w:shd w:val="clear" w:color="auto" w:fill="C2D69B"/>
            <w:vAlign w:val="bottom"/>
          </w:tcPr>
          <w:p w:rsidR="00617F41" w:rsidRPr="009379F1" w:rsidRDefault="00617F41" w:rsidP="006702BF">
            <w:pPr>
              <w:rPr>
                <w:b/>
              </w:rPr>
            </w:pPr>
            <w:r w:rsidRPr="009379F1">
              <w:rPr>
                <w:b/>
              </w:rPr>
              <w:t xml:space="preserve">                  1 869,6   </w:t>
            </w:r>
          </w:p>
        </w:tc>
        <w:tc>
          <w:tcPr>
            <w:tcW w:w="3285" w:type="dxa"/>
            <w:shd w:val="clear" w:color="auto" w:fill="C2D69B"/>
            <w:vAlign w:val="bottom"/>
          </w:tcPr>
          <w:p w:rsidR="00617F41" w:rsidRPr="009379F1" w:rsidRDefault="00617F41" w:rsidP="006702BF">
            <w:pPr>
              <w:rPr>
                <w:b/>
              </w:rPr>
            </w:pPr>
            <w:r w:rsidRPr="009379F1">
              <w:rPr>
                <w:b/>
              </w:rPr>
              <w:t xml:space="preserve">                 280 355,5   </w:t>
            </w:r>
          </w:p>
        </w:tc>
      </w:tr>
    </w:tbl>
    <w:p w:rsidR="00617F41" w:rsidRPr="008741BF" w:rsidRDefault="00617F41" w:rsidP="006702BF">
      <w:pPr>
        <w:tabs>
          <w:tab w:val="num" w:pos="993"/>
        </w:tabs>
        <w:ind w:firstLine="709"/>
        <w:jc w:val="both"/>
        <w:rPr>
          <w:sz w:val="28"/>
          <w:szCs w:val="28"/>
        </w:rPr>
      </w:pPr>
      <w:r>
        <w:rPr>
          <w:sz w:val="28"/>
          <w:szCs w:val="28"/>
        </w:rPr>
        <w:t>П</w:t>
      </w:r>
      <w:r w:rsidRPr="008741BF">
        <w:rPr>
          <w:sz w:val="28"/>
          <w:szCs w:val="28"/>
        </w:rPr>
        <w:t xml:space="preserve">ри </w:t>
      </w:r>
      <w:r>
        <w:rPr>
          <w:sz w:val="28"/>
          <w:szCs w:val="28"/>
        </w:rPr>
        <w:t xml:space="preserve">отправке  переводов денег в страны </w:t>
      </w:r>
      <w:r w:rsidRPr="008741BF">
        <w:rPr>
          <w:sz w:val="28"/>
          <w:szCs w:val="28"/>
        </w:rPr>
        <w:t xml:space="preserve">СНГ предпочтение отдается долларам США (58,0% и 68,0% от общего количества платежей и  переводов денег, отправленных в страны СНГ) и российскому рублю (36,8% и 28,5%). </w:t>
      </w:r>
      <w:r>
        <w:rPr>
          <w:sz w:val="28"/>
          <w:szCs w:val="28"/>
        </w:rPr>
        <w:t>П</w:t>
      </w:r>
      <w:r w:rsidRPr="008741BF">
        <w:rPr>
          <w:sz w:val="28"/>
          <w:szCs w:val="28"/>
        </w:rPr>
        <w:t>ри переводах в Российскую Федерацию при осуществлении более половины всех платежей и переводов денег используются российские рубли (69% по количеству и 55% по сумме платежей и переводов денег).</w:t>
      </w:r>
    </w:p>
    <w:p w:rsidR="00617F41" w:rsidRPr="008741BF" w:rsidRDefault="00617F41" w:rsidP="006702BF">
      <w:pPr>
        <w:tabs>
          <w:tab w:val="num" w:pos="993"/>
        </w:tabs>
        <w:ind w:firstLine="709"/>
        <w:jc w:val="both"/>
        <w:rPr>
          <w:sz w:val="28"/>
          <w:szCs w:val="28"/>
        </w:rPr>
      </w:pPr>
      <w:r>
        <w:rPr>
          <w:sz w:val="28"/>
          <w:szCs w:val="28"/>
        </w:rPr>
        <w:t xml:space="preserve">При </w:t>
      </w:r>
      <w:r w:rsidRPr="008741BF">
        <w:rPr>
          <w:sz w:val="28"/>
          <w:szCs w:val="28"/>
        </w:rPr>
        <w:t>перевод</w:t>
      </w:r>
      <w:r>
        <w:rPr>
          <w:sz w:val="28"/>
          <w:szCs w:val="28"/>
        </w:rPr>
        <w:t>ах</w:t>
      </w:r>
      <w:r w:rsidRPr="008741BF">
        <w:rPr>
          <w:sz w:val="28"/>
          <w:szCs w:val="28"/>
        </w:rPr>
        <w:t xml:space="preserve"> денег через СДП в другие страны в основном используются доллары США (79,9% и 86,0% от общего количества и суммы платежей). </w:t>
      </w:r>
    </w:p>
    <w:tbl>
      <w:tblPr>
        <w:tblW w:w="9922" w:type="dxa"/>
        <w:tblInd w:w="108" w:type="dxa"/>
        <w:tblLook w:val="00A0" w:firstRow="1" w:lastRow="0" w:firstColumn="1" w:lastColumn="0" w:noHBand="0" w:noVBand="0"/>
      </w:tblPr>
      <w:tblGrid>
        <w:gridCol w:w="3969"/>
        <w:gridCol w:w="37"/>
        <w:gridCol w:w="956"/>
        <w:gridCol w:w="2100"/>
        <w:gridCol w:w="1775"/>
        <w:gridCol w:w="1257"/>
        <w:gridCol w:w="73"/>
        <w:gridCol w:w="68"/>
        <w:gridCol w:w="234"/>
      </w:tblGrid>
      <w:tr w:rsidR="00617F41" w:rsidRPr="008741BF" w:rsidTr="00B057F6">
        <w:trPr>
          <w:gridAfter w:val="3"/>
          <w:wAfter w:w="141" w:type="dxa"/>
          <w:trHeight w:val="3322"/>
        </w:trPr>
        <w:tc>
          <w:tcPr>
            <w:tcW w:w="3969" w:type="dxa"/>
          </w:tcPr>
          <w:p w:rsidR="00617F41" w:rsidRPr="008741BF" w:rsidRDefault="00617F41" w:rsidP="006702BF">
            <w:pPr>
              <w:tabs>
                <w:tab w:val="num" w:pos="993"/>
              </w:tabs>
              <w:ind w:firstLine="743"/>
              <w:jc w:val="both"/>
              <w:rPr>
                <w:sz w:val="28"/>
                <w:szCs w:val="28"/>
              </w:rPr>
            </w:pPr>
            <w:r w:rsidRPr="008741BF">
              <w:rPr>
                <w:sz w:val="28"/>
                <w:szCs w:val="28"/>
              </w:rPr>
              <w:lastRenderedPageBreak/>
              <w:t>Вместе с тем, безвозмездные переводы (за исключением переводов на лечение и образование) были направлены в основном в пользу резидентов таких стран, как Российская Федерация, Узбекистан, Китай, Кыргызстан.</w:t>
            </w:r>
          </w:p>
        </w:tc>
        <w:tc>
          <w:tcPr>
            <w:tcW w:w="5812" w:type="dxa"/>
            <w:gridSpan w:val="5"/>
          </w:tcPr>
          <w:p w:rsidR="00617F41" w:rsidRPr="006702BF" w:rsidRDefault="00617F41" w:rsidP="006702BF">
            <w:pPr>
              <w:tabs>
                <w:tab w:val="num" w:pos="993"/>
              </w:tabs>
              <w:jc w:val="center"/>
              <w:rPr>
                <w:b/>
              </w:rPr>
            </w:pPr>
            <w:r w:rsidRPr="006702BF">
              <w:rPr>
                <w:b/>
              </w:rPr>
              <w:t>Доля от общей суммы отправленных безвозмездных переводов</w:t>
            </w:r>
          </w:p>
          <w:p w:rsidR="00617F41" w:rsidRPr="008741BF" w:rsidRDefault="00786A4E" w:rsidP="006702BF">
            <w:pPr>
              <w:tabs>
                <w:tab w:val="num" w:pos="993"/>
              </w:tabs>
              <w:jc w:val="both"/>
              <w:rPr>
                <w:sz w:val="28"/>
                <w:szCs w:val="28"/>
              </w:rPr>
            </w:pPr>
            <w:r w:rsidRPr="007A05EB">
              <w:rPr>
                <w:noProof/>
                <w:sz w:val="28"/>
                <w:szCs w:val="28"/>
              </w:rPr>
              <w:drawing>
                <wp:inline distT="0" distB="0" distL="0" distR="0">
                  <wp:extent cx="3305175" cy="1609725"/>
                  <wp:effectExtent l="0" t="0" r="0" b="0"/>
                  <wp:docPr id="27"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617F41" w:rsidRPr="008741BF" w:rsidTr="00B057F6">
        <w:trPr>
          <w:gridAfter w:val="1"/>
          <w:wAfter w:w="234" w:type="dxa"/>
          <w:trHeight w:val="4031"/>
        </w:trPr>
        <w:tc>
          <w:tcPr>
            <w:tcW w:w="4006" w:type="dxa"/>
            <w:gridSpan w:val="2"/>
          </w:tcPr>
          <w:p w:rsidR="00617F41" w:rsidRPr="008741BF" w:rsidRDefault="00617F41" w:rsidP="006702BF">
            <w:pPr>
              <w:tabs>
                <w:tab w:val="num" w:pos="993"/>
              </w:tabs>
              <w:ind w:firstLine="743"/>
              <w:jc w:val="both"/>
              <w:rPr>
                <w:sz w:val="28"/>
                <w:szCs w:val="28"/>
              </w:rPr>
            </w:pPr>
            <w:r w:rsidRPr="008741BF">
              <w:rPr>
                <w:sz w:val="28"/>
                <w:szCs w:val="28"/>
              </w:rPr>
              <w:t>Переводы по операциям с депозитами (пополнение счетов, снятие со счетов, переводы по счетам) проводились в основном  юридическими лицами (доля по объему платежей соответственно составляет 92,9% и 79,1% соответственно</w:t>
            </w:r>
            <w:r>
              <w:rPr>
                <w:sz w:val="28"/>
                <w:szCs w:val="28"/>
              </w:rPr>
              <w:t>) и</w:t>
            </w:r>
            <w:r w:rsidRPr="008741BF">
              <w:rPr>
                <w:sz w:val="28"/>
                <w:szCs w:val="28"/>
              </w:rPr>
              <w:t xml:space="preserve">  были направлены в </w:t>
            </w:r>
            <w:r>
              <w:rPr>
                <w:sz w:val="28"/>
                <w:szCs w:val="28"/>
              </w:rPr>
              <w:t>большинстве</w:t>
            </w:r>
            <w:r w:rsidRPr="008741BF">
              <w:rPr>
                <w:sz w:val="28"/>
                <w:szCs w:val="28"/>
              </w:rPr>
              <w:t xml:space="preserve"> в пользу резидентов таких стран, как Российская Федерация, Узбекистан, Индия, Китай.</w:t>
            </w:r>
          </w:p>
        </w:tc>
        <w:tc>
          <w:tcPr>
            <w:tcW w:w="5916" w:type="dxa"/>
            <w:gridSpan w:val="6"/>
          </w:tcPr>
          <w:p w:rsidR="00617F41" w:rsidRPr="006702BF" w:rsidRDefault="00617F41" w:rsidP="006702BF">
            <w:pPr>
              <w:tabs>
                <w:tab w:val="num" w:pos="993"/>
              </w:tabs>
              <w:jc w:val="center"/>
              <w:rPr>
                <w:b/>
              </w:rPr>
            </w:pPr>
            <w:r w:rsidRPr="006702BF">
              <w:rPr>
                <w:b/>
              </w:rPr>
              <w:t>Доля от общей суммы отправленных переводов по операциям с депозитами</w:t>
            </w:r>
          </w:p>
          <w:p w:rsidR="00617F41" w:rsidRPr="008741BF" w:rsidRDefault="00786A4E" w:rsidP="006702BF">
            <w:pPr>
              <w:tabs>
                <w:tab w:val="num" w:pos="993"/>
              </w:tabs>
              <w:jc w:val="both"/>
              <w:rPr>
                <w:sz w:val="28"/>
                <w:szCs w:val="28"/>
              </w:rPr>
            </w:pPr>
            <w:r w:rsidRPr="007A05EB">
              <w:rPr>
                <w:noProof/>
                <w:sz w:val="28"/>
                <w:szCs w:val="28"/>
              </w:rPr>
              <w:drawing>
                <wp:inline distT="0" distB="0" distL="0" distR="0">
                  <wp:extent cx="3619500" cy="2076450"/>
                  <wp:effectExtent l="0" t="0" r="0" b="0"/>
                  <wp:docPr id="28" name="Объект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617F41" w:rsidTr="007A05EB">
        <w:trPr>
          <w:gridAfter w:val="2"/>
          <w:wAfter w:w="302" w:type="dxa"/>
        </w:trPr>
        <w:tc>
          <w:tcPr>
            <w:tcW w:w="9854" w:type="dxa"/>
            <w:gridSpan w:val="7"/>
          </w:tcPr>
          <w:p w:rsidR="00617F41" w:rsidRPr="007A05EB" w:rsidRDefault="00617F41" w:rsidP="007A05EB">
            <w:pPr>
              <w:ind w:firstLine="709"/>
              <w:jc w:val="both"/>
              <w:rPr>
                <w:sz w:val="28"/>
                <w:szCs w:val="28"/>
              </w:rPr>
            </w:pPr>
          </w:p>
          <w:p w:rsidR="00617F41" w:rsidRPr="007A05EB" w:rsidRDefault="00617F41" w:rsidP="007A05EB">
            <w:pPr>
              <w:ind w:firstLine="709"/>
              <w:jc w:val="both"/>
              <w:rPr>
                <w:sz w:val="28"/>
                <w:szCs w:val="28"/>
              </w:rPr>
            </w:pPr>
            <w:r w:rsidRPr="007A05EB">
              <w:rPr>
                <w:sz w:val="28"/>
                <w:szCs w:val="28"/>
              </w:rPr>
              <w:t xml:space="preserve">Рост объемов </w:t>
            </w:r>
            <w:r w:rsidRPr="007A05EB">
              <w:rPr>
                <w:b/>
                <w:sz w:val="28"/>
                <w:szCs w:val="28"/>
              </w:rPr>
              <w:t>полученных из-за рубежа в Казахстан через СДП  переводов денег</w:t>
            </w:r>
            <w:r w:rsidRPr="007A05EB">
              <w:rPr>
                <w:sz w:val="28"/>
                <w:szCs w:val="28"/>
              </w:rPr>
              <w:t xml:space="preserve"> составил в 2014 году по сравнению с 2013 годом по количеству 11,4% и по сумме 34,1%. При этом основная доля данных переводов приходится на безвозмездные переводы.</w:t>
            </w:r>
            <w:r w:rsidRPr="007A05EB">
              <w:rPr>
                <w:sz w:val="28"/>
                <w:szCs w:val="28"/>
              </w:rPr>
              <w:tab/>
            </w:r>
          </w:p>
        </w:tc>
      </w:tr>
      <w:tr w:rsidR="00617F41" w:rsidRPr="00347198" w:rsidTr="00347198">
        <w:trPr>
          <w:trHeight w:val="84"/>
        </w:trPr>
        <w:tc>
          <w:tcPr>
            <w:tcW w:w="4962" w:type="dxa"/>
            <w:gridSpan w:val="3"/>
            <w:vMerge w:val="restart"/>
            <w:tcBorders>
              <w:top w:val="single" w:sz="4" w:space="0" w:color="auto"/>
              <w:left w:val="single" w:sz="4" w:space="0" w:color="auto"/>
              <w:right w:val="single" w:sz="4" w:space="0" w:color="auto"/>
            </w:tcBorders>
            <w:shd w:val="clear" w:color="auto" w:fill="C2D69B"/>
            <w:noWrap/>
            <w:vAlign w:val="center"/>
          </w:tcPr>
          <w:p w:rsidR="00617F41" w:rsidRPr="00347198" w:rsidRDefault="00617F41" w:rsidP="006702BF">
            <w:pPr>
              <w:jc w:val="center"/>
              <w:rPr>
                <w:b/>
                <w:bCs/>
              </w:rPr>
            </w:pPr>
            <w:r w:rsidRPr="00347198">
              <w:rPr>
                <w:b/>
                <w:bCs/>
              </w:rPr>
              <w:t>Назначение платежа</w:t>
            </w:r>
          </w:p>
        </w:tc>
        <w:tc>
          <w:tcPr>
            <w:tcW w:w="5194" w:type="dxa"/>
            <w:gridSpan w:val="6"/>
            <w:tcBorders>
              <w:top w:val="single" w:sz="4" w:space="0" w:color="auto"/>
              <w:left w:val="nil"/>
              <w:bottom w:val="single" w:sz="4" w:space="0" w:color="auto"/>
              <w:right w:val="single" w:sz="4" w:space="0" w:color="000000"/>
            </w:tcBorders>
            <w:shd w:val="clear" w:color="auto" w:fill="C2D69B"/>
            <w:noWrap/>
            <w:vAlign w:val="center"/>
          </w:tcPr>
          <w:p w:rsidR="00617F41" w:rsidRPr="00347198" w:rsidRDefault="00617F41" w:rsidP="006702BF">
            <w:pPr>
              <w:jc w:val="center"/>
              <w:rPr>
                <w:b/>
              </w:rPr>
            </w:pPr>
            <w:r w:rsidRPr="00347198">
              <w:rPr>
                <w:b/>
              </w:rPr>
              <w:t>Получено из-за рубежа</w:t>
            </w:r>
            <w:r w:rsidRPr="00347198">
              <w:rPr>
                <w:b/>
                <w:lang w:val="kk-KZ"/>
              </w:rPr>
              <w:t xml:space="preserve"> </w:t>
            </w:r>
            <w:r w:rsidRPr="00347198">
              <w:rPr>
                <w:b/>
              </w:rPr>
              <w:t>(млн. тенге)</w:t>
            </w:r>
          </w:p>
        </w:tc>
      </w:tr>
      <w:tr w:rsidR="00617F41" w:rsidRPr="00347198" w:rsidTr="00347198">
        <w:trPr>
          <w:trHeight w:val="84"/>
        </w:trPr>
        <w:tc>
          <w:tcPr>
            <w:tcW w:w="4962" w:type="dxa"/>
            <w:gridSpan w:val="3"/>
            <w:vMerge/>
            <w:tcBorders>
              <w:left w:val="single" w:sz="4" w:space="0" w:color="auto"/>
              <w:bottom w:val="single" w:sz="4" w:space="0" w:color="auto"/>
              <w:right w:val="single" w:sz="4" w:space="0" w:color="auto"/>
            </w:tcBorders>
            <w:shd w:val="clear" w:color="auto" w:fill="D6E3BC"/>
            <w:noWrap/>
            <w:vAlign w:val="center"/>
          </w:tcPr>
          <w:p w:rsidR="00617F41" w:rsidRPr="00347198" w:rsidRDefault="00617F41" w:rsidP="006702BF">
            <w:pPr>
              <w:jc w:val="center"/>
              <w:rPr>
                <w:b/>
              </w:rPr>
            </w:pPr>
          </w:p>
        </w:tc>
        <w:tc>
          <w:tcPr>
            <w:tcW w:w="1930" w:type="dxa"/>
            <w:tcBorders>
              <w:top w:val="nil"/>
              <w:left w:val="nil"/>
              <w:bottom w:val="single" w:sz="4" w:space="0" w:color="auto"/>
              <w:right w:val="single" w:sz="4" w:space="0" w:color="auto"/>
            </w:tcBorders>
            <w:shd w:val="clear" w:color="auto" w:fill="D6E3BC"/>
            <w:noWrap/>
            <w:vAlign w:val="center"/>
          </w:tcPr>
          <w:p w:rsidR="00617F41" w:rsidRPr="00347198" w:rsidRDefault="00617F41" w:rsidP="006702BF">
            <w:pPr>
              <w:jc w:val="center"/>
              <w:rPr>
                <w:b/>
              </w:rPr>
            </w:pPr>
            <w:r w:rsidRPr="00347198">
              <w:rPr>
                <w:b/>
              </w:rPr>
              <w:t>2013</w:t>
            </w:r>
          </w:p>
        </w:tc>
        <w:tc>
          <w:tcPr>
            <w:tcW w:w="1632" w:type="dxa"/>
            <w:tcBorders>
              <w:top w:val="nil"/>
              <w:left w:val="nil"/>
              <w:bottom w:val="single" w:sz="4" w:space="0" w:color="auto"/>
              <w:right w:val="single" w:sz="4" w:space="0" w:color="auto"/>
            </w:tcBorders>
            <w:shd w:val="clear" w:color="auto" w:fill="D6E3BC"/>
            <w:noWrap/>
            <w:vAlign w:val="center"/>
          </w:tcPr>
          <w:p w:rsidR="00617F41" w:rsidRPr="00347198" w:rsidRDefault="00617F41" w:rsidP="006702BF">
            <w:pPr>
              <w:jc w:val="center"/>
              <w:rPr>
                <w:b/>
              </w:rPr>
            </w:pPr>
            <w:r w:rsidRPr="00347198">
              <w:rPr>
                <w:b/>
              </w:rPr>
              <w:t>2014</w:t>
            </w:r>
          </w:p>
        </w:tc>
        <w:tc>
          <w:tcPr>
            <w:tcW w:w="1632" w:type="dxa"/>
            <w:gridSpan w:val="4"/>
            <w:tcBorders>
              <w:top w:val="nil"/>
              <w:left w:val="nil"/>
              <w:bottom w:val="single" w:sz="4" w:space="0" w:color="auto"/>
              <w:right w:val="single" w:sz="4" w:space="0" w:color="auto"/>
            </w:tcBorders>
            <w:shd w:val="clear" w:color="auto" w:fill="D6E3BC"/>
            <w:noWrap/>
            <w:vAlign w:val="center"/>
          </w:tcPr>
          <w:p w:rsidR="00617F41" w:rsidRPr="00347198" w:rsidRDefault="00617F41" w:rsidP="006702BF">
            <w:pPr>
              <w:jc w:val="center"/>
              <w:rPr>
                <w:b/>
                <w:i/>
              </w:rPr>
            </w:pPr>
            <w:r w:rsidRPr="00347198">
              <w:rPr>
                <w:b/>
                <w:i/>
              </w:rPr>
              <w:t>Изм.,</w:t>
            </w:r>
          </w:p>
          <w:p w:rsidR="00617F41" w:rsidRPr="00347198" w:rsidRDefault="00617F41" w:rsidP="006702BF">
            <w:pPr>
              <w:jc w:val="center"/>
              <w:rPr>
                <w:b/>
                <w:i/>
              </w:rPr>
            </w:pPr>
            <w:r w:rsidRPr="00347198">
              <w:rPr>
                <w:b/>
                <w:i/>
              </w:rPr>
              <w:t>в %, раз</w:t>
            </w:r>
          </w:p>
        </w:tc>
      </w:tr>
      <w:tr w:rsidR="00617F41" w:rsidRPr="00347198" w:rsidTr="006702BF">
        <w:trPr>
          <w:trHeight w:val="84"/>
        </w:trPr>
        <w:tc>
          <w:tcPr>
            <w:tcW w:w="4962" w:type="dxa"/>
            <w:gridSpan w:val="3"/>
            <w:tcBorders>
              <w:top w:val="nil"/>
              <w:left w:val="single" w:sz="4" w:space="0" w:color="auto"/>
              <w:bottom w:val="single" w:sz="4" w:space="0" w:color="auto"/>
              <w:right w:val="single" w:sz="4" w:space="0" w:color="auto"/>
            </w:tcBorders>
            <w:shd w:val="clear" w:color="auto" w:fill="EAF1DD"/>
            <w:vAlign w:val="bottom"/>
          </w:tcPr>
          <w:p w:rsidR="00617F41" w:rsidRPr="00347198" w:rsidRDefault="00617F41" w:rsidP="006702BF">
            <w:r w:rsidRPr="00347198">
              <w:t>Специфические переводы, в том числе:</w:t>
            </w:r>
          </w:p>
        </w:tc>
        <w:tc>
          <w:tcPr>
            <w:tcW w:w="1930"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89 956,5</w:t>
            </w:r>
          </w:p>
        </w:tc>
        <w:tc>
          <w:tcPr>
            <w:tcW w:w="1632"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121 186,7</w:t>
            </w:r>
          </w:p>
        </w:tc>
        <w:tc>
          <w:tcPr>
            <w:tcW w:w="1632" w:type="dxa"/>
            <w:gridSpan w:val="4"/>
            <w:tcBorders>
              <w:top w:val="nil"/>
              <w:left w:val="nil"/>
              <w:bottom w:val="single" w:sz="4" w:space="0" w:color="auto"/>
              <w:right w:val="single" w:sz="4" w:space="0" w:color="auto"/>
            </w:tcBorders>
            <w:noWrap/>
            <w:vAlign w:val="center"/>
          </w:tcPr>
          <w:p w:rsidR="00617F41" w:rsidRDefault="00617F41" w:rsidP="006702BF">
            <w:pPr>
              <w:jc w:val="center"/>
              <w:rPr>
                <w:i/>
                <w:iCs/>
                <w:sz w:val="22"/>
                <w:szCs w:val="22"/>
              </w:rPr>
            </w:pPr>
            <w:r>
              <w:rPr>
                <w:i/>
                <w:iCs/>
                <w:sz w:val="22"/>
                <w:szCs w:val="22"/>
              </w:rPr>
              <w:t>34,7%</w:t>
            </w:r>
          </w:p>
        </w:tc>
      </w:tr>
      <w:tr w:rsidR="00617F41" w:rsidRPr="00347198" w:rsidTr="006702BF">
        <w:trPr>
          <w:trHeight w:val="84"/>
        </w:trPr>
        <w:tc>
          <w:tcPr>
            <w:tcW w:w="4962" w:type="dxa"/>
            <w:gridSpan w:val="3"/>
            <w:tcBorders>
              <w:top w:val="nil"/>
              <w:left w:val="single" w:sz="4" w:space="0" w:color="auto"/>
              <w:bottom w:val="single" w:sz="4" w:space="0" w:color="auto"/>
              <w:right w:val="single" w:sz="4" w:space="0" w:color="auto"/>
            </w:tcBorders>
            <w:shd w:val="clear" w:color="auto" w:fill="EAF1DD"/>
            <w:vAlign w:val="bottom"/>
          </w:tcPr>
          <w:p w:rsidR="00617F41" w:rsidRPr="00B057F6" w:rsidRDefault="00617F41" w:rsidP="006702BF">
            <w:pPr>
              <w:rPr>
                <w:i/>
              </w:rPr>
            </w:pPr>
            <w:r w:rsidRPr="00B057F6">
              <w:rPr>
                <w:i/>
              </w:rPr>
              <w:t>прочие безвозмездные переводы (за исключением переводов на лечение и образование)</w:t>
            </w:r>
          </w:p>
        </w:tc>
        <w:tc>
          <w:tcPr>
            <w:tcW w:w="1930" w:type="dxa"/>
            <w:tcBorders>
              <w:top w:val="nil"/>
              <w:left w:val="nil"/>
              <w:bottom w:val="single" w:sz="4" w:space="0" w:color="auto"/>
              <w:right w:val="single" w:sz="4" w:space="0" w:color="auto"/>
            </w:tcBorders>
            <w:noWrap/>
            <w:vAlign w:val="center"/>
          </w:tcPr>
          <w:p w:rsidR="00617F41" w:rsidRDefault="00617F41" w:rsidP="006702BF">
            <w:pPr>
              <w:jc w:val="center"/>
              <w:rPr>
                <w:b/>
                <w:bCs/>
                <w:i/>
                <w:iCs/>
                <w:sz w:val="22"/>
                <w:szCs w:val="22"/>
              </w:rPr>
            </w:pPr>
            <w:r>
              <w:rPr>
                <w:b/>
                <w:bCs/>
                <w:i/>
                <w:iCs/>
                <w:sz w:val="22"/>
                <w:szCs w:val="22"/>
              </w:rPr>
              <w:t>89 432,2</w:t>
            </w:r>
          </w:p>
        </w:tc>
        <w:tc>
          <w:tcPr>
            <w:tcW w:w="1632" w:type="dxa"/>
            <w:tcBorders>
              <w:top w:val="nil"/>
              <w:left w:val="nil"/>
              <w:bottom w:val="single" w:sz="4" w:space="0" w:color="auto"/>
              <w:right w:val="single" w:sz="4" w:space="0" w:color="auto"/>
            </w:tcBorders>
            <w:noWrap/>
            <w:vAlign w:val="center"/>
          </w:tcPr>
          <w:p w:rsidR="00617F41" w:rsidRDefault="00617F41" w:rsidP="006702BF">
            <w:pPr>
              <w:jc w:val="center"/>
              <w:rPr>
                <w:b/>
                <w:bCs/>
                <w:i/>
                <w:iCs/>
                <w:sz w:val="22"/>
                <w:szCs w:val="22"/>
              </w:rPr>
            </w:pPr>
            <w:r>
              <w:rPr>
                <w:b/>
                <w:bCs/>
                <w:i/>
                <w:iCs/>
                <w:sz w:val="22"/>
                <w:szCs w:val="22"/>
              </w:rPr>
              <w:t>120 653,1</w:t>
            </w:r>
          </w:p>
        </w:tc>
        <w:tc>
          <w:tcPr>
            <w:tcW w:w="1632" w:type="dxa"/>
            <w:gridSpan w:val="4"/>
            <w:tcBorders>
              <w:top w:val="nil"/>
              <w:left w:val="nil"/>
              <w:bottom w:val="single" w:sz="4" w:space="0" w:color="auto"/>
              <w:right w:val="single" w:sz="4" w:space="0" w:color="auto"/>
            </w:tcBorders>
            <w:noWrap/>
            <w:vAlign w:val="center"/>
          </w:tcPr>
          <w:p w:rsidR="00617F41" w:rsidRDefault="00617F41" w:rsidP="006702BF">
            <w:pPr>
              <w:jc w:val="center"/>
              <w:rPr>
                <w:i/>
                <w:iCs/>
                <w:sz w:val="22"/>
                <w:szCs w:val="22"/>
              </w:rPr>
            </w:pPr>
            <w:r>
              <w:rPr>
                <w:i/>
                <w:iCs/>
                <w:sz w:val="22"/>
                <w:szCs w:val="22"/>
              </w:rPr>
              <w:t>34,9%</w:t>
            </w:r>
          </w:p>
        </w:tc>
      </w:tr>
      <w:tr w:rsidR="00617F41" w:rsidRPr="00347198" w:rsidTr="006702BF">
        <w:trPr>
          <w:trHeight w:val="84"/>
        </w:trPr>
        <w:tc>
          <w:tcPr>
            <w:tcW w:w="4962" w:type="dxa"/>
            <w:gridSpan w:val="3"/>
            <w:tcBorders>
              <w:top w:val="nil"/>
              <w:left w:val="single" w:sz="4" w:space="0" w:color="auto"/>
              <w:bottom w:val="single" w:sz="4" w:space="0" w:color="auto"/>
              <w:right w:val="single" w:sz="4" w:space="0" w:color="auto"/>
            </w:tcBorders>
            <w:shd w:val="clear" w:color="auto" w:fill="EAF1DD"/>
            <w:vAlign w:val="bottom"/>
          </w:tcPr>
          <w:p w:rsidR="00617F41" w:rsidRPr="00347198" w:rsidRDefault="00617F41" w:rsidP="006702BF">
            <w:r w:rsidRPr="00347198">
              <w:t>Депозиты</w:t>
            </w:r>
          </w:p>
        </w:tc>
        <w:tc>
          <w:tcPr>
            <w:tcW w:w="1930"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525,8</w:t>
            </w:r>
          </w:p>
        </w:tc>
        <w:tc>
          <w:tcPr>
            <w:tcW w:w="1632"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174,8</w:t>
            </w:r>
          </w:p>
        </w:tc>
        <w:tc>
          <w:tcPr>
            <w:tcW w:w="1632" w:type="dxa"/>
            <w:gridSpan w:val="4"/>
            <w:tcBorders>
              <w:top w:val="nil"/>
              <w:left w:val="nil"/>
              <w:bottom w:val="single" w:sz="4" w:space="0" w:color="auto"/>
              <w:right w:val="single" w:sz="4" w:space="0" w:color="auto"/>
            </w:tcBorders>
            <w:noWrap/>
            <w:vAlign w:val="center"/>
          </w:tcPr>
          <w:p w:rsidR="00617F41" w:rsidRDefault="00617F41" w:rsidP="006702BF">
            <w:pPr>
              <w:jc w:val="center"/>
              <w:rPr>
                <w:i/>
                <w:iCs/>
                <w:sz w:val="22"/>
                <w:szCs w:val="22"/>
              </w:rPr>
            </w:pPr>
            <w:r>
              <w:rPr>
                <w:i/>
                <w:iCs/>
                <w:sz w:val="22"/>
                <w:szCs w:val="22"/>
              </w:rPr>
              <w:t>-66,8%</w:t>
            </w:r>
          </w:p>
        </w:tc>
      </w:tr>
      <w:tr w:rsidR="00617F41" w:rsidRPr="00347198" w:rsidTr="006702BF">
        <w:trPr>
          <w:trHeight w:val="84"/>
        </w:trPr>
        <w:tc>
          <w:tcPr>
            <w:tcW w:w="4962" w:type="dxa"/>
            <w:gridSpan w:val="3"/>
            <w:tcBorders>
              <w:top w:val="nil"/>
              <w:left w:val="single" w:sz="4" w:space="0" w:color="auto"/>
              <w:bottom w:val="single" w:sz="4" w:space="0" w:color="auto"/>
              <w:right w:val="single" w:sz="4" w:space="0" w:color="auto"/>
            </w:tcBorders>
            <w:shd w:val="clear" w:color="auto" w:fill="EAF1DD"/>
            <w:vAlign w:val="bottom"/>
          </w:tcPr>
          <w:p w:rsidR="00617F41" w:rsidRPr="00347198" w:rsidRDefault="00617F41" w:rsidP="006702BF">
            <w:r w:rsidRPr="00347198">
              <w:t>Товары и нематериальные активы</w:t>
            </w:r>
          </w:p>
        </w:tc>
        <w:tc>
          <w:tcPr>
            <w:tcW w:w="1930"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0,8</w:t>
            </w:r>
          </w:p>
        </w:tc>
        <w:tc>
          <w:tcPr>
            <w:tcW w:w="1632"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1,5</w:t>
            </w:r>
          </w:p>
        </w:tc>
        <w:tc>
          <w:tcPr>
            <w:tcW w:w="1632" w:type="dxa"/>
            <w:gridSpan w:val="4"/>
            <w:tcBorders>
              <w:top w:val="nil"/>
              <w:left w:val="nil"/>
              <w:bottom w:val="single" w:sz="4" w:space="0" w:color="auto"/>
              <w:right w:val="single" w:sz="4" w:space="0" w:color="auto"/>
            </w:tcBorders>
            <w:noWrap/>
            <w:vAlign w:val="center"/>
          </w:tcPr>
          <w:p w:rsidR="00617F41" w:rsidRDefault="00617F41" w:rsidP="006702BF">
            <w:pPr>
              <w:jc w:val="center"/>
              <w:rPr>
                <w:i/>
                <w:iCs/>
                <w:sz w:val="22"/>
                <w:szCs w:val="22"/>
              </w:rPr>
            </w:pPr>
            <w:r>
              <w:rPr>
                <w:i/>
                <w:iCs/>
                <w:sz w:val="22"/>
                <w:szCs w:val="22"/>
              </w:rPr>
              <w:t>79,4%</w:t>
            </w:r>
          </w:p>
        </w:tc>
      </w:tr>
      <w:tr w:rsidR="00617F41" w:rsidRPr="00347198" w:rsidTr="006702BF">
        <w:trPr>
          <w:trHeight w:val="84"/>
        </w:trPr>
        <w:tc>
          <w:tcPr>
            <w:tcW w:w="4962" w:type="dxa"/>
            <w:gridSpan w:val="3"/>
            <w:tcBorders>
              <w:top w:val="nil"/>
              <w:left w:val="single" w:sz="4" w:space="0" w:color="auto"/>
              <w:bottom w:val="single" w:sz="4" w:space="0" w:color="auto"/>
              <w:right w:val="single" w:sz="4" w:space="0" w:color="auto"/>
            </w:tcBorders>
            <w:shd w:val="clear" w:color="auto" w:fill="EAF1DD"/>
            <w:vAlign w:val="bottom"/>
          </w:tcPr>
          <w:p w:rsidR="00617F41" w:rsidRPr="00347198" w:rsidRDefault="00617F41" w:rsidP="006702BF">
            <w:r w:rsidRPr="00347198">
              <w:t>Услуги</w:t>
            </w:r>
          </w:p>
        </w:tc>
        <w:tc>
          <w:tcPr>
            <w:tcW w:w="1930"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27,3</w:t>
            </w:r>
          </w:p>
        </w:tc>
        <w:tc>
          <w:tcPr>
            <w:tcW w:w="1632"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29,9</w:t>
            </w:r>
          </w:p>
        </w:tc>
        <w:tc>
          <w:tcPr>
            <w:tcW w:w="1632" w:type="dxa"/>
            <w:gridSpan w:val="4"/>
            <w:tcBorders>
              <w:top w:val="nil"/>
              <w:left w:val="nil"/>
              <w:bottom w:val="single" w:sz="4" w:space="0" w:color="auto"/>
              <w:right w:val="single" w:sz="4" w:space="0" w:color="auto"/>
            </w:tcBorders>
            <w:noWrap/>
            <w:vAlign w:val="center"/>
          </w:tcPr>
          <w:p w:rsidR="00617F41" w:rsidRDefault="00617F41" w:rsidP="006702BF">
            <w:pPr>
              <w:jc w:val="center"/>
              <w:rPr>
                <w:i/>
                <w:iCs/>
                <w:sz w:val="22"/>
                <w:szCs w:val="22"/>
              </w:rPr>
            </w:pPr>
            <w:r>
              <w:rPr>
                <w:i/>
                <w:iCs/>
                <w:sz w:val="22"/>
                <w:szCs w:val="22"/>
              </w:rPr>
              <w:t>9,9%</w:t>
            </w:r>
          </w:p>
        </w:tc>
      </w:tr>
      <w:tr w:rsidR="00617F41" w:rsidRPr="00347198" w:rsidTr="006702BF">
        <w:trPr>
          <w:trHeight w:val="84"/>
        </w:trPr>
        <w:tc>
          <w:tcPr>
            <w:tcW w:w="4962" w:type="dxa"/>
            <w:gridSpan w:val="3"/>
            <w:tcBorders>
              <w:top w:val="nil"/>
              <w:left w:val="single" w:sz="4" w:space="0" w:color="auto"/>
              <w:bottom w:val="single" w:sz="4" w:space="0" w:color="auto"/>
              <w:right w:val="single" w:sz="4" w:space="0" w:color="auto"/>
            </w:tcBorders>
            <w:shd w:val="clear" w:color="auto" w:fill="EAF1DD"/>
            <w:vAlign w:val="bottom"/>
          </w:tcPr>
          <w:p w:rsidR="00617F41" w:rsidRPr="00347198" w:rsidRDefault="00617F41" w:rsidP="006702BF">
            <w:r w:rsidRPr="00347198">
              <w:t xml:space="preserve">Прочие </w:t>
            </w:r>
            <w:r>
              <w:t>переводы</w:t>
            </w:r>
          </w:p>
        </w:tc>
        <w:tc>
          <w:tcPr>
            <w:tcW w:w="1930"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9,4</w:t>
            </w:r>
          </w:p>
        </w:tc>
        <w:tc>
          <w:tcPr>
            <w:tcW w:w="1632" w:type="dxa"/>
            <w:tcBorders>
              <w:top w:val="nil"/>
              <w:left w:val="nil"/>
              <w:bottom w:val="single" w:sz="4" w:space="0" w:color="auto"/>
              <w:right w:val="single" w:sz="4" w:space="0" w:color="auto"/>
            </w:tcBorders>
            <w:noWrap/>
            <w:vAlign w:val="center"/>
          </w:tcPr>
          <w:p w:rsidR="00617F41" w:rsidRDefault="00617F41" w:rsidP="006702BF">
            <w:pPr>
              <w:jc w:val="center"/>
              <w:rPr>
                <w:sz w:val="22"/>
                <w:szCs w:val="22"/>
              </w:rPr>
            </w:pPr>
            <w:r>
              <w:rPr>
                <w:sz w:val="22"/>
                <w:szCs w:val="22"/>
              </w:rPr>
              <w:t>5,4</w:t>
            </w:r>
          </w:p>
        </w:tc>
        <w:tc>
          <w:tcPr>
            <w:tcW w:w="1632" w:type="dxa"/>
            <w:gridSpan w:val="4"/>
            <w:tcBorders>
              <w:top w:val="nil"/>
              <w:left w:val="nil"/>
              <w:bottom w:val="single" w:sz="4" w:space="0" w:color="auto"/>
              <w:right w:val="single" w:sz="4" w:space="0" w:color="auto"/>
            </w:tcBorders>
            <w:noWrap/>
            <w:vAlign w:val="center"/>
          </w:tcPr>
          <w:p w:rsidR="00617F41" w:rsidRDefault="00617F41" w:rsidP="006702BF">
            <w:pPr>
              <w:jc w:val="center"/>
              <w:rPr>
                <w:i/>
                <w:iCs/>
                <w:sz w:val="22"/>
                <w:szCs w:val="22"/>
              </w:rPr>
            </w:pPr>
            <w:r>
              <w:rPr>
                <w:i/>
                <w:iCs/>
                <w:sz w:val="22"/>
                <w:szCs w:val="22"/>
              </w:rPr>
              <w:t>-42,6%</w:t>
            </w:r>
          </w:p>
        </w:tc>
      </w:tr>
      <w:tr w:rsidR="00617F41" w:rsidRPr="00347198" w:rsidTr="006702BF">
        <w:trPr>
          <w:trHeight w:val="84"/>
        </w:trPr>
        <w:tc>
          <w:tcPr>
            <w:tcW w:w="4962" w:type="dxa"/>
            <w:gridSpan w:val="3"/>
            <w:tcBorders>
              <w:top w:val="single" w:sz="4" w:space="0" w:color="auto"/>
              <w:left w:val="single" w:sz="4" w:space="0" w:color="auto"/>
              <w:bottom w:val="single" w:sz="4" w:space="0" w:color="auto"/>
              <w:right w:val="single" w:sz="4" w:space="0" w:color="auto"/>
            </w:tcBorders>
            <w:shd w:val="clear" w:color="auto" w:fill="C2D69B"/>
            <w:vAlign w:val="bottom"/>
          </w:tcPr>
          <w:p w:rsidR="00617F41" w:rsidRPr="00347198" w:rsidRDefault="00617F41" w:rsidP="006702BF">
            <w:pPr>
              <w:rPr>
                <w:b/>
                <w:bCs/>
              </w:rPr>
            </w:pPr>
            <w:r w:rsidRPr="00347198">
              <w:rPr>
                <w:b/>
                <w:bCs/>
              </w:rPr>
              <w:t>Итого</w:t>
            </w:r>
          </w:p>
        </w:tc>
        <w:tc>
          <w:tcPr>
            <w:tcW w:w="1930" w:type="dxa"/>
            <w:tcBorders>
              <w:top w:val="single" w:sz="4" w:space="0" w:color="auto"/>
              <w:left w:val="nil"/>
              <w:bottom w:val="single" w:sz="4" w:space="0" w:color="auto"/>
              <w:right w:val="single" w:sz="4" w:space="0" w:color="auto"/>
            </w:tcBorders>
            <w:shd w:val="clear" w:color="auto" w:fill="C2D69B"/>
            <w:noWrap/>
            <w:vAlign w:val="center"/>
          </w:tcPr>
          <w:p w:rsidR="00617F41" w:rsidRDefault="00617F41" w:rsidP="006702BF">
            <w:pPr>
              <w:jc w:val="center"/>
              <w:rPr>
                <w:b/>
                <w:bCs/>
                <w:sz w:val="22"/>
                <w:szCs w:val="22"/>
              </w:rPr>
            </w:pPr>
            <w:r>
              <w:rPr>
                <w:b/>
                <w:bCs/>
                <w:sz w:val="22"/>
                <w:szCs w:val="22"/>
              </w:rPr>
              <w:t>90 519,8</w:t>
            </w:r>
          </w:p>
        </w:tc>
        <w:tc>
          <w:tcPr>
            <w:tcW w:w="1632" w:type="dxa"/>
            <w:tcBorders>
              <w:top w:val="single" w:sz="4" w:space="0" w:color="auto"/>
              <w:left w:val="nil"/>
              <w:bottom w:val="single" w:sz="4" w:space="0" w:color="auto"/>
              <w:right w:val="single" w:sz="4" w:space="0" w:color="auto"/>
            </w:tcBorders>
            <w:shd w:val="clear" w:color="auto" w:fill="C2D69B"/>
            <w:noWrap/>
            <w:vAlign w:val="center"/>
          </w:tcPr>
          <w:p w:rsidR="00617F41" w:rsidRDefault="00617F41" w:rsidP="006702BF">
            <w:pPr>
              <w:jc w:val="center"/>
              <w:rPr>
                <w:b/>
                <w:bCs/>
                <w:sz w:val="22"/>
                <w:szCs w:val="22"/>
              </w:rPr>
            </w:pPr>
            <w:r>
              <w:rPr>
                <w:b/>
                <w:bCs/>
                <w:sz w:val="22"/>
                <w:szCs w:val="22"/>
              </w:rPr>
              <w:t>121 398,3</w:t>
            </w:r>
          </w:p>
        </w:tc>
        <w:tc>
          <w:tcPr>
            <w:tcW w:w="1632" w:type="dxa"/>
            <w:gridSpan w:val="4"/>
            <w:tcBorders>
              <w:top w:val="single" w:sz="4" w:space="0" w:color="auto"/>
              <w:left w:val="nil"/>
              <w:bottom w:val="single" w:sz="4" w:space="0" w:color="auto"/>
              <w:right w:val="single" w:sz="4" w:space="0" w:color="auto"/>
            </w:tcBorders>
            <w:shd w:val="clear" w:color="auto" w:fill="C2D69B"/>
            <w:noWrap/>
            <w:vAlign w:val="center"/>
          </w:tcPr>
          <w:p w:rsidR="00617F41" w:rsidRPr="006702BF" w:rsidRDefault="00617F41" w:rsidP="006702BF">
            <w:pPr>
              <w:jc w:val="center"/>
              <w:rPr>
                <w:b/>
                <w:i/>
                <w:iCs/>
                <w:sz w:val="22"/>
                <w:szCs w:val="22"/>
              </w:rPr>
            </w:pPr>
            <w:r w:rsidRPr="006702BF">
              <w:rPr>
                <w:b/>
                <w:i/>
                <w:iCs/>
                <w:sz w:val="22"/>
                <w:szCs w:val="22"/>
              </w:rPr>
              <w:t>34,1%</w:t>
            </w:r>
          </w:p>
        </w:tc>
      </w:tr>
    </w:tbl>
    <w:p w:rsidR="00617F41" w:rsidRDefault="00617F41" w:rsidP="006702BF">
      <w:pPr>
        <w:tabs>
          <w:tab w:val="num" w:pos="993"/>
        </w:tabs>
        <w:ind w:firstLine="709"/>
        <w:jc w:val="both"/>
        <w:rPr>
          <w:sz w:val="28"/>
          <w:szCs w:val="28"/>
        </w:rPr>
      </w:pPr>
      <w:r w:rsidRPr="008741BF">
        <w:rPr>
          <w:sz w:val="28"/>
          <w:szCs w:val="28"/>
        </w:rPr>
        <w:t>В разрезе систем денежных переводов основной поток платежей и переводов денег поступает через такие системы, как Золотая корона, Western Union, Faster</w:t>
      </w:r>
      <w:r>
        <w:rPr>
          <w:sz w:val="28"/>
          <w:szCs w:val="28"/>
        </w:rPr>
        <w:t xml:space="preserve"> и</w:t>
      </w:r>
      <w:r w:rsidRPr="008741BF">
        <w:rPr>
          <w:sz w:val="28"/>
          <w:szCs w:val="28"/>
        </w:rPr>
        <w:t xml:space="preserve"> Юнистрим. </w:t>
      </w:r>
    </w:p>
    <w:p w:rsidR="00114C86" w:rsidRPr="000D17E3" w:rsidRDefault="00114C86" w:rsidP="00114C86">
      <w:pPr>
        <w:tabs>
          <w:tab w:val="num" w:pos="993"/>
        </w:tabs>
        <w:ind w:firstLine="709"/>
        <w:jc w:val="both"/>
        <w:rPr>
          <w:sz w:val="28"/>
          <w:szCs w:val="28"/>
        </w:rPr>
      </w:pPr>
      <w:r w:rsidRPr="000D17E3">
        <w:rPr>
          <w:sz w:val="28"/>
          <w:szCs w:val="28"/>
        </w:rPr>
        <w:lastRenderedPageBreak/>
        <w:t>Из стран СНГ наибольшая сумма денежных переводов поступила по системе Золота Корона (45,4%),  Faster (17,6%), Юнистрим (12,8%), Western Union (10,8%).</w:t>
      </w:r>
    </w:p>
    <w:p w:rsidR="00114C86" w:rsidRPr="008741BF" w:rsidRDefault="00114C86" w:rsidP="006702BF">
      <w:pPr>
        <w:tabs>
          <w:tab w:val="num" w:pos="993"/>
        </w:tabs>
        <w:ind w:firstLine="709"/>
        <w:jc w:val="both"/>
        <w:rPr>
          <w:sz w:val="28"/>
          <w:szCs w:val="28"/>
        </w:rPr>
      </w:pPr>
      <w:r w:rsidRPr="000D17E3">
        <w:rPr>
          <w:sz w:val="28"/>
          <w:szCs w:val="28"/>
        </w:rPr>
        <w:t>Из стран дальнего зарубежья более 50% от общего объема переводов денег поступило по системе  Western Union, 19,7%  - Золотая корона, 10,7% - MoneyGram.</w:t>
      </w:r>
    </w:p>
    <w:tbl>
      <w:tblPr>
        <w:tblW w:w="10107" w:type="dxa"/>
        <w:tblLook w:val="00A0" w:firstRow="1" w:lastRow="0" w:firstColumn="1" w:lastColumn="0" w:noHBand="0" w:noVBand="0"/>
      </w:tblPr>
      <w:tblGrid>
        <w:gridCol w:w="4844"/>
        <w:gridCol w:w="2835"/>
        <w:gridCol w:w="1843"/>
        <w:gridCol w:w="585"/>
      </w:tblGrid>
      <w:tr w:rsidR="00617F41" w:rsidRPr="008741BF" w:rsidTr="00B057F6">
        <w:trPr>
          <w:trHeight w:val="3341"/>
        </w:trPr>
        <w:tc>
          <w:tcPr>
            <w:tcW w:w="4843" w:type="dxa"/>
          </w:tcPr>
          <w:p w:rsidR="00617F41" w:rsidRPr="008741BF" w:rsidRDefault="00617F41" w:rsidP="006702BF">
            <w:pPr>
              <w:tabs>
                <w:tab w:val="num" w:pos="993"/>
              </w:tabs>
              <w:jc w:val="center"/>
              <w:rPr>
                <w:b/>
              </w:rPr>
            </w:pPr>
            <w:r w:rsidRPr="008741BF">
              <w:rPr>
                <w:b/>
              </w:rPr>
              <w:t>Доля от общего количества полученных  через СДП переводов денег</w:t>
            </w:r>
          </w:p>
          <w:p w:rsidR="00617F41" w:rsidRPr="008741BF" w:rsidRDefault="00786A4E" w:rsidP="006702BF">
            <w:pPr>
              <w:tabs>
                <w:tab w:val="num" w:pos="993"/>
              </w:tabs>
              <w:jc w:val="both"/>
              <w:rPr>
                <w:sz w:val="28"/>
                <w:szCs w:val="28"/>
              </w:rPr>
            </w:pPr>
            <w:r w:rsidRPr="007A05EB">
              <w:rPr>
                <w:noProof/>
                <w:sz w:val="28"/>
                <w:szCs w:val="28"/>
              </w:rPr>
              <w:drawing>
                <wp:inline distT="0" distB="0" distL="0" distR="0">
                  <wp:extent cx="2943225" cy="1905000"/>
                  <wp:effectExtent l="0" t="0" r="0" b="0"/>
                  <wp:docPr id="29" name="Объект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5264" w:type="dxa"/>
            <w:gridSpan w:val="3"/>
          </w:tcPr>
          <w:p w:rsidR="00617F41" w:rsidRPr="008741BF" w:rsidRDefault="00617F41" w:rsidP="006702BF">
            <w:pPr>
              <w:tabs>
                <w:tab w:val="num" w:pos="993"/>
              </w:tabs>
              <w:jc w:val="center"/>
              <w:rPr>
                <w:b/>
              </w:rPr>
            </w:pPr>
            <w:r w:rsidRPr="008741BF">
              <w:rPr>
                <w:b/>
              </w:rPr>
              <w:t>Доля от общей суммы полученных  через СДП переводов денег</w:t>
            </w:r>
          </w:p>
          <w:p w:rsidR="00617F41" w:rsidRDefault="00786A4E" w:rsidP="006702BF">
            <w:pPr>
              <w:tabs>
                <w:tab w:val="num" w:pos="993"/>
              </w:tabs>
              <w:jc w:val="center"/>
              <w:rPr>
                <w:b/>
              </w:rPr>
            </w:pPr>
            <w:r w:rsidRPr="007A05EB">
              <w:rPr>
                <w:b/>
                <w:noProof/>
              </w:rPr>
              <w:drawing>
                <wp:inline distT="0" distB="0" distL="0" distR="0">
                  <wp:extent cx="2943225" cy="1905000"/>
                  <wp:effectExtent l="0" t="0" r="0" b="0"/>
                  <wp:docPr id="30" name="Объект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14C86" w:rsidRPr="008741BF" w:rsidRDefault="00114C86" w:rsidP="006702BF">
            <w:pPr>
              <w:tabs>
                <w:tab w:val="num" w:pos="993"/>
              </w:tabs>
              <w:jc w:val="center"/>
              <w:rPr>
                <w:b/>
              </w:rPr>
            </w:pP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D6E3BC"/>
            <w:noWrap/>
            <w:vAlign w:val="center"/>
          </w:tcPr>
          <w:p w:rsidR="00617F41" w:rsidRPr="008741BF" w:rsidRDefault="00617F41" w:rsidP="006702BF">
            <w:pPr>
              <w:jc w:val="center"/>
              <w:rPr>
                <w:b/>
              </w:rPr>
            </w:pPr>
            <w:r w:rsidRPr="008741BF">
              <w:tab/>
            </w:r>
            <w:r w:rsidRPr="008741BF">
              <w:rPr>
                <w:b/>
              </w:rPr>
              <w:t>Система</w:t>
            </w:r>
          </w:p>
        </w:tc>
        <w:tc>
          <w:tcPr>
            <w:tcW w:w="2835" w:type="dxa"/>
            <w:shd w:val="clear" w:color="auto" w:fill="D6E3BC"/>
            <w:noWrap/>
            <w:vAlign w:val="center"/>
          </w:tcPr>
          <w:p w:rsidR="00617F41" w:rsidRPr="008741BF" w:rsidRDefault="00617F41" w:rsidP="006702BF">
            <w:pPr>
              <w:jc w:val="center"/>
              <w:rPr>
                <w:b/>
              </w:rPr>
            </w:pPr>
            <w:r w:rsidRPr="008741BF">
              <w:rPr>
                <w:b/>
              </w:rPr>
              <w:t xml:space="preserve">Кол-во </w:t>
            </w:r>
          </w:p>
          <w:p w:rsidR="00617F41" w:rsidRPr="008741BF" w:rsidRDefault="00617F41" w:rsidP="006702BF">
            <w:pPr>
              <w:jc w:val="center"/>
              <w:rPr>
                <w:b/>
              </w:rPr>
            </w:pPr>
            <w:r w:rsidRPr="008741BF">
              <w:rPr>
                <w:b/>
              </w:rPr>
              <w:t>(тыс. транзакций)</w:t>
            </w:r>
          </w:p>
        </w:tc>
        <w:tc>
          <w:tcPr>
            <w:tcW w:w="1843" w:type="dxa"/>
            <w:shd w:val="clear" w:color="auto" w:fill="D6E3BC"/>
            <w:noWrap/>
            <w:vAlign w:val="center"/>
          </w:tcPr>
          <w:p w:rsidR="00617F41" w:rsidRPr="008741BF" w:rsidRDefault="00617F41" w:rsidP="006702BF">
            <w:pPr>
              <w:jc w:val="center"/>
              <w:rPr>
                <w:b/>
              </w:rPr>
            </w:pPr>
            <w:r w:rsidRPr="008741BF">
              <w:rPr>
                <w:b/>
              </w:rPr>
              <w:t xml:space="preserve">Сумма </w:t>
            </w:r>
          </w:p>
          <w:p w:rsidR="00617F41" w:rsidRPr="008741BF" w:rsidRDefault="00617F41" w:rsidP="006702BF">
            <w:pPr>
              <w:jc w:val="center"/>
              <w:rPr>
                <w:b/>
              </w:rPr>
            </w:pPr>
            <w:r w:rsidRPr="008741BF">
              <w:rPr>
                <w:b/>
              </w:rPr>
              <w:t>(млн. тенге)</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Золотая корона</w:t>
            </w:r>
          </w:p>
        </w:tc>
        <w:tc>
          <w:tcPr>
            <w:tcW w:w="2835" w:type="dxa"/>
            <w:noWrap/>
            <w:vAlign w:val="center"/>
          </w:tcPr>
          <w:p w:rsidR="00617F41" w:rsidRPr="008741BF" w:rsidRDefault="00617F41" w:rsidP="006702BF">
            <w:pPr>
              <w:tabs>
                <w:tab w:val="num" w:pos="993"/>
              </w:tabs>
              <w:ind w:firstLine="34"/>
              <w:jc w:val="center"/>
            </w:pPr>
            <w:r w:rsidRPr="008741BF">
              <w:t>312,4</w:t>
            </w:r>
          </w:p>
        </w:tc>
        <w:tc>
          <w:tcPr>
            <w:tcW w:w="1843" w:type="dxa"/>
            <w:noWrap/>
            <w:vAlign w:val="center"/>
          </w:tcPr>
          <w:p w:rsidR="00617F41" w:rsidRPr="008741BF" w:rsidRDefault="00617F41" w:rsidP="006702BF">
            <w:pPr>
              <w:tabs>
                <w:tab w:val="num" w:pos="993"/>
              </w:tabs>
              <w:ind w:firstLine="34"/>
              <w:jc w:val="center"/>
            </w:pPr>
            <w:r w:rsidRPr="008741BF">
              <w:t>48 151,8</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Western Union</w:t>
            </w:r>
          </w:p>
        </w:tc>
        <w:tc>
          <w:tcPr>
            <w:tcW w:w="2835" w:type="dxa"/>
            <w:noWrap/>
            <w:vAlign w:val="center"/>
          </w:tcPr>
          <w:p w:rsidR="00617F41" w:rsidRPr="008741BF" w:rsidRDefault="00617F41" w:rsidP="006702BF">
            <w:pPr>
              <w:tabs>
                <w:tab w:val="num" w:pos="993"/>
              </w:tabs>
              <w:ind w:firstLine="34"/>
              <w:jc w:val="center"/>
            </w:pPr>
            <w:r w:rsidRPr="008741BF">
              <w:t>217,9</w:t>
            </w:r>
          </w:p>
        </w:tc>
        <w:tc>
          <w:tcPr>
            <w:tcW w:w="1843" w:type="dxa"/>
            <w:noWrap/>
            <w:vAlign w:val="center"/>
          </w:tcPr>
          <w:p w:rsidR="00617F41" w:rsidRPr="008741BF" w:rsidRDefault="00617F41" w:rsidP="006702BF">
            <w:pPr>
              <w:tabs>
                <w:tab w:val="num" w:pos="993"/>
              </w:tabs>
              <w:ind w:firstLine="34"/>
              <w:jc w:val="center"/>
            </w:pPr>
            <w:r w:rsidRPr="008741BF">
              <w:t>23 720,6</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Faster</w:t>
            </w:r>
          </w:p>
        </w:tc>
        <w:tc>
          <w:tcPr>
            <w:tcW w:w="2835" w:type="dxa"/>
            <w:noWrap/>
            <w:vAlign w:val="center"/>
          </w:tcPr>
          <w:p w:rsidR="00617F41" w:rsidRPr="008741BF" w:rsidRDefault="00617F41" w:rsidP="006702BF">
            <w:pPr>
              <w:tabs>
                <w:tab w:val="num" w:pos="993"/>
              </w:tabs>
              <w:ind w:firstLine="34"/>
              <w:jc w:val="center"/>
            </w:pPr>
            <w:r w:rsidRPr="008741BF">
              <w:t>100,1</w:t>
            </w:r>
          </w:p>
        </w:tc>
        <w:tc>
          <w:tcPr>
            <w:tcW w:w="1843" w:type="dxa"/>
            <w:noWrap/>
            <w:vAlign w:val="center"/>
          </w:tcPr>
          <w:p w:rsidR="00617F41" w:rsidRPr="008741BF" w:rsidRDefault="00617F41" w:rsidP="006702BF">
            <w:pPr>
              <w:tabs>
                <w:tab w:val="num" w:pos="993"/>
              </w:tabs>
              <w:ind w:firstLine="34"/>
              <w:jc w:val="center"/>
            </w:pPr>
            <w:r w:rsidRPr="008741BF">
              <w:t>16 862,9</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Юнистрим</w:t>
            </w:r>
          </w:p>
        </w:tc>
        <w:tc>
          <w:tcPr>
            <w:tcW w:w="2835" w:type="dxa"/>
            <w:noWrap/>
            <w:vAlign w:val="center"/>
          </w:tcPr>
          <w:p w:rsidR="00617F41" w:rsidRPr="008741BF" w:rsidRDefault="00617F41" w:rsidP="006702BF">
            <w:pPr>
              <w:tabs>
                <w:tab w:val="num" w:pos="993"/>
              </w:tabs>
              <w:ind w:firstLine="34"/>
              <w:jc w:val="center"/>
            </w:pPr>
            <w:r w:rsidRPr="008741BF">
              <w:t>60,2</w:t>
            </w:r>
          </w:p>
        </w:tc>
        <w:tc>
          <w:tcPr>
            <w:tcW w:w="1843" w:type="dxa"/>
            <w:noWrap/>
            <w:vAlign w:val="center"/>
          </w:tcPr>
          <w:p w:rsidR="00617F41" w:rsidRPr="008741BF" w:rsidRDefault="00617F41" w:rsidP="006702BF">
            <w:pPr>
              <w:tabs>
                <w:tab w:val="num" w:pos="993"/>
              </w:tabs>
              <w:ind w:firstLine="34"/>
              <w:jc w:val="center"/>
            </w:pPr>
            <w:r w:rsidRPr="008741BF">
              <w:t>13 899,5</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9579ED" w:rsidP="006702BF">
            <w:pPr>
              <w:tabs>
                <w:tab w:val="num" w:pos="993"/>
              </w:tabs>
              <w:ind w:firstLine="49"/>
            </w:pPr>
            <w:r>
              <w:t>Колибри (</w:t>
            </w:r>
            <w:r w:rsidR="00617F41" w:rsidRPr="008741BF">
              <w:t>Блиц</w:t>
            </w:r>
            <w:r>
              <w:t>)</w:t>
            </w:r>
          </w:p>
        </w:tc>
        <w:tc>
          <w:tcPr>
            <w:tcW w:w="2835" w:type="dxa"/>
            <w:noWrap/>
            <w:vAlign w:val="center"/>
          </w:tcPr>
          <w:p w:rsidR="00617F41" w:rsidRPr="008741BF" w:rsidRDefault="00617F41" w:rsidP="006702BF">
            <w:pPr>
              <w:tabs>
                <w:tab w:val="num" w:pos="993"/>
              </w:tabs>
              <w:ind w:firstLine="34"/>
              <w:jc w:val="center"/>
            </w:pPr>
            <w:r w:rsidRPr="008741BF">
              <w:t>44,8</w:t>
            </w:r>
          </w:p>
        </w:tc>
        <w:tc>
          <w:tcPr>
            <w:tcW w:w="1843" w:type="dxa"/>
            <w:noWrap/>
            <w:vAlign w:val="center"/>
          </w:tcPr>
          <w:p w:rsidR="00617F41" w:rsidRPr="008741BF" w:rsidRDefault="00617F41" w:rsidP="006702BF">
            <w:pPr>
              <w:tabs>
                <w:tab w:val="num" w:pos="993"/>
              </w:tabs>
              <w:ind w:firstLine="34"/>
              <w:jc w:val="center"/>
            </w:pPr>
            <w:r w:rsidRPr="008741BF">
              <w:t>4 637,2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Система Всемирного почтового союза</w:t>
            </w:r>
          </w:p>
        </w:tc>
        <w:tc>
          <w:tcPr>
            <w:tcW w:w="2835" w:type="dxa"/>
            <w:noWrap/>
            <w:vAlign w:val="center"/>
          </w:tcPr>
          <w:p w:rsidR="00617F41" w:rsidRPr="008741BF" w:rsidRDefault="00617F41" w:rsidP="006702BF">
            <w:pPr>
              <w:tabs>
                <w:tab w:val="num" w:pos="993"/>
              </w:tabs>
              <w:ind w:firstLine="34"/>
              <w:jc w:val="center"/>
            </w:pPr>
            <w:r w:rsidRPr="008741BF">
              <w:t>143,1</w:t>
            </w:r>
          </w:p>
        </w:tc>
        <w:tc>
          <w:tcPr>
            <w:tcW w:w="1843" w:type="dxa"/>
            <w:noWrap/>
            <w:vAlign w:val="center"/>
          </w:tcPr>
          <w:p w:rsidR="00617F41" w:rsidRPr="008741BF" w:rsidRDefault="00617F41" w:rsidP="006702BF">
            <w:pPr>
              <w:tabs>
                <w:tab w:val="num" w:pos="993"/>
              </w:tabs>
              <w:ind w:firstLine="34"/>
              <w:jc w:val="center"/>
            </w:pPr>
            <w:r w:rsidRPr="008741BF">
              <w:t>3 741,3</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Contact</w:t>
            </w:r>
          </w:p>
        </w:tc>
        <w:tc>
          <w:tcPr>
            <w:tcW w:w="2835" w:type="dxa"/>
            <w:noWrap/>
            <w:vAlign w:val="center"/>
          </w:tcPr>
          <w:p w:rsidR="00617F41" w:rsidRPr="008741BF" w:rsidRDefault="00617F41" w:rsidP="006702BF">
            <w:pPr>
              <w:tabs>
                <w:tab w:val="num" w:pos="993"/>
              </w:tabs>
              <w:ind w:firstLine="34"/>
              <w:jc w:val="center"/>
            </w:pPr>
            <w:r w:rsidRPr="008741BF">
              <w:t>27,5</w:t>
            </w:r>
          </w:p>
        </w:tc>
        <w:tc>
          <w:tcPr>
            <w:tcW w:w="1843" w:type="dxa"/>
            <w:noWrap/>
            <w:vAlign w:val="center"/>
          </w:tcPr>
          <w:p w:rsidR="00617F41" w:rsidRPr="008741BF" w:rsidRDefault="00617F41" w:rsidP="006702BF">
            <w:pPr>
              <w:tabs>
                <w:tab w:val="num" w:pos="993"/>
              </w:tabs>
              <w:ind w:firstLine="34"/>
              <w:jc w:val="center"/>
            </w:pPr>
            <w:r w:rsidRPr="008741BF">
              <w:t>3 596,9</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MoneyGram</w:t>
            </w:r>
          </w:p>
        </w:tc>
        <w:tc>
          <w:tcPr>
            <w:tcW w:w="2835" w:type="dxa"/>
            <w:noWrap/>
            <w:vAlign w:val="center"/>
          </w:tcPr>
          <w:p w:rsidR="00617F41" w:rsidRPr="008741BF" w:rsidRDefault="00617F41" w:rsidP="006702BF">
            <w:pPr>
              <w:tabs>
                <w:tab w:val="num" w:pos="993"/>
              </w:tabs>
              <w:ind w:firstLine="34"/>
              <w:jc w:val="center"/>
            </w:pPr>
            <w:r w:rsidRPr="008741BF">
              <w:t>28,3</w:t>
            </w:r>
          </w:p>
        </w:tc>
        <w:tc>
          <w:tcPr>
            <w:tcW w:w="1843" w:type="dxa"/>
            <w:noWrap/>
            <w:vAlign w:val="center"/>
          </w:tcPr>
          <w:p w:rsidR="00617F41" w:rsidRPr="008741BF" w:rsidRDefault="00617F41" w:rsidP="006702BF">
            <w:pPr>
              <w:tabs>
                <w:tab w:val="num" w:pos="993"/>
              </w:tabs>
              <w:ind w:firstLine="34"/>
              <w:jc w:val="center"/>
            </w:pPr>
            <w:r w:rsidRPr="008741BF">
              <w:t>3 194,0</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Лидер</w:t>
            </w:r>
          </w:p>
        </w:tc>
        <w:tc>
          <w:tcPr>
            <w:tcW w:w="2835" w:type="dxa"/>
            <w:noWrap/>
            <w:vAlign w:val="center"/>
          </w:tcPr>
          <w:p w:rsidR="00617F41" w:rsidRPr="008741BF" w:rsidRDefault="00617F41" w:rsidP="006702BF">
            <w:pPr>
              <w:tabs>
                <w:tab w:val="num" w:pos="993"/>
              </w:tabs>
              <w:ind w:firstLine="34"/>
              <w:jc w:val="center"/>
            </w:pPr>
            <w:r w:rsidRPr="008741BF">
              <w:t>8,6</w:t>
            </w:r>
          </w:p>
        </w:tc>
        <w:tc>
          <w:tcPr>
            <w:tcW w:w="1843" w:type="dxa"/>
            <w:noWrap/>
            <w:vAlign w:val="center"/>
          </w:tcPr>
          <w:p w:rsidR="00617F41" w:rsidRPr="008741BF" w:rsidRDefault="00617F41" w:rsidP="006702BF">
            <w:pPr>
              <w:tabs>
                <w:tab w:val="num" w:pos="993"/>
              </w:tabs>
              <w:ind w:firstLine="34"/>
              <w:jc w:val="center"/>
            </w:pPr>
            <w:r w:rsidRPr="008741BF">
              <w:t>2 262,0</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Анелик</w:t>
            </w:r>
          </w:p>
        </w:tc>
        <w:tc>
          <w:tcPr>
            <w:tcW w:w="2835" w:type="dxa"/>
            <w:noWrap/>
            <w:vAlign w:val="center"/>
          </w:tcPr>
          <w:p w:rsidR="00617F41" w:rsidRPr="008741BF" w:rsidRDefault="00617F41" w:rsidP="006702BF">
            <w:pPr>
              <w:tabs>
                <w:tab w:val="num" w:pos="993"/>
              </w:tabs>
              <w:ind w:firstLine="34"/>
              <w:jc w:val="center"/>
            </w:pPr>
            <w:r w:rsidRPr="008741BF">
              <w:t>2,3</w:t>
            </w:r>
          </w:p>
        </w:tc>
        <w:tc>
          <w:tcPr>
            <w:tcW w:w="1843" w:type="dxa"/>
            <w:noWrap/>
            <w:vAlign w:val="center"/>
          </w:tcPr>
          <w:p w:rsidR="00617F41" w:rsidRPr="008741BF" w:rsidRDefault="00617F41" w:rsidP="006702BF">
            <w:pPr>
              <w:tabs>
                <w:tab w:val="num" w:pos="993"/>
              </w:tabs>
              <w:ind w:firstLine="34"/>
              <w:jc w:val="center"/>
            </w:pPr>
            <w:r w:rsidRPr="008741BF">
              <w:t>885,8</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Coinstar Money Transfer</w:t>
            </w:r>
          </w:p>
        </w:tc>
        <w:tc>
          <w:tcPr>
            <w:tcW w:w="2835" w:type="dxa"/>
            <w:noWrap/>
            <w:vAlign w:val="center"/>
          </w:tcPr>
          <w:p w:rsidR="00617F41" w:rsidRPr="008741BF" w:rsidRDefault="00617F41" w:rsidP="006702BF">
            <w:pPr>
              <w:tabs>
                <w:tab w:val="num" w:pos="993"/>
              </w:tabs>
              <w:ind w:firstLine="34"/>
              <w:jc w:val="center"/>
            </w:pPr>
            <w:r w:rsidRPr="008741BF">
              <w:t>2,1</w:t>
            </w:r>
          </w:p>
        </w:tc>
        <w:tc>
          <w:tcPr>
            <w:tcW w:w="1843" w:type="dxa"/>
            <w:noWrap/>
            <w:vAlign w:val="center"/>
          </w:tcPr>
          <w:p w:rsidR="00617F41" w:rsidRPr="008741BF" w:rsidRDefault="00617F41" w:rsidP="006702BF">
            <w:pPr>
              <w:tabs>
                <w:tab w:val="num" w:pos="993"/>
              </w:tabs>
              <w:ind w:firstLine="34"/>
              <w:jc w:val="center"/>
            </w:pPr>
            <w:r w:rsidRPr="008741BF">
              <w:t>309,3</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Быстрая почта</w:t>
            </w:r>
          </w:p>
        </w:tc>
        <w:tc>
          <w:tcPr>
            <w:tcW w:w="2835" w:type="dxa"/>
            <w:noWrap/>
            <w:vAlign w:val="center"/>
          </w:tcPr>
          <w:p w:rsidR="00617F41" w:rsidRPr="008741BF" w:rsidRDefault="00617F41" w:rsidP="006702BF">
            <w:pPr>
              <w:tabs>
                <w:tab w:val="num" w:pos="993"/>
              </w:tabs>
              <w:ind w:firstLine="34"/>
              <w:jc w:val="center"/>
            </w:pPr>
            <w:r w:rsidRPr="008741BF">
              <w:t>0,5</w:t>
            </w:r>
          </w:p>
        </w:tc>
        <w:tc>
          <w:tcPr>
            <w:tcW w:w="1843" w:type="dxa"/>
            <w:noWrap/>
            <w:vAlign w:val="center"/>
          </w:tcPr>
          <w:p w:rsidR="00617F41" w:rsidRPr="008741BF" w:rsidRDefault="00617F41" w:rsidP="006702BF">
            <w:pPr>
              <w:tabs>
                <w:tab w:val="num" w:pos="993"/>
              </w:tabs>
              <w:ind w:firstLine="34"/>
              <w:jc w:val="center"/>
            </w:pPr>
            <w:r w:rsidRPr="008741BF">
              <w:t>125,3</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Почтовые международные переводы</w:t>
            </w:r>
          </w:p>
        </w:tc>
        <w:tc>
          <w:tcPr>
            <w:tcW w:w="2835" w:type="dxa"/>
            <w:noWrap/>
            <w:vAlign w:val="center"/>
          </w:tcPr>
          <w:p w:rsidR="00617F41" w:rsidRPr="008741BF" w:rsidRDefault="00617F41" w:rsidP="006702BF">
            <w:pPr>
              <w:tabs>
                <w:tab w:val="num" w:pos="993"/>
              </w:tabs>
              <w:ind w:firstLine="34"/>
              <w:jc w:val="center"/>
            </w:pPr>
            <w:r w:rsidRPr="008741BF">
              <w:t>0,3</w:t>
            </w:r>
          </w:p>
        </w:tc>
        <w:tc>
          <w:tcPr>
            <w:tcW w:w="1843" w:type="dxa"/>
            <w:noWrap/>
            <w:vAlign w:val="center"/>
          </w:tcPr>
          <w:p w:rsidR="00617F41" w:rsidRPr="008741BF" w:rsidRDefault="00617F41" w:rsidP="006702BF">
            <w:pPr>
              <w:tabs>
                <w:tab w:val="num" w:pos="993"/>
              </w:tabs>
              <w:ind w:firstLine="34"/>
              <w:jc w:val="center"/>
            </w:pPr>
            <w:r w:rsidRPr="008741BF">
              <w:t>7,6</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InterExpress</w:t>
            </w:r>
          </w:p>
        </w:tc>
        <w:tc>
          <w:tcPr>
            <w:tcW w:w="2835" w:type="dxa"/>
            <w:noWrap/>
            <w:vAlign w:val="center"/>
          </w:tcPr>
          <w:p w:rsidR="00617F41" w:rsidRPr="008741BF" w:rsidRDefault="00617F41" w:rsidP="006702BF">
            <w:pPr>
              <w:tabs>
                <w:tab w:val="num" w:pos="993"/>
              </w:tabs>
              <w:ind w:firstLine="34"/>
              <w:jc w:val="center"/>
            </w:pPr>
            <w:r w:rsidRPr="008741BF">
              <w:t>0,0</w:t>
            </w:r>
          </w:p>
        </w:tc>
        <w:tc>
          <w:tcPr>
            <w:tcW w:w="1843" w:type="dxa"/>
            <w:noWrap/>
            <w:vAlign w:val="center"/>
          </w:tcPr>
          <w:p w:rsidR="00617F41" w:rsidRPr="008741BF" w:rsidRDefault="00617F41" w:rsidP="006702BF">
            <w:pPr>
              <w:tabs>
                <w:tab w:val="num" w:pos="993"/>
              </w:tabs>
              <w:ind w:firstLine="34"/>
              <w:jc w:val="center"/>
            </w:pPr>
            <w:r w:rsidRPr="008741BF">
              <w:t>3,9</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EAF1DD"/>
            <w:noWrap/>
            <w:vAlign w:val="center"/>
          </w:tcPr>
          <w:p w:rsidR="00617F41" w:rsidRPr="008741BF" w:rsidRDefault="00617F41" w:rsidP="006702BF">
            <w:pPr>
              <w:tabs>
                <w:tab w:val="num" w:pos="993"/>
              </w:tabs>
              <w:ind w:firstLine="49"/>
            </w:pPr>
            <w:r w:rsidRPr="008741BF">
              <w:t>Migom</w:t>
            </w:r>
          </w:p>
        </w:tc>
        <w:tc>
          <w:tcPr>
            <w:tcW w:w="2835" w:type="dxa"/>
            <w:noWrap/>
            <w:vAlign w:val="center"/>
          </w:tcPr>
          <w:p w:rsidR="00617F41" w:rsidRPr="008741BF" w:rsidRDefault="00617F41" w:rsidP="006702BF">
            <w:pPr>
              <w:tabs>
                <w:tab w:val="num" w:pos="993"/>
              </w:tabs>
              <w:ind w:firstLine="34"/>
              <w:jc w:val="center"/>
            </w:pPr>
            <w:r w:rsidRPr="008741BF">
              <w:t>0,0</w:t>
            </w:r>
          </w:p>
        </w:tc>
        <w:tc>
          <w:tcPr>
            <w:tcW w:w="1843" w:type="dxa"/>
            <w:noWrap/>
            <w:vAlign w:val="center"/>
          </w:tcPr>
          <w:p w:rsidR="00617F41" w:rsidRPr="008741BF" w:rsidRDefault="00617F41" w:rsidP="006702BF">
            <w:pPr>
              <w:tabs>
                <w:tab w:val="num" w:pos="993"/>
              </w:tabs>
              <w:ind w:firstLine="34"/>
              <w:jc w:val="center"/>
            </w:pPr>
            <w:r w:rsidRPr="008741BF">
              <w:t>0,2</w:t>
            </w:r>
          </w:p>
        </w:tc>
      </w:tr>
      <w:tr w:rsidR="00617F41" w:rsidRPr="008741BF" w:rsidTr="00B0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1" w:type="dxa"/>
          <w:trHeight w:val="255"/>
        </w:trPr>
        <w:tc>
          <w:tcPr>
            <w:tcW w:w="4835" w:type="dxa"/>
            <w:shd w:val="clear" w:color="auto" w:fill="D6E3BC"/>
            <w:noWrap/>
            <w:vAlign w:val="center"/>
          </w:tcPr>
          <w:p w:rsidR="00617F41" w:rsidRPr="008741BF" w:rsidRDefault="00617F41" w:rsidP="006702BF">
            <w:pPr>
              <w:tabs>
                <w:tab w:val="num" w:pos="993"/>
              </w:tabs>
              <w:ind w:firstLine="49"/>
              <w:rPr>
                <w:b/>
              </w:rPr>
            </w:pPr>
            <w:r w:rsidRPr="008741BF">
              <w:rPr>
                <w:b/>
              </w:rPr>
              <w:t>Общий итог</w:t>
            </w:r>
          </w:p>
        </w:tc>
        <w:tc>
          <w:tcPr>
            <w:tcW w:w="2835" w:type="dxa"/>
            <w:shd w:val="clear" w:color="auto" w:fill="D6E3BC"/>
            <w:noWrap/>
            <w:vAlign w:val="center"/>
          </w:tcPr>
          <w:p w:rsidR="00617F41" w:rsidRPr="008741BF" w:rsidRDefault="00617F41" w:rsidP="006702BF">
            <w:pPr>
              <w:tabs>
                <w:tab w:val="num" w:pos="993"/>
              </w:tabs>
              <w:ind w:firstLine="34"/>
              <w:jc w:val="center"/>
              <w:rPr>
                <w:b/>
              </w:rPr>
            </w:pPr>
            <w:r w:rsidRPr="008741BF">
              <w:rPr>
                <w:b/>
              </w:rPr>
              <w:t>948,3</w:t>
            </w:r>
          </w:p>
        </w:tc>
        <w:tc>
          <w:tcPr>
            <w:tcW w:w="1843" w:type="dxa"/>
            <w:shd w:val="clear" w:color="auto" w:fill="D6E3BC"/>
            <w:noWrap/>
            <w:vAlign w:val="center"/>
          </w:tcPr>
          <w:p w:rsidR="00617F41" w:rsidRPr="008741BF" w:rsidRDefault="00617F41" w:rsidP="006702BF">
            <w:pPr>
              <w:tabs>
                <w:tab w:val="num" w:pos="993"/>
              </w:tabs>
              <w:ind w:firstLine="34"/>
              <w:jc w:val="center"/>
              <w:rPr>
                <w:b/>
              </w:rPr>
            </w:pPr>
            <w:r w:rsidRPr="008741BF">
              <w:rPr>
                <w:b/>
              </w:rPr>
              <w:t>121 398,3</w:t>
            </w:r>
          </w:p>
        </w:tc>
      </w:tr>
    </w:tbl>
    <w:p w:rsidR="00617F41" w:rsidRPr="008741BF" w:rsidRDefault="00114C86" w:rsidP="006702BF">
      <w:pPr>
        <w:tabs>
          <w:tab w:val="num" w:pos="993"/>
        </w:tabs>
        <w:ind w:firstLine="709"/>
        <w:jc w:val="both"/>
        <w:rPr>
          <w:sz w:val="28"/>
          <w:szCs w:val="28"/>
        </w:rPr>
      </w:pPr>
      <w:r>
        <w:rPr>
          <w:sz w:val="28"/>
          <w:szCs w:val="28"/>
        </w:rPr>
        <w:t>О</w:t>
      </w:r>
      <w:r w:rsidR="00617F41" w:rsidRPr="008741BF">
        <w:rPr>
          <w:sz w:val="28"/>
          <w:szCs w:val="28"/>
        </w:rPr>
        <w:t xml:space="preserve">сновной поток переводов денег через СДП поступает в Казахстан из стран СНГ  (73,2% и 77,8% от общего объема полученных платежей и переводов денег). 61,0% и 60,2% от общего объема полученных платежей и переводов денег приходится на переводы из Российской Федерации.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617F41" w:rsidRPr="008741BF" w:rsidTr="00347198">
        <w:tc>
          <w:tcPr>
            <w:tcW w:w="3284" w:type="dxa"/>
            <w:shd w:val="clear" w:color="auto" w:fill="C2D69B"/>
          </w:tcPr>
          <w:p w:rsidR="00617F41" w:rsidRPr="008741BF" w:rsidRDefault="00617F41" w:rsidP="006702BF">
            <w:pPr>
              <w:tabs>
                <w:tab w:val="num" w:pos="993"/>
              </w:tabs>
              <w:jc w:val="center"/>
              <w:rPr>
                <w:b/>
              </w:rPr>
            </w:pPr>
            <w:r w:rsidRPr="008741BF">
              <w:rPr>
                <w:b/>
              </w:rPr>
              <w:t>Наименование страны</w:t>
            </w:r>
          </w:p>
        </w:tc>
        <w:tc>
          <w:tcPr>
            <w:tcW w:w="3285" w:type="dxa"/>
            <w:shd w:val="clear" w:color="auto" w:fill="C2D69B"/>
            <w:vAlign w:val="bottom"/>
          </w:tcPr>
          <w:p w:rsidR="00617F41" w:rsidRPr="008741BF" w:rsidRDefault="00617F41" w:rsidP="006702BF">
            <w:pPr>
              <w:jc w:val="center"/>
              <w:rPr>
                <w:b/>
              </w:rPr>
            </w:pPr>
            <w:r w:rsidRPr="008741BF">
              <w:rPr>
                <w:b/>
              </w:rPr>
              <w:t>Кол-во (тыс. транзакций)</w:t>
            </w:r>
          </w:p>
        </w:tc>
        <w:tc>
          <w:tcPr>
            <w:tcW w:w="3285" w:type="dxa"/>
            <w:shd w:val="clear" w:color="auto" w:fill="C2D69B"/>
            <w:vAlign w:val="bottom"/>
          </w:tcPr>
          <w:p w:rsidR="00617F41" w:rsidRPr="008741BF" w:rsidRDefault="00617F41" w:rsidP="006702BF">
            <w:pPr>
              <w:jc w:val="center"/>
              <w:rPr>
                <w:b/>
              </w:rPr>
            </w:pPr>
            <w:r w:rsidRPr="008741BF">
              <w:rPr>
                <w:b/>
              </w:rPr>
              <w:t>Сумма (млн. тенге)</w:t>
            </w:r>
          </w:p>
        </w:tc>
      </w:tr>
      <w:tr w:rsidR="00617F41" w:rsidRPr="008741BF" w:rsidTr="00347198">
        <w:tc>
          <w:tcPr>
            <w:tcW w:w="3284" w:type="dxa"/>
            <w:shd w:val="clear" w:color="auto" w:fill="EAF1DD"/>
            <w:vAlign w:val="bottom"/>
          </w:tcPr>
          <w:p w:rsidR="00617F41" w:rsidRPr="00347198" w:rsidRDefault="00617F41" w:rsidP="006702BF">
            <w:pPr>
              <w:rPr>
                <w:b/>
                <w:i/>
                <w:iCs/>
              </w:rPr>
            </w:pPr>
            <w:r w:rsidRPr="00347198">
              <w:rPr>
                <w:b/>
                <w:i/>
                <w:iCs/>
              </w:rPr>
              <w:t xml:space="preserve"> Страны СНГ </w:t>
            </w:r>
          </w:p>
        </w:tc>
        <w:tc>
          <w:tcPr>
            <w:tcW w:w="3285" w:type="dxa"/>
            <w:shd w:val="clear" w:color="auto" w:fill="EAF1DD"/>
            <w:vAlign w:val="bottom"/>
          </w:tcPr>
          <w:p w:rsidR="00617F41" w:rsidRPr="00347198" w:rsidRDefault="00617F41" w:rsidP="006702BF">
            <w:pPr>
              <w:rPr>
                <w:b/>
                <w:i/>
                <w:iCs/>
              </w:rPr>
            </w:pPr>
            <w:r w:rsidRPr="00347198">
              <w:rPr>
                <w:b/>
                <w:i/>
                <w:iCs/>
              </w:rPr>
              <w:t xml:space="preserve">                     694,2   </w:t>
            </w:r>
          </w:p>
        </w:tc>
        <w:tc>
          <w:tcPr>
            <w:tcW w:w="3285" w:type="dxa"/>
            <w:shd w:val="clear" w:color="auto" w:fill="EAF1DD"/>
            <w:vAlign w:val="bottom"/>
          </w:tcPr>
          <w:p w:rsidR="00617F41" w:rsidRPr="00347198" w:rsidRDefault="00617F41" w:rsidP="006702BF">
            <w:pPr>
              <w:rPr>
                <w:b/>
                <w:i/>
                <w:iCs/>
              </w:rPr>
            </w:pPr>
            <w:r w:rsidRPr="00347198">
              <w:rPr>
                <w:b/>
                <w:i/>
                <w:iCs/>
              </w:rPr>
              <w:t xml:space="preserve">                  94 459,4   </w:t>
            </w:r>
          </w:p>
        </w:tc>
      </w:tr>
      <w:tr w:rsidR="00617F41" w:rsidRPr="008741BF" w:rsidTr="00347198">
        <w:tc>
          <w:tcPr>
            <w:tcW w:w="3284" w:type="dxa"/>
            <w:shd w:val="clear" w:color="auto" w:fill="EAF1DD"/>
            <w:vAlign w:val="bottom"/>
          </w:tcPr>
          <w:p w:rsidR="00617F41" w:rsidRPr="008741BF" w:rsidRDefault="00617F41" w:rsidP="006702BF">
            <w:r w:rsidRPr="008741BF">
              <w:t>Российская Федерация</w:t>
            </w:r>
          </w:p>
        </w:tc>
        <w:tc>
          <w:tcPr>
            <w:tcW w:w="3285" w:type="dxa"/>
            <w:vAlign w:val="bottom"/>
          </w:tcPr>
          <w:p w:rsidR="00617F41" w:rsidRPr="008741BF" w:rsidRDefault="00617F41" w:rsidP="006702BF">
            <w:r w:rsidRPr="008741BF">
              <w:t xml:space="preserve">                     578,2   </w:t>
            </w:r>
          </w:p>
        </w:tc>
        <w:tc>
          <w:tcPr>
            <w:tcW w:w="3285" w:type="dxa"/>
            <w:vAlign w:val="bottom"/>
          </w:tcPr>
          <w:p w:rsidR="00617F41" w:rsidRPr="008741BF" w:rsidRDefault="00617F41" w:rsidP="006702BF">
            <w:r w:rsidRPr="008741BF">
              <w:t xml:space="preserve">                  73 023,4   </w:t>
            </w:r>
          </w:p>
        </w:tc>
      </w:tr>
      <w:tr w:rsidR="00617F41" w:rsidRPr="008741BF" w:rsidTr="00347198">
        <w:tc>
          <w:tcPr>
            <w:tcW w:w="3284" w:type="dxa"/>
            <w:shd w:val="clear" w:color="auto" w:fill="EAF1DD"/>
            <w:vAlign w:val="bottom"/>
          </w:tcPr>
          <w:p w:rsidR="00617F41" w:rsidRPr="008741BF" w:rsidRDefault="00617F41" w:rsidP="006702BF">
            <w:r w:rsidRPr="008741BF">
              <w:t>Узбекистан</w:t>
            </w:r>
          </w:p>
        </w:tc>
        <w:tc>
          <w:tcPr>
            <w:tcW w:w="3285" w:type="dxa"/>
            <w:vAlign w:val="bottom"/>
          </w:tcPr>
          <w:p w:rsidR="00617F41" w:rsidRPr="008741BF" w:rsidRDefault="00617F41" w:rsidP="006702BF">
            <w:r w:rsidRPr="008741BF">
              <w:t xml:space="preserve">                       39,8   </w:t>
            </w:r>
          </w:p>
        </w:tc>
        <w:tc>
          <w:tcPr>
            <w:tcW w:w="3285" w:type="dxa"/>
            <w:vAlign w:val="bottom"/>
          </w:tcPr>
          <w:p w:rsidR="00617F41" w:rsidRPr="008741BF" w:rsidRDefault="00617F41" w:rsidP="006702BF">
            <w:r w:rsidRPr="008741BF">
              <w:t xml:space="preserve">                    9 359,7   </w:t>
            </w:r>
          </w:p>
        </w:tc>
      </w:tr>
      <w:tr w:rsidR="00617F41" w:rsidRPr="008741BF" w:rsidTr="00347198">
        <w:tc>
          <w:tcPr>
            <w:tcW w:w="3284" w:type="dxa"/>
            <w:shd w:val="clear" w:color="auto" w:fill="EAF1DD"/>
            <w:vAlign w:val="bottom"/>
          </w:tcPr>
          <w:p w:rsidR="00617F41" w:rsidRPr="008741BF" w:rsidRDefault="00617F41" w:rsidP="006702BF">
            <w:r w:rsidRPr="008741BF">
              <w:t>Кыргызстан</w:t>
            </w:r>
          </w:p>
        </w:tc>
        <w:tc>
          <w:tcPr>
            <w:tcW w:w="3285" w:type="dxa"/>
            <w:vAlign w:val="bottom"/>
          </w:tcPr>
          <w:p w:rsidR="00617F41" w:rsidRPr="008741BF" w:rsidRDefault="00617F41" w:rsidP="006702BF">
            <w:r w:rsidRPr="008741BF">
              <w:t xml:space="preserve">                       35,8   </w:t>
            </w:r>
          </w:p>
        </w:tc>
        <w:tc>
          <w:tcPr>
            <w:tcW w:w="3285" w:type="dxa"/>
            <w:vAlign w:val="bottom"/>
          </w:tcPr>
          <w:p w:rsidR="00617F41" w:rsidRPr="008741BF" w:rsidRDefault="00617F41" w:rsidP="006702BF">
            <w:r w:rsidRPr="008741BF">
              <w:t xml:space="preserve">                    5 614,8   </w:t>
            </w:r>
          </w:p>
        </w:tc>
      </w:tr>
      <w:tr w:rsidR="00617F41" w:rsidRPr="008741BF" w:rsidTr="00347198">
        <w:tc>
          <w:tcPr>
            <w:tcW w:w="3284" w:type="dxa"/>
            <w:shd w:val="clear" w:color="auto" w:fill="EAF1DD"/>
            <w:vAlign w:val="bottom"/>
          </w:tcPr>
          <w:p w:rsidR="00617F41" w:rsidRPr="008741BF" w:rsidRDefault="00617F41" w:rsidP="006702BF">
            <w:r w:rsidRPr="008741BF">
              <w:t>Таджикистан</w:t>
            </w:r>
          </w:p>
        </w:tc>
        <w:tc>
          <w:tcPr>
            <w:tcW w:w="3285" w:type="dxa"/>
            <w:vAlign w:val="bottom"/>
          </w:tcPr>
          <w:p w:rsidR="00617F41" w:rsidRPr="008741BF" w:rsidRDefault="00617F41" w:rsidP="006702BF">
            <w:r w:rsidRPr="008741BF">
              <w:t xml:space="preserve">                         7,2   </w:t>
            </w:r>
          </w:p>
        </w:tc>
        <w:tc>
          <w:tcPr>
            <w:tcW w:w="3285" w:type="dxa"/>
            <w:vAlign w:val="bottom"/>
          </w:tcPr>
          <w:p w:rsidR="00617F41" w:rsidRPr="008741BF" w:rsidRDefault="00617F41" w:rsidP="006702BF">
            <w:r w:rsidRPr="008741BF">
              <w:t xml:space="preserve">                    2 787,4   </w:t>
            </w:r>
          </w:p>
        </w:tc>
      </w:tr>
      <w:tr w:rsidR="00617F41" w:rsidRPr="008741BF" w:rsidTr="00347198">
        <w:tc>
          <w:tcPr>
            <w:tcW w:w="3284" w:type="dxa"/>
            <w:shd w:val="clear" w:color="auto" w:fill="EAF1DD"/>
            <w:vAlign w:val="bottom"/>
          </w:tcPr>
          <w:p w:rsidR="00617F41" w:rsidRPr="008741BF" w:rsidRDefault="00617F41" w:rsidP="006702BF">
            <w:r w:rsidRPr="008741BF">
              <w:t>Азербайджан</w:t>
            </w:r>
          </w:p>
        </w:tc>
        <w:tc>
          <w:tcPr>
            <w:tcW w:w="3285" w:type="dxa"/>
            <w:vAlign w:val="bottom"/>
          </w:tcPr>
          <w:p w:rsidR="00617F41" w:rsidRPr="008741BF" w:rsidRDefault="00617F41" w:rsidP="006702BF">
            <w:r w:rsidRPr="008741BF">
              <w:t xml:space="preserve">                         8,2   </w:t>
            </w:r>
          </w:p>
        </w:tc>
        <w:tc>
          <w:tcPr>
            <w:tcW w:w="3285" w:type="dxa"/>
            <w:vAlign w:val="bottom"/>
          </w:tcPr>
          <w:p w:rsidR="00617F41" w:rsidRPr="008741BF" w:rsidRDefault="00617F41" w:rsidP="006702BF">
            <w:r w:rsidRPr="008741BF">
              <w:t xml:space="preserve">                    1 193,1   </w:t>
            </w:r>
          </w:p>
        </w:tc>
      </w:tr>
      <w:tr w:rsidR="00617F41" w:rsidRPr="008741BF" w:rsidTr="00347198">
        <w:tc>
          <w:tcPr>
            <w:tcW w:w="3284" w:type="dxa"/>
            <w:shd w:val="clear" w:color="auto" w:fill="EAF1DD"/>
            <w:vAlign w:val="bottom"/>
          </w:tcPr>
          <w:p w:rsidR="00617F41" w:rsidRPr="008741BF" w:rsidRDefault="00617F41" w:rsidP="006702BF">
            <w:r w:rsidRPr="008741BF">
              <w:t>Украина</w:t>
            </w:r>
          </w:p>
        </w:tc>
        <w:tc>
          <w:tcPr>
            <w:tcW w:w="3285" w:type="dxa"/>
            <w:vAlign w:val="bottom"/>
          </w:tcPr>
          <w:p w:rsidR="00617F41" w:rsidRPr="008741BF" w:rsidRDefault="00617F41" w:rsidP="006702BF">
            <w:r w:rsidRPr="008741BF">
              <w:t xml:space="preserve">                       11,4   </w:t>
            </w:r>
          </w:p>
        </w:tc>
        <w:tc>
          <w:tcPr>
            <w:tcW w:w="3285" w:type="dxa"/>
            <w:vAlign w:val="bottom"/>
          </w:tcPr>
          <w:p w:rsidR="00617F41" w:rsidRPr="008741BF" w:rsidRDefault="00617F41" w:rsidP="006702BF">
            <w:r w:rsidRPr="008741BF">
              <w:t xml:space="preserve">                       954,1   </w:t>
            </w:r>
          </w:p>
        </w:tc>
      </w:tr>
      <w:tr w:rsidR="00617F41" w:rsidRPr="008741BF" w:rsidTr="00347198">
        <w:tc>
          <w:tcPr>
            <w:tcW w:w="3284" w:type="dxa"/>
            <w:shd w:val="clear" w:color="auto" w:fill="EAF1DD"/>
            <w:vAlign w:val="bottom"/>
          </w:tcPr>
          <w:p w:rsidR="00617F41" w:rsidRPr="008741BF" w:rsidRDefault="00617F41" w:rsidP="006702BF">
            <w:r w:rsidRPr="008741BF">
              <w:lastRenderedPageBreak/>
              <w:t>Туркменистан</w:t>
            </w:r>
          </w:p>
        </w:tc>
        <w:tc>
          <w:tcPr>
            <w:tcW w:w="3285" w:type="dxa"/>
            <w:vAlign w:val="bottom"/>
          </w:tcPr>
          <w:p w:rsidR="00617F41" w:rsidRPr="008741BF" w:rsidRDefault="00617F41" w:rsidP="006702BF">
            <w:r w:rsidRPr="008741BF">
              <w:t xml:space="preserve">                         5,6   </w:t>
            </w:r>
          </w:p>
        </w:tc>
        <w:tc>
          <w:tcPr>
            <w:tcW w:w="3285" w:type="dxa"/>
            <w:vAlign w:val="bottom"/>
          </w:tcPr>
          <w:p w:rsidR="00617F41" w:rsidRPr="008741BF" w:rsidRDefault="00617F41" w:rsidP="006702BF">
            <w:r w:rsidRPr="008741BF">
              <w:t xml:space="preserve">                       532,1   </w:t>
            </w:r>
          </w:p>
        </w:tc>
      </w:tr>
      <w:tr w:rsidR="00617F41" w:rsidRPr="008741BF" w:rsidTr="00347198">
        <w:tc>
          <w:tcPr>
            <w:tcW w:w="3284" w:type="dxa"/>
            <w:shd w:val="clear" w:color="auto" w:fill="EAF1DD"/>
            <w:vAlign w:val="bottom"/>
          </w:tcPr>
          <w:p w:rsidR="00617F41" w:rsidRPr="008741BF" w:rsidRDefault="00617F41" w:rsidP="006702BF">
            <w:r w:rsidRPr="008741BF">
              <w:t>Беларусь</w:t>
            </w:r>
          </w:p>
        </w:tc>
        <w:tc>
          <w:tcPr>
            <w:tcW w:w="3285" w:type="dxa"/>
            <w:vAlign w:val="bottom"/>
          </w:tcPr>
          <w:p w:rsidR="00617F41" w:rsidRPr="008741BF" w:rsidRDefault="00617F41" w:rsidP="006702BF">
            <w:r w:rsidRPr="008741BF">
              <w:t xml:space="preserve">                         5,3   </w:t>
            </w:r>
          </w:p>
        </w:tc>
        <w:tc>
          <w:tcPr>
            <w:tcW w:w="3285" w:type="dxa"/>
            <w:vAlign w:val="bottom"/>
          </w:tcPr>
          <w:p w:rsidR="00617F41" w:rsidRPr="008741BF" w:rsidRDefault="00617F41" w:rsidP="006702BF">
            <w:r w:rsidRPr="008741BF">
              <w:t xml:space="preserve">                       528,5   </w:t>
            </w:r>
          </w:p>
        </w:tc>
      </w:tr>
      <w:tr w:rsidR="00617F41" w:rsidRPr="008741BF" w:rsidTr="00347198">
        <w:tc>
          <w:tcPr>
            <w:tcW w:w="3284" w:type="dxa"/>
            <w:shd w:val="clear" w:color="auto" w:fill="EAF1DD"/>
            <w:vAlign w:val="bottom"/>
          </w:tcPr>
          <w:p w:rsidR="00617F41" w:rsidRPr="008741BF" w:rsidRDefault="00617F41" w:rsidP="006702BF">
            <w:r w:rsidRPr="008741BF">
              <w:t>Армения</w:t>
            </w:r>
          </w:p>
        </w:tc>
        <w:tc>
          <w:tcPr>
            <w:tcW w:w="3285" w:type="dxa"/>
            <w:vAlign w:val="bottom"/>
          </w:tcPr>
          <w:p w:rsidR="00617F41" w:rsidRPr="008741BF" w:rsidRDefault="00617F41" w:rsidP="006702BF">
            <w:r w:rsidRPr="008741BF">
              <w:t xml:space="preserve">                         1,4   </w:t>
            </w:r>
          </w:p>
        </w:tc>
        <w:tc>
          <w:tcPr>
            <w:tcW w:w="3285" w:type="dxa"/>
            <w:vAlign w:val="bottom"/>
          </w:tcPr>
          <w:p w:rsidR="00617F41" w:rsidRPr="008741BF" w:rsidRDefault="00617F41" w:rsidP="006702BF">
            <w:r w:rsidRPr="008741BF">
              <w:t xml:space="preserve">                       310,2   </w:t>
            </w:r>
          </w:p>
        </w:tc>
      </w:tr>
      <w:tr w:rsidR="00617F41" w:rsidRPr="008741BF" w:rsidTr="00347198">
        <w:tc>
          <w:tcPr>
            <w:tcW w:w="3284" w:type="dxa"/>
            <w:shd w:val="clear" w:color="auto" w:fill="EAF1DD"/>
            <w:vAlign w:val="bottom"/>
          </w:tcPr>
          <w:p w:rsidR="00617F41" w:rsidRPr="008741BF" w:rsidRDefault="00617F41" w:rsidP="006702BF">
            <w:r w:rsidRPr="008741BF">
              <w:t>Молдова республика</w:t>
            </w:r>
          </w:p>
        </w:tc>
        <w:tc>
          <w:tcPr>
            <w:tcW w:w="3285" w:type="dxa"/>
            <w:vAlign w:val="bottom"/>
          </w:tcPr>
          <w:p w:rsidR="00617F41" w:rsidRPr="008741BF" w:rsidRDefault="00617F41" w:rsidP="006702BF">
            <w:r w:rsidRPr="008741BF">
              <w:t xml:space="preserve">                         1,3   </w:t>
            </w:r>
          </w:p>
        </w:tc>
        <w:tc>
          <w:tcPr>
            <w:tcW w:w="3285" w:type="dxa"/>
            <w:vAlign w:val="bottom"/>
          </w:tcPr>
          <w:p w:rsidR="00617F41" w:rsidRPr="008741BF" w:rsidRDefault="00617F41" w:rsidP="006702BF">
            <w:r w:rsidRPr="008741BF">
              <w:t xml:space="preserve">                       156,0   </w:t>
            </w:r>
          </w:p>
        </w:tc>
      </w:tr>
      <w:tr w:rsidR="00617F41" w:rsidRPr="008741BF" w:rsidTr="00347198">
        <w:tc>
          <w:tcPr>
            <w:tcW w:w="3284" w:type="dxa"/>
            <w:shd w:val="clear" w:color="auto" w:fill="EAF1DD"/>
            <w:vAlign w:val="bottom"/>
          </w:tcPr>
          <w:p w:rsidR="00617F41" w:rsidRPr="00347198" w:rsidRDefault="00617F41" w:rsidP="006702BF">
            <w:pPr>
              <w:rPr>
                <w:b/>
                <w:i/>
                <w:iCs/>
              </w:rPr>
            </w:pPr>
            <w:r>
              <w:rPr>
                <w:b/>
                <w:i/>
                <w:iCs/>
              </w:rPr>
              <w:t xml:space="preserve">Другие </w:t>
            </w:r>
            <w:r w:rsidRPr="00347198">
              <w:rPr>
                <w:b/>
                <w:i/>
                <w:iCs/>
              </w:rPr>
              <w:t xml:space="preserve">страны </w:t>
            </w:r>
          </w:p>
        </w:tc>
        <w:tc>
          <w:tcPr>
            <w:tcW w:w="3285" w:type="dxa"/>
            <w:shd w:val="clear" w:color="auto" w:fill="EAF1DD"/>
            <w:vAlign w:val="bottom"/>
          </w:tcPr>
          <w:p w:rsidR="00617F41" w:rsidRPr="00347198" w:rsidRDefault="00617F41" w:rsidP="006702BF">
            <w:pPr>
              <w:rPr>
                <w:b/>
                <w:i/>
                <w:iCs/>
              </w:rPr>
            </w:pPr>
            <w:r w:rsidRPr="00347198">
              <w:rPr>
                <w:b/>
                <w:i/>
                <w:iCs/>
              </w:rPr>
              <w:t xml:space="preserve">                     254,1   </w:t>
            </w:r>
          </w:p>
        </w:tc>
        <w:tc>
          <w:tcPr>
            <w:tcW w:w="3285" w:type="dxa"/>
            <w:shd w:val="clear" w:color="auto" w:fill="EAF1DD"/>
            <w:vAlign w:val="bottom"/>
          </w:tcPr>
          <w:p w:rsidR="00617F41" w:rsidRPr="00347198" w:rsidRDefault="00617F41" w:rsidP="006702BF">
            <w:pPr>
              <w:rPr>
                <w:b/>
                <w:i/>
                <w:iCs/>
              </w:rPr>
            </w:pPr>
            <w:r w:rsidRPr="00347198">
              <w:rPr>
                <w:b/>
                <w:i/>
                <w:iCs/>
              </w:rPr>
              <w:t xml:space="preserve">                  26 938,9   </w:t>
            </w:r>
          </w:p>
        </w:tc>
      </w:tr>
      <w:tr w:rsidR="00617F41" w:rsidRPr="008741BF" w:rsidTr="00347198">
        <w:tc>
          <w:tcPr>
            <w:tcW w:w="3284" w:type="dxa"/>
            <w:shd w:val="clear" w:color="auto" w:fill="EAF1DD"/>
            <w:vAlign w:val="bottom"/>
          </w:tcPr>
          <w:p w:rsidR="00617F41" w:rsidRPr="008741BF" w:rsidRDefault="00617F41" w:rsidP="006702BF">
            <w:r w:rsidRPr="008741BF">
              <w:t xml:space="preserve"> Германия </w:t>
            </w:r>
          </w:p>
        </w:tc>
        <w:tc>
          <w:tcPr>
            <w:tcW w:w="3285" w:type="dxa"/>
            <w:vAlign w:val="bottom"/>
          </w:tcPr>
          <w:p w:rsidR="00617F41" w:rsidRPr="008741BF" w:rsidRDefault="00617F41" w:rsidP="006702BF">
            <w:r w:rsidRPr="008741BF">
              <w:t xml:space="preserve">                       49,4   </w:t>
            </w:r>
          </w:p>
        </w:tc>
        <w:tc>
          <w:tcPr>
            <w:tcW w:w="3285" w:type="dxa"/>
            <w:vAlign w:val="bottom"/>
          </w:tcPr>
          <w:p w:rsidR="00617F41" w:rsidRPr="008741BF" w:rsidRDefault="00617F41" w:rsidP="006702BF">
            <w:r w:rsidRPr="008741BF">
              <w:t xml:space="preserve">                    3 383,7   </w:t>
            </w:r>
          </w:p>
        </w:tc>
      </w:tr>
      <w:tr w:rsidR="00617F41" w:rsidRPr="008741BF" w:rsidTr="00347198">
        <w:tc>
          <w:tcPr>
            <w:tcW w:w="3284" w:type="dxa"/>
            <w:shd w:val="clear" w:color="auto" w:fill="EAF1DD"/>
            <w:vAlign w:val="bottom"/>
          </w:tcPr>
          <w:p w:rsidR="00617F41" w:rsidRPr="008741BF" w:rsidRDefault="00617F41" w:rsidP="006702BF">
            <w:r w:rsidRPr="008741BF">
              <w:t xml:space="preserve"> Соединенные Штаты </w:t>
            </w:r>
          </w:p>
        </w:tc>
        <w:tc>
          <w:tcPr>
            <w:tcW w:w="3285" w:type="dxa"/>
            <w:vAlign w:val="bottom"/>
          </w:tcPr>
          <w:p w:rsidR="00617F41" w:rsidRPr="008741BF" w:rsidRDefault="00617F41" w:rsidP="006702BF">
            <w:r w:rsidRPr="008741BF">
              <w:t xml:space="preserve">                       28,5   </w:t>
            </w:r>
          </w:p>
        </w:tc>
        <w:tc>
          <w:tcPr>
            <w:tcW w:w="3285" w:type="dxa"/>
            <w:vAlign w:val="bottom"/>
          </w:tcPr>
          <w:p w:rsidR="00617F41" w:rsidRPr="008741BF" w:rsidRDefault="00617F41" w:rsidP="006702BF">
            <w:r w:rsidRPr="008741BF">
              <w:t xml:space="preserve">                    2 810,7   </w:t>
            </w:r>
          </w:p>
        </w:tc>
      </w:tr>
      <w:tr w:rsidR="00617F41" w:rsidRPr="008741BF" w:rsidTr="00347198">
        <w:tc>
          <w:tcPr>
            <w:tcW w:w="3284" w:type="dxa"/>
            <w:shd w:val="clear" w:color="auto" w:fill="EAF1DD"/>
            <w:vAlign w:val="bottom"/>
          </w:tcPr>
          <w:p w:rsidR="00617F41" w:rsidRPr="008741BF" w:rsidRDefault="00617F41" w:rsidP="006702BF">
            <w:r w:rsidRPr="008741BF">
              <w:t xml:space="preserve"> Турция </w:t>
            </w:r>
          </w:p>
        </w:tc>
        <w:tc>
          <w:tcPr>
            <w:tcW w:w="3285" w:type="dxa"/>
            <w:vAlign w:val="bottom"/>
          </w:tcPr>
          <w:p w:rsidR="00617F41" w:rsidRPr="008741BF" w:rsidRDefault="00617F41" w:rsidP="006702BF">
            <w:r w:rsidRPr="008741BF">
              <w:t xml:space="preserve">                       14,8   </w:t>
            </w:r>
          </w:p>
        </w:tc>
        <w:tc>
          <w:tcPr>
            <w:tcW w:w="3285" w:type="dxa"/>
            <w:vAlign w:val="bottom"/>
          </w:tcPr>
          <w:p w:rsidR="00617F41" w:rsidRPr="008741BF" w:rsidRDefault="00617F41" w:rsidP="006702BF">
            <w:r w:rsidRPr="008741BF">
              <w:t xml:space="preserve">                    2 119,3   </w:t>
            </w:r>
          </w:p>
        </w:tc>
      </w:tr>
      <w:tr w:rsidR="00617F41" w:rsidRPr="008741BF" w:rsidTr="00347198">
        <w:tc>
          <w:tcPr>
            <w:tcW w:w="3284" w:type="dxa"/>
            <w:shd w:val="clear" w:color="auto" w:fill="EAF1DD"/>
            <w:vAlign w:val="bottom"/>
          </w:tcPr>
          <w:p w:rsidR="00617F41" w:rsidRPr="008741BF" w:rsidRDefault="00617F41" w:rsidP="006702BF">
            <w:r w:rsidRPr="008741BF">
              <w:t xml:space="preserve"> Китай </w:t>
            </w:r>
          </w:p>
        </w:tc>
        <w:tc>
          <w:tcPr>
            <w:tcW w:w="3285" w:type="dxa"/>
            <w:vAlign w:val="bottom"/>
          </w:tcPr>
          <w:p w:rsidR="00617F41" w:rsidRPr="008741BF" w:rsidRDefault="00617F41" w:rsidP="006702BF">
            <w:r w:rsidRPr="008741BF">
              <w:t xml:space="preserve">                         4,3   </w:t>
            </w:r>
          </w:p>
        </w:tc>
        <w:tc>
          <w:tcPr>
            <w:tcW w:w="3285" w:type="dxa"/>
            <w:vAlign w:val="bottom"/>
          </w:tcPr>
          <w:p w:rsidR="00617F41" w:rsidRPr="008741BF" w:rsidRDefault="00617F41" w:rsidP="006702BF">
            <w:r w:rsidRPr="008741BF">
              <w:t xml:space="preserve">                    1 755,1   </w:t>
            </w:r>
          </w:p>
        </w:tc>
      </w:tr>
      <w:tr w:rsidR="00617F41" w:rsidRPr="008741BF" w:rsidTr="00347198">
        <w:tc>
          <w:tcPr>
            <w:tcW w:w="3284" w:type="dxa"/>
            <w:shd w:val="clear" w:color="auto" w:fill="EAF1DD"/>
            <w:vAlign w:val="bottom"/>
          </w:tcPr>
          <w:p w:rsidR="00617F41" w:rsidRPr="008741BF" w:rsidRDefault="00617F41" w:rsidP="006702BF">
            <w:r w:rsidRPr="008741BF">
              <w:t xml:space="preserve"> Объединенные Арабские Эмираты </w:t>
            </w:r>
          </w:p>
        </w:tc>
        <w:tc>
          <w:tcPr>
            <w:tcW w:w="3285" w:type="dxa"/>
            <w:vAlign w:val="bottom"/>
          </w:tcPr>
          <w:p w:rsidR="00617F41" w:rsidRPr="008741BF" w:rsidRDefault="00617F41" w:rsidP="006702BF">
            <w:r w:rsidRPr="008741BF">
              <w:t xml:space="preserve">                         9,0   </w:t>
            </w:r>
          </w:p>
        </w:tc>
        <w:tc>
          <w:tcPr>
            <w:tcW w:w="3285" w:type="dxa"/>
            <w:vAlign w:val="bottom"/>
          </w:tcPr>
          <w:p w:rsidR="00617F41" w:rsidRPr="008741BF" w:rsidRDefault="00617F41" w:rsidP="006702BF">
            <w:r w:rsidRPr="008741BF">
              <w:t xml:space="preserve">                    1 253,3   </w:t>
            </w:r>
          </w:p>
        </w:tc>
      </w:tr>
      <w:tr w:rsidR="00617F41" w:rsidRPr="008741BF" w:rsidTr="00347198">
        <w:tc>
          <w:tcPr>
            <w:tcW w:w="3284" w:type="dxa"/>
            <w:shd w:val="clear" w:color="auto" w:fill="EAF1DD"/>
            <w:vAlign w:val="bottom"/>
          </w:tcPr>
          <w:p w:rsidR="00617F41" w:rsidRPr="008741BF" w:rsidRDefault="00617F41" w:rsidP="006702BF">
            <w:r w:rsidRPr="008741BF">
              <w:t xml:space="preserve"> Прочие </w:t>
            </w:r>
          </w:p>
        </w:tc>
        <w:tc>
          <w:tcPr>
            <w:tcW w:w="3285" w:type="dxa"/>
            <w:vAlign w:val="bottom"/>
          </w:tcPr>
          <w:p w:rsidR="00617F41" w:rsidRPr="003222F1" w:rsidRDefault="00617F41">
            <w:r w:rsidRPr="003222F1">
              <w:t xml:space="preserve">                     148,1   </w:t>
            </w:r>
          </w:p>
        </w:tc>
        <w:tc>
          <w:tcPr>
            <w:tcW w:w="3285" w:type="dxa"/>
            <w:vAlign w:val="bottom"/>
          </w:tcPr>
          <w:p w:rsidR="00617F41" w:rsidRPr="003222F1" w:rsidRDefault="00617F41">
            <w:r w:rsidRPr="003222F1">
              <w:t xml:space="preserve">                  15 616,7   </w:t>
            </w:r>
          </w:p>
        </w:tc>
      </w:tr>
      <w:tr w:rsidR="00617F41" w:rsidRPr="008741BF" w:rsidTr="00347198">
        <w:tc>
          <w:tcPr>
            <w:tcW w:w="3284" w:type="dxa"/>
            <w:shd w:val="clear" w:color="auto" w:fill="C2D69B"/>
            <w:vAlign w:val="bottom"/>
          </w:tcPr>
          <w:p w:rsidR="00617F41" w:rsidRPr="008741BF" w:rsidRDefault="00617F41" w:rsidP="006702BF">
            <w:pPr>
              <w:rPr>
                <w:b/>
              </w:rPr>
            </w:pPr>
            <w:r w:rsidRPr="008741BF">
              <w:rPr>
                <w:b/>
              </w:rPr>
              <w:t>Итого</w:t>
            </w:r>
          </w:p>
        </w:tc>
        <w:tc>
          <w:tcPr>
            <w:tcW w:w="3285" w:type="dxa"/>
            <w:shd w:val="clear" w:color="auto" w:fill="C2D69B"/>
            <w:vAlign w:val="bottom"/>
          </w:tcPr>
          <w:p w:rsidR="00617F41" w:rsidRPr="008741BF" w:rsidRDefault="00617F41" w:rsidP="006702BF">
            <w:pPr>
              <w:rPr>
                <w:b/>
              </w:rPr>
            </w:pPr>
            <w:r w:rsidRPr="008741BF">
              <w:rPr>
                <w:b/>
              </w:rPr>
              <w:t xml:space="preserve">                     948,3   </w:t>
            </w:r>
          </w:p>
        </w:tc>
        <w:tc>
          <w:tcPr>
            <w:tcW w:w="3285" w:type="dxa"/>
            <w:shd w:val="clear" w:color="auto" w:fill="C2D69B"/>
            <w:vAlign w:val="bottom"/>
          </w:tcPr>
          <w:p w:rsidR="00617F41" w:rsidRPr="008741BF" w:rsidRDefault="00617F41" w:rsidP="006702BF">
            <w:pPr>
              <w:rPr>
                <w:b/>
              </w:rPr>
            </w:pPr>
            <w:r w:rsidRPr="008741BF">
              <w:rPr>
                <w:b/>
              </w:rPr>
              <w:t xml:space="preserve">                 121 398,3   </w:t>
            </w:r>
          </w:p>
        </w:tc>
      </w:tr>
    </w:tbl>
    <w:p w:rsidR="00617F41" w:rsidRPr="008741BF" w:rsidRDefault="00617F41" w:rsidP="006702BF">
      <w:pPr>
        <w:tabs>
          <w:tab w:val="num" w:pos="993"/>
        </w:tabs>
        <w:ind w:firstLine="709"/>
        <w:jc w:val="both"/>
        <w:rPr>
          <w:sz w:val="28"/>
          <w:szCs w:val="28"/>
        </w:rPr>
      </w:pPr>
      <w:r w:rsidRPr="008741BF">
        <w:rPr>
          <w:sz w:val="28"/>
          <w:szCs w:val="28"/>
        </w:rPr>
        <w:t>Платежи и переводы денег из стран СНГ поступают в основном в долларах США и российских рублях (доля долларов США - 29,4% и 55,0% от общего количества платежей и  переводов денег, полученных из стран СНГ, российских рублей - 67,0% и 42,9</w:t>
      </w:r>
      <w:r>
        <w:rPr>
          <w:sz w:val="28"/>
          <w:szCs w:val="28"/>
        </w:rPr>
        <w:t>%)</w:t>
      </w:r>
      <w:r w:rsidRPr="008741BF">
        <w:rPr>
          <w:sz w:val="28"/>
          <w:szCs w:val="28"/>
        </w:rPr>
        <w:t xml:space="preserve">. Платежи и переводы денег через СДП из других стран в основном поступают в долларах США (76,7% и 82,1% от общего количества и суммы платежей). </w:t>
      </w:r>
    </w:p>
    <w:p w:rsidR="00114C86" w:rsidRDefault="00114C86" w:rsidP="006702BF">
      <w:pPr>
        <w:pStyle w:val="1"/>
        <w:tabs>
          <w:tab w:val="left" w:pos="561"/>
        </w:tabs>
        <w:spacing w:before="0" w:after="0"/>
        <w:jc w:val="center"/>
        <w:rPr>
          <w:bCs w:val="0"/>
          <w:snapToGrid w:val="0"/>
          <w:color w:val="008000"/>
          <w:spacing w:val="-2"/>
          <w:kern w:val="0"/>
          <w:sz w:val="36"/>
          <w:szCs w:val="36"/>
        </w:rPr>
      </w:pPr>
      <w:bookmarkStart w:id="7" w:name="_Toc412583017"/>
    </w:p>
    <w:p w:rsidR="00114C86" w:rsidRDefault="00114C86" w:rsidP="006702BF">
      <w:pPr>
        <w:pStyle w:val="1"/>
        <w:tabs>
          <w:tab w:val="left" w:pos="561"/>
        </w:tabs>
        <w:spacing w:before="0" w:after="0"/>
        <w:jc w:val="center"/>
        <w:rPr>
          <w:bCs w:val="0"/>
          <w:snapToGrid w:val="0"/>
          <w:color w:val="008000"/>
          <w:spacing w:val="-2"/>
          <w:kern w:val="0"/>
          <w:sz w:val="36"/>
          <w:szCs w:val="36"/>
        </w:rPr>
      </w:pPr>
    </w:p>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Default="000D17E3" w:rsidP="000D17E3"/>
    <w:p w:rsidR="000D17E3" w:rsidRPr="000D17E3" w:rsidRDefault="000D17E3" w:rsidP="000D17E3"/>
    <w:p w:rsidR="00617F41" w:rsidRPr="0067491A" w:rsidRDefault="00617F41" w:rsidP="006702BF">
      <w:pPr>
        <w:pStyle w:val="1"/>
        <w:tabs>
          <w:tab w:val="left" w:pos="561"/>
        </w:tabs>
        <w:spacing w:before="0" w:after="0"/>
        <w:jc w:val="center"/>
        <w:rPr>
          <w:bCs w:val="0"/>
          <w:snapToGrid w:val="0"/>
          <w:color w:val="008000"/>
          <w:spacing w:val="-2"/>
          <w:kern w:val="0"/>
          <w:sz w:val="36"/>
          <w:szCs w:val="36"/>
        </w:rPr>
      </w:pPr>
      <w:r w:rsidRPr="0067491A">
        <w:rPr>
          <w:bCs w:val="0"/>
          <w:snapToGrid w:val="0"/>
          <w:color w:val="008000"/>
          <w:spacing w:val="-2"/>
          <w:kern w:val="0"/>
          <w:sz w:val="36"/>
          <w:szCs w:val="36"/>
        </w:rPr>
        <w:lastRenderedPageBreak/>
        <w:t>РЫНОК ЭЛЕКТРОННЫХ ДЕНЕГ</w:t>
      </w:r>
      <w:bookmarkEnd w:id="7"/>
    </w:p>
    <w:p w:rsidR="00617F41" w:rsidRDefault="00617F41" w:rsidP="006702BF">
      <w:pPr>
        <w:ind w:firstLine="709"/>
        <w:jc w:val="both"/>
        <w:rPr>
          <w:sz w:val="28"/>
          <w:szCs w:val="28"/>
        </w:rPr>
      </w:pPr>
    </w:p>
    <w:p w:rsidR="00617F41" w:rsidRPr="00392DF0" w:rsidRDefault="00617F41" w:rsidP="006702BF">
      <w:pPr>
        <w:ind w:firstLine="708"/>
        <w:jc w:val="both"/>
        <w:rPr>
          <w:sz w:val="28"/>
          <w:szCs w:val="28"/>
        </w:rPr>
      </w:pPr>
      <w:r w:rsidRPr="00392DF0">
        <w:rPr>
          <w:sz w:val="28"/>
          <w:szCs w:val="28"/>
        </w:rPr>
        <w:t xml:space="preserve">В настоящее время на </w:t>
      </w:r>
      <w:r>
        <w:rPr>
          <w:sz w:val="28"/>
          <w:szCs w:val="28"/>
        </w:rPr>
        <w:t xml:space="preserve">казахстанском </w:t>
      </w:r>
      <w:r w:rsidRPr="00392DF0">
        <w:rPr>
          <w:sz w:val="28"/>
          <w:szCs w:val="28"/>
        </w:rPr>
        <w:t xml:space="preserve">рынке функционируют 8 </w:t>
      </w:r>
      <w:r>
        <w:rPr>
          <w:sz w:val="28"/>
          <w:szCs w:val="28"/>
        </w:rPr>
        <w:t>систем</w:t>
      </w:r>
      <w:r w:rsidRPr="00392DF0">
        <w:rPr>
          <w:sz w:val="28"/>
          <w:szCs w:val="28"/>
        </w:rPr>
        <w:t xml:space="preserve"> электронных денег, эмитен</w:t>
      </w:r>
      <w:r>
        <w:rPr>
          <w:sz w:val="28"/>
          <w:szCs w:val="28"/>
        </w:rPr>
        <w:t xml:space="preserve">тами которых выступают </w:t>
      </w:r>
      <w:r w:rsidRPr="006C6B4E">
        <w:rPr>
          <w:sz w:val="28"/>
          <w:szCs w:val="28"/>
        </w:rPr>
        <w:t>6</w:t>
      </w:r>
      <w:r w:rsidRPr="00392DF0">
        <w:rPr>
          <w:sz w:val="28"/>
          <w:szCs w:val="28"/>
        </w:rPr>
        <w:t xml:space="preserve"> банков:</w:t>
      </w:r>
    </w:p>
    <w:p w:rsidR="00617F41" w:rsidRDefault="00617F41" w:rsidP="006702BF">
      <w:pPr>
        <w:ind w:firstLine="709"/>
        <w:jc w:val="both"/>
        <w:rPr>
          <w:sz w:val="28"/>
          <w:szCs w:val="28"/>
        </w:rPr>
      </w:pPr>
      <w:r>
        <w:rPr>
          <w:sz w:val="28"/>
          <w:szCs w:val="28"/>
        </w:rPr>
        <w:t xml:space="preserve">1. </w:t>
      </w:r>
      <w:r w:rsidRPr="004778CC">
        <w:rPr>
          <w:sz w:val="28"/>
          <w:szCs w:val="28"/>
        </w:rPr>
        <w:t>Система</w:t>
      </w:r>
      <w:r>
        <w:rPr>
          <w:sz w:val="28"/>
          <w:szCs w:val="28"/>
        </w:rPr>
        <w:t xml:space="preserve"> «</w:t>
      </w:r>
      <w:r w:rsidRPr="00F925F0">
        <w:rPr>
          <w:sz w:val="28"/>
          <w:szCs w:val="28"/>
        </w:rPr>
        <w:t>e-kzt</w:t>
      </w:r>
      <w:r>
        <w:rPr>
          <w:sz w:val="28"/>
          <w:szCs w:val="28"/>
        </w:rPr>
        <w:t xml:space="preserve">», оператором является </w:t>
      </w:r>
      <w:r w:rsidRPr="004778CC">
        <w:rPr>
          <w:sz w:val="28"/>
          <w:szCs w:val="28"/>
        </w:rPr>
        <w:t>РГП «Казахстанский</w:t>
      </w:r>
      <w:r>
        <w:rPr>
          <w:sz w:val="28"/>
          <w:szCs w:val="28"/>
        </w:rPr>
        <w:t xml:space="preserve"> центр межбанковских расчетов НБРК», э</w:t>
      </w:r>
      <w:r w:rsidRPr="004778CC">
        <w:rPr>
          <w:sz w:val="28"/>
          <w:szCs w:val="28"/>
        </w:rPr>
        <w:t xml:space="preserve">митенты - </w:t>
      </w:r>
      <w:r w:rsidRPr="008D4AF6">
        <w:rPr>
          <w:sz w:val="28"/>
          <w:szCs w:val="28"/>
        </w:rPr>
        <w:t>АО «Эксимбанк Казахстан»</w:t>
      </w:r>
      <w:r w:rsidRPr="004778CC">
        <w:rPr>
          <w:sz w:val="28"/>
          <w:szCs w:val="28"/>
        </w:rPr>
        <w:t xml:space="preserve"> и </w:t>
      </w:r>
      <w:r w:rsidRPr="008D4AF6">
        <w:rPr>
          <w:sz w:val="28"/>
          <w:szCs w:val="28"/>
        </w:rPr>
        <w:t>ДБ АО «Банк Хоум Кредит»</w:t>
      </w:r>
      <w:r>
        <w:rPr>
          <w:sz w:val="28"/>
          <w:szCs w:val="28"/>
        </w:rPr>
        <w:t>;</w:t>
      </w:r>
    </w:p>
    <w:p w:rsidR="00617F41" w:rsidRDefault="00617F41" w:rsidP="006702BF">
      <w:pPr>
        <w:ind w:firstLine="709"/>
        <w:jc w:val="both"/>
        <w:rPr>
          <w:sz w:val="28"/>
          <w:szCs w:val="28"/>
        </w:rPr>
      </w:pPr>
      <w:r w:rsidRPr="004778CC">
        <w:rPr>
          <w:sz w:val="28"/>
          <w:szCs w:val="28"/>
        </w:rPr>
        <w:t>2. Система «Woopay»</w:t>
      </w:r>
      <w:r>
        <w:rPr>
          <w:sz w:val="28"/>
          <w:szCs w:val="28"/>
        </w:rPr>
        <w:t>, эмитент - АО «Евразийский банк»;</w:t>
      </w:r>
      <w:r w:rsidRPr="004778CC">
        <w:rPr>
          <w:sz w:val="28"/>
          <w:szCs w:val="28"/>
        </w:rPr>
        <w:t xml:space="preserve"> </w:t>
      </w:r>
    </w:p>
    <w:p w:rsidR="00617F41" w:rsidRDefault="00617F41" w:rsidP="006702BF">
      <w:pPr>
        <w:ind w:firstLine="709"/>
        <w:jc w:val="both"/>
        <w:rPr>
          <w:sz w:val="28"/>
          <w:szCs w:val="28"/>
        </w:rPr>
      </w:pPr>
      <w:r w:rsidRPr="004778CC">
        <w:rPr>
          <w:sz w:val="28"/>
          <w:szCs w:val="28"/>
        </w:rPr>
        <w:t>3. Система «</w:t>
      </w:r>
      <w:r w:rsidRPr="006F5FB7">
        <w:rPr>
          <w:sz w:val="28"/>
          <w:szCs w:val="28"/>
        </w:rPr>
        <w:t>ЭПС KZM</w:t>
      </w:r>
      <w:r>
        <w:rPr>
          <w:sz w:val="28"/>
          <w:szCs w:val="28"/>
        </w:rPr>
        <w:t>», эмитент - АО «Альянс банк»;</w:t>
      </w:r>
      <w:r w:rsidRPr="004778CC">
        <w:rPr>
          <w:sz w:val="28"/>
          <w:szCs w:val="28"/>
        </w:rPr>
        <w:t xml:space="preserve"> </w:t>
      </w:r>
    </w:p>
    <w:p w:rsidR="00617F41" w:rsidRPr="00D95CDA" w:rsidRDefault="00617F41" w:rsidP="006702BF">
      <w:pPr>
        <w:ind w:firstLine="709"/>
        <w:jc w:val="both"/>
        <w:rPr>
          <w:sz w:val="28"/>
          <w:szCs w:val="28"/>
          <w:lang w:val="en-US"/>
        </w:rPr>
      </w:pPr>
      <w:r w:rsidRPr="00D95CDA">
        <w:rPr>
          <w:sz w:val="28"/>
          <w:szCs w:val="28"/>
          <w:lang w:val="en-US"/>
        </w:rPr>
        <w:t xml:space="preserve">4. </w:t>
      </w:r>
      <w:r>
        <w:rPr>
          <w:sz w:val="28"/>
          <w:szCs w:val="28"/>
        </w:rPr>
        <w:t>Система</w:t>
      </w:r>
      <w:r>
        <w:rPr>
          <w:sz w:val="28"/>
          <w:szCs w:val="28"/>
          <w:lang w:val="en-US"/>
        </w:rPr>
        <w:t xml:space="preserve"> «Visa Qiwi Wallet»</w:t>
      </w:r>
      <w:r w:rsidRPr="001079DC">
        <w:rPr>
          <w:sz w:val="28"/>
          <w:szCs w:val="28"/>
          <w:lang w:val="en-US"/>
        </w:rPr>
        <w:t xml:space="preserve">, </w:t>
      </w:r>
      <w:r>
        <w:rPr>
          <w:sz w:val="28"/>
          <w:szCs w:val="28"/>
        </w:rPr>
        <w:t>э</w:t>
      </w:r>
      <w:r w:rsidRPr="004778CC">
        <w:rPr>
          <w:sz w:val="28"/>
          <w:szCs w:val="28"/>
        </w:rPr>
        <w:t>митент</w:t>
      </w:r>
      <w:r w:rsidRPr="00D95CDA">
        <w:rPr>
          <w:sz w:val="28"/>
          <w:szCs w:val="28"/>
          <w:lang w:val="en-US"/>
        </w:rPr>
        <w:t xml:space="preserve"> - </w:t>
      </w:r>
      <w:r w:rsidRPr="004778CC">
        <w:rPr>
          <w:sz w:val="28"/>
          <w:szCs w:val="28"/>
        </w:rPr>
        <w:t>АО</w:t>
      </w:r>
      <w:r w:rsidRPr="00D95CDA">
        <w:rPr>
          <w:sz w:val="28"/>
          <w:szCs w:val="28"/>
          <w:lang w:val="en-US"/>
        </w:rPr>
        <w:t xml:space="preserve"> «AsiaCredit Bank»;</w:t>
      </w:r>
    </w:p>
    <w:p w:rsidR="00617F41" w:rsidRDefault="00617F41" w:rsidP="006702BF">
      <w:pPr>
        <w:ind w:firstLine="709"/>
        <w:jc w:val="both"/>
        <w:rPr>
          <w:sz w:val="28"/>
          <w:szCs w:val="28"/>
        </w:rPr>
      </w:pPr>
      <w:r>
        <w:rPr>
          <w:sz w:val="28"/>
          <w:szCs w:val="28"/>
        </w:rPr>
        <w:t>5.</w:t>
      </w:r>
      <w:r w:rsidRPr="004778CC">
        <w:rPr>
          <w:sz w:val="28"/>
          <w:szCs w:val="28"/>
        </w:rPr>
        <w:t>Система «Личная К</w:t>
      </w:r>
      <w:r>
        <w:rPr>
          <w:sz w:val="28"/>
          <w:szCs w:val="28"/>
        </w:rPr>
        <w:t>асса», эмитент – АО «Цеснабанк»;</w:t>
      </w:r>
      <w:r w:rsidRPr="004778CC">
        <w:rPr>
          <w:sz w:val="28"/>
          <w:szCs w:val="28"/>
        </w:rPr>
        <w:t xml:space="preserve"> </w:t>
      </w:r>
    </w:p>
    <w:p w:rsidR="00617F41" w:rsidRDefault="00617F41" w:rsidP="006702BF">
      <w:pPr>
        <w:ind w:firstLine="709"/>
        <w:jc w:val="both"/>
        <w:rPr>
          <w:sz w:val="28"/>
          <w:szCs w:val="28"/>
        </w:rPr>
      </w:pPr>
      <w:r>
        <w:rPr>
          <w:sz w:val="28"/>
          <w:szCs w:val="28"/>
        </w:rPr>
        <w:t>6. Система «Tau - tenge», э</w:t>
      </w:r>
      <w:r w:rsidRPr="004778CC">
        <w:rPr>
          <w:sz w:val="28"/>
          <w:szCs w:val="28"/>
        </w:rPr>
        <w:t xml:space="preserve">митент - </w:t>
      </w:r>
      <w:r w:rsidRPr="0021160F">
        <w:rPr>
          <w:sz w:val="28"/>
          <w:szCs w:val="28"/>
        </w:rPr>
        <w:t>АО «Эксимбанк Казахстан»</w:t>
      </w:r>
      <w:r>
        <w:rPr>
          <w:sz w:val="28"/>
          <w:szCs w:val="28"/>
        </w:rPr>
        <w:t>;</w:t>
      </w:r>
      <w:r w:rsidRPr="004778CC">
        <w:rPr>
          <w:sz w:val="28"/>
          <w:szCs w:val="28"/>
        </w:rPr>
        <w:t xml:space="preserve"> </w:t>
      </w:r>
    </w:p>
    <w:p w:rsidR="00617F41" w:rsidRDefault="00617F41" w:rsidP="006702BF">
      <w:pPr>
        <w:ind w:firstLine="709"/>
        <w:jc w:val="both"/>
        <w:rPr>
          <w:sz w:val="28"/>
          <w:szCs w:val="28"/>
        </w:rPr>
      </w:pPr>
      <w:r w:rsidRPr="004778CC">
        <w:rPr>
          <w:sz w:val="28"/>
          <w:szCs w:val="28"/>
        </w:rPr>
        <w:t>7. Система «TV - Money»</w:t>
      </w:r>
      <w:r>
        <w:rPr>
          <w:sz w:val="28"/>
          <w:szCs w:val="28"/>
        </w:rPr>
        <w:t>, э</w:t>
      </w:r>
      <w:r w:rsidRPr="004778CC">
        <w:rPr>
          <w:sz w:val="28"/>
          <w:szCs w:val="28"/>
        </w:rPr>
        <w:t xml:space="preserve">митент - </w:t>
      </w:r>
      <w:r w:rsidRPr="0021160F">
        <w:rPr>
          <w:sz w:val="28"/>
          <w:szCs w:val="28"/>
        </w:rPr>
        <w:t>АО «Эксимбанк Казахстан»</w:t>
      </w:r>
      <w:r>
        <w:rPr>
          <w:sz w:val="28"/>
          <w:szCs w:val="28"/>
        </w:rPr>
        <w:t>;</w:t>
      </w:r>
    </w:p>
    <w:p w:rsidR="00617F41" w:rsidRPr="00E92634" w:rsidRDefault="00617F41" w:rsidP="006702BF">
      <w:pPr>
        <w:ind w:firstLine="709"/>
        <w:jc w:val="both"/>
        <w:rPr>
          <w:sz w:val="28"/>
          <w:szCs w:val="28"/>
        </w:rPr>
      </w:pPr>
      <w:r w:rsidRPr="004778CC">
        <w:rPr>
          <w:sz w:val="28"/>
          <w:szCs w:val="28"/>
        </w:rPr>
        <w:t>8. Система «Paypoint»</w:t>
      </w:r>
      <w:r>
        <w:rPr>
          <w:sz w:val="28"/>
          <w:szCs w:val="28"/>
        </w:rPr>
        <w:t>, э</w:t>
      </w:r>
      <w:r w:rsidRPr="004778CC">
        <w:rPr>
          <w:sz w:val="28"/>
          <w:szCs w:val="28"/>
        </w:rPr>
        <w:t xml:space="preserve">митент - </w:t>
      </w:r>
      <w:r>
        <w:rPr>
          <w:sz w:val="28"/>
          <w:szCs w:val="28"/>
        </w:rPr>
        <w:t>АО «Эксимбанк Казахстан».</w:t>
      </w:r>
      <w:r w:rsidRPr="004778CC">
        <w:rPr>
          <w:sz w:val="28"/>
          <w:szCs w:val="28"/>
        </w:rPr>
        <w:t xml:space="preserve"> </w:t>
      </w:r>
    </w:p>
    <w:p w:rsidR="00617F41" w:rsidRPr="00767FDC" w:rsidRDefault="00617F41" w:rsidP="006702BF">
      <w:pPr>
        <w:ind w:firstLine="709"/>
        <w:jc w:val="both"/>
        <w:rPr>
          <w:sz w:val="28"/>
          <w:szCs w:val="28"/>
        </w:rPr>
      </w:pPr>
      <w:r w:rsidRPr="0069756A">
        <w:rPr>
          <w:sz w:val="28"/>
          <w:szCs w:val="28"/>
        </w:rPr>
        <w:t xml:space="preserve">Рынок электронных денег в </w:t>
      </w:r>
      <w:r>
        <w:rPr>
          <w:sz w:val="28"/>
          <w:szCs w:val="28"/>
        </w:rPr>
        <w:t xml:space="preserve">Казахстане начал активно развиваться с середины </w:t>
      </w:r>
      <w:r w:rsidRPr="0069756A">
        <w:rPr>
          <w:sz w:val="28"/>
          <w:szCs w:val="28"/>
        </w:rPr>
        <w:t xml:space="preserve"> 20</w:t>
      </w:r>
      <w:r>
        <w:rPr>
          <w:sz w:val="28"/>
          <w:szCs w:val="28"/>
        </w:rPr>
        <w:t>13 года</w:t>
      </w:r>
      <w:r w:rsidRPr="0069756A">
        <w:rPr>
          <w:sz w:val="28"/>
          <w:szCs w:val="28"/>
        </w:rPr>
        <w:t xml:space="preserve"> </w:t>
      </w:r>
      <w:r>
        <w:rPr>
          <w:sz w:val="28"/>
          <w:szCs w:val="28"/>
        </w:rPr>
        <w:t xml:space="preserve">и </w:t>
      </w:r>
      <w:r w:rsidRPr="0069756A">
        <w:rPr>
          <w:sz w:val="28"/>
          <w:szCs w:val="28"/>
        </w:rPr>
        <w:t>демонстрир</w:t>
      </w:r>
      <w:r>
        <w:rPr>
          <w:sz w:val="28"/>
          <w:szCs w:val="28"/>
        </w:rPr>
        <w:t>ует</w:t>
      </w:r>
      <w:r w:rsidRPr="0069756A">
        <w:rPr>
          <w:sz w:val="28"/>
          <w:szCs w:val="28"/>
        </w:rPr>
        <w:t xml:space="preserve"> </w:t>
      </w:r>
      <w:r>
        <w:rPr>
          <w:sz w:val="28"/>
          <w:szCs w:val="28"/>
        </w:rPr>
        <w:t>перспективные</w:t>
      </w:r>
      <w:r w:rsidRPr="0069756A">
        <w:rPr>
          <w:sz w:val="28"/>
          <w:szCs w:val="28"/>
        </w:rPr>
        <w:t xml:space="preserve"> темпы роста</w:t>
      </w:r>
      <w:r>
        <w:rPr>
          <w:sz w:val="28"/>
          <w:szCs w:val="28"/>
        </w:rPr>
        <w:t xml:space="preserve">. Так, </w:t>
      </w:r>
      <w:r w:rsidR="00BB495B">
        <w:rPr>
          <w:sz w:val="28"/>
          <w:szCs w:val="28"/>
        </w:rPr>
        <w:t>за</w:t>
      </w:r>
      <w:r w:rsidRPr="00392DF0">
        <w:rPr>
          <w:sz w:val="28"/>
          <w:szCs w:val="28"/>
        </w:rPr>
        <w:t xml:space="preserve"> </w:t>
      </w:r>
      <w:r>
        <w:rPr>
          <w:sz w:val="28"/>
          <w:szCs w:val="28"/>
        </w:rPr>
        <w:t>2014</w:t>
      </w:r>
      <w:r w:rsidRPr="00392DF0">
        <w:rPr>
          <w:sz w:val="28"/>
          <w:szCs w:val="28"/>
        </w:rPr>
        <w:t xml:space="preserve"> </w:t>
      </w:r>
      <w:r w:rsidR="00BB495B">
        <w:rPr>
          <w:sz w:val="28"/>
          <w:szCs w:val="28"/>
        </w:rPr>
        <w:t>год</w:t>
      </w:r>
      <w:r w:rsidRPr="00392DF0">
        <w:rPr>
          <w:sz w:val="28"/>
          <w:szCs w:val="28"/>
        </w:rPr>
        <w:t xml:space="preserve"> с и</w:t>
      </w:r>
      <w:r>
        <w:rPr>
          <w:sz w:val="28"/>
          <w:szCs w:val="28"/>
        </w:rPr>
        <w:t xml:space="preserve">спользованием электронных денег </w:t>
      </w:r>
      <w:r w:rsidRPr="001D7342">
        <w:rPr>
          <w:sz w:val="28"/>
          <w:szCs w:val="28"/>
        </w:rPr>
        <w:t xml:space="preserve">казахстанских эмитентов </w:t>
      </w:r>
      <w:r w:rsidRPr="00392DF0">
        <w:rPr>
          <w:sz w:val="28"/>
          <w:szCs w:val="28"/>
        </w:rPr>
        <w:t xml:space="preserve">на территории Казахстана было совершено </w:t>
      </w:r>
      <w:r>
        <w:rPr>
          <w:sz w:val="28"/>
          <w:szCs w:val="28"/>
        </w:rPr>
        <w:t>7,9</w:t>
      </w:r>
      <w:r w:rsidRPr="00392DF0">
        <w:rPr>
          <w:sz w:val="28"/>
          <w:szCs w:val="28"/>
        </w:rPr>
        <w:t xml:space="preserve"> млн. транзакций на сумму </w:t>
      </w:r>
      <w:r>
        <w:rPr>
          <w:sz w:val="28"/>
          <w:szCs w:val="28"/>
        </w:rPr>
        <w:t xml:space="preserve">21,0 млрд. тенге. По отношению к 2013 году количество операций с использованием электронных денег увеличилось на 70 %. </w:t>
      </w:r>
      <w:r w:rsidRPr="00745A70">
        <w:rPr>
          <w:color w:val="000000"/>
          <w:sz w:val="28"/>
          <w:szCs w:val="28"/>
        </w:rPr>
        <w:t xml:space="preserve">На 1 </w:t>
      </w:r>
      <w:r>
        <w:rPr>
          <w:color w:val="000000"/>
          <w:sz w:val="28"/>
          <w:szCs w:val="28"/>
        </w:rPr>
        <w:t>января 2015</w:t>
      </w:r>
      <w:r w:rsidRPr="00745A70">
        <w:rPr>
          <w:color w:val="000000"/>
          <w:sz w:val="28"/>
          <w:szCs w:val="28"/>
        </w:rPr>
        <w:t xml:space="preserve"> года </w:t>
      </w:r>
      <w:r>
        <w:rPr>
          <w:color w:val="000000"/>
          <w:sz w:val="28"/>
          <w:szCs w:val="28"/>
        </w:rPr>
        <w:t xml:space="preserve"> было </w:t>
      </w:r>
      <w:r w:rsidRPr="00745A70">
        <w:rPr>
          <w:color w:val="000000"/>
          <w:sz w:val="28"/>
          <w:szCs w:val="28"/>
        </w:rPr>
        <w:t xml:space="preserve">выпущено </w:t>
      </w:r>
      <w:r>
        <w:rPr>
          <w:color w:val="000000"/>
          <w:sz w:val="28"/>
          <w:szCs w:val="28"/>
        </w:rPr>
        <w:t xml:space="preserve">18,7 </w:t>
      </w:r>
      <w:r w:rsidRPr="00745A70">
        <w:rPr>
          <w:color w:val="000000"/>
          <w:sz w:val="28"/>
          <w:szCs w:val="28"/>
        </w:rPr>
        <w:t>млрд. тенге</w:t>
      </w:r>
      <w:r w:rsidR="00AB15DF">
        <w:rPr>
          <w:color w:val="000000"/>
          <w:sz w:val="28"/>
          <w:szCs w:val="28"/>
        </w:rPr>
        <w:t xml:space="preserve"> электронных денег</w:t>
      </w:r>
      <w:r w:rsidRPr="00745A70">
        <w:rPr>
          <w:color w:val="000000"/>
          <w:sz w:val="28"/>
          <w:szCs w:val="28"/>
        </w:rPr>
        <w:t>, а в обращении</w:t>
      </w:r>
      <w:r w:rsidR="00AB15DF">
        <w:rPr>
          <w:color w:val="000000"/>
          <w:sz w:val="28"/>
          <w:szCs w:val="28"/>
        </w:rPr>
        <w:t xml:space="preserve"> их показатель </w:t>
      </w:r>
      <w:r>
        <w:rPr>
          <w:color w:val="000000"/>
          <w:sz w:val="28"/>
          <w:szCs w:val="28"/>
        </w:rPr>
        <w:t>составляет 949,8 млн</w:t>
      </w:r>
      <w:r w:rsidRPr="00392DF0">
        <w:rPr>
          <w:color w:val="000000"/>
          <w:sz w:val="28"/>
          <w:szCs w:val="28"/>
        </w:rPr>
        <w:t>. тенге</w:t>
      </w:r>
      <w:r>
        <w:rPr>
          <w:color w:val="000000"/>
          <w:sz w:val="28"/>
          <w:szCs w:val="28"/>
        </w:rPr>
        <w:t>.</w:t>
      </w:r>
    </w:p>
    <w:p w:rsidR="00617F41" w:rsidRPr="00392DF0" w:rsidRDefault="00617F41" w:rsidP="006702BF">
      <w:pPr>
        <w:ind w:firstLine="709"/>
        <w:jc w:val="both"/>
        <w:rPr>
          <w:sz w:val="28"/>
          <w:szCs w:val="28"/>
        </w:rPr>
      </w:pPr>
      <w:r w:rsidRPr="00392DF0">
        <w:rPr>
          <w:sz w:val="28"/>
          <w:szCs w:val="28"/>
        </w:rPr>
        <w:t xml:space="preserve">В среднем ежеквартальный рост по количеству и сумме операций с использованием электронных денег </w:t>
      </w:r>
      <w:r>
        <w:rPr>
          <w:sz w:val="28"/>
          <w:szCs w:val="28"/>
        </w:rPr>
        <w:t>составляет 65%</w:t>
      </w:r>
      <w:r w:rsidRPr="00392DF0">
        <w:rPr>
          <w:sz w:val="28"/>
          <w:szCs w:val="28"/>
        </w:rPr>
        <w:t>.</w:t>
      </w:r>
    </w:p>
    <w:p w:rsidR="00114C86" w:rsidRPr="00BD1725" w:rsidRDefault="00617F41" w:rsidP="00114C86">
      <w:pPr>
        <w:ind w:firstLine="709"/>
        <w:jc w:val="center"/>
        <w:rPr>
          <w:b/>
          <w:sz w:val="28"/>
          <w:szCs w:val="28"/>
        </w:rPr>
      </w:pPr>
      <w:r w:rsidRPr="00BD1725">
        <w:rPr>
          <w:b/>
          <w:sz w:val="28"/>
          <w:szCs w:val="28"/>
        </w:rPr>
        <w:t>Динамика изменения количество операций, совершенных с использованием электронных денег за 2014 год</w:t>
      </w:r>
    </w:p>
    <w:p w:rsidR="006A4785" w:rsidRPr="00392DF0" w:rsidRDefault="00786A4E" w:rsidP="006A4785">
      <w:pPr>
        <w:jc w:val="both"/>
        <w:rPr>
          <w:sz w:val="28"/>
          <w:szCs w:val="28"/>
        </w:rPr>
      </w:pPr>
      <w:r w:rsidRPr="007A05EB">
        <w:rPr>
          <w:noProof/>
          <w:sz w:val="28"/>
          <w:szCs w:val="28"/>
        </w:rPr>
        <w:drawing>
          <wp:inline distT="0" distB="0" distL="0" distR="0">
            <wp:extent cx="3057525" cy="2619375"/>
            <wp:effectExtent l="0" t="0" r="0" b="0"/>
            <wp:docPr id="31"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7A05EB">
        <w:rPr>
          <w:noProof/>
          <w:sz w:val="28"/>
          <w:szCs w:val="28"/>
        </w:rPr>
        <w:drawing>
          <wp:inline distT="0" distB="0" distL="0" distR="0">
            <wp:extent cx="3048000" cy="2552700"/>
            <wp:effectExtent l="0" t="0" r="0" b="0"/>
            <wp:docPr id="32"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A4785" w:rsidRPr="008842EA" w:rsidRDefault="006A4785" w:rsidP="006A4785">
      <w:pPr>
        <w:tabs>
          <w:tab w:val="left" w:pos="2895"/>
        </w:tabs>
        <w:rPr>
          <w:sz w:val="28"/>
          <w:szCs w:val="28"/>
        </w:rPr>
      </w:pPr>
    </w:p>
    <w:p w:rsidR="006A4785" w:rsidRPr="000D17E3" w:rsidRDefault="006A4785" w:rsidP="006A4785">
      <w:pPr>
        <w:ind w:firstLine="709"/>
        <w:jc w:val="both"/>
        <w:rPr>
          <w:sz w:val="28"/>
          <w:szCs w:val="28"/>
        </w:rPr>
      </w:pPr>
      <w:r w:rsidRPr="000D17E3">
        <w:rPr>
          <w:sz w:val="28"/>
          <w:szCs w:val="28"/>
        </w:rPr>
        <w:t xml:space="preserve">Электронные деньги весьма удобны для осуществления он-лайновых платежей на небольшие суммы (оплата услуг сотовой связи, кабельного телевидения, Интернет), так, средняя сумма одного платежа посредством электронных денег составила 2 690 тенге. Электронные деньги также популярны при осуществлении «эмоциональных платежей», таких как </w:t>
      </w:r>
      <w:r w:rsidRPr="000D17E3">
        <w:rPr>
          <w:sz w:val="28"/>
          <w:szCs w:val="28"/>
        </w:rPr>
        <w:lastRenderedPageBreak/>
        <w:t xml:space="preserve">пополнение аккаунтов в он-лайн Интернет играх (стратегии), приобретение электронных подарков в социальных сетях и так далее.  </w:t>
      </w:r>
    </w:p>
    <w:p w:rsidR="00617F41" w:rsidRDefault="00617F41" w:rsidP="006A4785">
      <w:pPr>
        <w:ind w:firstLine="709"/>
        <w:jc w:val="both"/>
        <w:rPr>
          <w:sz w:val="28"/>
          <w:szCs w:val="28"/>
        </w:rPr>
      </w:pPr>
      <w:r w:rsidRPr="00346280">
        <w:rPr>
          <w:sz w:val="28"/>
          <w:szCs w:val="28"/>
        </w:rPr>
        <w:t xml:space="preserve">Пока </w:t>
      </w:r>
      <w:r>
        <w:rPr>
          <w:sz w:val="28"/>
          <w:szCs w:val="28"/>
        </w:rPr>
        <w:t>и</w:t>
      </w:r>
      <w:r w:rsidRPr="00E1160E">
        <w:rPr>
          <w:sz w:val="28"/>
          <w:szCs w:val="28"/>
        </w:rPr>
        <w:t xml:space="preserve">спользование электронных денег </w:t>
      </w:r>
      <w:r>
        <w:rPr>
          <w:sz w:val="28"/>
          <w:szCs w:val="28"/>
        </w:rPr>
        <w:t xml:space="preserve">в Казахстане </w:t>
      </w:r>
      <w:r w:rsidRPr="00E1160E">
        <w:rPr>
          <w:sz w:val="28"/>
          <w:szCs w:val="28"/>
        </w:rPr>
        <w:t xml:space="preserve">еще остается достаточно </w:t>
      </w:r>
      <w:r>
        <w:rPr>
          <w:sz w:val="28"/>
          <w:szCs w:val="28"/>
        </w:rPr>
        <w:t xml:space="preserve">редкой практикой, ее освоили около </w:t>
      </w:r>
      <w:r w:rsidRPr="009B5C4C">
        <w:rPr>
          <w:sz w:val="28"/>
          <w:szCs w:val="28"/>
        </w:rPr>
        <w:t>10</w:t>
      </w:r>
      <w:r w:rsidRPr="00E1160E">
        <w:rPr>
          <w:sz w:val="28"/>
          <w:szCs w:val="28"/>
        </w:rPr>
        <w:t xml:space="preserve">% </w:t>
      </w:r>
      <w:r>
        <w:rPr>
          <w:sz w:val="28"/>
          <w:szCs w:val="28"/>
        </w:rPr>
        <w:t>населения</w:t>
      </w:r>
      <w:r w:rsidRPr="00FC2E88">
        <w:rPr>
          <w:sz w:val="28"/>
          <w:szCs w:val="28"/>
          <w:vertAlign w:val="superscript"/>
        </w:rPr>
        <w:footnoteReference w:id="24"/>
      </w:r>
      <w:r>
        <w:rPr>
          <w:sz w:val="28"/>
          <w:szCs w:val="28"/>
        </w:rPr>
        <w:t xml:space="preserve"> Казахстана</w:t>
      </w:r>
      <w:r w:rsidRPr="00E1160E">
        <w:rPr>
          <w:sz w:val="28"/>
          <w:szCs w:val="28"/>
        </w:rPr>
        <w:t>. Тем не менее, даже такой н</w:t>
      </w:r>
      <w:r>
        <w:rPr>
          <w:sz w:val="28"/>
          <w:szCs w:val="28"/>
        </w:rPr>
        <w:t>ебольшой, казалось бы, процент  (</w:t>
      </w:r>
      <w:r w:rsidRPr="00E1160E">
        <w:rPr>
          <w:sz w:val="28"/>
          <w:szCs w:val="28"/>
        </w:rPr>
        <w:t>около 2 млн</w:t>
      </w:r>
      <w:r>
        <w:rPr>
          <w:sz w:val="28"/>
          <w:szCs w:val="28"/>
        </w:rPr>
        <w:t>.</w:t>
      </w:r>
      <w:r w:rsidRPr="00E1160E">
        <w:rPr>
          <w:sz w:val="28"/>
          <w:szCs w:val="28"/>
        </w:rPr>
        <w:t xml:space="preserve"> человек</w:t>
      </w:r>
      <w:r>
        <w:rPr>
          <w:sz w:val="28"/>
          <w:szCs w:val="28"/>
        </w:rPr>
        <w:t xml:space="preserve">) </w:t>
      </w:r>
      <w:r w:rsidRPr="00E1160E">
        <w:rPr>
          <w:sz w:val="28"/>
          <w:szCs w:val="28"/>
        </w:rPr>
        <w:t>сравним с населением Словении или Латвии.</w:t>
      </w:r>
    </w:p>
    <w:p w:rsidR="00617F41" w:rsidRDefault="00786A4E" w:rsidP="006702BF">
      <w:pPr>
        <w:ind w:firstLine="708"/>
        <w:jc w:val="both"/>
        <w:rPr>
          <w:sz w:val="28"/>
          <w:szCs w:val="28"/>
        </w:rPr>
      </w:pPr>
      <w:r w:rsidRPr="00EB6199">
        <w:rPr>
          <w:noProof/>
        </w:rPr>
        <w:drawing>
          <wp:inline distT="0" distB="0" distL="0" distR="0">
            <wp:extent cx="5143500" cy="2162175"/>
            <wp:effectExtent l="0" t="0" r="0" b="0"/>
            <wp:docPr id="33"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17F41" w:rsidRDefault="00617F41" w:rsidP="006702BF">
      <w:pPr>
        <w:ind w:firstLine="708"/>
        <w:jc w:val="both"/>
        <w:rPr>
          <w:sz w:val="28"/>
          <w:szCs w:val="28"/>
        </w:rPr>
      </w:pPr>
      <w:r w:rsidRPr="00392DF0">
        <w:rPr>
          <w:sz w:val="28"/>
          <w:szCs w:val="28"/>
        </w:rPr>
        <w:t>Как показывает динамика развития электронных денег</w:t>
      </w:r>
      <w:r>
        <w:rPr>
          <w:sz w:val="28"/>
          <w:szCs w:val="28"/>
        </w:rPr>
        <w:t>,</w:t>
      </w:r>
      <w:r w:rsidRPr="00392DF0">
        <w:rPr>
          <w:sz w:val="28"/>
          <w:szCs w:val="28"/>
        </w:rPr>
        <w:t xml:space="preserve"> аудитория и сервисы данных систем постепенно будут только расширяться. Опыт других стран показывает, что электронные деньги становятся все более популярными для совершения оплаты в сегменте электронной коммерции. Их использование способствует сокращению наличного оборота, развитию рынка онлайновых услуг, ускорению расчетов и повышает платежную культуру граждан. Полагаем, что с учетом общемировых тенденций потребность в данном инструменте или новых инновационных платежных сервисах будет возрастать. Этот процесс в большей степени связан с дальнейшим распространением Интернета и продолжающимся ростом, расширением в различных сферах жизни видов услуг, доступ к которым становится возможным для потребителей через Интернет. Электронные деньги способны постепенно вытеснять традиционные инструменты  оплаты в тех сферах и сегментах, где их использов</w:t>
      </w:r>
      <w:r>
        <w:rPr>
          <w:sz w:val="28"/>
          <w:szCs w:val="28"/>
        </w:rPr>
        <w:t xml:space="preserve">ание является малоэффективным. </w:t>
      </w:r>
      <w:r w:rsidRPr="003F165A">
        <w:rPr>
          <w:sz w:val="28"/>
          <w:szCs w:val="28"/>
        </w:rPr>
        <w:t xml:space="preserve">Эти тенденции позволяют сделать вывод о том, что электронные деньги </w:t>
      </w:r>
      <w:r>
        <w:rPr>
          <w:sz w:val="28"/>
          <w:szCs w:val="28"/>
        </w:rPr>
        <w:t>«</w:t>
      </w:r>
      <w:r w:rsidRPr="003F165A">
        <w:rPr>
          <w:sz w:val="28"/>
          <w:szCs w:val="28"/>
        </w:rPr>
        <w:t>завоевывают</w:t>
      </w:r>
      <w:r>
        <w:rPr>
          <w:sz w:val="28"/>
          <w:szCs w:val="28"/>
        </w:rPr>
        <w:t>»</w:t>
      </w:r>
      <w:r w:rsidRPr="003F165A">
        <w:rPr>
          <w:sz w:val="28"/>
          <w:szCs w:val="28"/>
        </w:rPr>
        <w:t xml:space="preserve"> массового пользователя</w:t>
      </w:r>
      <w:r>
        <w:rPr>
          <w:sz w:val="28"/>
          <w:szCs w:val="28"/>
        </w:rPr>
        <w:t>.</w:t>
      </w:r>
    </w:p>
    <w:p w:rsidR="00617F41" w:rsidRDefault="00617F41" w:rsidP="006702BF">
      <w:pPr>
        <w:ind w:firstLine="708"/>
        <w:jc w:val="both"/>
        <w:rPr>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Default="00617F41" w:rsidP="006702BF">
      <w:pPr>
        <w:ind w:firstLine="709"/>
        <w:jc w:val="center"/>
        <w:rPr>
          <w:b/>
          <w:spacing w:val="-4"/>
          <w:sz w:val="28"/>
          <w:szCs w:val="28"/>
        </w:rPr>
      </w:pPr>
    </w:p>
    <w:p w:rsidR="00617F41" w:rsidRPr="0067491A" w:rsidRDefault="00617F41" w:rsidP="006702BF">
      <w:pPr>
        <w:pStyle w:val="1"/>
        <w:tabs>
          <w:tab w:val="left" w:pos="561"/>
        </w:tabs>
        <w:spacing w:before="0" w:after="0"/>
        <w:jc w:val="center"/>
        <w:rPr>
          <w:bCs w:val="0"/>
          <w:snapToGrid w:val="0"/>
          <w:color w:val="008000"/>
          <w:spacing w:val="-2"/>
          <w:kern w:val="0"/>
          <w:sz w:val="36"/>
          <w:szCs w:val="36"/>
        </w:rPr>
      </w:pPr>
      <w:bookmarkStart w:id="8" w:name="_Toc412583018"/>
      <w:r w:rsidRPr="0067491A">
        <w:rPr>
          <w:bCs w:val="0"/>
          <w:snapToGrid w:val="0"/>
          <w:color w:val="008000"/>
          <w:spacing w:val="-2"/>
          <w:kern w:val="0"/>
          <w:sz w:val="36"/>
          <w:szCs w:val="36"/>
        </w:rPr>
        <w:lastRenderedPageBreak/>
        <w:t>ПЛАТЕЖНЫЕ ИНСТРУМЕНТЫ</w:t>
      </w:r>
      <w:bookmarkEnd w:id="8"/>
    </w:p>
    <w:p w:rsidR="00617F41" w:rsidRDefault="00617F41" w:rsidP="006702BF">
      <w:pPr>
        <w:ind w:firstLine="709"/>
        <w:jc w:val="center"/>
        <w:rPr>
          <w:b/>
          <w:spacing w:val="-4"/>
          <w:sz w:val="28"/>
          <w:szCs w:val="28"/>
        </w:rPr>
      </w:pPr>
    </w:p>
    <w:p w:rsidR="00617F41" w:rsidRDefault="00617F41" w:rsidP="006702BF">
      <w:pPr>
        <w:ind w:firstLine="709"/>
        <w:jc w:val="both"/>
        <w:rPr>
          <w:b/>
          <w:bCs/>
          <w:sz w:val="28"/>
          <w:szCs w:val="28"/>
        </w:rPr>
      </w:pPr>
      <w:r>
        <w:rPr>
          <w:sz w:val="28"/>
          <w:szCs w:val="28"/>
        </w:rPr>
        <w:t>За 201</w:t>
      </w:r>
      <w:r w:rsidRPr="00DC61B8">
        <w:rPr>
          <w:sz w:val="28"/>
          <w:szCs w:val="28"/>
        </w:rPr>
        <w:t>4</w:t>
      </w:r>
      <w:r>
        <w:rPr>
          <w:sz w:val="28"/>
          <w:szCs w:val="28"/>
        </w:rPr>
        <w:t xml:space="preserve"> год банками и АО «Казпочта» с использованием платежных инструментов</w:t>
      </w:r>
      <w:r>
        <w:rPr>
          <w:rStyle w:val="ab"/>
          <w:rFonts w:eastAsia="MS Mincho"/>
          <w:lang w:eastAsia="ja-JP"/>
        </w:rPr>
        <w:footnoteReference w:id="25"/>
      </w:r>
      <w:r>
        <w:rPr>
          <w:sz w:val="28"/>
          <w:szCs w:val="28"/>
        </w:rPr>
        <w:t xml:space="preserve"> были проведены транзакции в количестве </w:t>
      </w:r>
      <w:r w:rsidRPr="006B3580">
        <w:rPr>
          <w:sz w:val="28"/>
          <w:szCs w:val="28"/>
        </w:rPr>
        <w:t>379</w:t>
      </w:r>
      <w:r w:rsidR="00392440">
        <w:rPr>
          <w:sz w:val="28"/>
          <w:szCs w:val="28"/>
        </w:rPr>
        <w:t>,</w:t>
      </w:r>
      <w:r w:rsidR="00392440" w:rsidRPr="00392440">
        <w:rPr>
          <w:sz w:val="28"/>
          <w:szCs w:val="28"/>
        </w:rPr>
        <w:t>4</w:t>
      </w:r>
      <w:r>
        <w:rPr>
          <w:sz w:val="28"/>
          <w:szCs w:val="28"/>
        </w:rPr>
        <w:t xml:space="preserve"> млн. транзакций на сумму </w:t>
      </w:r>
      <w:r w:rsidR="00392440" w:rsidRPr="00392440">
        <w:rPr>
          <w:sz w:val="28"/>
          <w:szCs w:val="28"/>
        </w:rPr>
        <w:t>132 322,2</w:t>
      </w:r>
      <w:r>
        <w:rPr>
          <w:sz w:val="28"/>
          <w:szCs w:val="28"/>
        </w:rPr>
        <w:t xml:space="preserve"> млрд. тенге. </w:t>
      </w:r>
    </w:p>
    <w:p w:rsidR="00617F41" w:rsidRPr="00B552F0" w:rsidRDefault="00617F41" w:rsidP="006702BF">
      <w:pPr>
        <w:pStyle w:val="6"/>
        <w:spacing w:before="0" w:after="0"/>
        <w:jc w:val="center"/>
        <w:rPr>
          <w:rFonts w:ascii="Times New Roman" w:hAnsi="Times New Roman"/>
          <w:sz w:val="28"/>
          <w:szCs w:val="28"/>
        </w:rPr>
      </w:pPr>
      <w:r w:rsidRPr="00B552F0">
        <w:rPr>
          <w:rFonts w:ascii="Times New Roman" w:hAnsi="Times New Roman"/>
          <w:sz w:val="28"/>
          <w:szCs w:val="28"/>
        </w:rPr>
        <w:t>Сведения об использовании платежных инструментов</w:t>
      </w:r>
    </w:p>
    <w:p w:rsidR="00617F41" w:rsidRPr="00B552F0" w:rsidRDefault="00617F41" w:rsidP="006702BF">
      <w:pPr>
        <w:ind w:firstLine="709"/>
        <w:jc w:val="right"/>
      </w:pPr>
      <w:r w:rsidRPr="00B552F0">
        <w:t>(в тыс. транзакций и млрд. тенге)</w:t>
      </w:r>
    </w:p>
    <w:tbl>
      <w:tblPr>
        <w:tblW w:w="9750" w:type="dxa"/>
        <w:jc w:val="center"/>
        <w:tblLayout w:type="fixed"/>
        <w:tblLook w:val="00A0" w:firstRow="1" w:lastRow="0" w:firstColumn="1" w:lastColumn="0" w:noHBand="0" w:noVBand="0"/>
      </w:tblPr>
      <w:tblGrid>
        <w:gridCol w:w="1669"/>
        <w:gridCol w:w="1707"/>
        <w:gridCol w:w="1321"/>
        <w:gridCol w:w="1123"/>
        <w:gridCol w:w="1310"/>
        <w:gridCol w:w="1123"/>
        <w:gridCol w:w="1497"/>
      </w:tblGrid>
      <w:tr w:rsidR="009F2F28" w:rsidTr="009F2F28">
        <w:trPr>
          <w:trHeight w:val="316"/>
          <w:jc w:val="center"/>
        </w:trPr>
        <w:tc>
          <w:tcPr>
            <w:tcW w:w="3376" w:type="dxa"/>
            <w:gridSpan w:val="2"/>
            <w:vMerge w:val="restart"/>
            <w:tcBorders>
              <w:top w:val="single" w:sz="4" w:space="0" w:color="auto"/>
              <w:left w:val="single" w:sz="4" w:space="0" w:color="auto"/>
              <w:bottom w:val="single" w:sz="4" w:space="0" w:color="auto"/>
              <w:right w:val="single" w:sz="4" w:space="0" w:color="auto"/>
            </w:tcBorders>
            <w:shd w:val="clear" w:color="auto" w:fill="C2D69B"/>
            <w:vAlign w:val="center"/>
            <w:hideMark/>
          </w:tcPr>
          <w:p w:rsidR="009F2F28" w:rsidRDefault="009F2F28">
            <w:pPr>
              <w:ind w:firstLine="27"/>
              <w:jc w:val="center"/>
              <w:rPr>
                <w:rFonts w:eastAsia="MS Mincho"/>
                <w:b/>
                <w:sz w:val="28"/>
                <w:szCs w:val="28"/>
                <w:lang w:eastAsia="ja-JP"/>
              </w:rPr>
            </w:pPr>
            <w:r>
              <w:rPr>
                <w:rFonts w:eastAsia="MS Mincho"/>
                <w:b/>
                <w:sz w:val="28"/>
                <w:szCs w:val="28"/>
                <w:lang w:eastAsia="ja-JP"/>
              </w:rPr>
              <w:t>Платежный инструмент</w:t>
            </w:r>
          </w:p>
        </w:tc>
        <w:tc>
          <w:tcPr>
            <w:tcW w:w="2444" w:type="dxa"/>
            <w:gridSpan w:val="2"/>
            <w:tcBorders>
              <w:top w:val="single" w:sz="4" w:space="0" w:color="auto"/>
              <w:left w:val="single" w:sz="4" w:space="0" w:color="auto"/>
              <w:bottom w:val="single" w:sz="4" w:space="0" w:color="auto"/>
              <w:right w:val="single" w:sz="4" w:space="0" w:color="auto"/>
            </w:tcBorders>
            <w:shd w:val="clear" w:color="auto" w:fill="C2D69B"/>
            <w:vAlign w:val="center"/>
            <w:hideMark/>
          </w:tcPr>
          <w:p w:rsidR="009F2F28" w:rsidRDefault="009F2F28">
            <w:pPr>
              <w:ind w:firstLine="27"/>
              <w:jc w:val="center"/>
              <w:rPr>
                <w:rFonts w:eastAsia="MS Mincho"/>
                <w:b/>
                <w:sz w:val="28"/>
                <w:szCs w:val="28"/>
                <w:lang w:eastAsia="ja-JP"/>
              </w:rPr>
            </w:pPr>
            <w:r>
              <w:rPr>
                <w:rFonts w:eastAsia="MS Mincho"/>
                <w:b/>
                <w:sz w:val="28"/>
                <w:szCs w:val="28"/>
                <w:lang w:eastAsia="ja-JP"/>
              </w:rPr>
              <w:t>201</w:t>
            </w:r>
            <w:r>
              <w:rPr>
                <w:rFonts w:eastAsia="MS Mincho"/>
                <w:b/>
                <w:sz w:val="28"/>
                <w:szCs w:val="28"/>
                <w:lang w:val="en-US" w:eastAsia="ja-JP"/>
              </w:rPr>
              <w:t>3</w:t>
            </w:r>
            <w:r>
              <w:rPr>
                <w:rFonts w:eastAsia="MS Mincho"/>
                <w:b/>
                <w:sz w:val="28"/>
                <w:szCs w:val="28"/>
                <w:lang w:eastAsia="ja-JP"/>
              </w:rPr>
              <w:t xml:space="preserve"> год</w:t>
            </w:r>
          </w:p>
        </w:tc>
        <w:tc>
          <w:tcPr>
            <w:tcW w:w="2433" w:type="dxa"/>
            <w:gridSpan w:val="2"/>
            <w:tcBorders>
              <w:top w:val="single" w:sz="4" w:space="0" w:color="auto"/>
              <w:left w:val="single" w:sz="4" w:space="0" w:color="auto"/>
              <w:bottom w:val="single" w:sz="4" w:space="0" w:color="auto"/>
              <w:right w:val="single" w:sz="4" w:space="0" w:color="000000"/>
            </w:tcBorders>
            <w:shd w:val="clear" w:color="auto" w:fill="C2D69B"/>
            <w:vAlign w:val="center"/>
            <w:hideMark/>
          </w:tcPr>
          <w:p w:rsidR="009F2F28" w:rsidRDefault="009F2F28">
            <w:pPr>
              <w:ind w:firstLine="27"/>
              <w:jc w:val="center"/>
              <w:rPr>
                <w:rFonts w:eastAsia="MS Mincho"/>
                <w:b/>
                <w:sz w:val="28"/>
                <w:szCs w:val="28"/>
                <w:lang w:eastAsia="ja-JP"/>
              </w:rPr>
            </w:pPr>
            <w:r>
              <w:rPr>
                <w:rFonts w:eastAsia="MS Mincho"/>
                <w:b/>
                <w:sz w:val="28"/>
                <w:szCs w:val="28"/>
                <w:lang w:eastAsia="ja-JP"/>
              </w:rPr>
              <w:t>201</w:t>
            </w:r>
            <w:r>
              <w:rPr>
                <w:rFonts w:eastAsia="MS Mincho"/>
                <w:b/>
                <w:sz w:val="28"/>
                <w:szCs w:val="28"/>
                <w:lang w:val="en-US" w:eastAsia="ja-JP"/>
              </w:rPr>
              <w:t>4</w:t>
            </w:r>
            <w:r>
              <w:rPr>
                <w:rFonts w:eastAsia="MS Mincho"/>
                <w:b/>
                <w:sz w:val="28"/>
                <w:szCs w:val="28"/>
                <w:lang w:eastAsia="ja-JP"/>
              </w:rPr>
              <w:t xml:space="preserve"> год</w:t>
            </w:r>
          </w:p>
        </w:tc>
        <w:tc>
          <w:tcPr>
            <w:tcW w:w="1497" w:type="dxa"/>
            <w:vMerge w:val="restart"/>
            <w:tcBorders>
              <w:top w:val="single" w:sz="4" w:space="0" w:color="auto"/>
              <w:left w:val="single" w:sz="4" w:space="0" w:color="auto"/>
              <w:bottom w:val="single" w:sz="4" w:space="0" w:color="000000"/>
              <w:right w:val="single" w:sz="4" w:space="0" w:color="auto"/>
            </w:tcBorders>
            <w:shd w:val="clear" w:color="auto" w:fill="C2D69B"/>
            <w:vAlign w:val="center"/>
            <w:hideMark/>
          </w:tcPr>
          <w:p w:rsidR="009F2F28" w:rsidRDefault="009F2F28">
            <w:pPr>
              <w:ind w:firstLine="27"/>
              <w:jc w:val="center"/>
              <w:rPr>
                <w:rFonts w:eastAsia="MS Mincho"/>
                <w:b/>
                <w:i/>
                <w:lang w:eastAsia="ja-JP"/>
              </w:rPr>
            </w:pPr>
            <w:r>
              <w:rPr>
                <w:rFonts w:eastAsia="MS Mincho"/>
                <w:b/>
                <w:i/>
                <w:lang w:eastAsia="ja-JP"/>
              </w:rPr>
              <w:t>Изменение (в %/раз)</w:t>
            </w:r>
          </w:p>
        </w:tc>
      </w:tr>
      <w:tr w:rsidR="009F2F28" w:rsidTr="00A7426E">
        <w:trPr>
          <w:trHeight w:val="631"/>
          <w:jc w:val="center"/>
        </w:trPr>
        <w:tc>
          <w:tcPr>
            <w:tcW w:w="3376" w:type="dxa"/>
            <w:gridSpan w:val="2"/>
            <w:vMerge/>
            <w:tcBorders>
              <w:top w:val="single" w:sz="4" w:space="0" w:color="auto"/>
              <w:left w:val="single" w:sz="4" w:space="0" w:color="auto"/>
              <w:bottom w:val="single" w:sz="4" w:space="0" w:color="auto"/>
              <w:right w:val="single" w:sz="4" w:space="0" w:color="auto"/>
            </w:tcBorders>
            <w:vAlign w:val="center"/>
            <w:hideMark/>
          </w:tcPr>
          <w:p w:rsidR="009F2F28" w:rsidRDefault="009F2F28">
            <w:pPr>
              <w:rPr>
                <w:rFonts w:eastAsia="MS Mincho"/>
                <w:b/>
                <w:sz w:val="28"/>
                <w:szCs w:val="28"/>
                <w:lang w:eastAsia="ja-JP"/>
              </w:rPr>
            </w:pPr>
          </w:p>
        </w:tc>
        <w:tc>
          <w:tcPr>
            <w:tcW w:w="1321"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9F2F28" w:rsidRDefault="009F2F28">
            <w:pPr>
              <w:ind w:firstLine="27"/>
              <w:jc w:val="center"/>
              <w:rPr>
                <w:rFonts w:eastAsia="MS Mincho"/>
                <w:lang w:eastAsia="ja-JP"/>
              </w:rPr>
            </w:pPr>
            <w:r>
              <w:rPr>
                <w:rFonts w:eastAsia="MS Mincho"/>
                <w:lang w:eastAsia="ja-JP"/>
              </w:rPr>
              <w:t>абс. значение</w:t>
            </w:r>
          </w:p>
        </w:tc>
        <w:tc>
          <w:tcPr>
            <w:tcW w:w="1123" w:type="dxa"/>
            <w:tcBorders>
              <w:top w:val="single" w:sz="4" w:space="0" w:color="auto"/>
              <w:left w:val="nil"/>
              <w:bottom w:val="single" w:sz="4" w:space="0" w:color="auto"/>
              <w:right w:val="single" w:sz="4" w:space="0" w:color="auto"/>
            </w:tcBorders>
            <w:shd w:val="clear" w:color="auto" w:fill="C2D69B"/>
            <w:vAlign w:val="center"/>
            <w:hideMark/>
          </w:tcPr>
          <w:p w:rsidR="009F2F28" w:rsidRDefault="009F2F28">
            <w:pPr>
              <w:ind w:firstLine="27"/>
              <w:jc w:val="center"/>
              <w:rPr>
                <w:rFonts w:eastAsia="MS Mincho"/>
                <w:i/>
                <w:lang w:eastAsia="ja-JP"/>
              </w:rPr>
            </w:pPr>
            <w:r>
              <w:rPr>
                <w:rFonts w:eastAsia="MS Mincho"/>
                <w:i/>
                <w:lang w:eastAsia="ja-JP"/>
              </w:rPr>
              <w:t>в % от общего объема</w:t>
            </w:r>
          </w:p>
        </w:tc>
        <w:tc>
          <w:tcPr>
            <w:tcW w:w="1310" w:type="dxa"/>
            <w:tcBorders>
              <w:top w:val="nil"/>
              <w:left w:val="nil"/>
              <w:bottom w:val="single" w:sz="4" w:space="0" w:color="auto"/>
              <w:right w:val="single" w:sz="4" w:space="0" w:color="auto"/>
            </w:tcBorders>
            <w:shd w:val="clear" w:color="auto" w:fill="C2D69B"/>
            <w:vAlign w:val="center"/>
            <w:hideMark/>
          </w:tcPr>
          <w:p w:rsidR="009F2F28" w:rsidRDefault="009F2F28">
            <w:pPr>
              <w:ind w:firstLine="27"/>
              <w:jc w:val="center"/>
              <w:rPr>
                <w:rFonts w:eastAsia="MS Mincho"/>
                <w:lang w:eastAsia="ja-JP"/>
              </w:rPr>
            </w:pPr>
            <w:r>
              <w:rPr>
                <w:rFonts w:eastAsia="MS Mincho"/>
                <w:lang w:eastAsia="ja-JP"/>
              </w:rPr>
              <w:t>абс. значение</w:t>
            </w:r>
          </w:p>
        </w:tc>
        <w:tc>
          <w:tcPr>
            <w:tcW w:w="1123" w:type="dxa"/>
            <w:tcBorders>
              <w:top w:val="nil"/>
              <w:left w:val="nil"/>
              <w:bottom w:val="single" w:sz="4" w:space="0" w:color="auto"/>
              <w:right w:val="single" w:sz="4" w:space="0" w:color="auto"/>
            </w:tcBorders>
            <w:shd w:val="clear" w:color="auto" w:fill="C2D69B"/>
            <w:vAlign w:val="center"/>
            <w:hideMark/>
          </w:tcPr>
          <w:p w:rsidR="009F2F28" w:rsidRDefault="009F2F28">
            <w:pPr>
              <w:ind w:firstLine="27"/>
              <w:jc w:val="center"/>
              <w:rPr>
                <w:rFonts w:eastAsia="MS Mincho"/>
                <w:i/>
                <w:lang w:eastAsia="ja-JP"/>
              </w:rPr>
            </w:pPr>
            <w:r>
              <w:rPr>
                <w:rFonts w:eastAsia="MS Mincho"/>
                <w:i/>
                <w:lang w:eastAsia="ja-JP"/>
              </w:rPr>
              <w:t>в % от общего объема</w:t>
            </w:r>
          </w:p>
        </w:tc>
        <w:tc>
          <w:tcPr>
            <w:tcW w:w="1497" w:type="dxa"/>
            <w:vMerge/>
            <w:tcBorders>
              <w:top w:val="single" w:sz="4" w:space="0" w:color="auto"/>
              <w:left w:val="single" w:sz="4" w:space="0" w:color="auto"/>
              <w:bottom w:val="single" w:sz="4" w:space="0" w:color="000000"/>
              <w:right w:val="single" w:sz="4" w:space="0" w:color="auto"/>
            </w:tcBorders>
            <w:vAlign w:val="center"/>
            <w:hideMark/>
          </w:tcPr>
          <w:p w:rsidR="009F2F28" w:rsidRDefault="009F2F28">
            <w:pPr>
              <w:rPr>
                <w:rFonts w:eastAsia="MS Mincho"/>
                <w:b/>
                <w:i/>
                <w:lang w:eastAsia="ja-JP"/>
              </w:rPr>
            </w:pPr>
          </w:p>
        </w:tc>
      </w:tr>
      <w:tr w:rsidR="00A7426E" w:rsidTr="009F2F28">
        <w:trPr>
          <w:trHeight w:val="316"/>
          <w:jc w:val="center"/>
        </w:trPr>
        <w:tc>
          <w:tcPr>
            <w:tcW w:w="1669" w:type="dxa"/>
            <w:vMerge w:val="restart"/>
            <w:tcBorders>
              <w:top w:val="single" w:sz="4" w:space="0" w:color="auto"/>
              <w:left w:val="single" w:sz="4" w:space="0" w:color="auto"/>
              <w:bottom w:val="single" w:sz="4" w:space="0" w:color="000000"/>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Платежные поручения</w:t>
            </w:r>
            <w:r>
              <w:rPr>
                <w:rStyle w:val="ab"/>
                <w:rFonts w:eastAsia="MS Mincho"/>
                <w:lang w:eastAsia="ja-JP"/>
              </w:rPr>
              <w:footnoteReference w:id="26"/>
            </w:r>
          </w:p>
        </w:tc>
        <w:tc>
          <w:tcPr>
            <w:tcW w:w="1707" w:type="dxa"/>
            <w:tcBorders>
              <w:top w:val="single" w:sz="4" w:space="0" w:color="auto"/>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Количество</w:t>
            </w:r>
          </w:p>
        </w:tc>
        <w:tc>
          <w:tcPr>
            <w:tcW w:w="1321" w:type="dxa"/>
            <w:tcBorders>
              <w:top w:val="nil"/>
              <w:left w:val="nil"/>
              <w:bottom w:val="single" w:sz="4" w:space="0" w:color="auto"/>
              <w:right w:val="single" w:sz="4" w:space="0" w:color="auto"/>
            </w:tcBorders>
            <w:vAlign w:val="center"/>
            <w:hideMark/>
          </w:tcPr>
          <w:p w:rsidR="00A7426E" w:rsidRPr="00DF3D57" w:rsidRDefault="00BD430F" w:rsidP="00B23B8E">
            <w:pPr>
              <w:jc w:val="center"/>
              <w:rPr>
                <w:color w:val="000000"/>
              </w:rPr>
            </w:pPr>
            <w:r>
              <w:rPr>
                <w:color w:val="000000"/>
              </w:rPr>
              <w:t>129 639,8</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37,3%</w:t>
            </w:r>
          </w:p>
        </w:tc>
        <w:tc>
          <w:tcPr>
            <w:tcW w:w="1310" w:type="dxa"/>
            <w:tcBorders>
              <w:top w:val="nil"/>
              <w:left w:val="nil"/>
              <w:bottom w:val="single" w:sz="4" w:space="0" w:color="auto"/>
              <w:right w:val="single" w:sz="4" w:space="0" w:color="auto"/>
            </w:tcBorders>
            <w:vAlign w:val="center"/>
            <w:hideMark/>
          </w:tcPr>
          <w:p w:rsidR="00A7426E" w:rsidRPr="00DF3D57" w:rsidRDefault="00BD430F" w:rsidP="00B23B8E">
            <w:pPr>
              <w:jc w:val="center"/>
              <w:rPr>
                <w:color w:val="000000"/>
              </w:rPr>
            </w:pPr>
            <w:r>
              <w:rPr>
                <w:color w:val="000000"/>
              </w:rPr>
              <w:t>136 486,9</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36,0%</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5,3%</w:t>
            </w:r>
          </w:p>
        </w:tc>
      </w:tr>
      <w:tr w:rsidR="00A7426E" w:rsidTr="00A7426E">
        <w:trPr>
          <w:trHeight w:val="316"/>
          <w:jc w:val="center"/>
        </w:trPr>
        <w:tc>
          <w:tcPr>
            <w:tcW w:w="1669" w:type="dxa"/>
            <w:vMerge/>
            <w:tcBorders>
              <w:top w:val="single" w:sz="4" w:space="0" w:color="auto"/>
              <w:left w:val="single" w:sz="4" w:space="0" w:color="auto"/>
              <w:bottom w:val="single" w:sz="4" w:space="0" w:color="000000"/>
              <w:right w:val="single" w:sz="4" w:space="0" w:color="auto"/>
            </w:tcBorders>
            <w:vAlign w:val="center"/>
            <w:hideMark/>
          </w:tcPr>
          <w:p w:rsidR="00A7426E" w:rsidRDefault="00A7426E">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Сумма</w:t>
            </w:r>
          </w:p>
        </w:tc>
        <w:tc>
          <w:tcPr>
            <w:tcW w:w="1321"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117 571,1</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93,7%</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124 265,3</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93,9%</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5,7%</w:t>
            </w:r>
          </w:p>
        </w:tc>
      </w:tr>
      <w:tr w:rsidR="00A7426E" w:rsidTr="009F2F28">
        <w:trPr>
          <w:trHeight w:val="413"/>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Платежные требования-поручения</w:t>
            </w: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Количество</w:t>
            </w:r>
          </w:p>
        </w:tc>
        <w:tc>
          <w:tcPr>
            <w:tcW w:w="1321"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2</w:t>
            </w:r>
            <w:r w:rsidR="00BD430F">
              <w:rPr>
                <w:color w:val="000000"/>
              </w:rPr>
              <w:t xml:space="preserve"> </w:t>
            </w:r>
            <w:r w:rsidRPr="00DF3D57">
              <w:rPr>
                <w:color w:val="000000"/>
              </w:rPr>
              <w:t>559,8</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0,7%</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2</w:t>
            </w:r>
            <w:r w:rsidR="00BD430F">
              <w:rPr>
                <w:color w:val="000000"/>
              </w:rPr>
              <w:t xml:space="preserve"> </w:t>
            </w:r>
            <w:r w:rsidRPr="00DF3D57">
              <w:rPr>
                <w:color w:val="000000"/>
              </w:rPr>
              <w:t>082,7</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0,5%</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-18,6%</w:t>
            </w:r>
          </w:p>
        </w:tc>
      </w:tr>
      <w:tr w:rsidR="00A7426E" w:rsidTr="00A7426E">
        <w:trPr>
          <w:trHeight w:val="316"/>
          <w:jc w:val="center"/>
        </w:trPr>
        <w:tc>
          <w:tcPr>
            <w:tcW w:w="1669" w:type="dxa"/>
            <w:vMerge/>
            <w:tcBorders>
              <w:top w:val="nil"/>
              <w:left w:val="single" w:sz="4" w:space="0" w:color="auto"/>
              <w:bottom w:val="single" w:sz="4" w:space="0" w:color="000000"/>
              <w:right w:val="single" w:sz="4" w:space="0" w:color="auto"/>
            </w:tcBorders>
            <w:vAlign w:val="center"/>
            <w:hideMark/>
          </w:tcPr>
          <w:p w:rsidR="00A7426E" w:rsidRDefault="00A7426E">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Сумма</w:t>
            </w:r>
          </w:p>
        </w:tc>
        <w:tc>
          <w:tcPr>
            <w:tcW w:w="1321"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6,9</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0,01%</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13,3</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0,01%</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92,4%</w:t>
            </w:r>
          </w:p>
        </w:tc>
      </w:tr>
      <w:tr w:rsidR="00A7426E" w:rsidTr="009F2F28">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Инкассовые распоряжения</w:t>
            </w: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Количество</w:t>
            </w:r>
          </w:p>
        </w:tc>
        <w:tc>
          <w:tcPr>
            <w:tcW w:w="1321"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96,7</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0,03%</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130,2</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0,03%</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34,6%</w:t>
            </w:r>
          </w:p>
        </w:tc>
      </w:tr>
      <w:tr w:rsidR="00A7426E" w:rsidTr="00A7426E">
        <w:trPr>
          <w:trHeight w:val="316"/>
          <w:jc w:val="center"/>
        </w:trPr>
        <w:tc>
          <w:tcPr>
            <w:tcW w:w="1669" w:type="dxa"/>
            <w:vMerge/>
            <w:tcBorders>
              <w:top w:val="nil"/>
              <w:left w:val="single" w:sz="4" w:space="0" w:color="auto"/>
              <w:bottom w:val="single" w:sz="4" w:space="0" w:color="000000"/>
              <w:right w:val="single" w:sz="4" w:space="0" w:color="auto"/>
            </w:tcBorders>
            <w:vAlign w:val="center"/>
            <w:hideMark/>
          </w:tcPr>
          <w:p w:rsidR="00A7426E" w:rsidRDefault="00A7426E">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Сумма</w:t>
            </w:r>
          </w:p>
        </w:tc>
        <w:tc>
          <w:tcPr>
            <w:tcW w:w="1321"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85,1</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0,07%</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108,5</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0,08%</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27,5%</w:t>
            </w:r>
          </w:p>
        </w:tc>
      </w:tr>
      <w:tr w:rsidR="00A7426E" w:rsidTr="009F2F28">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Платежные карточки</w:t>
            </w: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Количество</w:t>
            </w:r>
          </w:p>
        </w:tc>
        <w:tc>
          <w:tcPr>
            <w:tcW w:w="1321"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215 076,3</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61,9%</w:t>
            </w:r>
          </w:p>
        </w:tc>
        <w:tc>
          <w:tcPr>
            <w:tcW w:w="1310" w:type="dxa"/>
            <w:tcBorders>
              <w:top w:val="nil"/>
              <w:left w:val="nil"/>
              <w:bottom w:val="single" w:sz="4" w:space="0" w:color="auto"/>
              <w:right w:val="single" w:sz="4" w:space="0" w:color="auto"/>
            </w:tcBorders>
            <w:vAlign w:val="center"/>
            <w:hideMark/>
          </w:tcPr>
          <w:p w:rsidR="00A7426E" w:rsidRPr="00DF3D57" w:rsidRDefault="00BD430F" w:rsidP="00B23B8E">
            <w:pPr>
              <w:jc w:val="center"/>
              <w:rPr>
                <w:color w:val="000000"/>
              </w:rPr>
            </w:pPr>
            <w:r>
              <w:rPr>
                <w:color w:val="000000"/>
              </w:rPr>
              <w:t>240 691,0</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63,4%</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11,9%</w:t>
            </w:r>
          </w:p>
        </w:tc>
      </w:tr>
      <w:tr w:rsidR="00A7426E" w:rsidTr="00A7426E">
        <w:trPr>
          <w:trHeight w:val="316"/>
          <w:jc w:val="center"/>
        </w:trPr>
        <w:tc>
          <w:tcPr>
            <w:tcW w:w="1669" w:type="dxa"/>
            <w:vMerge/>
            <w:tcBorders>
              <w:top w:val="nil"/>
              <w:left w:val="single" w:sz="4" w:space="0" w:color="auto"/>
              <w:bottom w:val="single" w:sz="4" w:space="0" w:color="000000"/>
              <w:right w:val="single" w:sz="4" w:space="0" w:color="auto"/>
            </w:tcBorders>
            <w:vAlign w:val="center"/>
            <w:hideMark/>
          </w:tcPr>
          <w:p w:rsidR="00A7426E" w:rsidRDefault="00A7426E">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Сумма</w:t>
            </w:r>
          </w:p>
        </w:tc>
        <w:tc>
          <w:tcPr>
            <w:tcW w:w="1321" w:type="dxa"/>
            <w:tcBorders>
              <w:top w:val="nil"/>
              <w:left w:val="nil"/>
              <w:bottom w:val="single" w:sz="4" w:space="0" w:color="auto"/>
              <w:right w:val="single" w:sz="4" w:space="0" w:color="auto"/>
            </w:tcBorders>
            <w:vAlign w:val="center"/>
            <w:hideMark/>
          </w:tcPr>
          <w:p w:rsidR="00A7426E" w:rsidRPr="00DF3D57" w:rsidRDefault="00BD430F" w:rsidP="00B23B8E">
            <w:pPr>
              <w:jc w:val="center"/>
              <w:rPr>
                <w:color w:val="000000"/>
              </w:rPr>
            </w:pPr>
            <w:r>
              <w:rPr>
                <w:color w:val="000000"/>
              </w:rPr>
              <w:t>6 537,3</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5,2%</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7 734,7</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5,8%</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18,3%</w:t>
            </w:r>
          </w:p>
        </w:tc>
      </w:tr>
      <w:tr w:rsidR="00A7426E" w:rsidTr="009F2F28">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Прочие инструменты</w:t>
            </w:r>
            <w:r>
              <w:rPr>
                <w:rStyle w:val="ab"/>
                <w:spacing w:val="-6"/>
              </w:rPr>
              <w:footnoteReference w:id="27"/>
            </w: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Количество</w:t>
            </w:r>
          </w:p>
        </w:tc>
        <w:tc>
          <w:tcPr>
            <w:tcW w:w="1321" w:type="dxa"/>
            <w:tcBorders>
              <w:top w:val="nil"/>
              <w:left w:val="nil"/>
              <w:bottom w:val="single" w:sz="4" w:space="0" w:color="auto"/>
              <w:right w:val="single" w:sz="4" w:space="0" w:color="auto"/>
            </w:tcBorders>
            <w:vAlign w:val="center"/>
            <w:hideMark/>
          </w:tcPr>
          <w:p w:rsidR="00A7426E" w:rsidRPr="00DF3D57" w:rsidRDefault="00BD430F" w:rsidP="00B23B8E">
            <w:pPr>
              <w:jc w:val="center"/>
              <w:rPr>
                <w:color w:val="000000"/>
              </w:rPr>
            </w:pPr>
            <w:r>
              <w:rPr>
                <w:color w:val="000000"/>
              </w:rPr>
              <w:t>30,9</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0,01%</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13,4</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0,004%</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-56,6%</w:t>
            </w:r>
          </w:p>
        </w:tc>
      </w:tr>
      <w:tr w:rsidR="00A7426E" w:rsidTr="00A7426E">
        <w:trPr>
          <w:trHeight w:val="316"/>
          <w:jc w:val="center"/>
        </w:trPr>
        <w:tc>
          <w:tcPr>
            <w:tcW w:w="1669" w:type="dxa"/>
            <w:vMerge/>
            <w:tcBorders>
              <w:top w:val="nil"/>
              <w:left w:val="single" w:sz="4" w:space="0" w:color="auto"/>
              <w:bottom w:val="single" w:sz="4" w:space="0" w:color="000000"/>
              <w:right w:val="single" w:sz="4" w:space="0" w:color="auto"/>
            </w:tcBorders>
            <w:vAlign w:val="center"/>
            <w:hideMark/>
          </w:tcPr>
          <w:p w:rsidR="00A7426E" w:rsidRDefault="00A7426E">
            <w:pPr>
              <w:rPr>
                <w:rFonts w:eastAsia="MS Mincho"/>
                <w:lang w:eastAsia="ja-JP"/>
              </w:rPr>
            </w:pPr>
          </w:p>
        </w:tc>
        <w:tc>
          <w:tcPr>
            <w:tcW w:w="1707" w:type="dxa"/>
            <w:tcBorders>
              <w:top w:val="nil"/>
              <w:left w:val="nil"/>
              <w:bottom w:val="single" w:sz="4" w:space="0" w:color="auto"/>
              <w:right w:val="single" w:sz="4" w:space="0" w:color="auto"/>
            </w:tcBorders>
            <w:shd w:val="clear" w:color="auto" w:fill="EAF1DD"/>
            <w:vAlign w:val="center"/>
            <w:hideMark/>
          </w:tcPr>
          <w:p w:rsidR="00A7426E" w:rsidRDefault="00A7426E">
            <w:pPr>
              <w:ind w:firstLine="27"/>
              <w:jc w:val="center"/>
              <w:rPr>
                <w:rFonts w:eastAsia="MS Mincho"/>
                <w:lang w:eastAsia="ja-JP"/>
              </w:rPr>
            </w:pPr>
            <w:r>
              <w:rPr>
                <w:rFonts w:eastAsia="MS Mincho"/>
                <w:lang w:eastAsia="ja-JP"/>
              </w:rPr>
              <w:t>Сумма</w:t>
            </w:r>
          </w:p>
        </w:tc>
        <w:tc>
          <w:tcPr>
            <w:tcW w:w="1321" w:type="dxa"/>
            <w:tcBorders>
              <w:top w:val="nil"/>
              <w:left w:val="nil"/>
              <w:bottom w:val="single" w:sz="4" w:space="0" w:color="auto"/>
              <w:right w:val="single" w:sz="4" w:space="0" w:color="auto"/>
            </w:tcBorders>
            <w:vAlign w:val="center"/>
            <w:hideMark/>
          </w:tcPr>
          <w:p w:rsidR="00A7426E" w:rsidRPr="00DF3D57" w:rsidRDefault="00BD430F" w:rsidP="00B23B8E">
            <w:pPr>
              <w:jc w:val="center"/>
              <w:rPr>
                <w:color w:val="000000"/>
              </w:rPr>
            </w:pPr>
            <w:r>
              <w:rPr>
                <w:color w:val="000000"/>
              </w:rPr>
              <w:t>1 315,2</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1,0%</w:t>
            </w:r>
          </w:p>
        </w:tc>
        <w:tc>
          <w:tcPr>
            <w:tcW w:w="1310" w:type="dxa"/>
            <w:tcBorders>
              <w:top w:val="nil"/>
              <w:left w:val="nil"/>
              <w:bottom w:val="single" w:sz="4" w:space="0" w:color="auto"/>
              <w:right w:val="single" w:sz="4" w:space="0" w:color="auto"/>
            </w:tcBorders>
            <w:vAlign w:val="center"/>
            <w:hideMark/>
          </w:tcPr>
          <w:p w:rsidR="00A7426E" w:rsidRPr="00DF3D57" w:rsidRDefault="00A7426E" w:rsidP="00B23B8E">
            <w:pPr>
              <w:jc w:val="center"/>
              <w:rPr>
                <w:color w:val="000000"/>
              </w:rPr>
            </w:pPr>
            <w:r w:rsidRPr="00DF3D57">
              <w:rPr>
                <w:color w:val="000000"/>
              </w:rPr>
              <w:t>200,4</w:t>
            </w:r>
          </w:p>
        </w:tc>
        <w:tc>
          <w:tcPr>
            <w:tcW w:w="1123"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0,2%</w:t>
            </w:r>
          </w:p>
        </w:tc>
        <w:tc>
          <w:tcPr>
            <w:tcW w:w="1497" w:type="dxa"/>
            <w:tcBorders>
              <w:top w:val="nil"/>
              <w:left w:val="nil"/>
              <w:bottom w:val="single" w:sz="4" w:space="0" w:color="auto"/>
              <w:right w:val="single" w:sz="4" w:space="0" w:color="auto"/>
            </w:tcBorders>
            <w:vAlign w:val="center"/>
            <w:hideMark/>
          </w:tcPr>
          <w:p w:rsidR="00A7426E" w:rsidRPr="0050403B" w:rsidRDefault="00A7426E" w:rsidP="00B23B8E">
            <w:pPr>
              <w:jc w:val="center"/>
              <w:rPr>
                <w:i/>
                <w:color w:val="000000"/>
              </w:rPr>
            </w:pPr>
            <w:r w:rsidRPr="0050403B">
              <w:rPr>
                <w:i/>
                <w:color w:val="000000"/>
              </w:rPr>
              <w:t>-84,8%</w:t>
            </w:r>
          </w:p>
        </w:tc>
      </w:tr>
      <w:tr w:rsidR="00A7426E" w:rsidTr="009F2F28">
        <w:trPr>
          <w:trHeight w:val="316"/>
          <w:jc w:val="center"/>
        </w:trPr>
        <w:tc>
          <w:tcPr>
            <w:tcW w:w="1669" w:type="dxa"/>
            <w:vMerge w:val="restart"/>
            <w:tcBorders>
              <w:top w:val="nil"/>
              <w:left w:val="single" w:sz="4" w:space="0" w:color="auto"/>
              <w:bottom w:val="single" w:sz="4" w:space="0" w:color="000000"/>
              <w:right w:val="single" w:sz="4" w:space="0" w:color="auto"/>
            </w:tcBorders>
            <w:shd w:val="clear" w:color="auto" w:fill="C2D69B"/>
            <w:vAlign w:val="center"/>
            <w:hideMark/>
          </w:tcPr>
          <w:p w:rsidR="00A7426E" w:rsidRDefault="00A7426E">
            <w:pPr>
              <w:ind w:firstLine="27"/>
              <w:jc w:val="center"/>
              <w:rPr>
                <w:rFonts w:eastAsia="MS Mincho"/>
                <w:b/>
                <w:lang w:eastAsia="ja-JP"/>
              </w:rPr>
            </w:pPr>
            <w:r>
              <w:rPr>
                <w:rFonts w:eastAsia="MS Mincho"/>
                <w:b/>
                <w:lang w:eastAsia="ja-JP"/>
              </w:rPr>
              <w:t>Общий итог</w:t>
            </w:r>
          </w:p>
        </w:tc>
        <w:tc>
          <w:tcPr>
            <w:tcW w:w="1707" w:type="dxa"/>
            <w:tcBorders>
              <w:top w:val="nil"/>
              <w:left w:val="nil"/>
              <w:bottom w:val="single" w:sz="4" w:space="0" w:color="auto"/>
              <w:right w:val="single" w:sz="4" w:space="0" w:color="auto"/>
            </w:tcBorders>
            <w:shd w:val="clear" w:color="auto" w:fill="C2D69B"/>
            <w:vAlign w:val="center"/>
            <w:hideMark/>
          </w:tcPr>
          <w:p w:rsidR="00A7426E" w:rsidRDefault="00A7426E">
            <w:pPr>
              <w:ind w:firstLine="27"/>
              <w:jc w:val="center"/>
              <w:rPr>
                <w:rFonts w:eastAsia="MS Mincho"/>
                <w:b/>
                <w:lang w:eastAsia="ja-JP"/>
              </w:rPr>
            </w:pPr>
            <w:r>
              <w:rPr>
                <w:rFonts w:eastAsia="MS Mincho"/>
                <w:b/>
                <w:lang w:eastAsia="ja-JP"/>
              </w:rPr>
              <w:t>Количество</w:t>
            </w:r>
          </w:p>
        </w:tc>
        <w:tc>
          <w:tcPr>
            <w:tcW w:w="1321" w:type="dxa"/>
            <w:tcBorders>
              <w:top w:val="nil"/>
              <w:left w:val="nil"/>
              <w:bottom w:val="single" w:sz="4" w:space="0" w:color="auto"/>
              <w:right w:val="single" w:sz="4" w:space="0" w:color="auto"/>
            </w:tcBorders>
            <w:vAlign w:val="center"/>
            <w:hideMark/>
          </w:tcPr>
          <w:p w:rsidR="00A7426E" w:rsidRPr="00DF3D57" w:rsidRDefault="00BD430F" w:rsidP="00B23B8E">
            <w:pPr>
              <w:jc w:val="center"/>
              <w:rPr>
                <w:b/>
                <w:bCs/>
                <w:color w:val="000000"/>
              </w:rPr>
            </w:pPr>
            <w:r>
              <w:rPr>
                <w:b/>
                <w:bCs/>
                <w:color w:val="000000"/>
              </w:rPr>
              <w:t>347 403,6</w:t>
            </w:r>
          </w:p>
        </w:tc>
        <w:tc>
          <w:tcPr>
            <w:tcW w:w="1123" w:type="dxa"/>
            <w:tcBorders>
              <w:top w:val="nil"/>
              <w:left w:val="nil"/>
              <w:bottom w:val="single" w:sz="4" w:space="0" w:color="auto"/>
              <w:right w:val="single" w:sz="4" w:space="0" w:color="auto"/>
            </w:tcBorders>
            <w:vAlign w:val="center"/>
            <w:hideMark/>
          </w:tcPr>
          <w:p w:rsidR="00A7426E" w:rsidRPr="0050403B" w:rsidRDefault="00BD430F" w:rsidP="00BD430F">
            <w:pPr>
              <w:jc w:val="center"/>
              <w:rPr>
                <w:b/>
                <w:bCs/>
                <w:i/>
                <w:color w:val="000000"/>
              </w:rPr>
            </w:pPr>
            <w:r>
              <w:rPr>
                <w:b/>
                <w:bCs/>
                <w:i/>
                <w:color w:val="000000"/>
              </w:rPr>
              <w:t>100</w:t>
            </w:r>
            <w:r w:rsidR="00A7426E" w:rsidRPr="0050403B">
              <w:rPr>
                <w:b/>
                <w:bCs/>
                <w:i/>
                <w:color w:val="000000"/>
              </w:rPr>
              <w:t>%</w:t>
            </w:r>
          </w:p>
        </w:tc>
        <w:tc>
          <w:tcPr>
            <w:tcW w:w="1310" w:type="dxa"/>
            <w:tcBorders>
              <w:top w:val="nil"/>
              <w:left w:val="nil"/>
              <w:bottom w:val="single" w:sz="4" w:space="0" w:color="auto"/>
              <w:right w:val="single" w:sz="4" w:space="0" w:color="auto"/>
            </w:tcBorders>
            <w:vAlign w:val="center"/>
            <w:hideMark/>
          </w:tcPr>
          <w:p w:rsidR="00A7426E" w:rsidRPr="00DF3D57" w:rsidRDefault="00BD430F" w:rsidP="00B23B8E">
            <w:pPr>
              <w:jc w:val="center"/>
              <w:rPr>
                <w:b/>
                <w:bCs/>
                <w:color w:val="000000"/>
              </w:rPr>
            </w:pPr>
            <w:r>
              <w:rPr>
                <w:b/>
                <w:bCs/>
                <w:color w:val="000000"/>
              </w:rPr>
              <w:t>379 404,2</w:t>
            </w:r>
          </w:p>
        </w:tc>
        <w:tc>
          <w:tcPr>
            <w:tcW w:w="1123" w:type="dxa"/>
            <w:tcBorders>
              <w:top w:val="nil"/>
              <w:left w:val="nil"/>
              <w:bottom w:val="single" w:sz="4" w:space="0" w:color="auto"/>
              <w:right w:val="single" w:sz="4" w:space="0" w:color="auto"/>
            </w:tcBorders>
            <w:vAlign w:val="center"/>
            <w:hideMark/>
          </w:tcPr>
          <w:p w:rsidR="00A7426E" w:rsidRPr="0050403B" w:rsidRDefault="00BD430F" w:rsidP="00BD430F">
            <w:pPr>
              <w:jc w:val="center"/>
              <w:rPr>
                <w:b/>
                <w:bCs/>
                <w:i/>
                <w:color w:val="000000"/>
              </w:rPr>
            </w:pPr>
            <w:r>
              <w:rPr>
                <w:b/>
                <w:bCs/>
                <w:i/>
                <w:color w:val="000000"/>
              </w:rPr>
              <w:t>100</w:t>
            </w:r>
            <w:r w:rsidR="00A7426E" w:rsidRPr="0050403B">
              <w:rPr>
                <w:b/>
                <w:bCs/>
                <w:i/>
                <w:color w:val="000000"/>
              </w:rPr>
              <w:t>%</w:t>
            </w:r>
          </w:p>
        </w:tc>
        <w:tc>
          <w:tcPr>
            <w:tcW w:w="1497" w:type="dxa"/>
            <w:tcBorders>
              <w:top w:val="nil"/>
              <w:left w:val="nil"/>
              <w:bottom w:val="single" w:sz="4" w:space="0" w:color="auto"/>
              <w:right w:val="single" w:sz="4" w:space="0" w:color="auto"/>
            </w:tcBorders>
            <w:vAlign w:val="center"/>
            <w:hideMark/>
          </w:tcPr>
          <w:p w:rsidR="00A7426E" w:rsidRPr="00AE45C5" w:rsidRDefault="00A7426E" w:rsidP="00B23B8E">
            <w:pPr>
              <w:jc w:val="center"/>
              <w:rPr>
                <w:b/>
                <w:i/>
                <w:color w:val="000000"/>
              </w:rPr>
            </w:pPr>
            <w:r w:rsidRPr="00AE45C5">
              <w:rPr>
                <w:b/>
                <w:i/>
                <w:color w:val="000000"/>
              </w:rPr>
              <w:t>9,2%</w:t>
            </w:r>
          </w:p>
        </w:tc>
      </w:tr>
      <w:tr w:rsidR="00A7426E" w:rsidTr="00A7426E">
        <w:trPr>
          <w:trHeight w:val="316"/>
          <w:jc w:val="center"/>
        </w:trPr>
        <w:tc>
          <w:tcPr>
            <w:tcW w:w="1669" w:type="dxa"/>
            <w:vMerge/>
            <w:tcBorders>
              <w:top w:val="nil"/>
              <w:left w:val="single" w:sz="4" w:space="0" w:color="auto"/>
              <w:bottom w:val="single" w:sz="4" w:space="0" w:color="000000"/>
              <w:right w:val="single" w:sz="4" w:space="0" w:color="auto"/>
            </w:tcBorders>
            <w:vAlign w:val="center"/>
            <w:hideMark/>
          </w:tcPr>
          <w:p w:rsidR="00A7426E" w:rsidRDefault="00A7426E">
            <w:pPr>
              <w:rPr>
                <w:rFonts w:eastAsia="MS Mincho"/>
                <w:b/>
                <w:lang w:eastAsia="ja-JP"/>
              </w:rPr>
            </w:pPr>
          </w:p>
        </w:tc>
        <w:tc>
          <w:tcPr>
            <w:tcW w:w="1707" w:type="dxa"/>
            <w:tcBorders>
              <w:top w:val="nil"/>
              <w:left w:val="nil"/>
              <w:bottom w:val="single" w:sz="4" w:space="0" w:color="auto"/>
              <w:right w:val="single" w:sz="4" w:space="0" w:color="auto"/>
            </w:tcBorders>
            <w:shd w:val="clear" w:color="auto" w:fill="C2D69B"/>
            <w:vAlign w:val="center"/>
            <w:hideMark/>
          </w:tcPr>
          <w:p w:rsidR="00A7426E" w:rsidRDefault="00A7426E">
            <w:pPr>
              <w:ind w:firstLine="27"/>
              <w:jc w:val="center"/>
              <w:rPr>
                <w:rFonts w:eastAsia="MS Mincho"/>
                <w:b/>
                <w:lang w:eastAsia="ja-JP"/>
              </w:rPr>
            </w:pPr>
            <w:r>
              <w:rPr>
                <w:rFonts w:eastAsia="MS Mincho"/>
                <w:b/>
                <w:lang w:eastAsia="ja-JP"/>
              </w:rPr>
              <w:t>Сумма</w:t>
            </w:r>
          </w:p>
        </w:tc>
        <w:tc>
          <w:tcPr>
            <w:tcW w:w="1321" w:type="dxa"/>
            <w:tcBorders>
              <w:top w:val="nil"/>
              <w:left w:val="nil"/>
              <w:bottom w:val="single" w:sz="4" w:space="0" w:color="auto"/>
              <w:right w:val="single" w:sz="4" w:space="0" w:color="auto"/>
            </w:tcBorders>
            <w:vAlign w:val="center"/>
            <w:hideMark/>
          </w:tcPr>
          <w:p w:rsidR="00A7426E" w:rsidRPr="00DF3D57" w:rsidRDefault="00A7426E" w:rsidP="00B23B8E">
            <w:pPr>
              <w:jc w:val="center"/>
              <w:rPr>
                <w:b/>
                <w:bCs/>
                <w:color w:val="000000"/>
              </w:rPr>
            </w:pPr>
            <w:r w:rsidRPr="00DF3D57">
              <w:rPr>
                <w:b/>
                <w:bCs/>
                <w:color w:val="000000"/>
              </w:rPr>
              <w:t>125 515,</w:t>
            </w:r>
            <w:r w:rsidR="00BD430F">
              <w:rPr>
                <w:b/>
                <w:bCs/>
                <w:color w:val="000000"/>
              </w:rPr>
              <w:t>6</w:t>
            </w:r>
          </w:p>
        </w:tc>
        <w:tc>
          <w:tcPr>
            <w:tcW w:w="1123" w:type="dxa"/>
            <w:tcBorders>
              <w:top w:val="nil"/>
              <w:left w:val="nil"/>
              <w:bottom w:val="single" w:sz="4" w:space="0" w:color="auto"/>
              <w:right w:val="single" w:sz="4" w:space="0" w:color="auto"/>
            </w:tcBorders>
            <w:vAlign w:val="center"/>
            <w:hideMark/>
          </w:tcPr>
          <w:p w:rsidR="00A7426E" w:rsidRPr="0050403B" w:rsidRDefault="00BD430F" w:rsidP="00BD430F">
            <w:pPr>
              <w:jc w:val="center"/>
              <w:rPr>
                <w:b/>
                <w:bCs/>
                <w:i/>
                <w:color w:val="000000"/>
              </w:rPr>
            </w:pPr>
            <w:r>
              <w:rPr>
                <w:b/>
                <w:bCs/>
                <w:i/>
                <w:color w:val="000000"/>
              </w:rPr>
              <w:t>100</w:t>
            </w:r>
            <w:r w:rsidR="00A7426E" w:rsidRPr="0050403B">
              <w:rPr>
                <w:b/>
                <w:bCs/>
                <w:i/>
                <w:color w:val="000000"/>
              </w:rPr>
              <w:t>%</w:t>
            </w:r>
          </w:p>
        </w:tc>
        <w:tc>
          <w:tcPr>
            <w:tcW w:w="1310" w:type="dxa"/>
            <w:tcBorders>
              <w:top w:val="nil"/>
              <w:left w:val="nil"/>
              <w:bottom w:val="single" w:sz="4" w:space="0" w:color="auto"/>
              <w:right w:val="single" w:sz="4" w:space="0" w:color="auto"/>
            </w:tcBorders>
            <w:vAlign w:val="center"/>
            <w:hideMark/>
          </w:tcPr>
          <w:p w:rsidR="00A7426E" w:rsidRPr="00DF3D57" w:rsidRDefault="00BD430F" w:rsidP="00B23B8E">
            <w:pPr>
              <w:jc w:val="center"/>
              <w:rPr>
                <w:b/>
                <w:bCs/>
                <w:color w:val="000000"/>
              </w:rPr>
            </w:pPr>
            <w:r>
              <w:rPr>
                <w:b/>
                <w:bCs/>
                <w:color w:val="000000"/>
              </w:rPr>
              <w:t>132 322,2</w:t>
            </w:r>
          </w:p>
        </w:tc>
        <w:tc>
          <w:tcPr>
            <w:tcW w:w="1123" w:type="dxa"/>
            <w:tcBorders>
              <w:top w:val="nil"/>
              <w:left w:val="nil"/>
              <w:bottom w:val="single" w:sz="4" w:space="0" w:color="auto"/>
              <w:right w:val="single" w:sz="4" w:space="0" w:color="auto"/>
            </w:tcBorders>
            <w:vAlign w:val="center"/>
            <w:hideMark/>
          </w:tcPr>
          <w:p w:rsidR="00A7426E" w:rsidRPr="0050403B" w:rsidRDefault="00BD430F" w:rsidP="00BD430F">
            <w:pPr>
              <w:jc w:val="center"/>
              <w:rPr>
                <w:b/>
                <w:bCs/>
                <w:i/>
                <w:color w:val="000000"/>
              </w:rPr>
            </w:pPr>
            <w:r>
              <w:rPr>
                <w:b/>
                <w:bCs/>
                <w:i/>
                <w:color w:val="000000"/>
              </w:rPr>
              <w:t>100</w:t>
            </w:r>
            <w:r w:rsidR="00A7426E" w:rsidRPr="0050403B">
              <w:rPr>
                <w:b/>
                <w:bCs/>
                <w:i/>
                <w:color w:val="000000"/>
              </w:rPr>
              <w:t>%</w:t>
            </w:r>
          </w:p>
        </w:tc>
        <w:tc>
          <w:tcPr>
            <w:tcW w:w="1497" w:type="dxa"/>
            <w:tcBorders>
              <w:top w:val="nil"/>
              <w:left w:val="nil"/>
              <w:bottom w:val="single" w:sz="4" w:space="0" w:color="auto"/>
              <w:right w:val="single" w:sz="4" w:space="0" w:color="auto"/>
            </w:tcBorders>
            <w:vAlign w:val="center"/>
            <w:hideMark/>
          </w:tcPr>
          <w:p w:rsidR="00A7426E" w:rsidRPr="00AE45C5" w:rsidRDefault="00A7426E" w:rsidP="00B23B8E">
            <w:pPr>
              <w:jc w:val="center"/>
              <w:rPr>
                <w:b/>
                <w:i/>
                <w:color w:val="000000"/>
              </w:rPr>
            </w:pPr>
            <w:r w:rsidRPr="00AE45C5">
              <w:rPr>
                <w:b/>
                <w:i/>
                <w:color w:val="000000"/>
              </w:rPr>
              <w:t>5,4%</w:t>
            </w:r>
          </w:p>
        </w:tc>
      </w:tr>
    </w:tbl>
    <w:p w:rsidR="009F2F28" w:rsidRDefault="009F2F28" w:rsidP="006702BF">
      <w:pPr>
        <w:ind w:firstLine="709"/>
        <w:jc w:val="both"/>
        <w:rPr>
          <w:sz w:val="28"/>
          <w:szCs w:val="28"/>
          <w:lang w:val="en-US"/>
        </w:rPr>
      </w:pPr>
    </w:p>
    <w:p w:rsidR="00617F41" w:rsidRDefault="00617F41" w:rsidP="006702BF">
      <w:pPr>
        <w:ind w:firstLine="709"/>
        <w:jc w:val="both"/>
        <w:rPr>
          <w:sz w:val="28"/>
          <w:szCs w:val="28"/>
        </w:rPr>
      </w:pPr>
      <w:r>
        <w:rPr>
          <w:sz w:val="28"/>
          <w:szCs w:val="28"/>
        </w:rPr>
        <w:t>Наиболее распространенными из указанных платежных инструментов на территории Казахстана являются платежные поручения (36,0% от общего количества и 9</w:t>
      </w:r>
      <w:r w:rsidRPr="007F6AE9">
        <w:rPr>
          <w:sz w:val="28"/>
          <w:szCs w:val="28"/>
        </w:rPr>
        <w:t>3</w:t>
      </w:r>
      <w:r>
        <w:rPr>
          <w:sz w:val="28"/>
          <w:szCs w:val="28"/>
        </w:rPr>
        <w:t>,9% от общей суммы безналичных платежей с использованием вышеуказанных платежных инструментов) и платежные карточки (</w:t>
      </w:r>
      <w:r w:rsidR="00821139">
        <w:rPr>
          <w:sz w:val="28"/>
          <w:szCs w:val="28"/>
        </w:rPr>
        <w:t>63,4% и 5,</w:t>
      </w:r>
      <w:r w:rsidR="00025A88" w:rsidRPr="00025A88">
        <w:rPr>
          <w:sz w:val="28"/>
          <w:szCs w:val="28"/>
        </w:rPr>
        <w:t>8%</w:t>
      </w:r>
      <w:r>
        <w:rPr>
          <w:sz w:val="28"/>
          <w:szCs w:val="28"/>
        </w:rPr>
        <w:t xml:space="preserve"> соответственно). При этом средняя сумма одного платежного поручения составила за 201</w:t>
      </w:r>
      <w:r w:rsidRPr="009E3A57">
        <w:rPr>
          <w:sz w:val="28"/>
          <w:szCs w:val="28"/>
        </w:rPr>
        <w:t>4</w:t>
      </w:r>
      <w:r>
        <w:rPr>
          <w:sz w:val="28"/>
          <w:szCs w:val="28"/>
        </w:rPr>
        <w:t xml:space="preserve"> год </w:t>
      </w:r>
      <w:r w:rsidR="00821139">
        <w:rPr>
          <w:sz w:val="28"/>
          <w:szCs w:val="28"/>
        </w:rPr>
        <w:t>910,</w:t>
      </w:r>
      <w:r w:rsidR="00512804" w:rsidRPr="00512804">
        <w:rPr>
          <w:sz w:val="28"/>
          <w:szCs w:val="28"/>
        </w:rPr>
        <w:t>5</w:t>
      </w:r>
      <w:r w:rsidRPr="00975656">
        <w:rPr>
          <w:sz w:val="28"/>
          <w:szCs w:val="28"/>
        </w:rPr>
        <w:t xml:space="preserve"> </w:t>
      </w:r>
      <w:r>
        <w:rPr>
          <w:sz w:val="28"/>
          <w:szCs w:val="28"/>
        </w:rPr>
        <w:t>тыс. тенге. Высокий удельный вес платежных карточек по количеству и низкий - по объему платежей характеризуется использованием данного платежного инструмента в основном для снятия небольших сумм наличных денег (средняя сумма одной транза</w:t>
      </w:r>
      <w:r w:rsidR="00821139">
        <w:rPr>
          <w:sz w:val="28"/>
          <w:szCs w:val="28"/>
        </w:rPr>
        <w:t>кции составила за 2014 год – 32,</w:t>
      </w:r>
      <w:r>
        <w:rPr>
          <w:sz w:val="28"/>
          <w:szCs w:val="28"/>
        </w:rPr>
        <w:t>1 тыс. тенге).</w:t>
      </w:r>
    </w:p>
    <w:p w:rsidR="00617F41" w:rsidRDefault="00617F41" w:rsidP="006702BF">
      <w:pPr>
        <w:ind w:firstLine="709"/>
        <w:jc w:val="both"/>
        <w:rPr>
          <w:sz w:val="28"/>
          <w:szCs w:val="28"/>
        </w:rPr>
      </w:pPr>
      <w:r>
        <w:rPr>
          <w:sz w:val="28"/>
          <w:szCs w:val="28"/>
        </w:rPr>
        <w:t>Наименьшая доля приходится на инкассовые распоряжения (0,03% по количеству и 0,08% по объему платежей).</w:t>
      </w:r>
    </w:p>
    <w:p w:rsidR="00617F41" w:rsidRPr="000D17E3" w:rsidRDefault="00617F41" w:rsidP="006702BF">
      <w:pPr>
        <w:ind w:firstLine="708"/>
        <w:jc w:val="both"/>
        <w:rPr>
          <w:sz w:val="28"/>
          <w:szCs w:val="28"/>
        </w:rPr>
      </w:pPr>
    </w:p>
    <w:p w:rsidR="00617F41" w:rsidRPr="000D17E3" w:rsidRDefault="00617F41" w:rsidP="006702BF">
      <w:pPr>
        <w:tabs>
          <w:tab w:val="num" w:pos="993"/>
        </w:tabs>
        <w:ind w:firstLine="709"/>
        <w:jc w:val="both"/>
        <w:rPr>
          <w:sz w:val="28"/>
          <w:szCs w:val="28"/>
        </w:rPr>
      </w:pPr>
    </w:p>
    <w:sectPr w:rsidR="00617F41" w:rsidRPr="000D17E3" w:rsidSect="00B82978">
      <w:headerReference w:type="default" r:id="rId50"/>
      <w:footerReference w:type="default" r:id="rId51"/>
      <w:endnotePr>
        <w:numFmt w:val="decimal"/>
      </w:endnotePr>
      <w:pgSz w:w="11906" w:h="16838"/>
      <w:pgMar w:top="1134" w:right="1134" w:bottom="56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13" w:rsidRDefault="00385B13">
      <w:r>
        <w:separator/>
      </w:r>
    </w:p>
  </w:endnote>
  <w:endnote w:type="continuationSeparator" w:id="0">
    <w:p w:rsidR="00385B13" w:rsidRDefault="0038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5DF" w:rsidRPr="008B22CB" w:rsidRDefault="00AB15DF" w:rsidP="00BE0859">
    <w:pPr>
      <w:framePr w:w="10246" w:wrap="around" w:vAnchor="text" w:hAnchor="page" w:x="811" w:y="48"/>
      <w:jc w:val="right"/>
      <w:rPr>
        <w:rStyle w:val="aff1"/>
        <w:b/>
        <w:i/>
        <w:color w:val="76923C"/>
        <w:sz w:val="22"/>
        <w:szCs w:val="22"/>
      </w:rPr>
    </w:pPr>
    <w:r w:rsidRPr="008B22CB">
      <w:rPr>
        <w:rStyle w:val="aff1"/>
        <w:b/>
        <w:i/>
        <w:color w:val="76923C"/>
        <w:sz w:val="22"/>
        <w:szCs w:val="22"/>
      </w:rPr>
      <w:fldChar w:fldCharType="begin"/>
    </w:r>
    <w:r w:rsidRPr="008B22CB">
      <w:rPr>
        <w:rStyle w:val="aff1"/>
        <w:b/>
        <w:i/>
        <w:color w:val="76923C"/>
        <w:sz w:val="22"/>
        <w:szCs w:val="22"/>
      </w:rPr>
      <w:instrText xml:space="preserve"> PAGE </w:instrText>
    </w:r>
    <w:r w:rsidRPr="008B22CB">
      <w:rPr>
        <w:rStyle w:val="aff1"/>
        <w:b/>
        <w:i/>
        <w:color w:val="76923C"/>
        <w:sz w:val="22"/>
        <w:szCs w:val="22"/>
      </w:rPr>
      <w:fldChar w:fldCharType="separate"/>
    </w:r>
    <w:r w:rsidR="00786A4E">
      <w:rPr>
        <w:rStyle w:val="aff1"/>
        <w:b/>
        <w:i/>
        <w:noProof/>
        <w:color w:val="76923C"/>
        <w:sz w:val="22"/>
        <w:szCs w:val="22"/>
      </w:rPr>
      <w:t>1</w:t>
    </w:r>
    <w:r w:rsidRPr="008B22CB">
      <w:rPr>
        <w:rStyle w:val="aff1"/>
        <w:b/>
        <w:i/>
        <w:color w:val="76923C"/>
        <w:sz w:val="22"/>
        <w:szCs w:val="22"/>
      </w:rPr>
      <w:fldChar w:fldCharType="end"/>
    </w:r>
    <w:r w:rsidRPr="008B22CB">
      <w:rPr>
        <w:rStyle w:val="aff1"/>
        <w:b/>
        <w:i/>
        <w:color w:val="76923C"/>
        <w:sz w:val="22"/>
        <w:szCs w:val="22"/>
      </w:rPr>
      <w:t xml:space="preserve">          Итоги  </w:t>
    </w:r>
    <w:r w:rsidRPr="008B22CB">
      <w:rPr>
        <w:b/>
        <w:i/>
        <w:color w:val="76923C"/>
        <w:sz w:val="22"/>
        <w:szCs w:val="22"/>
      </w:rPr>
      <w:t>надзора (</w:t>
    </w:r>
    <w:r w:rsidRPr="008B22CB">
      <w:rPr>
        <w:b/>
        <w:i/>
        <w:color w:val="76923C"/>
        <w:sz w:val="22"/>
        <w:szCs w:val="22"/>
        <w:lang w:val="en-US"/>
      </w:rPr>
      <w:t>oversight</w:t>
    </w:r>
    <w:r w:rsidRPr="008B22CB">
      <w:rPr>
        <w:b/>
        <w:i/>
        <w:color w:val="76923C"/>
        <w:sz w:val="22"/>
        <w:szCs w:val="22"/>
      </w:rPr>
      <w:t xml:space="preserve">) платежных систем и рынка электронных банковских услуг </w:t>
    </w:r>
  </w:p>
  <w:p w:rsidR="00AB15DF" w:rsidRDefault="00AB15D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13" w:rsidRDefault="00385B13">
      <w:r>
        <w:separator/>
      </w:r>
    </w:p>
  </w:footnote>
  <w:footnote w:type="continuationSeparator" w:id="0">
    <w:p w:rsidR="00385B13" w:rsidRDefault="00385B13">
      <w:r>
        <w:continuationSeparator/>
      </w:r>
    </w:p>
  </w:footnote>
  <w:footnote w:id="1">
    <w:p w:rsidR="00AB15DF" w:rsidRDefault="00AB15DF">
      <w:pPr>
        <w:pStyle w:val="a9"/>
      </w:pPr>
      <w:r>
        <w:rPr>
          <w:rStyle w:val="ab"/>
        </w:rPr>
        <w:footnoteRef/>
      </w:r>
      <w:r>
        <w:t xml:space="preserve"> МСПД – Межбанковская система переводов денег.</w:t>
      </w:r>
    </w:p>
  </w:footnote>
  <w:footnote w:id="2">
    <w:p w:rsidR="00AB15DF" w:rsidRDefault="00AB15DF">
      <w:pPr>
        <w:pStyle w:val="a9"/>
      </w:pPr>
      <w:r>
        <w:rPr>
          <w:rStyle w:val="ab"/>
        </w:rPr>
        <w:footnoteRef/>
      </w:r>
      <w:r>
        <w:t xml:space="preserve"> СМК – Система межбанковского клиринга.</w:t>
      </w:r>
    </w:p>
  </w:footnote>
  <w:footnote w:id="3">
    <w:p w:rsidR="00AB15DF" w:rsidRDefault="00AB15DF" w:rsidP="009E7783">
      <w:pPr>
        <w:pStyle w:val="a9"/>
        <w:jc w:val="both"/>
      </w:pPr>
      <w:r w:rsidRPr="00D408BB">
        <w:rPr>
          <w:rStyle w:val="ab"/>
          <w:sz w:val="16"/>
          <w:szCs w:val="16"/>
        </w:rPr>
        <w:footnoteRef/>
      </w:r>
      <w:r w:rsidRPr="00D408BB">
        <w:rPr>
          <w:sz w:val="16"/>
          <w:szCs w:val="16"/>
        </w:rPr>
        <w:t xml:space="preserve"> Сектор экономики «домашние хозяйства» означает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w:t>
      </w:r>
    </w:p>
  </w:footnote>
  <w:footnote w:id="4">
    <w:p w:rsidR="00AB15DF" w:rsidRDefault="00AB15DF" w:rsidP="00940B0B">
      <w:pPr>
        <w:pStyle w:val="a9"/>
        <w:jc w:val="both"/>
      </w:pPr>
      <w:r w:rsidRPr="00982982">
        <w:rPr>
          <w:rStyle w:val="ab"/>
          <w:sz w:val="16"/>
          <w:szCs w:val="16"/>
        </w:rPr>
        <w:footnoteRef/>
      </w:r>
      <w:r w:rsidRPr="00982982">
        <w:rPr>
          <w:sz w:val="16"/>
          <w:szCs w:val="16"/>
        </w:rPr>
        <w:t xml:space="preserve"> За исключением ремонта товаров, прочих платежей (в том числе, возвратов) по разделам «Товары» и «Услуги».</w:t>
      </w:r>
    </w:p>
  </w:footnote>
  <w:footnote w:id="5">
    <w:p w:rsidR="00AB15DF" w:rsidRDefault="00AB15DF">
      <w:pPr>
        <w:pStyle w:val="a9"/>
      </w:pPr>
      <w:r w:rsidRPr="00982982">
        <w:rPr>
          <w:rStyle w:val="ab"/>
          <w:sz w:val="16"/>
          <w:szCs w:val="16"/>
        </w:rPr>
        <w:footnoteRef/>
      </w:r>
      <w:r w:rsidRPr="00982982">
        <w:rPr>
          <w:sz w:val="16"/>
          <w:szCs w:val="16"/>
        </w:rPr>
        <w:t xml:space="preserve"> </w:t>
      </w:r>
      <w:hyperlink r:id="rId1" w:history="1">
        <w:r w:rsidRPr="00982982">
          <w:rPr>
            <w:rStyle w:val="af"/>
            <w:sz w:val="16"/>
            <w:szCs w:val="16"/>
          </w:rPr>
          <w:t>http://www.stat.gov.kz</w:t>
        </w:r>
      </w:hyperlink>
      <w:r w:rsidRPr="00982982">
        <w:rPr>
          <w:sz w:val="16"/>
          <w:szCs w:val="16"/>
        </w:rPr>
        <w:t xml:space="preserve"> – сайт Комитета по статистике Министерства национальной экономики Республики Казахстан.</w:t>
      </w:r>
    </w:p>
  </w:footnote>
  <w:footnote w:id="6">
    <w:p w:rsidR="00AB15DF" w:rsidRDefault="00AB15DF" w:rsidP="009E5006">
      <w:pPr>
        <w:pStyle w:val="a9"/>
      </w:pPr>
      <w:r w:rsidRPr="00D408BB">
        <w:rPr>
          <w:rStyle w:val="ab"/>
          <w:sz w:val="16"/>
          <w:szCs w:val="16"/>
        </w:rPr>
        <w:footnoteRef/>
      </w:r>
      <w:r w:rsidRPr="00D408BB">
        <w:rPr>
          <w:sz w:val="16"/>
          <w:szCs w:val="16"/>
        </w:rPr>
        <w:t xml:space="preserve"> Данный показатель представлен</w:t>
      </w:r>
      <w:r>
        <w:rPr>
          <w:sz w:val="16"/>
          <w:szCs w:val="16"/>
        </w:rPr>
        <w:t xml:space="preserve"> без учета объемов</w:t>
      </w:r>
      <w:r w:rsidRPr="00D408BB">
        <w:rPr>
          <w:sz w:val="16"/>
          <w:szCs w:val="16"/>
        </w:rPr>
        <w:t xml:space="preserve"> теневой экономики.</w:t>
      </w:r>
    </w:p>
  </w:footnote>
  <w:footnote w:id="7">
    <w:p w:rsidR="00AB15DF" w:rsidRDefault="00AB15DF" w:rsidP="009A21C9">
      <w:pPr>
        <w:pStyle w:val="a9"/>
        <w:jc w:val="both"/>
      </w:pPr>
      <w:r w:rsidRPr="00223D1D">
        <w:rPr>
          <w:rStyle w:val="ab"/>
          <w:sz w:val="16"/>
          <w:szCs w:val="16"/>
        </w:rPr>
        <w:footnoteRef/>
      </w:r>
      <w:r w:rsidRPr="00223D1D">
        <w:rPr>
          <w:sz w:val="16"/>
          <w:szCs w:val="16"/>
        </w:rPr>
        <w:t xml:space="preserve"> </w:t>
      </w:r>
      <w:r w:rsidRPr="00223D1D">
        <w:rPr>
          <w:spacing w:val="-4"/>
          <w:sz w:val="16"/>
          <w:szCs w:val="16"/>
        </w:rPr>
        <w:t>В группу «Прочие банки» включен Межгосударственный Банк и Евразийский Банк Развития.</w:t>
      </w:r>
    </w:p>
  </w:footnote>
  <w:footnote w:id="8">
    <w:p w:rsidR="00AB15DF" w:rsidRDefault="00AB15DF" w:rsidP="009A21C9">
      <w:pPr>
        <w:pStyle w:val="a9"/>
        <w:jc w:val="both"/>
      </w:pPr>
      <w:r w:rsidRPr="00223D1D">
        <w:rPr>
          <w:rStyle w:val="ab"/>
          <w:sz w:val="16"/>
          <w:szCs w:val="16"/>
        </w:rPr>
        <w:footnoteRef/>
      </w:r>
      <w:r w:rsidRPr="00223D1D">
        <w:rPr>
          <w:sz w:val="16"/>
          <w:szCs w:val="16"/>
        </w:rPr>
        <w:t xml:space="preserve"> В группу «Организации» включены организации, осуществляющие отдельные виды банковских операций, Национальный Банк РК, Банк-Кастодиан АО «ЕНПФ», Комитет Казначейства МФРК и ГЦВП.</w:t>
      </w:r>
    </w:p>
  </w:footnote>
  <w:footnote w:id="9">
    <w:p w:rsidR="00AB15DF" w:rsidRDefault="00AB15DF" w:rsidP="009A21C9">
      <w:pPr>
        <w:pStyle w:val="a9"/>
      </w:pPr>
      <w:r w:rsidRPr="00982982">
        <w:rPr>
          <w:rStyle w:val="ab"/>
          <w:sz w:val="16"/>
          <w:szCs w:val="16"/>
        </w:rPr>
        <w:footnoteRef/>
      </w:r>
      <w:r w:rsidRPr="00982982">
        <w:rPr>
          <w:sz w:val="16"/>
          <w:szCs w:val="16"/>
        </w:rPr>
        <w:t xml:space="preserve"> </w:t>
      </w:r>
      <w:r w:rsidRPr="00982982">
        <w:rPr>
          <w:spacing w:val="-4"/>
          <w:sz w:val="16"/>
          <w:szCs w:val="16"/>
        </w:rPr>
        <w:t>В группу «Прочие банки» включен Межгосударственный Банк и Евразийский Банк Развития.</w:t>
      </w:r>
    </w:p>
  </w:footnote>
  <w:footnote w:id="10">
    <w:p w:rsidR="00AB15DF" w:rsidRDefault="00AB15DF" w:rsidP="009A21C9">
      <w:pPr>
        <w:pStyle w:val="a9"/>
        <w:jc w:val="both"/>
      </w:pPr>
      <w:r w:rsidRPr="00982982">
        <w:rPr>
          <w:rStyle w:val="ab"/>
          <w:sz w:val="16"/>
          <w:szCs w:val="16"/>
        </w:rPr>
        <w:footnoteRef/>
      </w:r>
      <w:r w:rsidRPr="00982982">
        <w:rPr>
          <w:sz w:val="16"/>
          <w:szCs w:val="16"/>
        </w:rPr>
        <w:t xml:space="preserve"> В группу «Организации» включены организации, осуществляющие отдельные виды банковских операций, Национальный Банк РК, Банк-Кастодиан АО «ЕНПФ», Комитет Казначейства МФРК и ГЦВП.</w:t>
      </w:r>
    </w:p>
  </w:footnote>
  <w:footnote w:id="11">
    <w:p w:rsidR="00AB15DF" w:rsidRPr="006A124B" w:rsidRDefault="00AB15DF">
      <w:pPr>
        <w:pStyle w:val="a9"/>
      </w:pPr>
      <w:r>
        <w:rPr>
          <w:rStyle w:val="ab"/>
        </w:rPr>
        <w:footnoteRef/>
      </w:r>
      <w:r>
        <w:t xml:space="preserve"> </w:t>
      </w:r>
      <w:r w:rsidRPr="006A124B">
        <w:rPr>
          <w:sz w:val="16"/>
          <w:szCs w:val="16"/>
        </w:rPr>
        <w:t>Без учета анализа развития фондового рынка, переводов из Национального фонда РК в банки и их последующее кредитование отрасли.</w:t>
      </w:r>
    </w:p>
  </w:footnote>
  <w:footnote w:id="12">
    <w:p w:rsidR="00AB15DF" w:rsidRDefault="00AB15DF" w:rsidP="009F240E">
      <w:pPr>
        <w:pStyle w:val="a9"/>
      </w:pPr>
      <w:r w:rsidRPr="006A124B">
        <w:rPr>
          <w:rStyle w:val="ab"/>
          <w:sz w:val="16"/>
          <w:szCs w:val="16"/>
        </w:rPr>
        <w:footnoteRef/>
      </w:r>
      <w:r w:rsidRPr="006A124B">
        <w:rPr>
          <w:sz w:val="16"/>
          <w:szCs w:val="16"/>
        </w:rPr>
        <w:t xml:space="preserve"> За 2013 год.</w:t>
      </w:r>
    </w:p>
  </w:footnote>
  <w:footnote w:id="13">
    <w:p w:rsidR="00AB15DF" w:rsidRDefault="00AB15DF" w:rsidP="009F240E">
      <w:pPr>
        <w:pStyle w:val="a9"/>
      </w:pPr>
      <w:r w:rsidRPr="00982982">
        <w:rPr>
          <w:rStyle w:val="ab"/>
          <w:sz w:val="16"/>
          <w:szCs w:val="16"/>
        </w:rPr>
        <w:footnoteRef/>
      </w:r>
      <w:r w:rsidRPr="00982982">
        <w:rPr>
          <w:sz w:val="16"/>
          <w:szCs w:val="16"/>
        </w:rPr>
        <w:t xml:space="preserve"> За 2013 год.</w:t>
      </w:r>
    </w:p>
  </w:footnote>
  <w:footnote w:id="14">
    <w:p w:rsidR="00AB15DF" w:rsidRDefault="00AB15DF" w:rsidP="009F240E">
      <w:pPr>
        <w:pStyle w:val="a9"/>
      </w:pPr>
      <w:r>
        <w:rPr>
          <w:rStyle w:val="ab"/>
        </w:rPr>
        <w:footnoteRef/>
      </w:r>
      <w:r>
        <w:t xml:space="preserve"> Без учета подразделений НБРК.</w:t>
      </w:r>
    </w:p>
  </w:footnote>
  <w:footnote w:id="15">
    <w:p w:rsidR="00AB15DF" w:rsidRPr="0038308A" w:rsidRDefault="00AB15DF" w:rsidP="00082FF4">
      <w:pPr>
        <w:jc w:val="both"/>
        <w:rPr>
          <w:sz w:val="16"/>
          <w:szCs w:val="16"/>
        </w:rPr>
      </w:pPr>
      <w:r w:rsidRPr="0038308A">
        <w:rPr>
          <w:rStyle w:val="ab"/>
          <w:sz w:val="16"/>
          <w:szCs w:val="16"/>
        </w:rPr>
        <w:footnoteRef/>
      </w:r>
      <w:r w:rsidRPr="0038308A">
        <w:rPr>
          <w:sz w:val="16"/>
          <w:szCs w:val="16"/>
        </w:rPr>
        <w:t xml:space="preserve"> </w:t>
      </w:r>
      <w:r>
        <w:rPr>
          <w:sz w:val="16"/>
          <w:szCs w:val="16"/>
        </w:rPr>
        <w:t xml:space="preserve">Определение электронных банковских услуг содержится в </w:t>
      </w:r>
      <w:r w:rsidRPr="0038308A">
        <w:rPr>
          <w:sz w:val="16"/>
          <w:szCs w:val="16"/>
        </w:rPr>
        <w:t>Правила</w:t>
      </w:r>
      <w:r>
        <w:rPr>
          <w:sz w:val="16"/>
          <w:szCs w:val="16"/>
        </w:rPr>
        <w:t>х</w:t>
      </w:r>
      <w:r w:rsidRPr="0038308A">
        <w:rPr>
          <w:sz w:val="16"/>
          <w:szCs w:val="16"/>
        </w:rPr>
        <w:t xml:space="preserve"> предоставления банками второго уровня и организациями, осуществляющими отдельные виды банковских операций, электронных банковских услуг, утвержденные постановлением Правления Национального Банка Республики Казахстан от 28 марта 2008 года № 18.</w:t>
      </w:r>
    </w:p>
  </w:footnote>
  <w:footnote w:id="16">
    <w:p w:rsidR="00AB15DF" w:rsidRDefault="00AB15DF" w:rsidP="00082FF4">
      <w:pPr>
        <w:jc w:val="both"/>
      </w:pPr>
      <w:r w:rsidRPr="00982982">
        <w:rPr>
          <w:rStyle w:val="ab"/>
          <w:sz w:val="16"/>
          <w:szCs w:val="16"/>
        </w:rPr>
        <w:footnoteRef/>
      </w:r>
      <w:r w:rsidRPr="00982982">
        <w:rPr>
          <w:sz w:val="16"/>
          <w:szCs w:val="16"/>
        </w:rPr>
        <w:t xml:space="preserve"> http://www.cbr.ru/statistics/print.aspx?file=p_sys/sheet013.htm&amp;pid=psrf&amp;sid=ITM_55789.</w:t>
      </w:r>
    </w:p>
  </w:footnote>
  <w:footnote w:id="17">
    <w:p w:rsidR="00AB15DF" w:rsidRDefault="00AB15DF" w:rsidP="00082FF4">
      <w:pPr>
        <w:pStyle w:val="a9"/>
      </w:pPr>
      <w:r w:rsidRPr="00982982">
        <w:rPr>
          <w:rStyle w:val="ab"/>
          <w:sz w:val="16"/>
          <w:szCs w:val="16"/>
        </w:rPr>
        <w:footnoteRef/>
      </w:r>
      <w:r w:rsidRPr="00982982">
        <w:rPr>
          <w:sz w:val="16"/>
          <w:szCs w:val="16"/>
        </w:rPr>
        <w:t xml:space="preserve"> Данные на конец 2013 года.</w:t>
      </w:r>
    </w:p>
  </w:footnote>
  <w:footnote w:id="18">
    <w:p w:rsidR="00AB15DF" w:rsidRDefault="00AB15DF" w:rsidP="00082FF4">
      <w:pPr>
        <w:pStyle w:val="a9"/>
      </w:pPr>
      <w:r>
        <w:rPr>
          <w:rStyle w:val="ab"/>
        </w:rPr>
        <w:footnoteRef/>
      </w:r>
      <w:r>
        <w:t xml:space="preserve"> </w:t>
      </w:r>
      <w:r w:rsidRPr="00297E15">
        <w:rPr>
          <w:sz w:val="16"/>
          <w:szCs w:val="16"/>
        </w:rPr>
        <w:t>Банковские киоски и импринтеры.</w:t>
      </w:r>
    </w:p>
  </w:footnote>
  <w:footnote w:id="19">
    <w:p w:rsidR="00AB15DF" w:rsidRDefault="00AB15DF" w:rsidP="00082FF4">
      <w:pPr>
        <w:jc w:val="both"/>
      </w:pPr>
      <w:r w:rsidRPr="00982982">
        <w:rPr>
          <w:rStyle w:val="ab"/>
          <w:sz w:val="16"/>
          <w:szCs w:val="16"/>
        </w:rPr>
        <w:footnoteRef/>
      </w:r>
      <w:r w:rsidRPr="00982982">
        <w:rPr>
          <w:sz w:val="16"/>
          <w:szCs w:val="16"/>
        </w:rPr>
        <w:t xml:space="preserve"> Постановление Правления Национального Банка Республики Казахстан от 27 августа 2013 года № 232 «О внесении изменений и дополнений в постановление Правления Национального Банка Республики Казахстан от 24 августа 2000 года № 331 «Об утверждении Инструкции по выпуску и использованию платежных карточек».</w:t>
      </w:r>
    </w:p>
  </w:footnote>
  <w:footnote w:id="20">
    <w:p w:rsidR="00AB15DF" w:rsidRDefault="00AB15DF" w:rsidP="00082FF4">
      <w:pPr>
        <w:jc w:val="both"/>
      </w:pPr>
      <w:r w:rsidRPr="00982982">
        <w:rPr>
          <w:rStyle w:val="ab"/>
          <w:sz w:val="16"/>
          <w:szCs w:val="16"/>
        </w:rPr>
        <w:footnoteRef/>
      </w:r>
      <w:r w:rsidRPr="00982982">
        <w:rPr>
          <w:sz w:val="16"/>
          <w:szCs w:val="16"/>
        </w:rPr>
        <w:t xml:space="preserve"> </w:t>
      </w:r>
      <w:hyperlink r:id="rId2" w:history="1">
        <w:r w:rsidRPr="00982982">
          <w:rPr>
            <w:rStyle w:val="af"/>
            <w:sz w:val="16"/>
            <w:szCs w:val="16"/>
          </w:rPr>
          <w:t>http://www.stat.gov.kz</w:t>
        </w:r>
      </w:hyperlink>
      <w:r w:rsidRPr="00982982">
        <w:rPr>
          <w:sz w:val="16"/>
          <w:szCs w:val="16"/>
        </w:rPr>
        <w:t xml:space="preserve"> – сайт Комитета по статистике Министерства национальной экономики Республики Казахстан.</w:t>
      </w:r>
    </w:p>
  </w:footnote>
  <w:footnote w:id="21">
    <w:p w:rsidR="00AB15DF" w:rsidRDefault="00AB15DF" w:rsidP="00082FF4">
      <w:pPr>
        <w:pStyle w:val="a9"/>
      </w:pPr>
      <w:r w:rsidRPr="00982982">
        <w:rPr>
          <w:rStyle w:val="ab"/>
          <w:sz w:val="16"/>
          <w:szCs w:val="16"/>
        </w:rPr>
        <w:footnoteRef/>
      </w:r>
      <w:r w:rsidRPr="00982982">
        <w:rPr>
          <w:sz w:val="16"/>
          <w:szCs w:val="16"/>
        </w:rPr>
        <w:t xml:space="preserve"> Небольшое количество таможенных платежей совершается на значительные суммы (средняя сумма более 680 тысяч тенге), оказывающие заметное влияние на общий объем безналичных платежей.</w:t>
      </w:r>
    </w:p>
  </w:footnote>
  <w:footnote w:id="22">
    <w:p w:rsidR="00AB15DF" w:rsidRDefault="00AB15DF" w:rsidP="00082FF4">
      <w:pPr>
        <w:pStyle w:val="a9"/>
      </w:pPr>
      <w:r w:rsidRPr="00982982">
        <w:rPr>
          <w:rStyle w:val="ab"/>
          <w:sz w:val="16"/>
          <w:szCs w:val="16"/>
        </w:rPr>
        <w:footnoteRef/>
      </w:r>
      <w:r w:rsidRPr="00982982">
        <w:rPr>
          <w:sz w:val="16"/>
          <w:szCs w:val="16"/>
        </w:rPr>
        <w:t xml:space="preserve"> К активным относятся платежные карты по которым совершались операции.</w:t>
      </w:r>
    </w:p>
  </w:footnote>
  <w:footnote w:id="23">
    <w:p w:rsidR="00AB15DF" w:rsidRDefault="00AB15DF" w:rsidP="00867498">
      <w:pPr>
        <w:pStyle w:val="a9"/>
        <w:jc w:val="both"/>
      </w:pPr>
      <w:r w:rsidRPr="00982982">
        <w:rPr>
          <w:rStyle w:val="ab"/>
          <w:sz w:val="16"/>
          <w:szCs w:val="16"/>
        </w:rPr>
        <w:footnoteRef/>
      </w:r>
      <w:r w:rsidRPr="00982982">
        <w:rPr>
          <w:sz w:val="16"/>
          <w:szCs w:val="16"/>
        </w:rPr>
        <w:t xml:space="preserve"> Сектор экономики «домашние хозяйства» означает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w:t>
      </w:r>
    </w:p>
  </w:footnote>
  <w:footnote w:id="24">
    <w:p w:rsidR="00AB15DF" w:rsidRDefault="00AB15DF" w:rsidP="005D2940">
      <w:pPr>
        <w:pStyle w:val="a9"/>
      </w:pPr>
      <w:r>
        <w:rPr>
          <w:rStyle w:val="ab"/>
        </w:rPr>
        <w:footnoteRef/>
      </w:r>
      <w:r>
        <w:t xml:space="preserve"> На 1</w:t>
      </w:r>
      <w:r w:rsidRPr="00390D0A">
        <w:t xml:space="preserve"> января 2015 года</w:t>
      </w:r>
      <w:r>
        <w:t xml:space="preserve"> к</w:t>
      </w:r>
      <w:r w:rsidRPr="00390D0A">
        <w:t xml:space="preserve">оличество </w:t>
      </w:r>
      <w:r>
        <w:t xml:space="preserve">владельцев  электронных денег составляет – </w:t>
      </w:r>
      <w:r w:rsidRPr="00390D0A">
        <w:t>1</w:t>
      </w:r>
      <w:r>
        <w:t> </w:t>
      </w:r>
      <w:r w:rsidRPr="00390D0A">
        <w:t>783</w:t>
      </w:r>
      <w:r>
        <w:t> </w:t>
      </w:r>
      <w:r w:rsidRPr="00390D0A">
        <w:t>546</w:t>
      </w:r>
      <w:r>
        <w:t xml:space="preserve"> человек, активных – </w:t>
      </w:r>
      <w:r w:rsidRPr="00A3475E">
        <w:t>295</w:t>
      </w:r>
      <w:r>
        <w:t> </w:t>
      </w:r>
      <w:r w:rsidRPr="00A3475E">
        <w:t>935</w:t>
      </w:r>
      <w:r>
        <w:t xml:space="preserve"> человека.</w:t>
      </w:r>
    </w:p>
  </w:footnote>
  <w:footnote w:id="25">
    <w:p w:rsidR="00AB15DF" w:rsidRPr="00064227" w:rsidRDefault="00AB15DF" w:rsidP="005D2940">
      <w:pPr>
        <w:pStyle w:val="ac"/>
        <w:spacing w:after="0" w:line="240" w:lineRule="auto"/>
        <w:jc w:val="both"/>
        <w:rPr>
          <w:lang w:val="ru-RU"/>
        </w:rPr>
      </w:pPr>
      <w:r w:rsidRPr="00B552F0">
        <w:rPr>
          <w:rStyle w:val="ab"/>
          <w:i w:val="0"/>
          <w:sz w:val="16"/>
          <w:szCs w:val="16"/>
          <w:lang w:val="ru-RU"/>
        </w:rPr>
        <w:footnoteRef/>
      </w:r>
      <w:r w:rsidRPr="00B552F0">
        <w:rPr>
          <w:i w:val="0"/>
          <w:sz w:val="16"/>
          <w:szCs w:val="16"/>
          <w:lang w:val="ru-RU"/>
        </w:rPr>
        <w:t xml:space="preserve"> </w:t>
      </w:r>
      <w:r w:rsidRPr="00B552F0">
        <w:rPr>
          <w:b w:val="0"/>
          <w:i w:val="0"/>
          <w:sz w:val="16"/>
          <w:szCs w:val="16"/>
          <w:lang w:val="ru-RU"/>
        </w:rPr>
        <w:t xml:space="preserve">Учитываются платежные документы по платежам клиентов и платежам по собственным операциям банков и АО «Казпочта», проведенным через МСПД, СМК, корреспондентские счета в Национальном Банке РК, корреспондентские счета ностро и лоро, за исключением корреспондентского счета в Национальном Банке РК, в пределах Республики Казахстан, системы переводов денег  на территории Республики Казахстан. </w:t>
      </w:r>
    </w:p>
  </w:footnote>
  <w:footnote w:id="26">
    <w:p w:rsidR="00A7426E" w:rsidRDefault="00A7426E" w:rsidP="009F2F28">
      <w:pPr>
        <w:pStyle w:val="ac"/>
        <w:spacing w:after="0" w:line="240" w:lineRule="auto"/>
        <w:jc w:val="both"/>
        <w:rPr>
          <w:lang w:val="ru-RU"/>
        </w:rPr>
      </w:pPr>
      <w:r>
        <w:rPr>
          <w:rStyle w:val="ab"/>
          <w:b w:val="0"/>
          <w:i w:val="0"/>
          <w:sz w:val="16"/>
          <w:szCs w:val="16"/>
          <w:lang w:val="ru-RU"/>
        </w:rPr>
        <w:footnoteRef/>
      </w:r>
      <w:r>
        <w:rPr>
          <w:b w:val="0"/>
          <w:i w:val="0"/>
          <w:sz w:val="16"/>
          <w:szCs w:val="16"/>
          <w:lang w:val="ru-RU"/>
        </w:rPr>
        <w:t xml:space="preserve"> Учитываются платежные поручения клиентов банков и АО «Казпочта», а также платежные поручения банков и АО «Казпочта» по собственным операциям.</w:t>
      </w:r>
    </w:p>
  </w:footnote>
  <w:footnote w:id="27">
    <w:p w:rsidR="00A7426E" w:rsidRDefault="00A7426E" w:rsidP="009F2F28">
      <w:pPr>
        <w:pStyle w:val="ac"/>
        <w:spacing w:after="0" w:line="240" w:lineRule="auto"/>
        <w:jc w:val="both"/>
        <w:rPr>
          <w:lang w:val="ru-RU"/>
        </w:rPr>
      </w:pPr>
      <w:r>
        <w:rPr>
          <w:rStyle w:val="ab"/>
          <w:b w:val="0"/>
          <w:i w:val="0"/>
          <w:sz w:val="16"/>
          <w:szCs w:val="16"/>
          <w:lang w:val="ru-RU"/>
        </w:rPr>
        <w:footnoteRef/>
      </w:r>
      <w:r>
        <w:rPr>
          <w:b w:val="0"/>
          <w:i w:val="0"/>
          <w:sz w:val="16"/>
          <w:szCs w:val="16"/>
          <w:lang w:val="ru-RU"/>
        </w:rPr>
        <w:t xml:space="preserve"> Прочие платежные инструменты включают чеки для расчета за товары и услуги и прямое дебетование банковского счета.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5DF" w:rsidRDefault="00AB15DF">
    <w:pPr>
      <w:pStyle w:val="af7"/>
      <w:jc w:val="center"/>
    </w:pPr>
    <w:r>
      <w:fldChar w:fldCharType="begin"/>
    </w:r>
    <w:r>
      <w:instrText>PAGE   \* MERGEFORMAT</w:instrText>
    </w:r>
    <w:r>
      <w:fldChar w:fldCharType="separate"/>
    </w:r>
    <w:r w:rsidR="00786A4E">
      <w:rPr>
        <w:noProof/>
      </w:rPr>
      <w:t>1</w:t>
    </w:r>
    <w:r>
      <w:fldChar w:fldCharType="end"/>
    </w:r>
  </w:p>
  <w:p w:rsidR="00AB15DF" w:rsidRDefault="00AB15D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80E"/>
    <w:multiLevelType w:val="multilevel"/>
    <w:tmpl w:val="215A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5D19"/>
    <w:multiLevelType w:val="hybridMultilevel"/>
    <w:tmpl w:val="A6D84202"/>
    <w:lvl w:ilvl="0" w:tplc="04190011">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1301422B"/>
    <w:multiLevelType w:val="hybridMultilevel"/>
    <w:tmpl w:val="7E2CE85E"/>
    <w:lvl w:ilvl="0" w:tplc="38A450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9836746"/>
    <w:multiLevelType w:val="multilevel"/>
    <w:tmpl w:val="8174C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62916"/>
    <w:multiLevelType w:val="hybridMultilevel"/>
    <w:tmpl w:val="8AE4B7EC"/>
    <w:lvl w:ilvl="0" w:tplc="FA400A4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7E437A3"/>
    <w:multiLevelType w:val="hybridMultilevel"/>
    <w:tmpl w:val="9138ACA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EBC7491"/>
    <w:multiLevelType w:val="multilevel"/>
    <w:tmpl w:val="793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37136"/>
    <w:multiLevelType w:val="hybridMultilevel"/>
    <w:tmpl w:val="EC840DA8"/>
    <w:lvl w:ilvl="0" w:tplc="04190011">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num w:numId="1">
    <w:abstractNumId w:val="2"/>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78"/>
    <w:rsid w:val="000009C0"/>
    <w:rsid w:val="00000AC8"/>
    <w:rsid w:val="00002687"/>
    <w:rsid w:val="0000272D"/>
    <w:rsid w:val="00002C64"/>
    <w:rsid w:val="00004377"/>
    <w:rsid w:val="00004D28"/>
    <w:rsid w:val="00004E7F"/>
    <w:rsid w:val="00005EED"/>
    <w:rsid w:val="000062BD"/>
    <w:rsid w:val="0000692D"/>
    <w:rsid w:val="00006EC8"/>
    <w:rsid w:val="0000777C"/>
    <w:rsid w:val="000115F4"/>
    <w:rsid w:val="00011D1E"/>
    <w:rsid w:val="000137BB"/>
    <w:rsid w:val="00013BC6"/>
    <w:rsid w:val="000142E9"/>
    <w:rsid w:val="00015092"/>
    <w:rsid w:val="0001546F"/>
    <w:rsid w:val="00015CFE"/>
    <w:rsid w:val="00015F60"/>
    <w:rsid w:val="00017DB2"/>
    <w:rsid w:val="000203DF"/>
    <w:rsid w:val="00020A82"/>
    <w:rsid w:val="00022C23"/>
    <w:rsid w:val="00023195"/>
    <w:rsid w:val="00024ABC"/>
    <w:rsid w:val="000252DA"/>
    <w:rsid w:val="000257AA"/>
    <w:rsid w:val="00025A88"/>
    <w:rsid w:val="00026D86"/>
    <w:rsid w:val="00027E7C"/>
    <w:rsid w:val="0003038E"/>
    <w:rsid w:val="000315FE"/>
    <w:rsid w:val="00031D31"/>
    <w:rsid w:val="00032554"/>
    <w:rsid w:val="00033FF5"/>
    <w:rsid w:val="000342C0"/>
    <w:rsid w:val="00035129"/>
    <w:rsid w:val="0003621A"/>
    <w:rsid w:val="0003641A"/>
    <w:rsid w:val="000364FD"/>
    <w:rsid w:val="00036FA9"/>
    <w:rsid w:val="0003724F"/>
    <w:rsid w:val="00041318"/>
    <w:rsid w:val="00042CF7"/>
    <w:rsid w:val="00043B9A"/>
    <w:rsid w:val="00043D3C"/>
    <w:rsid w:val="00044361"/>
    <w:rsid w:val="00045408"/>
    <w:rsid w:val="00045C47"/>
    <w:rsid w:val="000465C0"/>
    <w:rsid w:val="00046AB8"/>
    <w:rsid w:val="000478AA"/>
    <w:rsid w:val="00047C51"/>
    <w:rsid w:val="00051F72"/>
    <w:rsid w:val="00052E4C"/>
    <w:rsid w:val="00053E57"/>
    <w:rsid w:val="00057F38"/>
    <w:rsid w:val="00060092"/>
    <w:rsid w:val="00060245"/>
    <w:rsid w:val="00060248"/>
    <w:rsid w:val="00060439"/>
    <w:rsid w:val="00061D74"/>
    <w:rsid w:val="00064227"/>
    <w:rsid w:val="0006572F"/>
    <w:rsid w:val="000664F3"/>
    <w:rsid w:val="000668BC"/>
    <w:rsid w:val="000670AA"/>
    <w:rsid w:val="00072FAD"/>
    <w:rsid w:val="00073D5D"/>
    <w:rsid w:val="0007607A"/>
    <w:rsid w:val="00077766"/>
    <w:rsid w:val="000778D7"/>
    <w:rsid w:val="00077A32"/>
    <w:rsid w:val="00080A75"/>
    <w:rsid w:val="00081C99"/>
    <w:rsid w:val="000829B0"/>
    <w:rsid w:val="00082A22"/>
    <w:rsid w:val="00082FF4"/>
    <w:rsid w:val="0008322B"/>
    <w:rsid w:val="00083864"/>
    <w:rsid w:val="00083AF1"/>
    <w:rsid w:val="00083F4C"/>
    <w:rsid w:val="00084AA1"/>
    <w:rsid w:val="00084D39"/>
    <w:rsid w:val="00084E7F"/>
    <w:rsid w:val="00086857"/>
    <w:rsid w:val="00087F30"/>
    <w:rsid w:val="0009037B"/>
    <w:rsid w:val="000906AF"/>
    <w:rsid w:val="00090AEB"/>
    <w:rsid w:val="0009139C"/>
    <w:rsid w:val="000927AC"/>
    <w:rsid w:val="00093192"/>
    <w:rsid w:val="000935F0"/>
    <w:rsid w:val="00096726"/>
    <w:rsid w:val="000969BF"/>
    <w:rsid w:val="0009753B"/>
    <w:rsid w:val="00097A13"/>
    <w:rsid w:val="000A1542"/>
    <w:rsid w:val="000A1CFC"/>
    <w:rsid w:val="000A1D91"/>
    <w:rsid w:val="000A272F"/>
    <w:rsid w:val="000A6740"/>
    <w:rsid w:val="000A6985"/>
    <w:rsid w:val="000A7289"/>
    <w:rsid w:val="000A7C3F"/>
    <w:rsid w:val="000B0EFD"/>
    <w:rsid w:val="000B2CEC"/>
    <w:rsid w:val="000B3D21"/>
    <w:rsid w:val="000B40A7"/>
    <w:rsid w:val="000B4D3E"/>
    <w:rsid w:val="000B4EED"/>
    <w:rsid w:val="000B5FED"/>
    <w:rsid w:val="000B637C"/>
    <w:rsid w:val="000B6402"/>
    <w:rsid w:val="000B6D00"/>
    <w:rsid w:val="000B7D74"/>
    <w:rsid w:val="000C1868"/>
    <w:rsid w:val="000C41AB"/>
    <w:rsid w:val="000C5573"/>
    <w:rsid w:val="000C6620"/>
    <w:rsid w:val="000C7941"/>
    <w:rsid w:val="000C7A5D"/>
    <w:rsid w:val="000C7A6C"/>
    <w:rsid w:val="000D0008"/>
    <w:rsid w:val="000D097B"/>
    <w:rsid w:val="000D0A75"/>
    <w:rsid w:val="000D17E3"/>
    <w:rsid w:val="000D1CED"/>
    <w:rsid w:val="000D49E5"/>
    <w:rsid w:val="000D620F"/>
    <w:rsid w:val="000D735E"/>
    <w:rsid w:val="000E1A70"/>
    <w:rsid w:val="000E2D87"/>
    <w:rsid w:val="000E2F74"/>
    <w:rsid w:val="000E3A1B"/>
    <w:rsid w:val="000E3A50"/>
    <w:rsid w:val="000E5F16"/>
    <w:rsid w:val="000E6550"/>
    <w:rsid w:val="000F0D33"/>
    <w:rsid w:val="000F123B"/>
    <w:rsid w:val="000F1E61"/>
    <w:rsid w:val="000F2039"/>
    <w:rsid w:val="000F2AF8"/>
    <w:rsid w:val="000F2B79"/>
    <w:rsid w:val="000F54DB"/>
    <w:rsid w:val="000F5F8B"/>
    <w:rsid w:val="000F67C1"/>
    <w:rsid w:val="000F7ED1"/>
    <w:rsid w:val="001003C4"/>
    <w:rsid w:val="00100EFB"/>
    <w:rsid w:val="00102149"/>
    <w:rsid w:val="00102591"/>
    <w:rsid w:val="0010271A"/>
    <w:rsid w:val="0010280A"/>
    <w:rsid w:val="00104247"/>
    <w:rsid w:val="00104523"/>
    <w:rsid w:val="0010624B"/>
    <w:rsid w:val="00106F79"/>
    <w:rsid w:val="00107219"/>
    <w:rsid w:val="0010743D"/>
    <w:rsid w:val="00107706"/>
    <w:rsid w:val="001079DC"/>
    <w:rsid w:val="001107D7"/>
    <w:rsid w:val="001116A0"/>
    <w:rsid w:val="001122D9"/>
    <w:rsid w:val="00112D3E"/>
    <w:rsid w:val="00113110"/>
    <w:rsid w:val="001132D2"/>
    <w:rsid w:val="0011406F"/>
    <w:rsid w:val="001142F1"/>
    <w:rsid w:val="0011431A"/>
    <w:rsid w:val="00114C86"/>
    <w:rsid w:val="00116627"/>
    <w:rsid w:val="00116729"/>
    <w:rsid w:val="0012076B"/>
    <w:rsid w:val="00122C65"/>
    <w:rsid w:val="00123332"/>
    <w:rsid w:val="00123FF5"/>
    <w:rsid w:val="0012425D"/>
    <w:rsid w:val="00125DAE"/>
    <w:rsid w:val="00126319"/>
    <w:rsid w:val="00130DB2"/>
    <w:rsid w:val="001322FE"/>
    <w:rsid w:val="00134A77"/>
    <w:rsid w:val="00135BAE"/>
    <w:rsid w:val="00135DC4"/>
    <w:rsid w:val="001425D7"/>
    <w:rsid w:val="00143C3F"/>
    <w:rsid w:val="00143F54"/>
    <w:rsid w:val="0014576E"/>
    <w:rsid w:val="00145DAB"/>
    <w:rsid w:val="001462D9"/>
    <w:rsid w:val="00146C7C"/>
    <w:rsid w:val="00146CDB"/>
    <w:rsid w:val="00147052"/>
    <w:rsid w:val="001476F9"/>
    <w:rsid w:val="00147AC1"/>
    <w:rsid w:val="00151940"/>
    <w:rsid w:val="001521A5"/>
    <w:rsid w:val="001546C6"/>
    <w:rsid w:val="0015662B"/>
    <w:rsid w:val="00156684"/>
    <w:rsid w:val="00156A0E"/>
    <w:rsid w:val="001615BF"/>
    <w:rsid w:val="001616C1"/>
    <w:rsid w:val="0016265E"/>
    <w:rsid w:val="00164DDB"/>
    <w:rsid w:val="00165182"/>
    <w:rsid w:val="00165958"/>
    <w:rsid w:val="0016617B"/>
    <w:rsid w:val="0017012D"/>
    <w:rsid w:val="00170D3F"/>
    <w:rsid w:val="00172829"/>
    <w:rsid w:val="00172D12"/>
    <w:rsid w:val="001750A9"/>
    <w:rsid w:val="001777D4"/>
    <w:rsid w:val="0018055D"/>
    <w:rsid w:val="00180B3D"/>
    <w:rsid w:val="00181392"/>
    <w:rsid w:val="0018152B"/>
    <w:rsid w:val="001820AE"/>
    <w:rsid w:val="00182E4E"/>
    <w:rsid w:val="001831D8"/>
    <w:rsid w:val="00183D68"/>
    <w:rsid w:val="00192887"/>
    <w:rsid w:val="00192B06"/>
    <w:rsid w:val="00192FF9"/>
    <w:rsid w:val="00193202"/>
    <w:rsid w:val="0019333B"/>
    <w:rsid w:val="001938C5"/>
    <w:rsid w:val="00194359"/>
    <w:rsid w:val="001961F1"/>
    <w:rsid w:val="00196BD5"/>
    <w:rsid w:val="001971B1"/>
    <w:rsid w:val="00197238"/>
    <w:rsid w:val="001A0705"/>
    <w:rsid w:val="001A07F6"/>
    <w:rsid w:val="001A0977"/>
    <w:rsid w:val="001A17ED"/>
    <w:rsid w:val="001A18BB"/>
    <w:rsid w:val="001A19DB"/>
    <w:rsid w:val="001A2668"/>
    <w:rsid w:val="001A31DA"/>
    <w:rsid w:val="001A32D7"/>
    <w:rsid w:val="001A495B"/>
    <w:rsid w:val="001A518A"/>
    <w:rsid w:val="001A5814"/>
    <w:rsid w:val="001A5BCB"/>
    <w:rsid w:val="001A64CC"/>
    <w:rsid w:val="001A7CF9"/>
    <w:rsid w:val="001B045B"/>
    <w:rsid w:val="001B0E05"/>
    <w:rsid w:val="001B1E71"/>
    <w:rsid w:val="001B27AE"/>
    <w:rsid w:val="001B511E"/>
    <w:rsid w:val="001B62FB"/>
    <w:rsid w:val="001B6D3A"/>
    <w:rsid w:val="001B716D"/>
    <w:rsid w:val="001C099D"/>
    <w:rsid w:val="001C1C2E"/>
    <w:rsid w:val="001C209C"/>
    <w:rsid w:val="001C2706"/>
    <w:rsid w:val="001C272B"/>
    <w:rsid w:val="001C2971"/>
    <w:rsid w:val="001C3420"/>
    <w:rsid w:val="001C3F14"/>
    <w:rsid w:val="001C5E2C"/>
    <w:rsid w:val="001C7D3E"/>
    <w:rsid w:val="001D081B"/>
    <w:rsid w:val="001D132C"/>
    <w:rsid w:val="001D1ACE"/>
    <w:rsid w:val="001D1D08"/>
    <w:rsid w:val="001D2D60"/>
    <w:rsid w:val="001D3838"/>
    <w:rsid w:val="001D459C"/>
    <w:rsid w:val="001D64A4"/>
    <w:rsid w:val="001D6BAE"/>
    <w:rsid w:val="001D7342"/>
    <w:rsid w:val="001D74C7"/>
    <w:rsid w:val="001D7C53"/>
    <w:rsid w:val="001E39C6"/>
    <w:rsid w:val="001E3ED9"/>
    <w:rsid w:val="001E42BA"/>
    <w:rsid w:val="001E5B42"/>
    <w:rsid w:val="001E7CC8"/>
    <w:rsid w:val="001F0313"/>
    <w:rsid w:val="001F1DAD"/>
    <w:rsid w:val="001F211D"/>
    <w:rsid w:val="001F2683"/>
    <w:rsid w:val="001F3F51"/>
    <w:rsid w:val="001F402A"/>
    <w:rsid w:val="001F4506"/>
    <w:rsid w:val="001F4639"/>
    <w:rsid w:val="001F4AEA"/>
    <w:rsid w:val="001F57CD"/>
    <w:rsid w:val="001F5C6C"/>
    <w:rsid w:val="00201A99"/>
    <w:rsid w:val="00201CD1"/>
    <w:rsid w:val="00202D6F"/>
    <w:rsid w:val="00203DCA"/>
    <w:rsid w:val="002048A0"/>
    <w:rsid w:val="00204B87"/>
    <w:rsid w:val="002055E8"/>
    <w:rsid w:val="00205745"/>
    <w:rsid w:val="0020632D"/>
    <w:rsid w:val="0020649E"/>
    <w:rsid w:val="00207316"/>
    <w:rsid w:val="0021160F"/>
    <w:rsid w:val="002119C1"/>
    <w:rsid w:val="002125FE"/>
    <w:rsid w:val="00212F66"/>
    <w:rsid w:val="00212FE6"/>
    <w:rsid w:val="00215469"/>
    <w:rsid w:val="002169FF"/>
    <w:rsid w:val="0021703F"/>
    <w:rsid w:val="00217150"/>
    <w:rsid w:val="00217C27"/>
    <w:rsid w:val="00221668"/>
    <w:rsid w:val="0022292A"/>
    <w:rsid w:val="0022367C"/>
    <w:rsid w:val="0022373D"/>
    <w:rsid w:val="00223BBA"/>
    <w:rsid w:val="00223D1D"/>
    <w:rsid w:val="00224C56"/>
    <w:rsid w:val="00225912"/>
    <w:rsid w:val="00225CB8"/>
    <w:rsid w:val="00226772"/>
    <w:rsid w:val="00227DB7"/>
    <w:rsid w:val="00230D42"/>
    <w:rsid w:val="002321BC"/>
    <w:rsid w:val="00234429"/>
    <w:rsid w:val="0023452C"/>
    <w:rsid w:val="0023622C"/>
    <w:rsid w:val="00236AD5"/>
    <w:rsid w:val="00241101"/>
    <w:rsid w:val="002428E4"/>
    <w:rsid w:val="00242B57"/>
    <w:rsid w:val="0024558B"/>
    <w:rsid w:val="00246DD9"/>
    <w:rsid w:val="00247428"/>
    <w:rsid w:val="002474CE"/>
    <w:rsid w:val="00250941"/>
    <w:rsid w:val="00250FD3"/>
    <w:rsid w:val="00251A51"/>
    <w:rsid w:val="00251B68"/>
    <w:rsid w:val="00251C9E"/>
    <w:rsid w:val="00252EF0"/>
    <w:rsid w:val="00253143"/>
    <w:rsid w:val="0025573E"/>
    <w:rsid w:val="00255ADE"/>
    <w:rsid w:val="00256C3D"/>
    <w:rsid w:val="00257A78"/>
    <w:rsid w:val="002603DF"/>
    <w:rsid w:val="002607B4"/>
    <w:rsid w:val="0026086F"/>
    <w:rsid w:val="002674AF"/>
    <w:rsid w:val="00267DEE"/>
    <w:rsid w:val="00270825"/>
    <w:rsid w:val="00273A65"/>
    <w:rsid w:val="00273C05"/>
    <w:rsid w:val="00274DAE"/>
    <w:rsid w:val="00276E91"/>
    <w:rsid w:val="0028133E"/>
    <w:rsid w:val="002820DE"/>
    <w:rsid w:val="0028217C"/>
    <w:rsid w:val="00282BD4"/>
    <w:rsid w:val="002830DF"/>
    <w:rsid w:val="00283484"/>
    <w:rsid w:val="0028376C"/>
    <w:rsid w:val="002838A7"/>
    <w:rsid w:val="00283AC0"/>
    <w:rsid w:val="002840CD"/>
    <w:rsid w:val="00284302"/>
    <w:rsid w:val="00284641"/>
    <w:rsid w:val="0028608C"/>
    <w:rsid w:val="002863CF"/>
    <w:rsid w:val="00286E83"/>
    <w:rsid w:val="00286EB9"/>
    <w:rsid w:val="00286F2C"/>
    <w:rsid w:val="00287885"/>
    <w:rsid w:val="00290409"/>
    <w:rsid w:val="002907BC"/>
    <w:rsid w:val="00290DD4"/>
    <w:rsid w:val="00291E43"/>
    <w:rsid w:val="00293289"/>
    <w:rsid w:val="00293708"/>
    <w:rsid w:val="00293734"/>
    <w:rsid w:val="0029386E"/>
    <w:rsid w:val="00293C31"/>
    <w:rsid w:val="00295F4A"/>
    <w:rsid w:val="00297141"/>
    <w:rsid w:val="002A1136"/>
    <w:rsid w:val="002A1A54"/>
    <w:rsid w:val="002A48CA"/>
    <w:rsid w:val="002A58ED"/>
    <w:rsid w:val="002A5C5F"/>
    <w:rsid w:val="002A5DDE"/>
    <w:rsid w:val="002A709A"/>
    <w:rsid w:val="002A7498"/>
    <w:rsid w:val="002A7967"/>
    <w:rsid w:val="002A7B17"/>
    <w:rsid w:val="002A7C5E"/>
    <w:rsid w:val="002B0539"/>
    <w:rsid w:val="002B0AE5"/>
    <w:rsid w:val="002B0FCF"/>
    <w:rsid w:val="002B15B3"/>
    <w:rsid w:val="002B1699"/>
    <w:rsid w:val="002B1AD7"/>
    <w:rsid w:val="002B22B6"/>
    <w:rsid w:val="002B3478"/>
    <w:rsid w:val="002B3D09"/>
    <w:rsid w:val="002B692B"/>
    <w:rsid w:val="002B7130"/>
    <w:rsid w:val="002C154E"/>
    <w:rsid w:val="002C1F59"/>
    <w:rsid w:val="002C257A"/>
    <w:rsid w:val="002C4A90"/>
    <w:rsid w:val="002C4C7D"/>
    <w:rsid w:val="002C525A"/>
    <w:rsid w:val="002D16B4"/>
    <w:rsid w:val="002D1959"/>
    <w:rsid w:val="002D2AA4"/>
    <w:rsid w:val="002D2BCD"/>
    <w:rsid w:val="002D3053"/>
    <w:rsid w:val="002D3635"/>
    <w:rsid w:val="002D4217"/>
    <w:rsid w:val="002D4F72"/>
    <w:rsid w:val="002D5C9C"/>
    <w:rsid w:val="002D7E4D"/>
    <w:rsid w:val="002E04E7"/>
    <w:rsid w:val="002E1091"/>
    <w:rsid w:val="002E3BBF"/>
    <w:rsid w:val="002F091E"/>
    <w:rsid w:val="002F3F9F"/>
    <w:rsid w:val="002F4CA8"/>
    <w:rsid w:val="002F5A1B"/>
    <w:rsid w:val="002F5C91"/>
    <w:rsid w:val="002F5F6A"/>
    <w:rsid w:val="00301212"/>
    <w:rsid w:val="0030296B"/>
    <w:rsid w:val="003030D3"/>
    <w:rsid w:val="003031E3"/>
    <w:rsid w:val="0030343C"/>
    <w:rsid w:val="00304CA3"/>
    <w:rsid w:val="003067B0"/>
    <w:rsid w:val="00310264"/>
    <w:rsid w:val="00310CD2"/>
    <w:rsid w:val="003121E1"/>
    <w:rsid w:val="003128F0"/>
    <w:rsid w:val="00313401"/>
    <w:rsid w:val="00316E88"/>
    <w:rsid w:val="00320133"/>
    <w:rsid w:val="0032041D"/>
    <w:rsid w:val="00320B76"/>
    <w:rsid w:val="00320BD6"/>
    <w:rsid w:val="003214FD"/>
    <w:rsid w:val="0032155C"/>
    <w:rsid w:val="00321F8E"/>
    <w:rsid w:val="003220E6"/>
    <w:rsid w:val="003222F1"/>
    <w:rsid w:val="00324070"/>
    <w:rsid w:val="00325533"/>
    <w:rsid w:val="00326DF8"/>
    <w:rsid w:val="0032738D"/>
    <w:rsid w:val="00330063"/>
    <w:rsid w:val="00330959"/>
    <w:rsid w:val="00330C4C"/>
    <w:rsid w:val="00330DC8"/>
    <w:rsid w:val="003328BB"/>
    <w:rsid w:val="0033365E"/>
    <w:rsid w:val="003342C2"/>
    <w:rsid w:val="00336D1D"/>
    <w:rsid w:val="00337BF2"/>
    <w:rsid w:val="003435D4"/>
    <w:rsid w:val="00343E87"/>
    <w:rsid w:val="00345A2C"/>
    <w:rsid w:val="00345D09"/>
    <w:rsid w:val="00346280"/>
    <w:rsid w:val="00346794"/>
    <w:rsid w:val="00347198"/>
    <w:rsid w:val="00347FE1"/>
    <w:rsid w:val="00350449"/>
    <w:rsid w:val="00351A29"/>
    <w:rsid w:val="00353343"/>
    <w:rsid w:val="003534FE"/>
    <w:rsid w:val="00354B3D"/>
    <w:rsid w:val="00354BD2"/>
    <w:rsid w:val="00355AC4"/>
    <w:rsid w:val="003561BB"/>
    <w:rsid w:val="0035621E"/>
    <w:rsid w:val="00362782"/>
    <w:rsid w:val="00362928"/>
    <w:rsid w:val="00363BCE"/>
    <w:rsid w:val="003670D7"/>
    <w:rsid w:val="0037199E"/>
    <w:rsid w:val="00371D91"/>
    <w:rsid w:val="0037262E"/>
    <w:rsid w:val="00372D61"/>
    <w:rsid w:val="00373BC5"/>
    <w:rsid w:val="003746E4"/>
    <w:rsid w:val="003752E9"/>
    <w:rsid w:val="00375A1D"/>
    <w:rsid w:val="00376C36"/>
    <w:rsid w:val="003817D5"/>
    <w:rsid w:val="00381AD3"/>
    <w:rsid w:val="00382349"/>
    <w:rsid w:val="00382A25"/>
    <w:rsid w:val="003835F3"/>
    <w:rsid w:val="00383B08"/>
    <w:rsid w:val="003844EE"/>
    <w:rsid w:val="0038543E"/>
    <w:rsid w:val="00385B13"/>
    <w:rsid w:val="003863E6"/>
    <w:rsid w:val="003878FB"/>
    <w:rsid w:val="00387FDB"/>
    <w:rsid w:val="00390137"/>
    <w:rsid w:val="00390A2B"/>
    <w:rsid w:val="00390D0A"/>
    <w:rsid w:val="00391103"/>
    <w:rsid w:val="00392440"/>
    <w:rsid w:val="00392DF0"/>
    <w:rsid w:val="003950ED"/>
    <w:rsid w:val="00396EB8"/>
    <w:rsid w:val="00397207"/>
    <w:rsid w:val="00397475"/>
    <w:rsid w:val="003974B9"/>
    <w:rsid w:val="003A1BF7"/>
    <w:rsid w:val="003A2A11"/>
    <w:rsid w:val="003A2A78"/>
    <w:rsid w:val="003A326D"/>
    <w:rsid w:val="003A4246"/>
    <w:rsid w:val="003A43F7"/>
    <w:rsid w:val="003A4C42"/>
    <w:rsid w:val="003B039A"/>
    <w:rsid w:val="003B04E6"/>
    <w:rsid w:val="003B0784"/>
    <w:rsid w:val="003B318C"/>
    <w:rsid w:val="003B45A6"/>
    <w:rsid w:val="003B490F"/>
    <w:rsid w:val="003B4996"/>
    <w:rsid w:val="003B4D3E"/>
    <w:rsid w:val="003B4FEF"/>
    <w:rsid w:val="003B5252"/>
    <w:rsid w:val="003B5530"/>
    <w:rsid w:val="003B5A9A"/>
    <w:rsid w:val="003B5D80"/>
    <w:rsid w:val="003C19C9"/>
    <w:rsid w:val="003C1FA0"/>
    <w:rsid w:val="003C2057"/>
    <w:rsid w:val="003C46F1"/>
    <w:rsid w:val="003C4947"/>
    <w:rsid w:val="003C4B8F"/>
    <w:rsid w:val="003C4E17"/>
    <w:rsid w:val="003C5022"/>
    <w:rsid w:val="003C5D1A"/>
    <w:rsid w:val="003C6527"/>
    <w:rsid w:val="003C749B"/>
    <w:rsid w:val="003C7D95"/>
    <w:rsid w:val="003D0B5C"/>
    <w:rsid w:val="003D25F4"/>
    <w:rsid w:val="003D3183"/>
    <w:rsid w:val="003D32F8"/>
    <w:rsid w:val="003D40DA"/>
    <w:rsid w:val="003D41C3"/>
    <w:rsid w:val="003D691F"/>
    <w:rsid w:val="003E0597"/>
    <w:rsid w:val="003E1FDF"/>
    <w:rsid w:val="003E24A2"/>
    <w:rsid w:val="003E3ABD"/>
    <w:rsid w:val="003E3B6E"/>
    <w:rsid w:val="003E41E9"/>
    <w:rsid w:val="003E6586"/>
    <w:rsid w:val="003E77C3"/>
    <w:rsid w:val="003F0582"/>
    <w:rsid w:val="003F165A"/>
    <w:rsid w:val="003F1F52"/>
    <w:rsid w:val="003F2E81"/>
    <w:rsid w:val="003F3907"/>
    <w:rsid w:val="003F3C64"/>
    <w:rsid w:val="003F6A24"/>
    <w:rsid w:val="003F6E73"/>
    <w:rsid w:val="003F7A90"/>
    <w:rsid w:val="003F7EF5"/>
    <w:rsid w:val="004003D6"/>
    <w:rsid w:val="0040386D"/>
    <w:rsid w:val="00403995"/>
    <w:rsid w:val="00403B2E"/>
    <w:rsid w:val="004055BD"/>
    <w:rsid w:val="00405D47"/>
    <w:rsid w:val="004060A2"/>
    <w:rsid w:val="0041036A"/>
    <w:rsid w:val="00410371"/>
    <w:rsid w:val="004105FD"/>
    <w:rsid w:val="00410D0A"/>
    <w:rsid w:val="00411045"/>
    <w:rsid w:val="0041140E"/>
    <w:rsid w:val="004118CE"/>
    <w:rsid w:val="00412C58"/>
    <w:rsid w:val="00412D1D"/>
    <w:rsid w:val="004166B2"/>
    <w:rsid w:val="00416845"/>
    <w:rsid w:val="00420BB7"/>
    <w:rsid w:val="00421DBD"/>
    <w:rsid w:val="004224BB"/>
    <w:rsid w:val="00422F5D"/>
    <w:rsid w:val="004241EA"/>
    <w:rsid w:val="00425A8F"/>
    <w:rsid w:val="00426A45"/>
    <w:rsid w:val="00426AC6"/>
    <w:rsid w:val="004275EB"/>
    <w:rsid w:val="0042789C"/>
    <w:rsid w:val="00427CA6"/>
    <w:rsid w:val="00427D3F"/>
    <w:rsid w:val="00427DF8"/>
    <w:rsid w:val="00430990"/>
    <w:rsid w:val="00430A1B"/>
    <w:rsid w:val="0043143E"/>
    <w:rsid w:val="00433A80"/>
    <w:rsid w:val="00436018"/>
    <w:rsid w:val="00436C22"/>
    <w:rsid w:val="00437D97"/>
    <w:rsid w:val="004402EB"/>
    <w:rsid w:val="004418EB"/>
    <w:rsid w:val="00442073"/>
    <w:rsid w:val="00442BA4"/>
    <w:rsid w:val="00443DF7"/>
    <w:rsid w:val="00444B70"/>
    <w:rsid w:val="00445298"/>
    <w:rsid w:val="00445B5F"/>
    <w:rsid w:val="004470B8"/>
    <w:rsid w:val="0045099F"/>
    <w:rsid w:val="00450FC0"/>
    <w:rsid w:val="00451D1A"/>
    <w:rsid w:val="004526A9"/>
    <w:rsid w:val="00452D48"/>
    <w:rsid w:val="00453243"/>
    <w:rsid w:val="00453885"/>
    <w:rsid w:val="00454261"/>
    <w:rsid w:val="00455556"/>
    <w:rsid w:val="00455F32"/>
    <w:rsid w:val="00456C7B"/>
    <w:rsid w:val="004570F1"/>
    <w:rsid w:val="0045722E"/>
    <w:rsid w:val="00460B01"/>
    <w:rsid w:val="00461C99"/>
    <w:rsid w:val="00462496"/>
    <w:rsid w:val="00462D9F"/>
    <w:rsid w:val="00463039"/>
    <w:rsid w:val="004637E4"/>
    <w:rsid w:val="0046693C"/>
    <w:rsid w:val="00467694"/>
    <w:rsid w:val="0047027E"/>
    <w:rsid w:val="0047042C"/>
    <w:rsid w:val="00472126"/>
    <w:rsid w:val="0047263A"/>
    <w:rsid w:val="0047322B"/>
    <w:rsid w:val="00473E7F"/>
    <w:rsid w:val="004751D6"/>
    <w:rsid w:val="004778CC"/>
    <w:rsid w:val="00480645"/>
    <w:rsid w:val="004806DB"/>
    <w:rsid w:val="00480B97"/>
    <w:rsid w:val="0048160A"/>
    <w:rsid w:val="0048278C"/>
    <w:rsid w:val="004828C4"/>
    <w:rsid w:val="00483DF6"/>
    <w:rsid w:val="0048410C"/>
    <w:rsid w:val="00485124"/>
    <w:rsid w:val="0048578A"/>
    <w:rsid w:val="00485EEF"/>
    <w:rsid w:val="004866A5"/>
    <w:rsid w:val="004901D6"/>
    <w:rsid w:val="00491951"/>
    <w:rsid w:val="00491C0B"/>
    <w:rsid w:val="00494843"/>
    <w:rsid w:val="00495436"/>
    <w:rsid w:val="00495D91"/>
    <w:rsid w:val="004A0031"/>
    <w:rsid w:val="004A04C0"/>
    <w:rsid w:val="004A0F05"/>
    <w:rsid w:val="004A6567"/>
    <w:rsid w:val="004A6B9B"/>
    <w:rsid w:val="004B060B"/>
    <w:rsid w:val="004B08D9"/>
    <w:rsid w:val="004B1155"/>
    <w:rsid w:val="004B465F"/>
    <w:rsid w:val="004B489F"/>
    <w:rsid w:val="004B4BAE"/>
    <w:rsid w:val="004B5879"/>
    <w:rsid w:val="004B660A"/>
    <w:rsid w:val="004B7E44"/>
    <w:rsid w:val="004B7F67"/>
    <w:rsid w:val="004C27C3"/>
    <w:rsid w:val="004C2AB6"/>
    <w:rsid w:val="004C4139"/>
    <w:rsid w:val="004C45CE"/>
    <w:rsid w:val="004C55CE"/>
    <w:rsid w:val="004C5BEB"/>
    <w:rsid w:val="004C7033"/>
    <w:rsid w:val="004D0A35"/>
    <w:rsid w:val="004D1D53"/>
    <w:rsid w:val="004D23AD"/>
    <w:rsid w:val="004D2550"/>
    <w:rsid w:val="004D4D3F"/>
    <w:rsid w:val="004D5B87"/>
    <w:rsid w:val="004D5DB2"/>
    <w:rsid w:val="004D6E74"/>
    <w:rsid w:val="004D72A4"/>
    <w:rsid w:val="004E049A"/>
    <w:rsid w:val="004E0980"/>
    <w:rsid w:val="004E195E"/>
    <w:rsid w:val="004E2CBA"/>
    <w:rsid w:val="004E3BC4"/>
    <w:rsid w:val="004E3E53"/>
    <w:rsid w:val="004E426A"/>
    <w:rsid w:val="004E44E8"/>
    <w:rsid w:val="004E4EA7"/>
    <w:rsid w:val="004E54A1"/>
    <w:rsid w:val="004E5E66"/>
    <w:rsid w:val="004E6433"/>
    <w:rsid w:val="004E7449"/>
    <w:rsid w:val="004E7B87"/>
    <w:rsid w:val="004E7F96"/>
    <w:rsid w:val="004F054B"/>
    <w:rsid w:val="004F0957"/>
    <w:rsid w:val="004F0D82"/>
    <w:rsid w:val="004F1B99"/>
    <w:rsid w:val="004F257C"/>
    <w:rsid w:val="004F2AD3"/>
    <w:rsid w:val="004F4196"/>
    <w:rsid w:val="004F4DA0"/>
    <w:rsid w:val="004F5566"/>
    <w:rsid w:val="004F6EB7"/>
    <w:rsid w:val="00500661"/>
    <w:rsid w:val="00501115"/>
    <w:rsid w:val="005013B7"/>
    <w:rsid w:val="00502EA1"/>
    <w:rsid w:val="0050403B"/>
    <w:rsid w:val="00504500"/>
    <w:rsid w:val="005049EB"/>
    <w:rsid w:val="005068BC"/>
    <w:rsid w:val="005102C0"/>
    <w:rsid w:val="00510F48"/>
    <w:rsid w:val="005115B0"/>
    <w:rsid w:val="00511617"/>
    <w:rsid w:val="00512804"/>
    <w:rsid w:val="0051512A"/>
    <w:rsid w:val="00515389"/>
    <w:rsid w:val="0051560F"/>
    <w:rsid w:val="00516ADA"/>
    <w:rsid w:val="00516CC4"/>
    <w:rsid w:val="0051729B"/>
    <w:rsid w:val="005173A7"/>
    <w:rsid w:val="005176D6"/>
    <w:rsid w:val="00517C9A"/>
    <w:rsid w:val="00517DBE"/>
    <w:rsid w:val="00520684"/>
    <w:rsid w:val="00520692"/>
    <w:rsid w:val="00520E70"/>
    <w:rsid w:val="00522983"/>
    <w:rsid w:val="005246C3"/>
    <w:rsid w:val="00525B6A"/>
    <w:rsid w:val="0052692F"/>
    <w:rsid w:val="005300F8"/>
    <w:rsid w:val="0053252F"/>
    <w:rsid w:val="005325C5"/>
    <w:rsid w:val="00532AD1"/>
    <w:rsid w:val="00532C4B"/>
    <w:rsid w:val="00532F68"/>
    <w:rsid w:val="00533032"/>
    <w:rsid w:val="0053401B"/>
    <w:rsid w:val="005349C0"/>
    <w:rsid w:val="0053578F"/>
    <w:rsid w:val="00535923"/>
    <w:rsid w:val="0053683A"/>
    <w:rsid w:val="005368B4"/>
    <w:rsid w:val="00536D6E"/>
    <w:rsid w:val="00537E97"/>
    <w:rsid w:val="00540464"/>
    <w:rsid w:val="00540AD9"/>
    <w:rsid w:val="00541E0D"/>
    <w:rsid w:val="005442CF"/>
    <w:rsid w:val="00544BB3"/>
    <w:rsid w:val="005470E9"/>
    <w:rsid w:val="00547503"/>
    <w:rsid w:val="00551355"/>
    <w:rsid w:val="00552473"/>
    <w:rsid w:val="0055276D"/>
    <w:rsid w:val="00552836"/>
    <w:rsid w:val="00554CDA"/>
    <w:rsid w:val="0055636A"/>
    <w:rsid w:val="005578B6"/>
    <w:rsid w:val="005578C7"/>
    <w:rsid w:val="00557CE0"/>
    <w:rsid w:val="00557DD5"/>
    <w:rsid w:val="00560749"/>
    <w:rsid w:val="00561285"/>
    <w:rsid w:val="0056237B"/>
    <w:rsid w:val="00563427"/>
    <w:rsid w:val="005637B5"/>
    <w:rsid w:val="005637CC"/>
    <w:rsid w:val="00563D00"/>
    <w:rsid w:val="00564B3E"/>
    <w:rsid w:val="00565A0E"/>
    <w:rsid w:val="005668B5"/>
    <w:rsid w:val="00567FA1"/>
    <w:rsid w:val="0057104B"/>
    <w:rsid w:val="00571EF5"/>
    <w:rsid w:val="0057488D"/>
    <w:rsid w:val="00576352"/>
    <w:rsid w:val="0057714A"/>
    <w:rsid w:val="0058174A"/>
    <w:rsid w:val="00581D32"/>
    <w:rsid w:val="005849CA"/>
    <w:rsid w:val="00586138"/>
    <w:rsid w:val="00586448"/>
    <w:rsid w:val="00586D97"/>
    <w:rsid w:val="00587AA1"/>
    <w:rsid w:val="00587B13"/>
    <w:rsid w:val="00592311"/>
    <w:rsid w:val="0059269D"/>
    <w:rsid w:val="00592C9D"/>
    <w:rsid w:val="00593359"/>
    <w:rsid w:val="00594037"/>
    <w:rsid w:val="005943EF"/>
    <w:rsid w:val="00594684"/>
    <w:rsid w:val="00595935"/>
    <w:rsid w:val="00597586"/>
    <w:rsid w:val="005A014B"/>
    <w:rsid w:val="005A0827"/>
    <w:rsid w:val="005A11C1"/>
    <w:rsid w:val="005A1DFE"/>
    <w:rsid w:val="005A21CE"/>
    <w:rsid w:val="005A22C4"/>
    <w:rsid w:val="005A2567"/>
    <w:rsid w:val="005A40D3"/>
    <w:rsid w:val="005A458F"/>
    <w:rsid w:val="005A45AC"/>
    <w:rsid w:val="005A46DC"/>
    <w:rsid w:val="005A4998"/>
    <w:rsid w:val="005A4B02"/>
    <w:rsid w:val="005A52C3"/>
    <w:rsid w:val="005A5DC4"/>
    <w:rsid w:val="005A6A29"/>
    <w:rsid w:val="005A7F08"/>
    <w:rsid w:val="005B05DD"/>
    <w:rsid w:val="005B0B94"/>
    <w:rsid w:val="005B2293"/>
    <w:rsid w:val="005B2423"/>
    <w:rsid w:val="005B2DD0"/>
    <w:rsid w:val="005B542E"/>
    <w:rsid w:val="005B6C78"/>
    <w:rsid w:val="005B7A7B"/>
    <w:rsid w:val="005C1B56"/>
    <w:rsid w:val="005C3C11"/>
    <w:rsid w:val="005C3CBC"/>
    <w:rsid w:val="005C5201"/>
    <w:rsid w:val="005C55FE"/>
    <w:rsid w:val="005C5B88"/>
    <w:rsid w:val="005C7008"/>
    <w:rsid w:val="005C71C3"/>
    <w:rsid w:val="005D0391"/>
    <w:rsid w:val="005D0F05"/>
    <w:rsid w:val="005D1ACD"/>
    <w:rsid w:val="005D1ADE"/>
    <w:rsid w:val="005D2940"/>
    <w:rsid w:val="005D2DDB"/>
    <w:rsid w:val="005D4F21"/>
    <w:rsid w:val="005D644D"/>
    <w:rsid w:val="005D74B7"/>
    <w:rsid w:val="005D7536"/>
    <w:rsid w:val="005D7920"/>
    <w:rsid w:val="005D7E37"/>
    <w:rsid w:val="005E070B"/>
    <w:rsid w:val="005E0CFE"/>
    <w:rsid w:val="005E1308"/>
    <w:rsid w:val="005E13EE"/>
    <w:rsid w:val="005E1980"/>
    <w:rsid w:val="005E2FE9"/>
    <w:rsid w:val="005E3D63"/>
    <w:rsid w:val="005E3D65"/>
    <w:rsid w:val="005E4319"/>
    <w:rsid w:val="005E6D96"/>
    <w:rsid w:val="005E78D4"/>
    <w:rsid w:val="005F0922"/>
    <w:rsid w:val="005F1F98"/>
    <w:rsid w:val="005F2637"/>
    <w:rsid w:val="005F44A4"/>
    <w:rsid w:val="005F6E66"/>
    <w:rsid w:val="005F703D"/>
    <w:rsid w:val="00600404"/>
    <w:rsid w:val="006009D4"/>
    <w:rsid w:val="006010BE"/>
    <w:rsid w:val="00601833"/>
    <w:rsid w:val="0060226B"/>
    <w:rsid w:val="006026FB"/>
    <w:rsid w:val="00602B2B"/>
    <w:rsid w:val="00602B8B"/>
    <w:rsid w:val="00603895"/>
    <w:rsid w:val="006038B0"/>
    <w:rsid w:val="00603909"/>
    <w:rsid w:val="00603F47"/>
    <w:rsid w:val="00605235"/>
    <w:rsid w:val="006058EB"/>
    <w:rsid w:val="0060775F"/>
    <w:rsid w:val="00607A27"/>
    <w:rsid w:val="00607BE2"/>
    <w:rsid w:val="006104FC"/>
    <w:rsid w:val="006108DC"/>
    <w:rsid w:val="00613B1C"/>
    <w:rsid w:val="00615175"/>
    <w:rsid w:val="00615D54"/>
    <w:rsid w:val="00616AA5"/>
    <w:rsid w:val="006177A7"/>
    <w:rsid w:val="00617D76"/>
    <w:rsid w:val="00617F41"/>
    <w:rsid w:val="00621109"/>
    <w:rsid w:val="006214CB"/>
    <w:rsid w:val="006218FB"/>
    <w:rsid w:val="00621B9C"/>
    <w:rsid w:val="0062301B"/>
    <w:rsid w:val="00623702"/>
    <w:rsid w:val="0062580B"/>
    <w:rsid w:val="00630BD2"/>
    <w:rsid w:val="006312E2"/>
    <w:rsid w:val="00632787"/>
    <w:rsid w:val="00633053"/>
    <w:rsid w:val="006340AB"/>
    <w:rsid w:val="0063558B"/>
    <w:rsid w:val="00635C92"/>
    <w:rsid w:val="00635E9C"/>
    <w:rsid w:val="00635F59"/>
    <w:rsid w:val="006368DA"/>
    <w:rsid w:val="0063758B"/>
    <w:rsid w:val="00640066"/>
    <w:rsid w:val="00640D80"/>
    <w:rsid w:val="00644A99"/>
    <w:rsid w:val="00644CB5"/>
    <w:rsid w:val="006457FA"/>
    <w:rsid w:val="006458EB"/>
    <w:rsid w:val="006463F0"/>
    <w:rsid w:val="0064668F"/>
    <w:rsid w:val="006473F7"/>
    <w:rsid w:val="00647487"/>
    <w:rsid w:val="0065111E"/>
    <w:rsid w:val="00653A27"/>
    <w:rsid w:val="00653B2D"/>
    <w:rsid w:val="00653BE6"/>
    <w:rsid w:val="00655366"/>
    <w:rsid w:val="006555C5"/>
    <w:rsid w:val="00657E6B"/>
    <w:rsid w:val="00661B0C"/>
    <w:rsid w:val="00661EC5"/>
    <w:rsid w:val="006623C1"/>
    <w:rsid w:val="00662B03"/>
    <w:rsid w:val="00662DAF"/>
    <w:rsid w:val="00663580"/>
    <w:rsid w:val="00665566"/>
    <w:rsid w:val="00666523"/>
    <w:rsid w:val="00667456"/>
    <w:rsid w:val="00667654"/>
    <w:rsid w:val="006700CF"/>
    <w:rsid w:val="00670246"/>
    <w:rsid w:val="006702BF"/>
    <w:rsid w:val="00670E0C"/>
    <w:rsid w:val="006722B8"/>
    <w:rsid w:val="00673B34"/>
    <w:rsid w:val="00673D7C"/>
    <w:rsid w:val="00674357"/>
    <w:rsid w:val="0067491A"/>
    <w:rsid w:val="00674ACF"/>
    <w:rsid w:val="00675054"/>
    <w:rsid w:val="00675C4E"/>
    <w:rsid w:val="006764A1"/>
    <w:rsid w:val="00681590"/>
    <w:rsid w:val="00681D59"/>
    <w:rsid w:val="00681DB8"/>
    <w:rsid w:val="00682284"/>
    <w:rsid w:val="00682759"/>
    <w:rsid w:val="00682BD4"/>
    <w:rsid w:val="0068338C"/>
    <w:rsid w:val="0068389A"/>
    <w:rsid w:val="00683B36"/>
    <w:rsid w:val="0068444B"/>
    <w:rsid w:val="00684B8A"/>
    <w:rsid w:val="0068548A"/>
    <w:rsid w:val="0068550C"/>
    <w:rsid w:val="0068559B"/>
    <w:rsid w:val="0068591C"/>
    <w:rsid w:val="00685E2B"/>
    <w:rsid w:val="006861A3"/>
    <w:rsid w:val="00686879"/>
    <w:rsid w:val="00686CEE"/>
    <w:rsid w:val="00687B68"/>
    <w:rsid w:val="006910E5"/>
    <w:rsid w:val="00692DBE"/>
    <w:rsid w:val="006930BB"/>
    <w:rsid w:val="00693F4F"/>
    <w:rsid w:val="00694537"/>
    <w:rsid w:val="006950EF"/>
    <w:rsid w:val="0069559D"/>
    <w:rsid w:val="00696755"/>
    <w:rsid w:val="00696D98"/>
    <w:rsid w:val="00697342"/>
    <w:rsid w:val="0069756A"/>
    <w:rsid w:val="00697700"/>
    <w:rsid w:val="00697BB5"/>
    <w:rsid w:val="00697DF0"/>
    <w:rsid w:val="006A124B"/>
    <w:rsid w:val="006A1A40"/>
    <w:rsid w:val="006A24CE"/>
    <w:rsid w:val="006A2B89"/>
    <w:rsid w:val="006A2CA4"/>
    <w:rsid w:val="006A3323"/>
    <w:rsid w:val="006A3C95"/>
    <w:rsid w:val="006A4785"/>
    <w:rsid w:val="006A4AAF"/>
    <w:rsid w:val="006A5D33"/>
    <w:rsid w:val="006A73B1"/>
    <w:rsid w:val="006B097B"/>
    <w:rsid w:val="006B0C5F"/>
    <w:rsid w:val="006B3580"/>
    <w:rsid w:val="006B3BAB"/>
    <w:rsid w:val="006B45C2"/>
    <w:rsid w:val="006B4D17"/>
    <w:rsid w:val="006B61FC"/>
    <w:rsid w:val="006B621F"/>
    <w:rsid w:val="006B6A7C"/>
    <w:rsid w:val="006B6D35"/>
    <w:rsid w:val="006B7DD9"/>
    <w:rsid w:val="006C09F6"/>
    <w:rsid w:val="006C43E0"/>
    <w:rsid w:val="006C4439"/>
    <w:rsid w:val="006C44F7"/>
    <w:rsid w:val="006C4AF3"/>
    <w:rsid w:val="006C6B4E"/>
    <w:rsid w:val="006D06B3"/>
    <w:rsid w:val="006D1078"/>
    <w:rsid w:val="006D12E8"/>
    <w:rsid w:val="006D15AC"/>
    <w:rsid w:val="006D2A67"/>
    <w:rsid w:val="006D2E42"/>
    <w:rsid w:val="006D367F"/>
    <w:rsid w:val="006D411C"/>
    <w:rsid w:val="006D49B8"/>
    <w:rsid w:val="006D5786"/>
    <w:rsid w:val="006D5FEB"/>
    <w:rsid w:val="006D74F6"/>
    <w:rsid w:val="006D78C1"/>
    <w:rsid w:val="006D7CC2"/>
    <w:rsid w:val="006E0047"/>
    <w:rsid w:val="006E06EB"/>
    <w:rsid w:val="006E15D0"/>
    <w:rsid w:val="006E1A7F"/>
    <w:rsid w:val="006E29A6"/>
    <w:rsid w:val="006E2BAD"/>
    <w:rsid w:val="006E2D73"/>
    <w:rsid w:val="006E2EC3"/>
    <w:rsid w:val="006E462E"/>
    <w:rsid w:val="006E5D61"/>
    <w:rsid w:val="006E60E8"/>
    <w:rsid w:val="006E6E27"/>
    <w:rsid w:val="006E719F"/>
    <w:rsid w:val="006E78C9"/>
    <w:rsid w:val="006E7BA3"/>
    <w:rsid w:val="006F1C66"/>
    <w:rsid w:val="006F3569"/>
    <w:rsid w:val="006F4096"/>
    <w:rsid w:val="006F5FB7"/>
    <w:rsid w:val="006F6E67"/>
    <w:rsid w:val="006F791D"/>
    <w:rsid w:val="006F7DE2"/>
    <w:rsid w:val="007006E3"/>
    <w:rsid w:val="00700902"/>
    <w:rsid w:val="00700C0A"/>
    <w:rsid w:val="007020C1"/>
    <w:rsid w:val="00702366"/>
    <w:rsid w:val="00702AF6"/>
    <w:rsid w:val="00702CD4"/>
    <w:rsid w:val="00703289"/>
    <w:rsid w:val="00704131"/>
    <w:rsid w:val="00706074"/>
    <w:rsid w:val="00706968"/>
    <w:rsid w:val="00706A59"/>
    <w:rsid w:val="0071086E"/>
    <w:rsid w:val="00710ABA"/>
    <w:rsid w:val="00711BBF"/>
    <w:rsid w:val="00712000"/>
    <w:rsid w:val="0071242E"/>
    <w:rsid w:val="007126C4"/>
    <w:rsid w:val="0071314B"/>
    <w:rsid w:val="0071341B"/>
    <w:rsid w:val="00713918"/>
    <w:rsid w:val="00714106"/>
    <w:rsid w:val="00714934"/>
    <w:rsid w:val="007154C8"/>
    <w:rsid w:val="0071596A"/>
    <w:rsid w:val="00717ED4"/>
    <w:rsid w:val="00721286"/>
    <w:rsid w:val="0072198C"/>
    <w:rsid w:val="00721F9F"/>
    <w:rsid w:val="00722094"/>
    <w:rsid w:val="0072467F"/>
    <w:rsid w:val="00724E9E"/>
    <w:rsid w:val="00725308"/>
    <w:rsid w:val="0072550F"/>
    <w:rsid w:val="0072670E"/>
    <w:rsid w:val="007272CD"/>
    <w:rsid w:val="00727608"/>
    <w:rsid w:val="007277CA"/>
    <w:rsid w:val="00730693"/>
    <w:rsid w:val="00730712"/>
    <w:rsid w:val="007309A4"/>
    <w:rsid w:val="007310DC"/>
    <w:rsid w:val="007323B1"/>
    <w:rsid w:val="007328F8"/>
    <w:rsid w:val="00733734"/>
    <w:rsid w:val="00734F96"/>
    <w:rsid w:val="00735097"/>
    <w:rsid w:val="00735FFE"/>
    <w:rsid w:val="00737618"/>
    <w:rsid w:val="00737D1C"/>
    <w:rsid w:val="0074126E"/>
    <w:rsid w:val="00741EF0"/>
    <w:rsid w:val="00744FC0"/>
    <w:rsid w:val="007450C6"/>
    <w:rsid w:val="007452D5"/>
    <w:rsid w:val="00745A70"/>
    <w:rsid w:val="007465BB"/>
    <w:rsid w:val="00750082"/>
    <w:rsid w:val="0075022B"/>
    <w:rsid w:val="00750A3C"/>
    <w:rsid w:val="00750B59"/>
    <w:rsid w:val="00752878"/>
    <w:rsid w:val="00752E04"/>
    <w:rsid w:val="0075331D"/>
    <w:rsid w:val="00754E7C"/>
    <w:rsid w:val="00757F4C"/>
    <w:rsid w:val="007611ED"/>
    <w:rsid w:val="0076141C"/>
    <w:rsid w:val="007614F9"/>
    <w:rsid w:val="0076235A"/>
    <w:rsid w:val="007624FF"/>
    <w:rsid w:val="007627EA"/>
    <w:rsid w:val="0076360D"/>
    <w:rsid w:val="00763751"/>
    <w:rsid w:val="0076405C"/>
    <w:rsid w:val="00766549"/>
    <w:rsid w:val="00766785"/>
    <w:rsid w:val="00767FDC"/>
    <w:rsid w:val="00771C03"/>
    <w:rsid w:val="00772BE8"/>
    <w:rsid w:val="00774446"/>
    <w:rsid w:val="0077515C"/>
    <w:rsid w:val="0077547D"/>
    <w:rsid w:val="0077549E"/>
    <w:rsid w:val="007776AB"/>
    <w:rsid w:val="00780753"/>
    <w:rsid w:val="00780B8F"/>
    <w:rsid w:val="007817AC"/>
    <w:rsid w:val="00781F0E"/>
    <w:rsid w:val="00782709"/>
    <w:rsid w:val="00782804"/>
    <w:rsid w:val="007828C6"/>
    <w:rsid w:val="00782E60"/>
    <w:rsid w:val="007841CE"/>
    <w:rsid w:val="0078491D"/>
    <w:rsid w:val="00786A4E"/>
    <w:rsid w:val="00786F0D"/>
    <w:rsid w:val="00787F97"/>
    <w:rsid w:val="00790A70"/>
    <w:rsid w:val="00791023"/>
    <w:rsid w:val="00791184"/>
    <w:rsid w:val="00792446"/>
    <w:rsid w:val="007925CB"/>
    <w:rsid w:val="00792DFA"/>
    <w:rsid w:val="007938ED"/>
    <w:rsid w:val="00795539"/>
    <w:rsid w:val="007955F4"/>
    <w:rsid w:val="00797252"/>
    <w:rsid w:val="007A05EB"/>
    <w:rsid w:val="007A0D98"/>
    <w:rsid w:val="007A3DD1"/>
    <w:rsid w:val="007A41A7"/>
    <w:rsid w:val="007B1A68"/>
    <w:rsid w:val="007B357B"/>
    <w:rsid w:val="007B3D30"/>
    <w:rsid w:val="007B446D"/>
    <w:rsid w:val="007B5473"/>
    <w:rsid w:val="007B58FA"/>
    <w:rsid w:val="007B59D3"/>
    <w:rsid w:val="007B5DC6"/>
    <w:rsid w:val="007B7B2E"/>
    <w:rsid w:val="007B7BD5"/>
    <w:rsid w:val="007C048B"/>
    <w:rsid w:val="007C10BD"/>
    <w:rsid w:val="007C1EEE"/>
    <w:rsid w:val="007C2A45"/>
    <w:rsid w:val="007C37FC"/>
    <w:rsid w:val="007C42A4"/>
    <w:rsid w:val="007C622F"/>
    <w:rsid w:val="007C7F20"/>
    <w:rsid w:val="007D25F8"/>
    <w:rsid w:val="007D2DB0"/>
    <w:rsid w:val="007D2E7F"/>
    <w:rsid w:val="007D377A"/>
    <w:rsid w:val="007D42F3"/>
    <w:rsid w:val="007D4547"/>
    <w:rsid w:val="007D4658"/>
    <w:rsid w:val="007D5301"/>
    <w:rsid w:val="007D683C"/>
    <w:rsid w:val="007E0683"/>
    <w:rsid w:val="007E07D7"/>
    <w:rsid w:val="007E0940"/>
    <w:rsid w:val="007E1607"/>
    <w:rsid w:val="007E1808"/>
    <w:rsid w:val="007E276D"/>
    <w:rsid w:val="007E372F"/>
    <w:rsid w:val="007E5CD8"/>
    <w:rsid w:val="007E6FBF"/>
    <w:rsid w:val="007E7E29"/>
    <w:rsid w:val="007F076B"/>
    <w:rsid w:val="007F1ED7"/>
    <w:rsid w:val="007F2E02"/>
    <w:rsid w:val="007F57BE"/>
    <w:rsid w:val="007F5981"/>
    <w:rsid w:val="007F6AE9"/>
    <w:rsid w:val="007F7456"/>
    <w:rsid w:val="00804B08"/>
    <w:rsid w:val="00805AB9"/>
    <w:rsid w:val="0080616C"/>
    <w:rsid w:val="008069FB"/>
    <w:rsid w:val="0080781D"/>
    <w:rsid w:val="00807DC0"/>
    <w:rsid w:val="008102F3"/>
    <w:rsid w:val="008115B1"/>
    <w:rsid w:val="00811C15"/>
    <w:rsid w:val="008144D0"/>
    <w:rsid w:val="0081452B"/>
    <w:rsid w:val="00815A6C"/>
    <w:rsid w:val="00815C2D"/>
    <w:rsid w:val="00816C20"/>
    <w:rsid w:val="0082025A"/>
    <w:rsid w:val="008208A1"/>
    <w:rsid w:val="008209CE"/>
    <w:rsid w:val="00821139"/>
    <w:rsid w:val="0082129B"/>
    <w:rsid w:val="00821394"/>
    <w:rsid w:val="00821FF7"/>
    <w:rsid w:val="0082324B"/>
    <w:rsid w:val="0082593F"/>
    <w:rsid w:val="00825992"/>
    <w:rsid w:val="008279BF"/>
    <w:rsid w:val="00827B53"/>
    <w:rsid w:val="00830306"/>
    <w:rsid w:val="00831A47"/>
    <w:rsid w:val="008337A1"/>
    <w:rsid w:val="00833DAD"/>
    <w:rsid w:val="00834B8A"/>
    <w:rsid w:val="00837541"/>
    <w:rsid w:val="00840492"/>
    <w:rsid w:val="00840F29"/>
    <w:rsid w:val="00841755"/>
    <w:rsid w:val="00841AD1"/>
    <w:rsid w:val="00841FAA"/>
    <w:rsid w:val="008433D4"/>
    <w:rsid w:val="00843CC5"/>
    <w:rsid w:val="00844C22"/>
    <w:rsid w:val="00845BC4"/>
    <w:rsid w:val="00846D98"/>
    <w:rsid w:val="0084711A"/>
    <w:rsid w:val="008471F7"/>
    <w:rsid w:val="008507C1"/>
    <w:rsid w:val="00850812"/>
    <w:rsid w:val="00850D55"/>
    <w:rsid w:val="00851477"/>
    <w:rsid w:val="00851A2C"/>
    <w:rsid w:val="00852216"/>
    <w:rsid w:val="00853150"/>
    <w:rsid w:val="0085319B"/>
    <w:rsid w:val="008532A5"/>
    <w:rsid w:val="008542D5"/>
    <w:rsid w:val="00854692"/>
    <w:rsid w:val="00854A67"/>
    <w:rsid w:val="00854C00"/>
    <w:rsid w:val="00855EB0"/>
    <w:rsid w:val="008563AE"/>
    <w:rsid w:val="00857801"/>
    <w:rsid w:val="008579B6"/>
    <w:rsid w:val="00860586"/>
    <w:rsid w:val="00860DD1"/>
    <w:rsid w:val="00860EB2"/>
    <w:rsid w:val="0086376B"/>
    <w:rsid w:val="00863BB3"/>
    <w:rsid w:val="00863FA2"/>
    <w:rsid w:val="008644A3"/>
    <w:rsid w:val="008646AD"/>
    <w:rsid w:val="00865170"/>
    <w:rsid w:val="008651AD"/>
    <w:rsid w:val="0086625E"/>
    <w:rsid w:val="0086663C"/>
    <w:rsid w:val="00867498"/>
    <w:rsid w:val="008678B0"/>
    <w:rsid w:val="0087022C"/>
    <w:rsid w:val="00870B65"/>
    <w:rsid w:val="00871A00"/>
    <w:rsid w:val="00871FA1"/>
    <w:rsid w:val="00872DED"/>
    <w:rsid w:val="008730E1"/>
    <w:rsid w:val="008741BF"/>
    <w:rsid w:val="00874688"/>
    <w:rsid w:val="008749F0"/>
    <w:rsid w:val="00880152"/>
    <w:rsid w:val="008801F6"/>
    <w:rsid w:val="0088093C"/>
    <w:rsid w:val="00881DE9"/>
    <w:rsid w:val="008842EA"/>
    <w:rsid w:val="00884BEF"/>
    <w:rsid w:val="0088558A"/>
    <w:rsid w:val="00885C44"/>
    <w:rsid w:val="008869ED"/>
    <w:rsid w:val="00886DE3"/>
    <w:rsid w:val="008870E5"/>
    <w:rsid w:val="00887D86"/>
    <w:rsid w:val="00890084"/>
    <w:rsid w:val="00891256"/>
    <w:rsid w:val="00891815"/>
    <w:rsid w:val="00893547"/>
    <w:rsid w:val="00893626"/>
    <w:rsid w:val="00893683"/>
    <w:rsid w:val="00895353"/>
    <w:rsid w:val="00895481"/>
    <w:rsid w:val="00896C33"/>
    <w:rsid w:val="0089728B"/>
    <w:rsid w:val="00897504"/>
    <w:rsid w:val="00897CFF"/>
    <w:rsid w:val="008A0556"/>
    <w:rsid w:val="008A1658"/>
    <w:rsid w:val="008A31CE"/>
    <w:rsid w:val="008B0048"/>
    <w:rsid w:val="008B22A8"/>
    <w:rsid w:val="008B22CB"/>
    <w:rsid w:val="008B2785"/>
    <w:rsid w:val="008B3242"/>
    <w:rsid w:val="008B4B3B"/>
    <w:rsid w:val="008B5A01"/>
    <w:rsid w:val="008B5C02"/>
    <w:rsid w:val="008B5FAB"/>
    <w:rsid w:val="008B6D26"/>
    <w:rsid w:val="008C00E8"/>
    <w:rsid w:val="008C269A"/>
    <w:rsid w:val="008C312D"/>
    <w:rsid w:val="008C3357"/>
    <w:rsid w:val="008C38F0"/>
    <w:rsid w:val="008C5099"/>
    <w:rsid w:val="008C594A"/>
    <w:rsid w:val="008C6B2E"/>
    <w:rsid w:val="008C70AD"/>
    <w:rsid w:val="008C7B73"/>
    <w:rsid w:val="008C7EB9"/>
    <w:rsid w:val="008D0901"/>
    <w:rsid w:val="008D22BB"/>
    <w:rsid w:val="008D3101"/>
    <w:rsid w:val="008D32B7"/>
    <w:rsid w:val="008D3455"/>
    <w:rsid w:val="008D34CB"/>
    <w:rsid w:val="008D3881"/>
    <w:rsid w:val="008D3B8B"/>
    <w:rsid w:val="008D4596"/>
    <w:rsid w:val="008D4AF6"/>
    <w:rsid w:val="008D4B73"/>
    <w:rsid w:val="008D5041"/>
    <w:rsid w:val="008D55DF"/>
    <w:rsid w:val="008D6224"/>
    <w:rsid w:val="008D7043"/>
    <w:rsid w:val="008E1FD3"/>
    <w:rsid w:val="008E36EE"/>
    <w:rsid w:val="008E375E"/>
    <w:rsid w:val="008E3BFD"/>
    <w:rsid w:val="008E4FEE"/>
    <w:rsid w:val="008E5845"/>
    <w:rsid w:val="008E5A1E"/>
    <w:rsid w:val="008E76D9"/>
    <w:rsid w:val="008E7917"/>
    <w:rsid w:val="008F08BD"/>
    <w:rsid w:val="008F0D2B"/>
    <w:rsid w:val="008F3AAB"/>
    <w:rsid w:val="008F40FA"/>
    <w:rsid w:val="008F4CE6"/>
    <w:rsid w:val="008F74FD"/>
    <w:rsid w:val="0090092B"/>
    <w:rsid w:val="00902B8B"/>
    <w:rsid w:val="00902C7A"/>
    <w:rsid w:val="00902C8F"/>
    <w:rsid w:val="009045A0"/>
    <w:rsid w:val="00904D3F"/>
    <w:rsid w:val="00904E01"/>
    <w:rsid w:val="009059EB"/>
    <w:rsid w:val="00906693"/>
    <w:rsid w:val="00907385"/>
    <w:rsid w:val="0091032A"/>
    <w:rsid w:val="00910C5C"/>
    <w:rsid w:val="0091345F"/>
    <w:rsid w:val="009134E6"/>
    <w:rsid w:val="00913B32"/>
    <w:rsid w:val="00913CBA"/>
    <w:rsid w:val="0091454A"/>
    <w:rsid w:val="00915780"/>
    <w:rsid w:val="009158FC"/>
    <w:rsid w:val="0091731F"/>
    <w:rsid w:val="00917D9A"/>
    <w:rsid w:val="00920D7D"/>
    <w:rsid w:val="00922683"/>
    <w:rsid w:val="009228ED"/>
    <w:rsid w:val="00922DA8"/>
    <w:rsid w:val="009259A2"/>
    <w:rsid w:val="00925DA0"/>
    <w:rsid w:val="00926362"/>
    <w:rsid w:val="00927B2D"/>
    <w:rsid w:val="00931594"/>
    <w:rsid w:val="00933725"/>
    <w:rsid w:val="00935252"/>
    <w:rsid w:val="009360F2"/>
    <w:rsid w:val="0093716D"/>
    <w:rsid w:val="009379F1"/>
    <w:rsid w:val="009402CB"/>
    <w:rsid w:val="009405CE"/>
    <w:rsid w:val="00940B0B"/>
    <w:rsid w:val="00940F17"/>
    <w:rsid w:val="00941235"/>
    <w:rsid w:val="00941409"/>
    <w:rsid w:val="009414E8"/>
    <w:rsid w:val="0094363C"/>
    <w:rsid w:val="009439AE"/>
    <w:rsid w:val="00944F18"/>
    <w:rsid w:val="0094568A"/>
    <w:rsid w:val="009506C4"/>
    <w:rsid w:val="0095134B"/>
    <w:rsid w:val="00951CAC"/>
    <w:rsid w:val="00954E33"/>
    <w:rsid w:val="009579ED"/>
    <w:rsid w:val="009600B1"/>
    <w:rsid w:val="009614C3"/>
    <w:rsid w:val="00961B4C"/>
    <w:rsid w:val="00963042"/>
    <w:rsid w:val="009643AB"/>
    <w:rsid w:val="00965060"/>
    <w:rsid w:val="009665F0"/>
    <w:rsid w:val="0097047D"/>
    <w:rsid w:val="0097127F"/>
    <w:rsid w:val="00971F36"/>
    <w:rsid w:val="00972F05"/>
    <w:rsid w:val="009743E2"/>
    <w:rsid w:val="00974A68"/>
    <w:rsid w:val="00975656"/>
    <w:rsid w:val="009757C4"/>
    <w:rsid w:val="0097722A"/>
    <w:rsid w:val="009803A2"/>
    <w:rsid w:val="00980F0C"/>
    <w:rsid w:val="00981BD4"/>
    <w:rsid w:val="00982982"/>
    <w:rsid w:val="00986719"/>
    <w:rsid w:val="00987802"/>
    <w:rsid w:val="0099057F"/>
    <w:rsid w:val="009907AA"/>
    <w:rsid w:val="00991F4F"/>
    <w:rsid w:val="00993D16"/>
    <w:rsid w:val="00993D81"/>
    <w:rsid w:val="00995788"/>
    <w:rsid w:val="0099782A"/>
    <w:rsid w:val="009A1E48"/>
    <w:rsid w:val="009A21C9"/>
    <w:rsid w:val="009A3228"/>
    <w:rsid w:val="009A416C"/>
    <w:rsid w:val="009A4790"/>
    <w:rsid w:val="009A5527"/>
    <w:rsid w:val="009A5BDD"/>
    <w:rsid w:val="009B04AA"/>
    <w:rsid w:val="009B09B0"/>
    <w:rsid w:val="009B0C5B"/>
    <w:rsid w:val="009B0FD0"/>
    <w:rsid w:val="009B1C8F"/>
    <w:rsid w:val="009B58DD"/>
    <w:rsid w:val="009B5C4C"/>
    <w:rsid w:val="009B6BB8"/>
    <w:rsid w:val="009B7C77"/>
    <w:rsid w:val="009C0130"/>
    <w:rsid w:val="009C1AFD"/>
    <w:rsid w:val="009C204A"/>
    <w:rsid w:val="009C4D4A"/>
    <w:rsid w:val="009C6676"/>
    <w:rsid w:val="009C6B3A"/>
    <w:rsid w:val="009C757D"/>
    <w:rsid w:val="009C7FE5"/>
    <w:rsid w:val="009D0214"/>
    <w:rsid w:val="009D3205"/>
    <w:rsid w:val="009D32E8"/>
    <w:rsid w:val="009D5BB1"/>
    <w:rsid w:val="009D5DF1"/>
    <w:rsid w:val="009D7EA4"/>
    <w:rsid w:val="009E2FA4"/>
    <w:rsid w:val="009E3A57"/>
    <w:rsid w:val="009E45EF"/>
    <w:rsid w:val="009E5006"/>
    <w:rsid w:val="009E52D7"/>
    <w:rsid w:val="009E57F2"/>
    <w:rsid w:val="009E6A9A"/>
    <w:rsid w:val="009E6C89"/>
    <w:rsid w:val="009E6F84"/>
    <w:rsid w:val="009E7264"/>
    <w:rsid w:val="009E7783"/>
    <w:rsid w:val="009E7F9F"/>
    <w:rsid w:val="009F1080"/>
    <w:rsid w:val="009F240E"/>
    <w:rsid w:val="009F2C2C"/>
    <w:rsid w:val="009F2F28"/>
    <w:rsid w:val="009F3400"/>
    <w:rsid w:val="009F35C5"/>
    <w:rsid w:val="009F4750"/>
    <w:rsid w:val="009F68E3"/>
    <w:rsid w:val="009F6A1F"/>
    <w:rsid w:val="009F6B2C"/>
    <w:rsid w:val="009F7485"/>
    <w:rsid w:val="009F75D4"/>
    <w:rsid w:val="00A00024"/>
    <w:rsid w:val="00A00107"/>
    <w:rsid w:val="00A00772"/>
    <w:rsid w:val="00A01953"/>
    <w:rsid w:val="00A01AD2"/>
    <w:rsid w:val="00A032FD"/>
    <w:rsid w:val="00A03906"/>
    <w:rsid w:val="00A049A5"/>
    <w:rsid w:val="00A0533C"/>
    <w:rsid w:val="00A06095"/>
    <w:rsid w:val="00A078DB"/>
    <w:rsid w:val="00A10BD9"/>
    <w:rsid w:val="00A11893"/>
    <w:rsid w:val="00A138A2"/>
    <w:rsid w:val="00A1473A"/>
    <w:rsid w:val="00A147A9"/>
    <w:rsid w:val="00A15D5C"/>
    <w:rsid w:val="00A163BE"/>
    <w:rsid w:val="00A16601"/>
    <w:rsid w:val="00A1682A"/>
    <w:rsid w:val="00A169B2"/>
    <w:rsid w:val="00A17B29"/>
    <w:rsid w:val="00A20211"/>
    <w:rsid w:val="00A20727"/>
    <w:rsid w:val="00A21B6C"/>
    <w:rsid w:val="00A22635"/>
    <w:rsid w:val="00A23010"/>
    <w:rsid w:val="00A23327"/>
    <w:rsid w:val="00A2356D"/>
    <w:rsid w:val="00A23E5B"/>
    <w:rsid w:val="00A2462B"/>
    <w:rsid w:val="00A24F91"/>
    <w:rsid w:val="00A25D2F"/>
    <w:rsid w:val="00A261AF"/>
    <w:rsid w:val="00A26827"/>
    <w:rsid w:val="00A26E75"/>
    <w:rsid w:val="00A27671"/>
    <w:rsid w:val="00A27744"/>
    <w:rsid w:val="00A30590"/>
    <w:rsid w:val="00A3170D"/>
    <w:rsid w:val="00A3181E"/>
    <w:rsid w:val="00A31BD9"/>
    <w:rsid w:val="00A3212E"/>
    <w:rsid w:val="00A3475E"/>
    <w:rsid w:val="00A34AFA"/>
    <w:rsid w:val="00A35896"/>
    <w:rsid w:val="00A36501"/>
    <w:rsid w:val="00A36CB4"/>
    <w:rsid w:val="00A37672"/>
    <w:rsid w:val="00A41303"/>
    <w:rsid w:val="00A41421"/>
    <w:rsid w:val="00A41DB3"/>
    <w:rsid w:val="00A425B1"/>
    <w:rsid w:val="00A42DAA"/>
    <w:rsid w:val="00A4406E"/>
    <w:rsid w:val="00A444C5"/>
    <w:rsid w:val="00A472E4"/>
    <w:rsid w:val="00A47435"/>
    <w:rsid w:val="00A50C73"/>
    <w:rsid w:val="00A51C0C"/>
    <w:rsid w:val="00A51D17"/>
    <w:rsid w:val="00A521E3"/>
    <w:rsid w:val="00A53097"/>
    <w:rsid w:val="00A548CF"/>
    <w:rsid w:val="00A5497A"/>
    <w:rsid w:val="00A54AB4"/>
    <w:rsid w:val="00A54F54"/>
    <w:rsid w:val="00A5587A"/>
    <w:rsid w:val="00A559DC"/>
    <w:rsid w:val="00A55FB0"/>
    <w:rsid w:val="00A573B2"/>
    <w:rsid w:val="00A575E9"/>
    <w:rsid w:val="00A60E97"/>
    <w:rsid w:val="00A6106D"/>
    <w:rsid w:val="00A614C8"/>
    <w:rsid w:val="00A625B7"/>
    <w:rsid w:val="00A63ACC"/>
    <w:rsid w:val="00A63CB1"/>
    <w:rsid w:val="00A65C45"/>
    <w:rsid w:val="00A66428"/>
    <w:rsid w:val="00A6752E"/>
    <w:rsid w:val="00A67FF2"/>
    <w:rsid w:val="00A7020D"/>
    <w:rsid w:val="00A71248"/>
    <w:rsid w:val="00A71CAC"/>
    <w:rsid w:val="00A72A56"/>
    <w:rsid w:val="00A73831"/>
    <w:rsid w:val="00A73887"/>
    <w:rsid w:val="00A7426E"/>
    <w:rsid w:val="00A75BAD"/>
    <w:rsid w:val="00A75F15"/>
    <w:rsid w:val="00A76656"/>
    <w:rsid w:val="00A76B13"/>
    <w:rsid w:val="00A773BD"/>
    <w:rsid w:val="00A81F40"/>
    <w:rsid w:val="00A8203A"/>
    <w:rsid w:val="00A82B45"/>
    <w:rsid w:val="00A843E0"/>
    <w:rsid w:val="00A84F1D"/>
    <w:rsid w:val="00A85082"/>
    <w:rsid w:val="00A8520E"/>
    <w:rsid w:val="00A85340"/>
    <w:rsid w:val="00A86AE5"/>
    <w:rsid w:val="00A86B53"/>
    <w:rsid w:val="00A87F42"/>
    <w:rsid w:val="00A902E7"/>
    <w:rsid w:val="00A91674"/>
    <w:rsid w:val="00A92407"/>
    <w:rsid w:val="00A92BFD"/>
    <w:rsid w:val="00A93300"/>
    <w:rsid w:val="00A943A9"/>
    <w:rsid w:val="00A94613"/>
    <w:rsid w:val="00A950D4"/>
    <w:rsid w:val="00A95B3A"/>
    <w:rsid w:val="00A96255"/>
    <w:rsid w:val="00AA31A6"/>
    <w:rsid w:val="00AA4A08"/>
    <w:rsid w:val="00AA5537"/>
    <w:rsid w:val="00AA5BA9"/>
    <w:rsid w:val="00AA6EB3"/>
    <w:rsid w:val="00AA73FD"/>
    <w:rsid w:val="00AB15DF"/>
    <w:rsid w:val="00AB2281"/>
    <w:rsid w:val="00AB2F5C"/>
    <w:rsid w:val="00AB3990"/>
    <w:rsid w:val="00AB4281"/>
    <w:rsid w:val="00AB45B7"/>
    <w:rsid w:val="00AB5017"/>
    <w:rsid w:val="00AB5E0D"/>
    <w:rsid w:val="00AB6266"/>
    <w:rsid w:val="00AB63C2"/>
    <w:rsid w:val="00AB6F87"/>
    <w:rsid w:val="00AB7114"/>
    <w:rsid w:val="00AB737E"/>
    <w:rsid w:val="00AC10D3"/>
    <w:rsid w:val="00AC1A30"/>
    <w:rsid w:val="00AC1F68"/>
    <w:rsid w:val="00AC20EB"/>
    <w:rsid w:val="00AC28A6"/>
    <w:rsid w:val="00AC2FD1"/>
    <w:rsid w:val="00AC37ED"/>
    <w:rsid w:val="00AC3C17"/>
    <w:rsid w:val="00AC49F0"/>
    <w:rsid w:val="00AC4CED"/>
    <w:rsid w:val="00AC53F7"/>
    <w:rsid w:val="00AC6609"/>
    <w:rsid w:val="00AC7D0E"/>
    <w:rsid w:val="00AD2CED"/>
    <w:rsid w:val="00AD2FE2"/>
    <w:rsid w:val="00AD3CC3"/>
    <w:rsid w:val="00AD47B3"/>
    <w:rsid w:val="00AD5658"/>
    <w:rsid w:val="00AD59FD"/>
    <w:rsid w:val="00AD6585"/>
    <w:rsid w:val="00AD73F0"/>
    <w:rsid w:val="00AD7D3E"/>
    <w:rsid w:val="00AE21F8"/>
    <w:rsid w:val="00AE2601"/>
    <w:rsid w:val="00AE2AE3"/>
    <w:rsid w:val="00AE3F6C"/>
    <w:rsid w:val="00AE45C5"/>
    <w:rsid w:val="00AE49EA"/>
    <w:rsid w:val="00AE52A1"/>
    <w:rsid w:val="00AE6324"/>
    <w:rsid w:val="00AF21E0"/>
    <w:rsid w:val="00AF2ED6"/>
    <w:rsid w:val="00AF360B"/>
    <w:rsid w:val="00AF41BD"/>
    <w:rsid w:val="00AF468F"/>
    <w:rsid w:val="00AF54DC"/>
    <w:rsid w:val="00AF5E58"/>
    <w:rsid w:val="00AF6FB9"/>
    <w:rsid w:val="00AF709E"/>
    <w:rsid w:val="00AF7E4B"/>
    <w:rsid w:val="00B020BB"/>
    <w:rsid w:val="00B04560"/>
    <w:rsid w:val="00B04729"/>
    <w:rsid w:val="00B04D4B"/>
    <w:rsid w:val="00B0512C"/>
    <w:rsid w:val="00B05171"/>
    <w:rsid w:val="00B053E5"/>
    <w:rsid w:val="00B057F6"/>
    <w:rsid w:val="00B075D5"/>
    <w:rsid w:val="00B07D1A"/>
    <w:rsid w:val="00B10979"/>
    <w:rsid w:val="00B10D4A"/>
    <w:rsid w:val="00B120B0"/>
    <w:rsid w:val="00B1223B"/>
    <w:rsid w:val="00B141F3"/>
    <w:rsid w:val="00B144FF"/>
    <w:rsid w:val="00B15048"/>
    <w:rsid w:val="00B1521C"/>
    <w:rsid w:val="00B158C8"/>
    <w:rsid w:val="00B16916"/>
    <w:rsid w:val="00B1735B"/>
    <w:rsid w:val="00B174C3"/>
    <w:rsid w:val="00B17950"/>
    <w:rsid w:val="00B21303"/>
    <w:rsid w:val="00B21D77"/>
    <w:rsid w:val="00B22392"/>
    <w:rsid w:val="00B2297E"/>
    <w:rsid w:val="00B22DC3"/>
    <w:rsid w:val="00B23B8E"/>
    <w:rsid w:val="00B24060"/>
    <w:rsid w:val="00B245D5"/>
    <w:rsid w:val="00B25E31"/>
    <w:rsid w:val="00B26B25"/>
    <w:rsid w:val="00B2724F"/>
    <w:rsid w:val="00B30080"/>
    <w:rsid w:val="00B30249"/>
    <w:rsid w:val="00B30769"/>
    <w:rsid w:val="00B310B1"/>
    <w:rsid w:val="00B3284E"/>
    <w:rsid w:val="00B347CA"/>
    <w:rsid w:val="00B357E5"/>
    <w:rsid w:val="00B36042"/>
    <w:rsid w:val="00B360B5"/>
    <w:rsid w:val="00B379F4"/>
    <w:rsid w:val="00B37ACA"/>
    <w:rsid w:val="00B37B59"/>
    <w:rsid w:val="00B40732"/>
    <w:rsid w:val="00B40798"/>
    <w:rsid w:val="00B40DE5"/>
    <w:rsid w:val="00B411DA"/>
    <w:rsid w:val="00B4221B"/>
    <w:rsid w:val="00B428FF"/>
    <w:rsid w:val="00B43CF1"/>
    <w:rsid w:val="00B4485D"/>
    <w:rsid w:val="00B453DE"/>
    <w:rsid w:val="00B4681B"/>
    <w:rsid w:val="00B46EA9"/>
    <w:rsid w:val="00B4764F"/>
    <w:rsid w:val="00B50CC1"/>
    <w:rsid w:val="00B51006"/>
    <w:rsid w:val="00B51254"/>
    <w:rsid w:val="00B5160F"/>
    <w:rsid w:val="00B52C73"/>
    <w:rsid w:val="00B53232"/>
    <w:rsid w:val="00B54398"/>
    <w:rsid w:val="00B552F0"/>
    <w:rsid w:val="00B55FD5"/>
    <w:rsid w:val="00B56508"/>
    <w:rsid w:val="00B6002C"/>
    <w:rsid w:val="00B604FC"/>
    <w:rsid w:val="00B60F9E"/>
    <w:rsid w:val="00B61BFF"/>
    <w:rsid w:val="00B631BB"/>
    <w:rsid w:val="00B63B94"/>
    <w:rsid w:val="00B653A1"/>
    <w:rsid w:val="00B65411"/>
    <w:rsid w:val="00B65808"/>
    <w:rsid w:val="00B71300"/>
    <w:rsid w:val="00B7222B"/>
    <w:rsid w:val="00B7229D"/>
    <w:rsid w:val="00B73D51"/>
    <w:rsid w:val="00B750E6"/>
    <w:rsid w:val="00B754D5"/>
    <w:rsid w:val="00B755F3"/>
    <w:rsid w:val="00B76B55"/>
    <w:rsid w:val="00B809B4"/>
    <w:rsid w:val="00B8240B"/>
    <w:rsid w:val="00B8250C"/>
    <w:rsid w:val="00B82942"/>
    <w:rsid w:val="00B82978"/>
    <w:rsid w:val="00B82DD5"/>
    <w:rsid w:val="00B83457"/>
    <w:rsid w:val="00B85824"/>
    <w:rsid w:val="00B85BF2"/>
    <w:rsid w:val="00B85C1D"/>
    <w:rsid w:val="00B869A7"/>
    <w:rsid w:val="00B86BA7"/>
    <w:rsid w:val="00B86C2F"/>
    <w:rsid w:val="00B874F9"/>
    <w:rsid w:val="00B87790"/>
    <w:rsid w:val="00B909D2"/>
    <w:rsid w:val="00B90DEE"/>
    <w:rsid w:val="00B92B72"/>
    <w:rsid w:val="00B93D46"/>
    <w:rsid w:val="00B93FEA"/>
    <w:rsid w:val="00B97D52"/>
    <w:rsid w:val="00BA03B5"/>
    <w:rsid w:val="00BA15BB"/>
    <w:rsid w:val="00BA2054"/>
    <w:rsid w:val="00BA27F3"/>
    <w:rsid w:val="00BA3575"/>
    <w:rsid w:val="00BA3607"/>
    <w:rsid w:val="00BA37C9"/>
    <w:rsid w:val="00BA396E"/>
    <w:rsid w:val="00BA5B41"/>
    <w:rsid w:val="00BB191C"/>
    <w:rsid w:val="00BB2154"/>
    <w:rsid w:val="00BB2D5D"/>
    <w:rsid w:val="00BB3476"/>
    <w:rsid w:val="00BB410C"/>
    <w:rsid w:val="00BB495B"/>
    <w:rsid w:val="00BB7746"/>
    <w:rsid w:val="00BB775C"/>
    <w:rsid w:val="00BB7CF9"/>
    <w:rsid w:val="00BC054D"/>
    <w:rsid w:val="00BC193D"/>
    <w:rsid w:val="00BC3279"/>
    <w:rsid w:val="00BC3469"/>
    <w:rsid w:val="00BC43FB"/>
    <w:rsid w:val="00BC48E5"/>
    <w:rsid w:val="00BC645D"/>
    <w:rsid w:val="00BC65C0"/>
    <w:rsid w:val="00BC74D8"/>
    <w:rsid w:val="00BD1511"/>
    <w:rsid w:val="00BD1725"/>
    <w:rsid w:val="00BD1A39"/>
    <w:rsid w:val="00BD2A50"/>
    <w:rsid w:val="00BD430F"/>
    <w:rsid w:val="00BD594E"/>
    <w:rsid w:val="00BD6743"/>
    <w:rsid w:val="00BD78D9"/>
    <w:rsid w:val="00BD7D3E"/>
    <w:rsid w:val="00BE0859"/>
    <w:rsid w:val="00BE24A9"/>
    <w:rsid w:val="00BE2F76"/>
    <w:rsid w:val="00BE3917"/>
    <w:rsid w:val="00BE392A"/>
    <w:rsid w:val="00BF0669"/>
    <w:rsid w:val="00BF1A04"/>
    <w:rsid w:val="00BF35C3"/>
    <w:rsid w:val="00BF4461"/>
    <w:rsid w:val="00BF4BD5"/>
    <w:rsid w:val="00BF55B0"/>
    <w:rsid w:val="00BF7C1D"/>
    <w:rsid w:val="00C00532"/>
    <w:rsid w:val="00C0083F"/>
    <w:rsid w:val="00C00D9B"/>
    <w:rsid w:val="00C02103"/>
    <w:rsid w:val="00C02DC4"/>
    <w:rsid w:val="00C03ED3"/>
    <w:rsid w:val="00C03F02"/>
    <w:rsid w:val="00C05489"/>
    <w:rsid w:val="00C0635B"/>
    <w:rsid w:val="00C065FE"/>
    <w:rsid w:val="00C06CD8"/>
    <w:rsid w:val="00C10225"/>
    <w:rsid w:val="00C10B28"/>
    <w:rsid w:val="00C112EB"/>
    <w:rsid w:val="00C1181F"/>
    <w:rsid w:val="00C12277"/>
    <w:rsid w:val="00C12A6A"/>
    <w:rsid w:val="00C141FE"/>
    <w:rsid w:val="00C14431"/>
    <w:rsid w:val="00C14CCF"/>
    <w:rsid w:val="00C15234"/>
    <w:rsid w:val="00C15468"/>
    <w:rsid w:val="00C1723C"/>
    <w:rsid w:val="00C17B11"/>
    <w:rsid w:val="00C218F1"/>
    <w:rsid w:val="00C2190C"/>
    <w:rsid w:val="00C248BE"/>
    <w:rsid w:val="00C251AB"/>
    <w:rsid w:val="00C26814"/>
    <w:rsid w:val="00C271A7"/>
    <w:rsid w:val="00C3004F"/>
    <w:rsid w:val="00C309DD"/>
    <w:rsid w:val="00C33B70"/>
    <w:rsid w:val="00C3559D"/>
    <w:rsid w:val="00C35AC4"/>
    <w:rsid w:val="00C35ECE"/>
    <w:rsid w:val="00C365D8"/>
    <w:rsid w:val="00C36798"/>
    <w:rsid w:val="00C3799E"/>
    <w:rsid w:val="00C4081D"/>
    <w:rsid w:val="00C43484"/>
    <w:rsid w:val="00C434CB"/>
    <w:rsid w:val="00C44302"/>
    <w:rsid w:val="00C4683E"/>
    <w:rsid w:val="00C46ECC"/>
    <w:rsid w:val="00C47356"/>
    <w:rsid w:val="00C47BE2"/>
    <w:rsid w:val="00C50753"/>
    <w:rsid w:val="00C5075B"/>
    <w:rsid w:val="00C5191E"/>
    <w:rsid w:val="00C51D62"/>
    <w:rsid w:val="00C52590"/>
    <w:rsid w:val="00C52E8D"/>
    <w:rsid w:val="00C52ED7"/>
    <w:rsid w:val="00C544D8"/>
    <w:rsid w:val="00C54876"/>
    <w:rsid w:val="00C5692E"/>
    <w:rsid w:val="00C56AFA"/>
    <w:rsid w:val="00C56BD9"/>
    <w:rsid w:val="00C60578"/>
    <w:rsid w:val="00C63049"/>
    <w:rsid w:val="00C63106"/>
    <w:rsid w:val="00C632A6"/>
    <w:rsid w:val="00C63A05"/>
    <w:rsid w:val="00C63CB9"/>
    <w:rsid w:val="00C646ED"/>
    <w:rsid w:val="00C6494D"/>
    <w:rsid w:val="00C659F2"/>
    <w:rsid w:val="00C65BB1"/>
    <w:rsid w:val="00C6634D"/>
    <w:rsid w:val="00C6706D"/>
    <w:rsid w:val="00C67394"/>
    <w:rsid w:val="00C67695"/>
    <w:rsid w:val="00C67FE3"/>
    <w:rsid w:val="00C70BCA"/>
    <w:rsid w:val="00C72D44"/>
    <w:rsid w:val="00C72D8C"/>
    <w:rsid w:val="00C73103"/>
    <w:rsid w:val="00C74231"/>
    <w:rsid w:val="00C74DFF"/>
    <w:rsid w:val="00C7592C"/>
    <w:rsid w:val="00C75982"/>
    <w:rsid w:val="00C75FE6"/>
    <w:rsid w:val="00C76E00"/>
    <w:rsid w:val="00C772F4"/>
    <w:rsid w:val="00C81D12"/>
    <w:rsid w:val="00C81FE6"/>
    <w:rsid w:val="00C8243B"/>
    <w:rsid w:val="00C82ACF"/>
    <w:rsid w:val="00C85740"/>
    <w:rsid w:val="00C86CBC"/>
    <w:rsid w:val="00C86F1C"/>
    <w:rsid w:val="00C87224"/>
    <w:rsid w:val="00C87647"/>
    <w:rsid w:val="00C900A9"/>
    <w:rsid w:val="00C90F1A"/>
    <w:rsid w:val="00C911C4"/>
    <w:rsid w:val="00C91862"/>
    <w:rsid w:val="00C91AFD"/>
    <w:rsid w:val="00C92CA4"/>
    <w:rsid w:val="00C936CD"/>
    <w:rsid w:val="00C94A86"/>
    <w:rsid w:val="00C94E1B"/>
    <w:rsid w:val="00C94F36"/>
    <w:rsid w:val="00C959AA"/>
    <w:rsid w:val="00C95B8B"/>
    <w:rsid w:val="00C96B39"/>
    <w:rsid w:val="00C96B4D"/>
    <w:rsid w:val="00C97854"/>
    <w:rsid w:val="00CA09BA"/>
    <w:rsid w:val="00CA0C30"/>
    <w:rsid w:val="00CA1325"/>
    <w:rsid w:val="00CA133F"/>
    <w:rsid w:val="00CA21B5"/>
    <w:rsid w:val="00CA2CDA"/>
    <w:rsid w:val="00CA2E4C"/>
    <w:rsid w:val="00CA4AF7"/>
    <w:rsid w:val="00CA5A72"/>
    <w:rsid w:val="00CA726D"/>
    <w:rsid w:val="00CB18CB"/>
    <w:rsid w:val="00CB21CD"/>
    <w:rsid w:val="00CB2910"/>
    <w:rsid w:val="00CB2F9D"/>
    <w:rsid w:val="00CB36C9"/>
    <w:rsid w:val="00CB407C"/>
    <w:rsid w:val="00CB4403"/>
    <w:rsid w:val="00CB6CAD"/>
    <w:rsid w:val="00CB7707"/>
    <w:rsid w:val="00CC05FF"/>
    <w:rsid w:val="00CC25E1"/>
    <w:rsid w:val="00CC2909"/>
    <w:rsid w:val="00CC2D71"/>
    <w:rsid w:val="00CC3017"/>
    <w:rsid w:val="00CC38AC"/>
    <w:rsid w:val="00CC3F8D"/>
    <w:rsid w:val="00CC44C1"/>
    <w:rsid w:val="00CC5E07"/>
    <w:rsid w:val="00CC7A27"/>
    <w:rsid w:val="00CD11B1"/>
    <w:rsid w:val="00CD1D20"/>
    <w:rsid w:val="00CD5555"/>
    <w:rsid w:val="00CD6024"/>
    <w:rsid w:val="00CD60C9"/>
    <w:rsid w:val="00CD6AE2"/>
    <w:rsid w:val="00CD7541"/>
    <w:rsid w:val="00CD7765"/>
    <w:rsid w:val="00CE025D"/>
    <w:rsid w:val="00CE2B74"/>
    <w:rsid w:val="00CE2CD5"/>
    <w:rsid w:val="00CE3F6B"/>
    <w:rsid w:val="00CE4143"/>
    <w:rsid w:val="00CE468A"/>
    <w:rsid w:val="00CE4D06"/>
    <w:rsid w:val="00CE5045"/>
    <w:rsid w:val="00CE518A"/>
    <w:rsid w:val="00CE5D0B"/>
    <w:rsid w:val="00CE68CF"/>
    <w:rsid w:val="00CE7372"/>
    <w:rsid w:val="00CF058A"/>
    <w:rsid w:val="00CF0602"/>
    <w:rsid w:val="00CF0F2F"/>
    <w:rsid w:val="00CF139A"/>
    <w:rsid w:val="00CF169D"/>
    <w:rsid w:val="00CF1930"/>
    <w:rsid w:val="00CF3941"/>
    <w:rsid w:val="00CF4A3C"/>
    <w:rsid w:val="00CF6750"/>
    <w:rsid w:val="00D00B06"/>
    <w:rsid w:val="00D01CA0"/>
    <w:rsid w:val="00D0542B"/>
    <w:rsid w:val="00D05DBC"/>
    <w:rsid w:val="00D06684"/>
    <w:rsid w:val="00D071AD"/>
    <w:rsid w:val="00D074BE"/>
    <w:rsid w:val="00D07617"/>
    <w:rsid w:val="00D07C97"/>
    <w:rsid w:val="00D11009"/>
    <w:rsid w:val="00D11923"/>
    <w:rsid w:val="00D11F4B"/>
    <w:rsid w:val="00D12E08"/>
    <w:rsid w:val="00D1353C"/>
    <w:rsid w:val="00D13CDF"/>
    <w:rsid w:val="00D14181"/>
    <w:rsid w:val="00D14201"/>
    <w:rsid w:val="00D143B6"/>
    <w:rsid w:val="00D169DF"/>
    <w:rsid w:val="00D17EC9"/>
    <w:rsid w:val="00D20095"/>
    <w:rsid w:val="00D20C40"/>
    <w:rsid w:val="00D20D98"/>
    <w:rsid w:val="00D21767"/>
    <w:rsid w:val="00D22A1D"/>
    <w:rsid w:val="00D237A4"/>
    <w:rsid w:val="00D23824"/>
    <w:rsid w:val="00D23B2D"/>
    <w:rsid w:val="00D24D48"/>
    <w:rsid w:val="00D26963"/>
    <w:rsid w:val="00D276AF"/>
    <w:rsid w:val="00D27B52"/>
    <w:rsid w:val="00D27C80"/>
    <w:rsid w:val="00D30973"/>
    <w:rsid w:val="00D30D53"/>
    <w:rsid w:val="00D3111B"/>
    <w:rsid w:val="00D31343"/>
    <w:rsid w:val="00D343B4"/>
    <w:rsid w:val="00D3673E"/>
    <w:rsid w:val="00D3744B"/>
    <w:rsid w:val="00D375DC"/>
    <w:rsid w:val="00D40699"/>
    <w:rsid w:val="00D408BB"/>
    <w:rsid w:val="00D40B13"/>
    <w:rsid w:val="00D417FB"/>
    <w:rsid w:val="00D418CF"/>
    <w:rsid w:val="00D43477"/>
    <w:rsid w:val="00D44326"/>
    <w:rsid w:val="00D44358"/>
    <w:rsid w:val="00D448CA"/>
    <w:rsid w:val="00D45FF2"/>
    <w:rsid w:val="00D467F7"/>
    <w:rsid w:val="00D47248"/>
    <w:rsid w:val="00D50F52"/>
    <w:rsid w:val="00D513B6"/>
    <w:rsid w:val="00D51520"/>
    <w:rsid w:val="00D517F0"/>
    <w:rsid w:val="00D52167"/>
    <w:rsid w:val="00D546F5"/>
    <w:rsid w:val="00D54E21"/>
    <w:rsid w:val="00D55229"/>
    <w:rsid w:val="00D55309"/>
    <w:rsid w:val="00D55E1E"/>
    <w:rsid w:val="00D55E21"/>
    <w:rsid w:val="00D56547"/>
    <w:rsid w:val="00D565DB"/>
    <w:rsid w:val="00D56C99"/>
    <w:rsid w:val="00D57814"/>
    <w:rsid w:val="00D57A08"/>
    <w:rsid w:val="00D612E0"/>
    <w:rsid w:val="00D62EAB"/>
    <w:rsid w:val="00D63922"/>
    <w:rsid w:val="00D65137"/>
    <w:rsid w:val="00D65A8E"/>
    <w:rsid w:val="00D67399"/>
    <w:rsid w:val="00D67FAE"/>
    <w:rsid w:val="00D7097B"/>
    <w:rsid w:val="00D7162D"/>
    <w:rsid w:val="00D71AAC"/>
    <w:rsid w:val="00D72499"/>
    <w:rsid w:val="00D7375C"/>
    <w:rsid w:val="00D766F1"/>
    <w:rsid w:val="00D77297"/>
    <w:rsid w:val="00D77C13"/>
    <w:rsid w:val="00D8101D"/>
    <w:rsid w:val="00D811F7"/>
    <w:rsid w:val="00D8152D"/>
    <w:rsid w:val="00D815E5"/>
    <w:rsid w:val="00D81B62"/>
    <w:rsid w:val="00D82CDF"/>
    <w:rsid w:val="00D831FE"/>
    <w:rsid w:val="00D8431D"/>
    <w:rsid w:val="00D84956"/>
    <w:rsid w:val="00D84A65"/>
    <w:rsid w:val="00D84B02"/>
    <w:rsid w:val="00D84FD7"/>
    <w:rsid w:val="00D86258"/>
    <w:rsid w:val="00D874F4"/>
    <w:rsid w:val="00D903D6"/>
    <w:rsid w:val="00D90938"/>
    <w:rsid w:val="00D90AD2"/>
    <w:rsid w:val="00D90B1D"/>
    <w:rsid w:val="00D95002"/>
    <w:rsid w:val="00D95610"/>
    <w:rsid w:val="00D95CDA"/>
    <w:rsid w:val="00D971DC"/>
    <w:rsid w:val="00D97F67"/>
    <w:rsid w:val="00DA014A"/>
    <w:rsid w:val="00DA1170"/>
    <w:rsid w:val="00DA15F3"/>
    <w:rsid w:val="00DA3D5C"/>
    <w:rsid w:val="00DA731D"/>
    <w:rsid w:val="00DA748B"/>
    <w:rsid w:val="00DA7518"/>
    <w:rsid w:val="00DB1F7F"/>
    <w:rsid w:val="00DB24B8"/>
    <w:rsid w:val="00DB3BEC"/>
    <w:rsid w:val="00DB4A45"/>
    <w:rsid w:val="00DB4EFE"/>
    <w:rsid w:val="00DB5C50"/>
    <w:rsid w:val="00DB61D9"/>
    <w:rsid w:val="00DC103F"/>
    <w:rsid w:val="00DC14D1"/>
    <w:rsid w:val="00DC1C8A"/>
    <w:rsid w:val="00DC2808"/>
    <w:rsid w:val="00DC2F88"/>
    <w:rsid w:val="00DC50F2"/>
    <w:rsid w:val="00DC61B8"/>
    <w:rsid w:val="00DC65CE"/>
    <w:rsid w:val="00DC6CE9"/>
    <w:rsid w:val="00DC6FBB"/>
    <w:rsid w:val="00DC73DD"/>
    <w:rsid w:val="00DD007D"/>
    <w:rsid w:val="00DD0855"/>
    <w:rsid w:val="00DD098F"/>
    <w:rsid w:val="00DD1D75"/>
    <w:rsid w:val="00DD306B"/>
    <w:rsid w:val="00DD3967"/>
    <w:rsid w:val="00DD3B06"/>
    <w:rsid w:val="00DD47AF"/>
    <w:rsid w:val="00DD4DBB"/>
    <w:rsid w:val="00DD4DCC"/>
    <w:rsid w:val="00DD4E2D"/>
    <w:rsid w:val="00DD53DC"/>
    <w:rsid w:val="00DD746B"/>
    <w:rsid w:val="00DE0A20"/>
    <w:rsid w:val="00DE0E93"/>
    <w:rsid w:val="00DE175B"/>
    <w:rsid w:val="00DE2433"/>
    <w:rsid w:val="00DE2C94"/>
    <w:rsid w:val="00DE300F"/>
    <w:rsid w:val="00DE3060"/>
    <w:rsid w:val="00DE3D8E"/>
    <w:rsid w:val="00DE44CF"/>
    <w:rsid w:val="00DE4D89"/>
    <w:rsid w:val="00DE4DFA"/>
    <w:rsid w:val="00DE5C06"/>
    <w:rsid w:val="00DE5D32"/>
    <w:rsid w:val="00DE66A2"/>
    <w:rsid w:val="00DE67A6"/>
    <w:rsid w:val="00DE67D9"/>
    <w:rsid w:val="00DF0247"/>
    <w:rsid w:val="00DF1361"/>
    <w:rsid w:val="00DF146F"/>
    <w:rsid w:val="00DF21FF"/>
    <w:rsid w:val="00DF3901"/>
    <w:rsid w:val="00DF39E1"/>
    <w:rsid w:val="00DF3B32"/>
    <w:rsid w:val="00DF3D57"/>
    <w:rsid w:val="00DF57C8"/>
    <w:rsid w:val="00DF5F42"/>
    <w:rsid w:val="00DF7E80"/>
    <w:rsid w:val="00DF7FBD"/>
    <w:rsid w:val="00E0074C"/>
    <w:rsid w:val="00E0091B"/>
    <w:rsid w:val="00E01118"/>
    <w:rsid w:val="00E01974"/>
    <w:rsid w:val="00E03C16"/>
    <w:rsid w:val="00E03F63"/>
    <w:rsid w:val="00E041C6"/>
    <w:rsid w:val="00E04E3A"/>
    <w:rsid w:val="00E053A2"/>
    <w:rsid w:val="00E05D34"/>
    <w:rsid w:val="00E1048E"/>
    <w:rsid w:val="00E111AD"/>
    <w:rsid w:val="00E1160E"/>
    <w:rsid w:val="00E11662"/>
    <w:rsid w:val="00E11D13"/>
    <w:rsid w:val="00E12BFB"/>
    <w:rsid w:val="00E12FFB"/>
    <w:rsid w:val="00E142B1"/>
    <w:rsid w:val="00E1497D"/>
    <w:rsid w:val="00E15509"/>
    <w:rsid w:val="00E15689"/>
    <w:rsid w:val="00E16759"/>
    <w:rsid w:val="00E215EB"/>
    <w:rsid w:val="00E21BB0"/>
    <w:rsid w:val="00E22303"/>
    <w:rsid w:val="00E2291B"/>
    <w:rsid w:val="00E25D6D"/>
    <w:rsid w:val="00E25F98"/>
    <w:rsid w:val="00E26F3C"/>
    <w:rsid w:val="00E30B42"/>
    <w:rsid w:val="00E328CA"/>
    <w:rsid w:val="00E32ABE"/>
    <w:rsid w:val="00E32F87"/>
    <w:rsid w:val="00E3426F"/>
    <w:rsid w:val="00E34347"/>
    <w:rsid w:val="00E34617"/>
    <w:rsid w:val="00E34D7C"/>
    <w:rsid w:val="00E36B76"/>
    <w:rsid w:val="00E40092"/>
    <w:rsid w:val="00E416DB"/>
    <w:rsid w:val="00E41AAE"/>
    <w:rsid w:val="00E42718"/>
    <w:rsid w:val="00E44876"/>
    <w:rsid w:val="00E4555D"/>
    <w:rsid w:val="00E46C91"/>
    <w:rsid w:val="00E46E86"/>
    <w:rsid w:val="00E475E1"/>
    <w:rsid w:val="00E47C3B"/>
    <w:rsid w:val="00E50197"/>
    <w:rsid w:val="00E5084D"/>
    <w:rsid w:val="00E52A7C"/>
    <w:rsid w:val="00E53AB7"/>
    <w:rsid w:val="00E542EC"/>
    <w:rsid w:val="00E543A2"/>
    <w:rsid w:val="00E560F3"/>
    <w:rsid w:val="00E5727D"/>
    <w:rsid w:val="00E60443"/>
    <w:rsid w:val="00E604D6"/>
    <w:rsid w:val="00E61F47"/>
    <w:rsid w:val="00E633DC"/>
    <w:rsid w:val="00E643BE"/>
    <w:rsid w:val="00E645C1"/>
    <w:rsid w:val="00E662D5"/>
    <w:rsid w:val="00E67D91"/>
    <w:rsid w:val="00E70600"/>
    <w:rsid w:val="00E707E4"/>
    <w:rsid w:val="00E72A0D"/>
    <w:rsid w:val="00E7477D"/>
    <w:rsid w:val="00E763AD"/>
    <w:rsid w:val="00E76490"/>
    <w:rsid w:val="00E800DD"/>
    <w:rsid w:val="00E80D38"/>
    <w:rsid w:val="00E81C25"/>
    <w:rsid w:val="00E82DD8"/>
    <w:rsid w:val="00E839CA"/>
    <w:rsid w:val="00E83B77"/>
    <w:rsid w:val="00E846B7"/>
    <w:rsid w:val="00E84A2A"/>
    <w:rsid w:val="00E85F32"/>
    <w:rsid w:val="00E86099"/>
    <w:rsid w:val="00E860F9"/>
    <w:rsid w:val="00E86A4B"/>
    <w:rsid w:val="00E87579"/>
    <w:rsid w:val="00E87949"/>
    <w:rsid w:val="00E90C44"/>
    <w:rsid w:val="00E90E30"/>
    <w:rsid w:val="00E90E42"/>
    <w:rsid w:val="00E90E8D"/>
    <w:rsid w:val="00E91AC5"/>
    <w:rsid w:val="00E91C0F"/>
    <w:rsid w:val="00E91EB2"/>
    <w:rsid w:val="00E9208E"/>
    <w:rsid w:val="00E92634"/>
    <w:rsid w:val="00E92B17"/>
    <w:rsid w:val="00E94A4D"/>
    <w:rsid w:val="00E95280"/>
    <w:rsid w:val="00E95700"/>
    <w:rsid w:val="00E9576A"/>
    <w:rsid w:val="00E9665E"/>
    <w:rsid w:val="00E966DB"/>
    <w:rsid w:val="00EA0302"/>
    <w:rsid w:val="00EA132F"/>
    <w:rsid w:val="00EA1FCC"/>
    <w:rsid w:val="00EA2E30"/>
    <w:rsid w:val="00EA3472"/>
    <w:rsid w:val="00EA403B"/>
    <w:rsid w:val="00EA72A8"/>
    <w:rsid w:val="00EA74E2"/>
    <w:rsid w:val="00EB269E"/>
    <w:rsid w:val="00EB2891"/>
    <w:rsid w:val="00EB33E2"/>
    <w:rsid w:val="00EB3979"/>
    <w:rsid w:val="00EB40CE"/>
    <w:rsid w:val="00EB4EBA"/>
    <w:rsid w:val="00EB5965"/>
    <w:rsid w:val="00EB5FB3"/>
    <w:rsid w:val="00EB6199"/>
    <w:rsid w:val="00EC1078"/>
    <w:rsid w:val="00EC12AC"/>
    <w:rsid w:val="00EC1AFA"/>
    <w:rsid w:val="00EC4F4E"/>
    <w:rsid w:val="00EC6E27"/>
    <w:rsid w:val="00EC7A89"/>
    <w:rsid w:val="00EC7B7F"/>
    <w:rsid w:val="00ED096B"/>
    <w:rsid w:val="00ED20D7"/>
    <w:rsid w:val="00ED3022"/>
    <w:rsid w:val="00ED3360"/>
    <w:rsid w:val="00ED33DC"/>
    <w:rsid w:val="00ED5AAE"/>
    <w:rsid w:val="00EE3BE5"/>
    <w:rsid w:val="00EE3F02"/>
    <w:rsid w:val="00EE4861"/>
    <w:rsid w:val="00EE7151"/>
    <w:rsid w:val="00EE7389"/>
    <w:rsid w:val="00EE7BB5"/>
    <w:rsid w:val="00EF2F1F"/>
    <w:rsid w:val="00EF3384"/>
    <w:rsid w:val="00EF3D64"/>
    <w:rsid w:val="00EF4557"/>
    <w:rsid w:val="00EF54EF"/>
    <w:rsid w:val="00EF5A7F"/>
    <w:rsid w:val="00EF65F9"/>
    <w:rsid w:val="00EF6866"/>
    <w:rsid w:val="00EF6CC6"/>
    <w:rsid w:val="00EF6CFB"/>
    <w:rsid w:val="00F00674"/>
    <w:rsid w:val="00F02D77"/>
    <w:rsid w:val="00F053B3"/>
    <w:rsid w:val="00F05824"/>
    <w:rsid w:val="00F07872"/>
    <w:rsid w:val="00F10668"/>
    <w:rsid w:val="00F10A3A"/>
    <w:rsid w:val="00F10D88"/>
    <w:rsid w:val="00F11122"/>
    <w:rsid w:val="00F1130C"/>
    <w:rsid w:val="00F117D3"/>
    <w:rsid w:val="00F13C5B"/>
    <w:rsid w:val="00F13F7F"/>
    <w:rsid w:val="00F15864"/>
    <w:rsid w:val="00F163C9"/>
    <w:rsid w:val="00F2114F"/>
    <w:rsid w:val="00F214B4"/>
    <w:rsid w:val="00F216FC"/>
    <w:rsid w:val="00F22230"/>
    <w:rsid w:val="00F23793"/>
    <w:rsid w:val="00F23EB3"/>
    <w:rsid w:val="00F240BC"/>
    <w:rsid w:val="00F2523D"/>
    <w:rsid w:val="00F2614E"/>
    <w:rsid w:val="00F27090"/>
    <w:rsid w:val="00F27B93"/>
    <w:rsid w:val="00F30C7A"/>
    <w:rsid w:val="00F31D31"/>
    <w:rsid w:val="00F34C0F"/>
    <w:rsid w:val="00F34EC6"/>
    <w:rsid w:val="00F3509E"/>
    <w:rsid w:val="00F367F5"/>
    <w:rsid w:val="00F373AB"/>
    <w:rsid w:val="00F37C5C"/>
    <w:rsid w:val="00F37FF3"/>
    <w:rsid w:val="00F40D3A"/>
    <w:rsid w:val="00F4172B"/>
    <w:rsid w:val="00F41C96"/>
    <w:rsid w:val="00F42F33"/>
    <w:rsid w:val="00F4303A"/>
    <w:rsid w:val="00F432B6"/>
    <w:rsid w:val="00F437DF"/>
    <w:rsid w:val="00F4463D"/>
    <w:rsid w:val="00F44767"/>
    <w:rsid w:val="00F448CD"/>
    <w:rsid w:val="00F467E6"/>
    <w:rsid w:val="00F46B76"/>
    <w:rsid w:val="00F46DA8"/>
    <w:rsid w:val="00F47AD1"/>
    <w:rsid w:val="00F47E33"/>
    <w:rsid w:val="00F51A0E"/>
    <w:rsid w:val="00F522D5"/>
    <w:rsid w:val="00F52E59"/>
    <w:rsid w:val="00F543F2"/>
    <w:rsid w:val="00F54611"/>
    <w:rsid w:val="00F547C1"/>
    <w:rsid w:val="00F54848"/>
    <w:rsid w:val="00F6065A"/>
    <w:rsid w:val="00F627DE"/>
    <w:rsid w:val="00F62A6D"/>
    <w:rsid w:val="00F62B09"/>
    <w:rsid w:val="00F6354D"/>
    <w:rsid w:val="00F63DC1"/>
    <w:rsid w:val="00F651B3"/>
    <w:rsid w:val="00F65346"/>
    <w:rsid w:val="00F65933"/>
    <w:rsid w:val="00F65D5B"/>
    <w:rsid w:val="00F66D03"/>
    <w:rsid w:val="00F67013"/>
    <w:rsid w:val="00F70BC4"/>
    <w:rsid w:val="00F718B5"/>
    <w:rsid w:val="00F71CF3"/>
    <w:rsid w:val="00F71E34"/>
    <w:rsid w:val="00F733DE"/>
    <w:rsid w:val="00F7370D"/>
    <w:rsid w:val="00F74F46"/>
    <w:rsid w:val="00F75336"/>
    <w:rsid w:val="00F808F2"/>
    <w:rsid w:val="00F83F67"/>
    <w:rsid w:val="00F843E1"/>
    <w:rsid w:val="00F8457F"/>
    <w:rsid w:val="00F85630"/>
    <w:rsid w:val="00F86392"/>
    <w:rsid w:val="00F90F54"/>
    <w:rsid w:val="00F919F1"/>
    <w:rsid w:val="00F921CF"/>
    <w:rsid w:val="00F925F0"/>
    <w:rsid w:val="00F9400F"/>
    <w:rsid w:val="00F9580E"/>
    <w:rsid w:val="00F95C21"/>
    <w:rsid w:val="00F962EB"/>
    <w:rsid w:val="00F97B45"/>
    <w:rsid w:val="00FA3066"/>
    <w:rsid w:val="00FA3892"/>
    <w:rsid w:val="00FA4BBA"/>
    <w:rsid w:val="00FA6590"/>
    <w:rsid w:val="00FA7BFC"/>
    <w:rsid w:val="00FA7C98"/>
    <w:rsid w:val="00FB08A4"/>
    <w:rsid w:val="00FB0EA8"/>
    <w:rsid w:val="00FB2237"/>
    <w:rsid w:val="00FB2405"/>
    <w:rsid w:val="00FB2ACC"/>
    <w:rsid w:val="00FB37BA"/>
    <w:rsid w:val="00FB5011"/>
    <w:rsid w:val="00FB59C4"/>
    <w:rsid w:val="00FB7263"/>
    <w:rsid w:val="00FC0227"/>
    <w:rsid w:val="00FC158E"/>
    <w:rsid w:val="00FC20A1"/>
    <w:rsid w:val="00FC22EE"/>
    <w:rsid w:val="00FC2480"/>
    <w:rsid w:val="00FC2E88"/>
    <w:rsid w:val="00FC6E4B"/>
    <w:rsid w:val="00FC734F"/>
    <w:rsid w:val="00FC7759"/>
    <w:rsid w:val="00FD090F"/>
    <w:rsid w:val="00FD1659"/>
    <w:rsid w:val="00FD1A48"/>
    <w:rsid w:val="00FD1AF6"/>
    <w:rsid w:val="00FD219A"/>
    <w:rsid w:val="00FD2D45"/>
    <w:rsid w:val="00FD35D0"/>
    <w:rsid w:val="00FD42B2"/>
    <w:rsid w:val="00FD47E7"/>
    <w:rsid w:val="00FD51C6"/>
    <w:rsid w:val="00FD6BB9"/>
    <w:rsid w:val="00FD6D01"/>
    <w:rsid w:val="00FD6E12"/>
    <w:rsid w:val="00FE02D4"/>
    <w:rsid w:val="00FE1535"/>
    <w:rsid w:val="00FE22E4"/>
    <w:rsid w:val="00FE42F0"/>
    <w:rsid w:val="00FE43E1"/>
    <w:rsid w:val="00FE4437"/>
    <w:rsid w:val="00FE5538"/>
    <w:rsid w:val="00FE62A0"/>
    <w:rsid w:val="00FE63C5"/>
    <w:rsid w:val="00FE6955"/>
    <w:rsid w:val="00FE6B0D"/>
    <w:rsid w:val="00FE719D"/>
    <w:rsid w:val="00FF0494"/>
    <w:rsid w:val="00FF07E8"/>
    <w:rsid w:val="00FF0C0D"/>
    <w:rsid w:val="00FF22EE"/>
    <w:rsid w:val="00FF4012"/>
    <w:rsid w:val="00FF499A"/>
    <w:rsid w:val="00FF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D53A0-29B4-42B7-9742-098D80C9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able of figures" w:locked="1"/>
    <w:lsdException w:name="Title" w:locked="1" w:qFormat="1"/>
    <w:lsdException w:name="Subtitle" w:locked="1" w:qFormat="1"/>
    <w:lsdException w:name="Strong" w:locked="1" w:qFormat="1"/>
    <w:lsdException w:name="Emphasis" w:locked="1" w:qFormat="1"/>
    <w:lsdException w:name="Normal (Web)" w:locked="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879"/>
    <w:rPr>
      <w:sz w:val="24"/>
      <w:szCs w:val="24"/>
    </w:rPr>
  </w:style>
  <w:style w:type="paragraph" w:styleId="1">
    <w:name w:val="heading 1"/>
    <w:basedOn w:val="a"/>
    <w:next w:val="a"/>
    <w:link w:val="10"/>
    <w:qFormat/>
    <w:rsid w:val="000B637C"/>
    <w:pPr>
      <w:keepNext/>
      <w:spacing w:before="240" w:after="60"/>
      <w:outlineLvl w:val="0"/>
    </w:pPr>
    <w:rPr>
      <w:rFonts w:ascii="Cambria" w:hAnsi="Cambria"/>
      <w:b/>
      <w:bCs/>
      <w:kern w:val="32"/>
      <w:sz w:val="32"/>
      <w:szCs w:val="32"/>
    </w:rPr>
  </w:style>
  <w:style w:type="paragraph" w:styleId="2">
    <w:name w:val="heading 2"/>
    <w:basedOn w:val="a"/>
    <w:next w:val="a"/>
    <w:qFormat/>
    <w:rsid w:val="00E04E3A"/>
    <w:pPr>
      <w:keepNext/>
      <w:spacing w:before="240" w:after="60"/>
      <w:outlineLvl w:val="1"/>
    </w:pPr>
    <w:rPr>
      <w:rFonts w:ascii="Arial" w:hAnsi="Arial" w:cs="Arial"/>
      <w:b/>
      <w:bCs/>
      <w:i/>
      <w:iCs/>
      <w:sz w:val="28"/>
      <w:szCs w:val="28"/>
    </w:rPr>
  </w:style>
  <w:style w:type="paragraph" w:styleId="6">
    <w:name w:val="heading 6"/>
    <w:basedOn w:val="a"/>
    <w:next w:val="a"/>
    <w:link w:val="60"/>
    <w:qFormat/>
    <w:rsid w:val="00BA2054"/>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7C10BD"/>
    <w:rPr>
      <w:sz w:val="16"/>
    </w:rPr>
  </w:style>
  <w:style w:type="paragraph" w:styleId="a5">
    <w:name w:val="annotation text"/>
    <w:basedOn w:val="a"/>
    <w:semiHidden/>
    <w:rsid w:val="007C10BD"/>
    <w:rPr>
      <w:sz w:val="20"/>
      <w:szCs w:val="20"/>
    </w:rPr>
  </w:style>
  <w:style w:type="paragraph" w:styleId="a6">
    <w:name w:val="annotation subject"/>
    <w:basedOn w:val="a5"/>
    <w:next w:val="a5"/>
    <w:semiHidden/>
    <w:rsid w:val="007C10BD"/>
    <w:rPr>
      <w:b/>
      <w:bCs/>
    </w:rPr>
  </w:style>
  <w:style w:type="paragraph" w:styleId="a7">
    <w:name w:val="Balloon Text"/>
    <w:basedOn w:val="a"/>
    <w:link w:val="a8"/>
    <w:rsid w:val="007C10BD"/>
    <w:rPr>
      <w:rFonts w:ascii="Tahoma" w:hAnsi="Tahoma"/>
      <w:sz w:val="16"/>
      <w:szCs w:val="16"/>
    </w:rPr>
  </w:style>
  <w:style w:type="paragraph" w:styleId="a9">
    <w:name w:val="footnote text"/>
    <w:aliases w:val="Текст сноски-FN,single space"/>
    <w:basedOn w:val="a"/>
    <w:link w:val="aa"/>
    <w:rsid w:val="007C10BD"/>
    <w:rPr>
      <w:sz w:val="20"/>
      <w:szCs w:val="20"/>
    </w:rPr>
  </w:style>
  <w:style w:type="character" w:styleId="ab">
    <w:name w:val="footnote reference"/>
    <w:aliases w:val="Footnote Reference Number,Footnote Reference_LVL6,Footnote Reference_LVL61,Footnote Reference_LVL62,Footnote Reference_LVL63,Footnote Reference_LVL64,fr"/>
    <w:rsid w:val="007C10BD"/>
    <w:rPr>
      <w:vertAlign w:val="superscript"/>
    </w:rPr>
  </w:style>
  <w:style w:type="paragraph" w:customStyle="1" w:styleId="ac">
    <w:name w:val="Знак"/>
    <w:basedOn w:val="a"/>
    <w:next w:val="2"/>
    <w:autoRedefine/>
    <w:rsid w:val="00E04E3A"/>
    <w:pPr>
      <w:spacing w:after="160" w:line="240" w:lineRule="exact"/>
      <w:jc w:val="center"/>
    </w:pPr>
    <w:rPr>
      <w:b/>
      <w:i/>
      <w:sz w:val="28"/>
      <w:szCs w:val="28"/>
      <w:lang w:val="en-US" w:eastAsia="en-US"/>
    </w:rPr>
  </w:style>
  <w:style w:type="paragraph" w:styleId="ad">
    <w:name w:val="Body Text Indent"/>
    <w:basedOn w:val="a"/>
    <w:link w:val="ae"/>
    <w:rsid w:val="002B692B"/>
    <w:pPr>
      <w:ind w:firstLine="709"/>
      <w:jc w:val="both"/>
    </w:pPr>
    <w:rPr>
      <w:sz w:val="28"/>
      <w:szCs w:val="20"/>
    </w:rPr>
  </w:style>
  <w:style w:type="character" w:customStyle="1" w:styleId="ae">
    <w:name w:val="Основной текст с отступом Знак"/>
    <w:link w:val="ad"/>
    <w:locked/>
    <w:rsid w:val="002B692B"/>
    <w:rPr>
      <w:sz w:val="28"/>
    </w:rPr>
  </w:style>
  <w:style w:type="character" w:customStyle="1" w:styleId="postbody1">
    <w:name w:val="postbody1"/>
    <w:rsid w:val="00033FF5"/>
    <w:rPr>
      <w:color w:val="000000"/>
      <w:sz w:val="22"/>
      <w:shd w:val="clear" w:color="auto" w:fill="auto"/>
    </w:rPr>
  </w:style>
  <w:style w:type="character" w:styleId="af">
    <w:name w:val="Hyperlink"/>
    <w:rsid w:val="006B7DD9"/>
    <w:rPr>
      <w:color w:val="0000FF"/>
      <w:u w:val="single"/>
    </w:rPr>
  </w:style>
  <w:style w:type="character" w:customStyle="1" w:styleId="paragraph1">
    <w:name w:val="paragraph1"/>
    <w:rsid w:val="006B7DD9"/>
    <w:rPr>
      <w:rFonts w:ascii="Arial" w:hAnsi="Arial"/>
      <w:sz w:val="20"/>
    </w:rPr>
  </w:style>
  <w:style w:type="character" w:customStyle="1" w:styleId="s0">
    <w:name w:val="s0"/>
    <w:rsid w:val="00A21B6C"/>
    <w:rPr>
      <w:rFonts w:ascii="Times New Roman" w:hAnsi="Times New Roman"/>
      <w:color w:val="000000"/>
      <w:sz w:val="22"/>
      <w:u w:val="none"/>
      <w:effect w:val="none"/>
    </w:rPr>
  </w:style>
  <w:style w:type="character" w:styleId="af0">
    <w:name w:val="FollowedHyperlink"/>
    <w:rsid w:val="006D5FEB"/>
    <w:rPr>
      <w:color w:val="800080"/>
      <w:u w:val="single"/>
    </w:rPr>
  </w:style>
  <w:style w:type="paragraph" w:styleId="af1">
    <w:name w:val="endnote text"/>
    <w:basedOn w:val="a"/>
    <w:link w:val="af2"/>
    <w:rsid w:val="00CD1D20"/>
    <w:rPr>
      <w:sz w:val="20"/>
      <w:szCs w:val="20"/>
    </w:rPr>
  </w:style>
  <w:style w:type="character" w:customStyle="1" w:styleId="af2">
    <w:name w:val="Текст концевой сноски Знак"/>
    <w:link w:val="af1"/>
    <w:locked/>
    <w:rsid w:val="00CD1D20"/>
    <w:rPr>
      <w:rFonts w:cs="Times New Roman"/>
    </w:rPr>
  </w:style>
  <w:style w:type="character" w:styleId="af3">
    <w:name w:val="endnote reference"/>
    <w:rsid w:val="00CD1D20"/>
    <w:rPr>
      <w:vertAlign w:val="superscript"/>
    </w:rPr>
  </w:style>
  <w:style w:type="character" w:customStyle="1" w:styleId="aa">
    <w:name w:val="Текст сноски Знак"/>
    <w:aliases w:val="Текст сноски-FN Знак,single space Знак"/>
    <w:link w:val="a9"/>
    <w:locked/>
    <w:rsid w:val="0017012D"/>
  </w:style>
  <w:style w:type="character" w:customStyle="1" w:styleId="textblock2nomargin2">
    <w:name w:val="textblock2_nomargin2"/>
    <w:rsid w:val="00B869A7"/>
    <w:rPr>
      <w:sz w:val="20"/>
      <w:shd w:val="clear" w:color="auto" w:fill="FFFFFF"/>
    </w:rPr>
  </w:style>
  <w:style w:type="character" w:styleId="af4">
    <w:name w:val="Strong"/>
    <w:qFormat/>
    <w:rsid w:val="00C91AFD"/>
    <w:rPr>
      <w:b/>
    </w:rPr>
  </w:style>
  <w:style w:type="character" w:styleId="af5">
    <w:name w:val="Emphasis"/>
    <w:qFormat/>
    <w:rsid w:val="00DD3967"/>
    <w:rPr>
      <w:b/>
    </w:rPr>
  </w:style>
  <w:style w:type="character" w:customStyle="1" w:styleId="st">
    <w:name w:val="st"/>
    <w:rsid w:val="00DD3967"/>
  </w:style>
  <w:style w:type="paragraph" w:styleId="3">
    <w:name w:val="Body Text 3"/>
    <w:basedOn w:val="a"/>
    <w:link w:val="30"/>
    <w:rsid w:val="00F23793"/>
    <w:pPr>
      <w:spacing w:after="120"/>
    </w:pPr>
    <w:rPr>
      <w:sz w:val="16"/>
      <w:szCs w:val="16"/>
    </w:rPr>
  </w:style>
  <w:style w:type="character" w:customStyle="1" w:styleId="30">
    <w:name w:val="Основной текст 3 Знак"/>
    <w:link w:val="3"/>
    <w:locked/>
    <w:rsid w:val="00F23793"/>
    <w:rPr>
      <w:sz w:val="16"/>
    </w:rPr>
  </w:style>
  <w:style w:type="paragraph" w:styleId="31">
    <w:name w:val="Body Text Indent 3"/>
    <w:basedOn w:val="a"/>
    <w:link w:val="32"/>
    <w:rsid w:val="00F23793"/>
    <w:pPr>
      <w:spacing w:after="120"/>
      <w:ind w:left="283"/>
    </w:pPr>
    <w:rPr>
      <w:sz w:val="16"/>
      <w:szCs w:val="16"/>
    </w:rPr>
  </w:style>
  <w:style w:type="character" w:customStyle="1" w:styleId="32">
    <w:name w:val="Основной текст с отступом 3 Знак"/>
    <w:link w:val="31"/>
    <w:locked/>
    <w:rsid w:val="00F23793"/>
    <w:rPr>
      <w:sz w:val="16"/>
    </w:rPr>
  </w:style>
  <w:style w:type="paragraph" w:customStyle="1" w:styleId="11">
    <w:name w:val="Знак1"/>
    <w:basedOn w:val="a"/>
    <w:autoRedefine/>
    <w:rsid w:val="00F23793"/>
    <w:pPr>
      <w:spacing w:after="160" w:line="240" w:lineRule="exact"/>
    </w:pPr>
    <w:rPr>
      <w:sz w:val="28"/>
      <w:szCs w:val="20"/>
      <w:lang w:val="en-US" w:eastAsia="en-US"/>
    </w:rPr>
  </w:style>
  <w:style w:type="paragraph" w:customStyle="1" w:styleId="ListParagraph">
    <w:name w:val="List Paragraph"/>
    <w:basedOn w:val="a"/>
    <w:rsid w:val="001B1E71"/>
    <w:pPr>
      <w:spacing w:after="200" w:line="276" w:lineRule="auto"/>
      <w:ind w:left="720"/>
      <w:contextualSpacing/>
    </w:pPr>
    <w:rPr>
      <w:rFonts w:ascii="Calibri" w:hAnsi="Calibri"/>
      <w:sz w:val="22"/>
      <w:szCs w:val="22"/>
      <w:lang w:eastAsia="en-US"/>
    </w:rPr>
  </w:style>
  <w:style w:type="character" w:customStyle="1" w:styleId="apple-style-span">
    <w:name w:val="apple-style-span"/>
    <w:rsid w:val="001B1E71"/>
  </w:style>
  <w:style w:type="paragraph" w:customStyle="1" w:styleId="af6">
    <w:name w:val="Знак Знак Знак Знак"/>
    <w:basedOn w:val="a"/>
    <w:autoRedefine/>
    <w:rsid w:val="009E7F9F"/>
    <w:pPr>
      <w:spacing w:after="160" w:line="240" w:lineRule="exact"/>
    </w:pPr>
    <w:rPr>
      <w:rFonts w:eastAsia="SimSun"/>
      <w:b/>
      <w:sz w:val="28"/>
      <w:lang w:val="en-US" w:eastAsia="en-US"/>
    </w:rPr>
  </w:style>
  <w:style w:type="character" w:customStyle="1" w:styleId="10">
    <w:name w:val="Заголовок 1 Знак"/>
    <w:link w:val="1"/>
    <w:locked/>
    <w:rsid w:val="000B637C"/>
    <w:rPr>
      <w:rFonts w:ascii="Cambria" w:hAnsi="Cambria"/>
      <w:b/>
      <w:kern w:val="32"/>
      <w:sz w:val="32"/>
    </w:rPr>
  </w:style>
  <w:style w:type="paragraph" w:styleId="af7">
    <w:name w:val="header"/>
    <w:basedOn w:val="a"/>
    <w:link w:val="af8"/>
    <w:rsid w:val="00F4172B"/>
    <w:pPr>
      <w:tabs>
        <w:tab w:val="center" w:pos="4677"/>
        <w:tab w:val="right" w:pos="9355"/>
      </w:tabs>
    </w:pPr>
  </w:style>
  <w:style w:type="character" w:customStyle="1" w:styleId="af8">
    <w:name w:val="Верхний колонтитул Знак"/>
    <w:link w:val="af7"/>
    <w:locked/>
    <w:rsid w:val="00F4172B"/>
    <w:rPr>
      <w:sz w:val="24"/>
    </w:rPr>
  </w:style>
  <w:style w:type="paragraph" w:styleId="af9">
    <w:name w:val="footer"/>
    <w:basedOn w:val="a"/>
    <w:link w:val="afa"/>
    <w:rsid w:val="00F4172B"/>
    <w:pPr>
      <w:tabs>
        <w:tab w:val="center" w:pos="4677"/>
        <w:tab w:val="right" w:pos="9355"/>
      </w:tabs>
    </w:pPr>
  </w:style>
  <w:style w:type="character" w:customStyle="1" w:styleId="afa">
    <w:name w:val="Нижний колонтитул Знак"/>
    <w:link w:val="af9"/>
    <w:locked/>
    <w:rsid w:val="00F4172B"/>
    <w:rPr>
      <w:sz w:val="24"/>
    </w:rPr>
  </w:style>
  <w:style w:type="paragraph" w:customStyle="1" w:styleId="12">
    <w:name w:val="Обычный1"/>
    <w:rsid w:val="00C544D8"/>
    <w:pPr>
      <w:widowControl w:val="0"/>
      <w:autoSpaceDE w:val="0"/>
      <w:autoSpaceDN w:val="0"/>
    </w:pPr>
  </w:style>
  <w:style w:type="paragraph" w:customStyle="1" w:styleId="NoSpacing">
    <w:name w:val="No Spacing"/>
    <w:link w:val="NoSpacingChar"/>
    <w:rsid w:val="00D07617"/>
    <w:rPr>
      <w:rFonts w:ascii="Calibri" w:hAnsi="Calibri"/>
      <w:sz w:val="22"/>
      <w:szCs w:val="22"/>
    </w:rPr>
  </w:style>
  <w:style w:type="character" w:customStyle="1" w:styleId="NoSpacingChar">
    <w:name w:val="No Spacing Char"/>
    <w:link w:val="NoSpacing"/>
    <w:locked/>
    <w:rsid w:val="00D07617"/>
    <w:rPr>
      <w:rFonts w:ascii="Calibri" w:hAnsi="Calibri"/>
      <w:sz w:val="22"/>
    </w:rPr>
  </w:style>
  <w:style w:type="paragraph" w:customStyle="1" w:styleId="Default">
    <w:name w:val="Default"/>
    <w:rsid w:val="002B1699"/>
    <w:pPr>
      <w:autoSpaceDE w:val="0"/>
      <w:autoSpaceDN w:val="0"/>
      <w:adjustRightInd w:val="0"/>
    </w:pPr>
    <w:rPr>
      <w:color w:val="000000"/>
      <w:sz w:val="24"/>
      <w:szCs w:val="24"/>
    </w:rPr>
  </w:style>
  <w:style w:type="character" w:customStyle="1" w:styleId="60">
    <w:name w:val="Заголовок 6 Знак"/>
    <w:link w:val="6"/>
    <w:locked/>
    <w:rsid w:val="00BA2054"/>
    <w:rPr>
      <w:rFonts w:ascii="Calibri" w:hAnsi="Calibri"/>
      <w:b/>
      <w:sz w:val="22"/>
    </w:rPr>
  </w:style>
  <w:style w:type="paragraph" w:styleId="afb">
    <w:name w:val="Название"/>
    <w:basedOn w:val="a"/>
    <w:link w:val="afc"/>
    <w:qFormat/>
    <w:rsid w:val="00BA2054"/>
    <w:pPr>
      <w:jc w:val="center"/>
    </w:pPr>
    <w:rPr>
      <w:b/>
      <w:szCs w:val="20"/>
    </w:rPr>
  </w:style>
  <w:style w:type="character" w:customStyle="1" w:styleId="afc">
    <w:name w:val="Название Знак"/>
    <w:link w:val="afb"/>
    <w:locked/>
    <w:rsid w:val="00BA2054"/>
    <w:rPr>
      <w:b/>
      <w:sz w:val="24"/>
    </w:rPr>
  </w:style>
  <w:style w:type="paragraph" w:styleId="afd">
    <w:name w:val="Body Text"/>
    <w:basedOn w:val="a"/>
    <w:link w:val="afe"/>
    <w:rsid w:val="00BA2054"/>
    <w:pPr>
      <w:jc w:val="both"/>
    </w:pPr>
    <w:rPr>
      <w:sz w:val="20"/>
      <w:szCs w:val="20"/>
    </w:rPr>
  </w:style>
  <w:style w:type="character" w:customStyle="1" w:styleId="afe">
    <w:name w:val="Основной текст Знак"/>
    <w:link w:val="afd"/>
    <w:locked/>
    <w:rsid w:val="00BA2054"/>
    <w:rPr>
      <w:rFonts w:cs="Times New Roman"/>
    </w:rPr>
  </w:style>
  <w:style w:type="character" w:customStyle="1" w:styleId="rvts220116">
    <w:name w:val="rvts2_20116"/>
    <w:rsid w:val="00BA2054"/>
  </w:style>
  <w:style w:type="character" w:customStyle="1" w:styleId="a8">
    <w:name w:val="Текст выноски Знак"/>
    <w:link w:val="a7"/>
    <w:locked/>
    <w:rsid w:val="00BA2054"/>
    <w:rPr>
      <w:rFonts w:ascii="Tahoma" w:hAnsi="Tahoma"/>
      <w:sz w:val="16"/>
    </w:rPr>
  </w:style>
  <w:style w:type="table" w:styleId="-3">
    <w:name w:val="Table Web 3"/>
    <w:basedOn w:val="a1"/>
    <w:rsid w:val="00BA2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ghtGridAccent4">
    <w:name w:val="Light Grid Accent 4"/>
    <w:rsid w:val="00BA2054"/>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MediumGrid1">
    <w:name w:val="Medium Grid 1"/>
    <w:rsid w:val="00BA205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List2Accent6">
    <w:name w:val="Medium List 2 Accent 6"/>
    <w:rsid w:val="00BA2054"/>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ListAccent6">
    <w:name w:val="Light List Accent 6"/>
    <w:rsid w:val="00BA205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ListAccent5">
    <w:name w:val="Light List Accent 5"/>
    <w:rsid w:val="00BA2054"/>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Grid3Accent2">
    <w:name w:val="Medium Grid 3 Accent 2"/>
    <w:rsid w:val="00BA20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2Accent5">
    <w:name w:val="Medium Grid 2 Accent 5"/>
    <w:rsid w:val="00BA2054"/>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3Accent1">
    <w:name w:val="Medium Grid 3 Accent 1"/>
    <w:rsid w:val="00BA20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ColorfulListAccent6">
    <w:name w:val="Colorful List Accent 6"/>
    <w:rsid w:val="00BA2054"/>
    <w:rPr>
      <w:color w:val="000000"/>
      <w:sz w:val="24"/>
      <w:szCs w:val="22"/>
      <w:lang w:eastAsia="en-US"/>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Accent1">
    <w:name w:val="Colorful Grid Accent 1"/>
    <w:rsid w:val="00BA205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paragraph" w:styleId="aff">
    <w:name w:val="Normal (Web)"/>
    <w:basedOn w:val="a"/>
    <w:rsid w:val="00BA2054"/>
    <w:pPr>
      <w:spacing w:before="100" w:beforeAutospacing="1" w:after="100" w:afterAutospacing="1"/>
    </w:pPr>
  </w:style>
  <w:style w:type="character" w:customStyle="1" w:styleId="SubtleEmphasis">
    <w:name w:val="Subtle Emphasis"/>
    <w:rsid w:val="00BA2054"/>
    <w:rPr>
      <w:i/>
      <w:color w:val="808080"/>
    </w:rPr>
  </w:style>
  <w:style w:type="character" w:customStyle="1" w:styleId="IntenseEmphasis">
    <w:name w:val="Intense Emphasis"/>
    <w:rsid w:val="00BA2054"/>
    <w:rPr>
      <w:b/>
      <w:i/>
      <w:color w:val="4F81BD"/>
    </w:rPr>
  </w:style>
  <w:style w:type="paragraph" w:customStyle="1" w:styleId="Quote">
    <w:name w:val="Quote"/>
    <w:basedOn w:val="a"/>
    <w:next w:val="a"/>
    <w:link w:val="QuoteChar"/>
    <w:rsid w:val="00BA2054"/>
    <w:rPr>
      <w:i/>
      <w:iCs/>
      <w:color w:val="000000"/>
    </w:rPr>
  </w:style>
  <w:style w:type="character" w:customStyle="1" w:styleId="QuoteChar">
    <w:name w:val="Quote Char"/>
    <w:link w:val="Quote"/>
    <w:locked/>
    <w:rsid w:val="00BA2054"/>
    <w:rPr>
      <w:i/>
      <w:color w:val="000000"/>
      <w:sz w:val="24"/>
    </w:rPr>
  </w:style>
  <w:style w:type="character" w:customStyle="1" w:styleId="IntenseReference">
    <w:name w:val="Intense Reference"/>
    <w:rsid w:val="00BA2054"/>
    <w:rPr>
      <w:b/>
      <w:smallCaps/>
      <w:color w:val="C0504D"/>
      <w:spacing w:val="5"/>
      <w:u w:val="single"/>
    </w:rPr>
  </w:style>
  <w:style w:type="character" w:customStyle="1" w:styleId="SubtleReference">
    <w:name w:val="Subtle Reference"/>
    <w:rsid w:val="00BA2054"/>
    <w:rPr>
      <w:smallCaps/>
      <w:color w:val="C0504D"/>
      <w:u w:val="single"/>
    </w:rPr>
  </w:style>
  <w:style w:type="paragraph" w:customStyle="1" w:styleId="IntenseQuote">
    <w:name w:val="Intense Quote"/>
    <w:basedOn w:val="a"/>
    <w:next w:val="a"/>
    <w:link w:val="IntenseQuoteChar"/>
    <w:rsid w:val="00BA205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BA2054"/>
    <w:rPr>
      <w:b/>
      <w:i/>
      <w:color w:val="4F81BD"/>
      <w:sz w:val="24"/>
    </w:rPr>
  </w:style>
  <w:style w:type="paragraph" w:styleId="aff0">
    <w:name w:val="table of figures"/>
    <w:basedOn w:val="a"/>
    <w:next w:val="a"/>
    <w:rsid w:val="005D2940"/>
  </w:style>
  <w:style w:type="character" w:styleId="aff1">
    <w:name w:val="page number"/>
    <w:basedOn w:val="a0"/>
    <w:rsid w:val="005D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225"/>
                          <w:marTop w:val="0"/>
                          <w:marBottom w:val="375"/>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92">
              <w:marLeft w:val="375"/>
              <w:marRight w:val="375"/>
              <w:marTop w:val="450"/>
              <w:marBottom w:val="750"/>
              <w:divBdr>
                <w:top w:val="none" w:sz="0" w:space="0" w:color="auto"/>
                <w:left w:val="none" w:sz="0" w:space="0" w:color="auto"/>
                <w:bottom w:val="none" w:sz="0" w:space="0" w:color="auto"/>
                <w:right w:val="none" w:sz="0" w:space="0" w:color="auto"/>
              </w:divBdr>
              <w:divsChild>
                <w:div w:id="16">
                  <w:marLeft w:val="390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single" w:sz="6" w:space="7" w:color="C1C7C6"/>
                            <w:left w:val="single" w:sz="6" w:space="7" w:color="C1C7C6"/>
                            <w:bottom w:val="single" w:sz="6" w:space="7" w:color="C1C7C6"/>
                            <w:right w:val="single" w:sz="6" w:space="7" w:color="C1C7C6"/>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95231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package" Target="embeddings/_____Microsoft_Excel1.xlsx"/><Relationship Id="rId18" Type="http://schemas.openxmlformats.org/officeDocument/2006/relationships/image" Target="media/image7.emf"/><Relationship Id="rId26" Type="http://schemas.openxmlformats.org/officeDocument/2006/relationships/oleObject" Target="embeddings/oleObject6.bin"/><Relationship Id="rId39" Type="http://schemas.openxmlformats.org/officeDocument/2006/relationships/chart" Target="charts/chart11.xml"/><Relationship Id="rId21" Type="http://schemas.openxmlformats.org/officeDocument/2006/relationships/oleObject" Target="embeddings/oleObject4.bin"/><Relationship Id="rId34" Type="http://schemas.openxmlformats.org/officeDocument/2006/relationships/chart" Target="charts/chart7.xml"/><Relationship Id="rId42" Type="http://schemas.openxmlformats.org/officeDocument/2006/relationships/chart" Target="charts/chart14.xml"/><Relationship Id="rId47" Type="http://schemas.openxmlformats.org/officeDocument/2006/relationships/chart" Target="charts/chart19.xm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chart" Target="charts/chart2.xml"/><Relationship Id="rId11" Type="http://schemas.openxmlformats.org/officeDocument/2006/relationships/package" Target="embeddings/_____Microsoft_Excel.xlsx"/><Relationship Id="rId24" Type="http://schemas.openxmlformats.org/officeDocument/2006/relationships/chart" Target="charts/chart1.xml"/><Relationship Id="rId32" Type="http://schemas.openxmlformats.org/officeDocument/2006/relationships/chart" Target="charts/chart5.xml"/><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chart" Target="charts/chart1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oleObject" Target="embeddings/oleObject3.bin"/><Relationship Id="rId31" Type="http://schemas.openxmlformats.org/officeDocument/2006/relationships/chart" Target="charts/chart4.xml"/><Relationship Id="rId44" Type="http://schemas.openxmlformats.org/officeDocument/2006/relationships/chart" Target="charts/chart1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image" Target="media/image11.emf"/><Relationship Id="rId30" Type="http://schemas.openxmlformats.org/officeDocument/2006/relationships/chart" Target="charts/chart3.xml"/><Relationship Id="rId35" Type="http://schemas.openxmlformats.org/officeDocument/2006/relationships/image" Target="media/image12.png"/><Relationship Id="rId43" Type="http://schemas.openxmlformats.org/officeDocument/2006/relationships/chart" Target="charts/chart15.xml"/><Relationship Id="rId48" Type="http://schemas.openxmlformats.org/officeDocument/2006/relationships/chart" Target="charts/chart20.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image" Target="media/image10.emf"/><Relationship Id="rId33" Type="http://schemas.openxmlformats.org/officeDocument/2006/relationships/chart" Target="charts/chart6.xml"/><Relationship Id="rId38" Type="http://schemas.openxmlformats.org/officeDocument/2006/relationships/chart" Target="charts/chart10.xml"/><Relationship Id="rId46" Type="http://schemas.openxmlformats.org/officeDocument/2006/relationships/chart" Target="charts/chart18.xml"/><Relationship Id="rId20" Type="http://schemas.openxmlformats.org/officeDocument/2006/relationships/image" Target="media/image8.emf"/><Relationship Id="rId41"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chart" Target="charts/chart8.xml"/><Relationship Id="rId49" Type="http://schemas.openxmlformats.org/officeDocument/2006/relationships/chart" Target="charts/chart21.xml"/></Relationships>
</file>

<file path=word/_rels/footnotes.xml.rels><?xml version="1.0" encoding="UTF-8" standalone="yes"?>
<Relationships xmlns="http://schemas.openxmlformats.org/package/2006/relationships"><Relationship Id="rId2" Type="http://schemas.openxmlformats.org/officeDocument/2006/relationships/hyperlink" Target="http://www.stat.gov.kz" TargetMode="External"/><Relationship Id="rId1" Type="http://schemas.openxmlformats.org/officeDocument/2006/relationships/hyperlink" Target="http://www.stat.gov.kz"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Excel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Excel19.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044;&#1086;&#1082;&#1091;&#1084;&#1077;&#1085;&#1090;&#1099;\0.%20&#1056;&#1072;&#1073;&#1086;&#1090;&#1072;\00.&#1042;%20&#1056;&#1072;&#1073;&#1086;&#1090;&#1077;\&#1040;&#1085;&#1072;&#1083;&#1080;&#1090;%202014\&#1084;&#1077;&#1090;&#1086;&#1076;%20&#1087;&#1088;&#1086;&#1075;&#1085;&#1086;&#1079;&#1080;&#1088;&#1086;&#1074;&#1072;&#1085;&#1080;&#110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1044;&#1086;&#1082;&#1091;&#1084;&#1077;&#1085;&#1090;&#1099;\0.%20&#1056;&#1072;&#1073;&#1086;&#1090;&#1072;\00.&#1042;%20&#1056;&#1072;&#1073;&#1086;&#1090;&#1077;\&#1040;&#1085;&#1072;&#1083;&#1080;&#1090;%202014\&#1084;&#1077;&#1090;&#1086;&#1076;%20&#1087;&#1088;&#1086;&#1075;&#1085;&#1086;&#1079;&#1080;&#1088;&#1086;&#1074;&#1072;&#1085;&#1080;&#1103;.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25"/>
            </a:pPr>
            <a:r>
              <a:rPr lang="ru-RU" sz="1125"/>
              <a:t>Средняя сумма одного платежа</a:t>
            </a:r>
          </a:p>
        </c:rich>
      </c:tx>
      <c:layout>
        <c:manualLayout>
          <c:xMode val="edge"/>
          <c:yMode val="edge"/>
          <c:x val="0.19580639591103746"/>
          <c:y val="4.5977028100845189E-2"/>
        </c:manualLayout>
      </c:layout>
      <c:overlay val="1"/>
    </c:title>
    <c:autoTitleDeleted val="0"/>
    <c:plotArea>
      <c:layout>
        <c:manualLayout>
          <c:layoutTarget val="inner"/>
          <c:xMode val="edge"/>
          <c:yMode val="edge"/>
          <c:x val="7.2415515534606636E-2"/>
          <c:y val="0.12232884951881016"/>
          <c:w val="0.83835762744189868"/>
          <c:h val="0.76320209973753272"/>
        </c:manualLayout>
      </c:layout>
      <c:barChart>
        <c:barDir val="col"/>
        <c:grouping val="stacked"/>
        <c:varyColors val="0"/>
        <c:ser>
          <c:idx val="0"/>
          <c:order val="0"/>
          <c:tx>
            <c:strRef>
              <c:f>Sheet1!$A$2</c:f>
              <c:strCache>
                <c:ptCount val="1"/>
                <c:pt idx="0">
                  <c:v>Платежи юр. лиц</c:v>
                </c:pt>
              </c:strCache>
            </c:strRef>
          </c:tx>
          <c:spPr>
            <a:solidFill>
              <a:srgbClr val="9999FF"/>
            </a:solidFill>
            <a:ln w="11904">
              <a:solidFill>
                <a:srgbClr val="000000"/>
              </a:solidFill>
              <a:prstDash val="solid"/>
            </a:ln>
          </c:spPr>
          <c:invertIfNegative val="1"/>
          <c:dPt>
            <c:idx val="0"/>
            <c:invertIfNegative val="1"/>
            <c:bubble3D val="0"/>
            <c:spPr>
              <a:solidFill>
                <a:schemeClr val="accent3"/>
              </a:solidFill>
              <a:ln w="11904">
                <a:solidFill>
                  <a:srgbClr val="000000"/>
                </a:solidFill>
                <a:prstDash val="solid"/>
              </a:ln>
            </c:spPr>
            <c:extLst>
              <c:ext xmlns:c16="http://schemas.microsoft.com/office/drawing/2014/chart" uri="{C3380CC4-5D6E-409C-BE32-E72D297353CC}">
                <c16:uniqueId val="{00000001-2F86-49D5-8A69-6DA9817BD180}"/>
              </c:ext>
            </c:extLst>
          </c:dPt>
          <c:dLbls>
            <c:numFmt formatCode="#,##0.0" sourceLinked="0"/>
            <c:spPr>
              <a:noFill/>
              <a:ln>
                <a:noFill/>
              </a:ln>
              <a:effectLst/>
            </c:spPr>
            <c:txPr>
              <a:bodyPr/>
              <a:lstStyle/>
              <a:p>
                <a:pPr>
                  <a:defRPr sz="1125"/>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Средняя сумма одного платежа  (тыс . тенге)</c:v>
                </c:pt>
              </c:strCache>
            </c:strRef>
          </c:cat>
          <c:val>
            <c:numRef>
              <c:f>Sheet1!$B$2:$B$2</c:f>
              <c:numCache>
                <c:formatCode>#,##0.00</c:formatCode>
                <c:ptCount val="1"/>
                <c:pt idx="0">
                  <c:v>1867.8</c:v>
                </c:pt>
              </c:numCache>
            </c:numRef>
          </c:val>
          <c:extLst>
            <c:ext xmlns:c14="http://schemas.microsoft.com/office/drawing/2007/8/2/chart" uri="{6F2FDCE9-48DA-4B69-8628-5D25D57E5C99}">
              <c14:invertSolidFillFmt>
                <c14:spPr xmlns:c14="http://schemas.microsoft.com/office/drawing/2007/8/2/chart">
                  <a:solidFill>
                    <a:srgbClr val="FFFFFF"/>
                  </a:solidFill>
                  <a:ln w="11904">
                    <a:solidFill>
                      <a:srgbClr val="000000"/>
                    </a:solidFill>
                    <a:prstDash val="solid"/>
                  </a:ln>
                </c14:spPr>
              </c14:invertSolidFillFmt>
            </c:ext>
            <c:ext xmlns:c16="http://schemas.microsoft.com/office/drawing/2014/chart" uri="{C3380CC4-5D6E-409C-BE32-E72D297353CC}">
              <c16:uniqueId val="{00000002-2F86-49D5-8A69-6DA9817BD180}"/>
            </c:ext>
          </c:extLst>
        </c:ser>
        <c:ser>
          <c:idx val="1"/>
          <c:order val="1"/>
          <c:tx>
            <c:strRef>
              <c:f>Sheet1!$A$3</c:f>
              <c:strCache>
                <c:ptCount val="1"/>
                <c:pt idx="0">
                  <c:v>Платежи физ.лиц</c:v>
                </c:pt>
              </c:strCache>
            </c:strRef>
          </c:tx>
          <c:spPr>
            <a:solidFill>
              <a:srgbClr val="993366"/>
            </a:solidFill>
            <a:ln w="11904">
              <a:solidFill>
                <a:srgbClr val="000000"/>
              </a:solidFill>
              <a:prstDash val="solid"/>
            </a:ln>
          </c:spPr>
          <c:invertIfNegative val="1"/>
          <c:dLbls>
            <c:dLbl>
              <c:idx val="0"/>
              <c:layout>
                <c:manualLayout>
                  <c:x val="-1.3840830449826995E-2"/>
                  <c:y val="-9.0277777777777748E-2"/>
                </c:manualLayout>
              </c:layout>
              <c:numFmt formatCode="#,##0.0" sourceLinked="0"/>
              <c:spPr/>
              <c:txPr>
                <a:bodyPr/>
                <a:lstStyle/>
                <a:p>
                  <a:pPr>
                    <a:defRPr sz="1125"/>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86-49D5-8A69-6DA9817BD180}"/>
                </c:ext>
              </c:extLst>
            </c:dLbl>
            <c:numFmt formatCode="#,##0.0" sourceLinked="0"/>
            <c:spPr>
              <a:noFill/>
              <a:ln>
                <a:noFill/>
              </a:ln>
              <a:effectLst/>
            </c:spPr>
            <c:txPr>
              <a:bodyPr/>
              <a:lstStyle/>
              <a:p>
                <a:pPr>
                  <a:defRPr sz="1125"/>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percentage"/>
            <c:noEndCap val="1"/>
            <c:val val="5"/>
            <c:spPr>
              <a:solidFill>
                <a:srgbClr val="993366"/>
              </a:solidFill>
              <a:ln w="11904">
                <a:solidFill>
                  <a:srgbClr val="000000"/>
                </a:solidFill>
                <a:prstDash val="solid"/>
              </a:ln>
            </c:spPr>
          </c:errBars>
          <c:cat>
            <c:strRef>
              <c:f>Sheet1!$B$1:$B$1</c:f>
              <c:strCache>
                <c:ptCount val="1"/>
                <c:pt idx="0">
                  <c:v>Средняя сумма одного платежа  (тыс . тенге)</c:v>
                </c:pt>
              </c:strCache>
            </c:strRef>
          </c:cat>
          <c:val>
            <c:numRef>
              <c:f>Sheet1!$B$3:$B$3</c:f>
              <c:numCache>
                <c:formatCode>#,##0.00</c:formatCode>
                <c:ptCount val="1"/>
                <c:pt idx="0">
                  <c:v>90.1</c:v>
                </c:pt>
              </c:numCache>
            </c:numRef>
          </c:val>
          <c:extLst>
            <c:ext xmlns:c14="http://schemas.microsoft.com/office/drawing/2007/8/2/chart" uri="{6F2FDCE9-48DA-4B69-8628-5D25D57E5C99}">
              <c14:invertSolidFillFmt>
                <c14:spPr xmlns:c14="http://schemas.microsoft.com/office/drawing/2007/8/2/chart">
                  <a:solidFill>
                    <a:srgbClr val="FFFFFF"/>
                  </a:solidFill>
                  <a:ln w="11904">
                    <a:solidFill>
                      <a:srgbClr val="000000"/>
                    </a:solidFill>
                    <a:prstDash val="solid"/>
                  </a:ln>
                </c14:spPr>
              </c14:invertSolidFillFmt>
            </c:ext>
            <c:ext xmlns:c16="http://schemas.microsoft.com/office/drawing/2014/chart" uri="{C3380CC4-5D6E-409C-BE32-E72D297353CC}">
              <c16:uniqueId val="{00000004-2F86-49D5-8A69-6DA9817BD180}"/>
            </c:ext>
          </c:extLst>
        </c:ser>
        <c:dLbls>
          <c:showLegendKey val="0"/>
          <c:showVal val="0"/>
          <c:showCatName val="0"/>
          <c:showSerName val="0"/>
          <c:showPercent val="0"/>
          <c:showBubbleSize val="0"/>
        </c:dLbls>
        <c:gapWidth val="100"/>
        <c:overlap val="100"/>
        <c:axId val="154015920"/>
        <c:axId val="1"/>
      </c:barChart>
      <c:catAx>
        <c:axId val="154015920"/>
        <c:scaling>
          <c:orientation val="minMax"/>
        </c:scaling>
        <c:delete val="0"/>
        <c:axPos val="b"/>
        <c:numFmt formatCode="General" sourceLinked="1"/>
        <c:majorTickMark val="none"/>
        <c:minorTickMark val="none"/>
        <c:tickLblPos val="none"/>
        <c:spPr>
          <a:ln w="2976">
            <a:solidFill>
              <a:srgbClr val="000000"/>
            </a:solidFill>
            <a:prstDash val="solid"/>
          </a:ln>
        </c:spPr>
        <c:txPr>
          <a:bodyPr rot="0" vert="horz"/>
          <a:lstStyle/>
          <a:p>
            <a:pPr>
              <a:defRPr/>
            </a:pPr>
            <a:endParaRPr lang="ru-RU"/>
          </a:p>
        </c:txPr>
        <c:crossAx val="1"/>
        <c:crosses val="autoZero"/>
        <c:auto val="1"/>
        <c:lblAlgn val="ctr"/>
        <c:lblOffset val="100"/>
        <c:tickLblSkip val="1"/>
        <c:tickMarkSkip val="1"/>
        <c:noMultiLvlLbl val="1"/>
      </c:catAx>
      <c:valAx>
        <c:axId val="1"/>
        <c:scaling>
          <c:orientation val="minMax"/>
          <c:max val="2500"/>
          <c:min val="0"/>
        </c:scaling>
        <c:delete val="0"/>
        <c:axPos val="l"/>
        <c:title>
          <c:tx>
            <c:rich>
              <a:bodyPr rot="0" vert="horz"/>
              <a:lstStyle/>
              <a:p>
                <a:pPr algn="ctr">
                  <a:defRPr sz="750" b="0" i="0" u="none" strike="noStrike" baseline="0">
                    <a:solidFill>
                      <a:srgbClr val="000000"/>
                    </a:solidFill>
                    <a:latin typeface="Times New Roman"/>
                    <a:ea typeface="Times New Roman"/>
                    <a:cs typeface="Times New Roman"/>
                  </a:defRPr>
                </a:pPr>
                <a:r>
                  <a:rPr lang="ru-RU"/>
                  <a:t>тыс.тенге</a:t>
                </a:r>
              </a:p>
            </c:rich>
          </c:tx>
          <c:layout>
            <c:manualLayout>
              <c:xMode val="edge"/>
              <c:yMode val="edge"/>
              <c:x val="2.5541165906893218E-2"/>
              <c:y val="5.5614149148787593E-3"/>
            </c:manualLayout>
          </c:layout>
          <c:overlay val="0"/>
        </c:title>
        <c:numFmt formatCode="#,##0" sourceLinked="0"/>
        <c:majorTickMark val="out"/>
        <c:minorTickMark val="cross"/>
        <c:tickLblPos val="nextTo"/>
        <c:spPr>
          <a:ln w="2976">
            <a:solidFill>
              <a:srgbClr val="000000"/>
            </a:solidFill>
            <a:prstDash val="solid"/>
          </a:ln>
        </c:spPr>
        <c:txPr>
          <a:bodyPr rot="0" vert="horz"/>
          <a:lstStyle/>
          <a:p>
            <a:pPr>
              <a:defRPr b="0"/>
            </a:pPr>
            <a:endParaRPr lang="ru-RU"/>
          </a:p>
        </c:txPr>
        <c:crossAx val="154015920"/>
        <c:crosses val="autoZero"/>
        <c:crossBetween val="between"/>
        <c:majorUnit val="500"/>
      </c:valAx>
      <c:spPr>
        <a:noFill/>
        <a:ln w="23809">
          <a:noFill/>
        </a:ln>
      </c:spPr>
    </c:plotArea>
    <c:legend>
      <c:legendPos val="b"/>
      <c:layout>
        <c:manualLayout>
          <c:xMode val="edge"/>
          <c:yMode val="edge"/>
          <c:wMode val="edge"/>
          <c:hMode val="edge"/>
          <c:x val="0.1608716673573698"/>
          <c:y val="0.89663078812396158"/>
          <c:w val="0.88300352258599257"/>
          <c:h val="0.99920874569577889"/>
        </c:manualLayout>
      </c:layout>
      <c:overlay val="0"/>
      <c:spPr>
        <a:noFill/>
        <a:ln w="2976">
          <a:solidFill>
            <a:srgbClr val="000000"/>
          </a:solidFill>
          <a:prstDash val="solid"/>
        </a:ln>
      </c:spPr>
      <c:txPr>
        <a:bodyPr/>
        <a:lstStyle/>
        <a:p>
          <a:pPr>
            <a:defRPr sz="844" b="0"/>
          </a:pPr>
          <a:endParaRPr lang="ru-RU"/>
        </a:p>
      </c:txPr>
    </c:legend>
    <c:plotVisOnly val="1"/>
    <c:dispBlanksAs val="gap"/>
    <c:showDLblsOverMax val="1"/>
  </c:chart>
  <c:spPr>
    <a:noFill/>
    <a:ln>
      <a:noFill/>
    </a:ln>
  </c:spPr>
  <c:txPr>
    <a:bodyPr/>
    <a:lstStyle/>
    <a:p>
      <a:pPr>
        <a:defRPr sz="750" b="1" i="0" u="none" strike="noStrike" baseline="0">
          <a:solidFill>
            <a:srgbClr val="000000"/>
          </a:solidFill>
          <a:latin typeface="Times New Roman" pitchFamily="18" charset="0"/>
          <a:ea typeface="Calibri"/>
          <a:cs typeface="Times New Roman"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manualLayout>
          <c:layoutTarget val="inner"/>
          <c:xMode val="edge"/>
          <c:yMode val="edge"/>
          <c:x val="7.1895424836601357E-2"/>
          <c:y val="0.1641025641025641"/>
          <c:w val="0.85620915032679756"/>
          <c:h val="0.53333333333333333"/>
        </c:manualLayout>
      </c:layout>
      <c:pie3DChart>
        <c:varyColors val="1"/>
        <c:ser>
          <c:idx val="1"/>
          <c:order val="0"/>
          <c:tx>
            <c:strRef>
              <c:f>Sheet1!$B$1</c:f>
              <c:strCache>
                <c:ptCount val="1"/>
                <c:pt idx="0">
                  <c:v>2014 год</c:v>
                </c:pt>
              </c:strCache>
            </c:strRef>
          </c:tx>
          <c:spPr>
            <a:solidFill>
              <a:srgbClr val="FF0000"/>
            </a:solidFill>
            <a:ln w="12697">
              <a:solidFill>
                <a:srgbClr val="FF00FF"/>
              </a:solidFill>
              <a:prstDash val="solid"/>
            </a:ln>
          </c:spPr>
          <c:dPt>
            <c:idx val="0"/>
            <c:bubble3D val="0"/>
            <c:extLst>
              <c:ext xmlns:c16="http://schemas.microsoft.com/office/drawing/2014/chart" uri="{C3380CC4-5D6E-409C-BE32-E72D297353CC}">
                <c16:uniqueId val="{00000000-4747-43DE-B05B-EE5E1F8F52AF}"/>
              </c:ext>
            </c:extLst>
          </c:dPt>
          <c:dPt>
            <c:idx val="1"/>
            <c:bubble3D val="0"/>
            <c:spPr>
              <a:solidFill>
                <a:srgbClr val="FFFF00"/>
              </a:solidFill>
              <a:ln w="12697">
                <a:solidFill>
                  <a:srgbClr val="FF00FF"/>
                </a:solidFill>
                <a:prstDash val="solid"/>
              </a:ln>
            </c:spPr>
            <c:extLst>
              <c:ext xmlns:c16="http://schemas.microsoft.com/office/drawing/2014/chart" uri="{C3380CC4-5D6E-409C-BE32-E72D297353CC}">
                <c16:uniqueId val="{00000001-4747-43DE-B05B-EE5E1F8F52AF}"/>
              </c:ext>
            </c:extLst>
          </c:dPt>
          <c:dPt>
            <c:idx val="2"/>
            <c:bubble3D val="0"/>
            <c:spPr>
              <a:solidFill>
                <a:srgbClr val="339933"/>
              </a:solidFill>
              <a:ln w="12697">
                <a:solidFill>
                  <a:srgbClr val="FF00FF"/>
                </a:solidFill>
                <a:prstDash val="solid"/>
              </a:ln>
            </c:spPr>
            <c:extLst>
              <c:ext xmlns:c16="http://schemas.microsoft.com/office/drawing/2014/chart" uri="{C3380CC4-5D6E-409C-BE32-E72D297353CC}">
                <c16:uniqueId val="{00000002-4747-43DE-B05B-EE5E1F8F52AF}"/>
              </c:ext>
            </c:extLst>
          </c:dPt>
          <c:dPt>
            <c:idx val="3"/>
            <c:bubble3D val="0"/>
            <c:spPr>
              <a:solidFill>
                <a:srgbClr val="FF00FF"/>
              </a:solidFill>
              <a:ln w="12697">
                <a:solidFill>
                  <a:srgbClr val="FF00FF"/>
                </a:solidFill>
                <a:prstDash val="solid"/>
              </a:ln>
            </c:spPr>
            <c:extLst>
              <c:ext xmlns:c16="http://schemas.microsoft.com/office/drawing/2014/chart" uri="{C3380CC4-5D6E-409C-BE32-E72D297353CC}">
                <c16:uniqueId val="{00000003-4747-43DE-B05B-EE5E1F8F52AF}"/>
              </c:ext>
            </c:extLst>
          </c:dPt>
          <c:dLbls>
            <c:dLbl>
              <c:idx val="0"/>
              <c:layout>
                <c:manualLayout>
                  <c:x val="0.26531579122229987"/>
                  <c:y val="9.0908392548492527E-3"/>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747-43DE-B05B-EE5E1F8F52AF}"/>
                </c:ext>
              </c:extLst>
            </c:dLbl>
            <c:dLbl>
              <c:idx val="1"/>
              <c:layout>
                <c:manualLayout>
                  <c:x val="-5.9071729957805928E-2"/>
                  <c:y val="3.9140644004865242E-2"/>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747-43DE-B05B-EE5E1F8F52AF}"/>
                </c:ext>
              </c:extLst>
            </c:dLbl>
            <c:dLbl>
              <c:idx val="2"/>
              <c:layout>
                <c:manualLayout>
                  <c:x val="0"/>
                  <c:y val="-4.7553933807054624E-2"/>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747-43DE-B05B-EE5E1F8F52AF}"/>
                </c:ext>
              </c:extLst>
            </c:dLbl>
            <c:dLbl>
              <c:idx val="3"/>
              <c:layout>
                <c:manualLayout>
                  <c:x val="6.6848068042127687E-2"/>
                  <c:y val="-5.6046603930606273E-2"/>
                </c:manualLayout>
              </c:layout>
              <c:numFmt formatCode="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747-43DE-B05B-EE5E1F8F52AF}"/>
                </c:ext>
              </c:extLst>
            </c:dLbl>
            <c:dLbl>
              <c:idx val="4"/>
              <c:layout>
                <c:manualLayout>
                  <c:x val="0.28957008538489676"/>
                  <c:y val="-0.14889037932172181"/>
                </c:manualLayout>
              </c:layout>
              <c:numFmt formatCode="0.00%" sourceLinked="0"/>
              <c:spPr>
                <a:noFill/>
                <a:ln w="25394">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747-43DE-B05B-EE5E1F8F52AF}"/>
                </c:ext>
              </c:extLst>
            </c:dLbl>
            <c:numFmt formatCode="0.0%" sourceLinked="0"/>
            <c:spPr>
              <a:noFill/>
              <a:ln w="25394">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Sheet1!$A$2:$A$5</c:f>
              <c:strCache>
                <c:ptCount val="4"/>
                <c:pt idx="0">
                  <c:v>EUR</c:v>
                </c:pt>
                <c:pt idx="1">
                  <c:v>KZT</c:v>
                </c:pt>
                <c:pt idx="2">
                  <c:v>RUB</c:v>
                </c:pt>
                <c:pt idx="3">
                  <c:v>USD</c:v>
                </c:pt>
              </c:strCache>
            </c:strRef>
          </c:cat>
          <c:val>
            <c:numRef>
              <c:f>Sheet1!$B$2:$B$5</c:f>
              <c:numCache>
                <c:formatCode>_-* #\ ##0.00_р_._-;\-* #\ ##0.00_р_._-;_-* "-"??_р_._-;_-@_-</c:formatCode>
                <c:ptCount val="4"/>
                <c:pt idx="0">
                  <c:v>529</c:v>
                </c:pt>
                <c:pt idx="1">
                  <c:v>474516</c:v>
                </c:pt>
                <c:pt idx="2">
                  <c:v>51608</c:v>
                </c:pt>
                <c:pt idx="3">
                  <c:v>77841</c:v>
                </c:pt>
              </c:numCache>
            </c:numRef>
          </c:val>
          <c:extLst>
            <c:ext xmlns:c16="http://schemas.microsoft.com/office/drawing/2014/chart" uri="{C3380CC4-5D6E-409C-BE32-E72D297353CC}">
              <c16:uniqueId val="{00000005-4747-43DE-B05B-EE5E1F8F52AF}"/>
            </c:ext>
          </c:extLst>
        </c:ser>
        <c:dLbls>
          <c:showLegendKey val="1"/>
          <c:showVal val="1"/>
          <c:showCatName val="1"/>
          <c:showSerName val="1"/>
          <c:showPercent val="1"/>
          <c:showBubbleSize val="0"/>
          <c:showLeaderLines val="0"/>
        </c:dLbls>
      </c:pie3DChart>
      <c:spPr>
        <a:noFill/>
        <a:ln w="25394">
          <a:noFill/>
        </a:ln>
      </c:spPr>
    </c:plotArea>
    <c:legend>
      <c:legendPos val="b"/>
      <c:layout>
        <c:manualLayout>
          <c:xMode val="edge"/>
          <c:yMode val="edge"/>
          <c:wMode val="edge"/>
          <c:hMode val="edge"/>
          <c:x val="0.11392414183521177"/>
          <c:y val="0.79374613676249051"/>
          <c:w val="0.89496989346919864"/>
          <c:h val="0.9219512649676187"/>
        </c:manualLayout>
      </c:layout>
      <c:overlay val="1"/>
      <c:spPr>
        <a:noFill/>
        <a:ln w="3174">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manualLayout>
          <c:layoutTarget val="inner"/>
          <c:xMode val="edge"/>
          <c:yMode val="edge"/>
          <c:x val="7.1895424836601357E-2"/>
          <c:y val="0.1641025641025641"/>
          <c:w val="0.85620915032679756"/>
          <c:h val="0.53333333333333333"/>
        </c:manualLayout>
      </c:layout>
      <c:pie3DChart>
        <c:varyColors val="1"/>
        <c:ser>
          <c:idx val="1"/>
          <c:order val="0"/>
          <c:tx>
            <c:strRef>
              <c:f>Sheet1!$B$1</c:f>
              <c:strCache>
                <c:ptCount val="1"/>
                <c:pt idx="0">
                  <c:v> Сумма платежа (тенге)</c:v>
                </c:pt>
              </c:strCache>
            </c:strRef>
          </c:tx>
          <c:spPr>
            <a:solidFill>
              <a:srgbClr val="FF0000"/>
            </a:solidFill>
            <a:ln w="12700">
              <a:solidFill>
                <a:srgbClr val="FF00FF"/>
              </a:solidFill>
              <a:prstDash val="solid"/>
            </a:ln>
          </c:spPr>
          <c:dPt>
            <c:idx val="0"/>
            <c:bubble3D val="0"/>
            <c:extLst>
              <c:ext xmlns:c16="http://schemas.microsoft.com/office/drawing/2014/chart" uri="{C3380CC4-5D6E-409C-BE32-E72D297353CC}">
                <c16:uniqueId val="{00000000-7FC1-4007-8BDE-A8537B1F0E2A}"/>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7FC1-4007-8BDE-A8537B1F0E2A}"/>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7FC1-4007-8BDE-A8537B1F0E2A}"/>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7FC1-4007-8BDE-A8537B1F0E2A}"/>
              </c:ext>
            </c:extLst>
          </c:dPt>
          <c:dLbls>
            <c:dLbl>
              <c:idx val="0"/>
              <c:layout>
                <c:manualLayout>
                  <c:x val="0.26531579122229987"/>
                  <c:y val="9.0908392548492527E-3"/>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FC1-4007-8BDE-A8537B1F0E2A}"/>
                </c:ext>
              </c:extLst>
            </c:dLbl>
            <c:dLbl>
              <c:idx val="1"/>
              <c:layout>
                <c:manualLayout>
                  <c:x val="-7.5949367088607597E-2"/>
                  <c:y val="0.35783983099673516"/>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FC1-4007-8BDE-A8537B1F0E2A}"/>
                </c:ext>
              </c:extLst>
            </c:dLbl>
            <c:dLbl>
              <c:idx val="2"/>
              <c:layout>
                <c:manualLayout>
                  <c:x val="-4.2194092827004242E-3"/>
                  <c:y val="1.0982651558799053E-2"/>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FC1-4007-8BDE-A8537B1F0E2A}"/>
                </c:ext>
              </c:extLst>
            </c:dLbl>
            <c:dLbl>
              <c:idx val="3"/>
              <c:layout>
                <c:manualLayout>
                  <c:x val="6.6848068042127659E-2"/>
                  <c:y val="-0.1145831892964599"/>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C1-4007-8BDE-A8537B1F0E2A}"/>
                </c:ext>
              </c:extLst>
            </c:dLbl>
            <c:dLbl>
              <c:idx val="4"/>
              <c:layout>
                <c:manualLayout>
                  <c:x val="0.28957008538489676"/>
                  <c:y val="-0.14889037932172181"/>
                </c:manualLayout>
              </c:layout>
              <c:numFmt formatCode="0.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FC1-4007-8BDE-A8537B1F0E2A}"/>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Sheet1!$A$2:$A$5</c:f>
              <c:strCache>
                <c:ptCount val="4"/>
                <c:pt idx="0">
                  <c:v>EUR</c:v>
                </c:pt>
                <c:pt idx="1">
                  <c:v>KZT</c:v>
                </c:pt>
                <c:pt idx="2">
                  <c:v>RUB</c:v>
                </c:pt>
                <c:pt idx="3">
                  <c:v>USD</c:v>
                </c:pt>
              </c:strCache>
            </c:strRef>
          </c:cat>
          <c:val>
            <c:numRef>
              <c:f>Sheet1!$B$2:$B$5</c:f>
              <c:numCache>
                <c:formatCode>_-* #\ ##0.00_р_._-;\-* #\ ##0.00_р_._-;_-* "-"??_р_._-;_-@_-</c:formatCode>
                <c:ptCount val="4"/>
                <c:pt idx="0">
                  <c:v>165467943.91000012</c:v>
                </c:pt>
                <c:pt idx="1">
                  <c:v>19879280660.580009</c:v>
                </c:pt>
                <c:pt idx="2">
                  <c:v>5078068776.0800018</c:v>
                </c:pt>
                <c:pt idx="3">
                  <c:v>15683274006.260015</c:v>
                </c:pt>
              </c:numCache>
            </c:numRef>
          </c:val>
          <c:extLst>
            <c:ext xmlns:c16="http://schemas.microsoft.com/office/drawing/2014/chart" uri="{C3380CC4-5D6E-409C-BE32-E72D297353CC}">
              <c16:uniqueId val="{00000005-7FC1-4007-8BDE-A8537B1F0E2A}"/>
            </c:ext>
          </c:extLst>
        </c:ser>
        <c:dLbls>
          <c:showLegendKey val="1"/>
          <c:showVal val="1"/>
          <c:showCatName val="1"/>
          <c:showSerName val="1"/>
          <c:showPercent val="1"/>
          <c:showBubbleSize val="0"/>
          <c:showLeaderLines val="0"/>
        </c:dLbls>
      </c:pie3DChart>
      <c:spPr>
        <a:noFill/>
        <a:ln w="25400">
          <a:noFill/>
        </a:ln>
      </c:spPr>
    </c:plotArea>
    <c:legend>
      <c:legendPos val="b"/>
      <c:layout>
        <c:manualLayout>
          <c:xMode val="edge"/>
          <c:yMode val="edge"/>
          <c:wMode val="edge"/>
          <c:hMode val="edge"/>
          <c:x val="0.11392414183521177"/>
          <c:y val="0.79374615210135779"/>
          <c:w val="0.89496989346919864"/>
          <c:h val="0.92195133015780439"/>
        </c:manualLayout>
      </c:layout>
      <c:overlay val="1"/>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006329113924083"/>
          <c:y val="5.7017543859649161E-2"/>
          <c:w val="0.69936708860759489"/>
          <c:h val="0.70614035087719329"/>
        </c:manualLayout>
      </c:layout>
      <c:areaChart>
        <c:grouping val="stacked"/>
        <c:varyColors val="0"/>
        <c:ser>
          <c:idx val="2"/>
          <c:order val="1"/>
          <c:tx>
            <c:strRef>
              <c:f>Sheet1!$C$1</c:f>
              <c:strCache>
                <c:ptCount val="1"/>
                <c:pt idx="0">
                  <c:v>Объем полученных переводов (млрд. тенге)</c:v>
                </c:pt>
              </c:strCache>
            </c:strRef>
          </c:tx>
          <c:spPr>
            <a:solidFill>
              <a:srgbClr val="FFFF00"/>
            </a:solidFill>
            <a:ln w="13020">
              <a:solidFill>
                <a:srgbClr val="000000"/>
              </a:solidFill>
              <a:prstDash val="solid"/>
            </a:ln>
          </c:spPr>
          <c:cat>
            <c:numRef>
              <c:f>Sheet1!$A$2:$A$13</c:f>
              <c:numCache>
                <c:formatCode>mmm\-yy</c:formatCode>
                <c:ptCount val="12"/>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numCache>
            </c:numRef>
          </c:cat>
          <c:val>
            <c:numRef>
              <c:f>Sheet1!$C$2:$C$13</c:f>
              <c:numCache>
                <c:formatCode>General</c:formatCode>
                <c:ptCount val="12"/>
                <c:pt idx="0">
                  <c:v>6.07</c:v>
                </c:pt>
                <c:pt idx="1">
                  <c:v>7.83</c:v>
                </c:pt>
                <c:pt idx="2">
                  <c:v>8.1199999999999992</c:v>
                </c:pt>
                <c:pt idx="3">
                  <c:v>9.5399999999999991</c:v>
                </c:pt>
                <c:pt idx="4">
                  <c:v>9.59</c:v>
                </c:pt>
                <c:pt idx="5">
                  <c:v>10.95</c:v>
                </c:pt>
                <c:pt idx="6">
                  <c:v>13.05</c:v>
                </c:pt>
                <c:pt idx="7">
                  <c:v>12.29</c:v>
                </c:pt>
                <c:pt idx="8">
                  <c:v>13.07</c:v>
                </c:pt>
                <c:pt idx="9">
                  <c:v>12.35</c:v>
                </c:pt>
                <c:pt idx="10">
                  <c:v>8.7200000000000006</c:v>
                </c:pt>
                <c:pt idx="11">
                  <c:v>9.83</c:v>
                </c:pt>
              </c:numCache>
            </c:numRef>
          </c:val>
          <c:extLst>
            <c:ext xmlns:c16="http://schemas.microsoft.com/office/drawing/2014/chart" uri="{C3380CC4-5D6E-409C-BE32-E72D297353CC}">
              <c16:uniqueId val="{00000000-7414-45C6-822E-F83643E61FD4}"/>
            </c:ext>
          </c:extLst>
        </c:ser>
        <c:dLbls>
          <c:showLegendKey val="0"/>
          <c:showVal val="0"/>
          <c:showCatName val="0"/>
          <c:showSerName val="0"/>
          <c:showPercent val="0"/>
          <c:showBubbleSize val="0"/>
        </c:dLbls>
        <c:axId val="154013424"/>
        <c:axId val="1"/>
      </c:areaChart>
      <c:barChart>
        <c:barDir val="col"/>
        <c:grouping val="clustered"/>
        <c:varyColors val="1"/>
        <c:ser>
          <c:idx val="0"/>
          <c:order val="0"/>
          <c:tx>
            <c:strRef>
              <c:f>Sheet1!$B$1</c:f>
              <c:strCache>
                <c:ptCount val="1"/>
                <c:pt idx="0">
                  <c:v>Объем отправленных переводов (млрд. тенге)</c:v>
                </c:pt>
              </c:strCache>
            </c:strRef>
          </c:tx>
          <c:spPr>
            <a:solidFill>
              <a:srgbClr val="A0E0E0"/>
            </a:solidFill>
            <a:ln w="26040">
              <a:solidFill>
                <a:srgbClr val="000080"/>
              </a:solidFill>
              <a:prstDash val="solid"/>
            </a:ln>
          </c:spPr>
          <c:invertIfNegative val="1"/>
          <c:dPt>
            <c:idx val="0"/>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02-7414-45C6-822E-F83643E61FD4}"/>
              </c:ext>
            </c:extLst>
          </c:dPt>
          <c:dPt>
            <c:idx val="1"/>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04-7414-45C6-822E-F83643E61FD4}"/>
              </c:ext>
            </c:extLst>
          </c:dPt>
          <c:dPt>
            <c:idx val="2"/>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06-7414-45C6-822E-F83643E61FD4}"/>
              </c:ext>
            </c:extLst>
          </c:dPt>
          <c:dPt>
            <c:idx val="3"/>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08-7414-45C6-822E-F83643E61FD4}"/>
              </c:ext>
            </c:extLst>
          </c:dPt>
          <c:dPt>
            <c:idx val="4"/>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0A-7414-45C6-822E-F83643E61FD4}"/>
              </c:ext>
            </c:extLst>
          </c:dPt>
          <c:dPt>
            <c:idx val="5"/>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0C-7414-45C6-822E-F83643E61FD4}"/>
              </c:ext>
            </c:extLst>
          </c:dPt>
          <c:dPt>
            <c:idx val="6"/>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0E-7414-45C6-822E-F83643E61FD4}"/>
              </c:ext>
            </c:extLst>
          </c:dPt>
          <c:dPt>
            <c:idx val="7"/>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10-7414-45C6-822E-F83643E61FD4}"/>
              </c:ext>
            </c:extLst>
          </c:dPt>
          <c:dPt>
            <c:idx val="8"/>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12-7414-45C6-822E-F83643E61FD4}"/>
              </c:ext>
            </c:extLst>
          </c:dPt>
          <c:dPt>
            <c:idx val="9"/>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14-7414-45C6-822E-F83643E61FD4}"/>
              </c:ext>
            </c:extLst>
          </c:dPt>
          <c:dPt>
            <c:idx val="10"/>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16-7414-45C6-822E-F83643E61FD4}"/>
              </c:ext>
            </c:extLst>
          </c:dPt>
          <c:dPt>
            <c:idx val="11"/>
            <c:invertIfNegative val="1"/>
            <c:bubble3D val="0"/>
            <c:spPr>
              <a:solidFill>
                <a:srgbClr val="A0E0E0"/>
              </a:solidFill>
              <a:ln w="26040">
                <a:solidFill>
                  <a:srgbClr val="000080"/>
                </a:solidFill>
                <a:prstDash val="solid"/>
              </a:ln>
            </c:spPr>
            <c:extLst>
              <c:ext xmlns:c16="http://schemas.microsoft.com/office/drawing/2014/chart" uri="{C3380CC4-5D6E-409C-BE32-E72D297353CC}">
                <c16:uniqueId val="{00000018-7414-45C6-822E-F83643E61FD4}"/>
              </c:ext>
            </c:extLst>
          </c:dPt>
          <c:cat>
            <c:numRef>
              <c:f>Sheet1!$A$2:$A$13</c:f>
              <c:numCache>
                <c:formatCode>mmm\-yy</c:formatCode>
                <c:ptCount val="12"/>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numCache>
            </c:numRef>
          </c:cat>
          <c:val>
            <c:numRef>
              <c:f>Sheet1!$B$2:$B$13</c:f>
              <c:numCache>
                <c:formatCode>General</c:formatCode>
                <c:ptCount val="12"/>
                <c:pt idx="0">
                  <c:v>13.14</c:v>
                </c:pt>
                <c:pt idx="1">
                  <c:v>14.06</c:v>
                </c:pt>
                <c:pt idx="2">
                  <c:v>17.649999999999999</c:v>
                </c:pt>
                <c:pt idx="3">
                  <c:v>20.63</c:v>
                </c:pt>
                <c:pt idx="4">
                  <c:v>19.98</c:v>
                </c:pt>
                <c:pt idx="5">
                  <c:v>24.36</c:v>
                </c:pt>
                <c:pt idx="6">
                  <c:v>27.08</c:v>
                </c:pt>
                <c:pt idx="7">
                  <c:v>26.81</c:v>
                </c:pt>
                <c:pt idx="8">
                  <c:v>28.29</c:v>
                </c:pt>
                <c:pt idx="9">
                  <c:v>28.15</c:v>
                </c:pt>
                <c:pt idx="10">
                  <c:v>25.36</c:v>
                </c:pt>
                <c:pt idx="11">
                  <c:v>34.840000000000003</c:v>
                </c:pt>
              </c:numCache>
            </c:numRef>
          </c:val>
          <c:extLst>
            <c:ext xmlns:c14="http://schemas.microsoft.com/office/drawing/2007/8/2/chart" uri="{6F2FDCE9-48DA-4B69-8628-5D25D57E5C99}">
              <c14:invertSolidFillFmt>
                <c14:spPr xmlns:c14="http://schemas.microsoft.com/office/drawing/2007/8/2/chart">
                  <a:solidFill>
                    <a:srgbClr val="FFFFFF"/>
                  </a:solidFill>
                  <a:ln w="26040">
                    <a:solidFill>
                      <a:srgbClr val="000080"/>
                    </a:solidFill>
                    <a:prstDash val="solid"/>
                  </a:ln>
                </c14:spPr>
              </c14:invertSolidFillFmt>
            </c:ext>
            <c:ext xmlns:c16="http://schemas.microsoft.com/office/drawing/2014/chart" uri="{C3380CC4-5D6E-409C-BE32-E72D297353CC}">
              <c16:uniqueId val="{00000019-7414-45C6-822E-F83643E61FD4}"/>
            </c:ext>
          </c:extLst>
        </c:ser>
        <c:dLbls>
          <c:showLegendKey val="0"/>
          <c:showVal val="0"/>
          <c:showCatName val="0"/>
          <c:showSerName val="0"/>
          <c:showPercent val="0"/>
          <c:showBubbleSize val="0"/>
        </c:dLbls>
        <c:gapWidth val="150"/>
        <c:axId val="154013424"/>
        <c:axId val="1"/>
      </c:barChart>
      <c:dateAx>
        <c:axId val="154013424"/>
        <c:scaling>
          <c:orientation val="minMax"/>
        </c:scaling>
        <c:delete val="1"/>
        <c:axPos val="b"/>
        <c:numFmt formatCode="mmm\-yy" sourceLinked="1"/>
        <c:majorTickMark val="out"/>
        <c:minorTickMark val="none"/>
        <c:tickLblPos val="nextTo"/>
        <c:crossAx val="1"/>
        <c:crosses val="autoZero"/>
        <c:auto val="1"/>
        <c:lblOffset val="100"/>
        <c:baseTimeUnit val="months"/>
      </c:dateAx>
      <c:valAx>
        <c:axId val="1"/>
        <c:scaling>
          <c:orientation val="minMax"/>
          <c:max val="36"/>
        </c:scaling>
        <c:delete val="1"/>
        <c:axPos val="l"/>
        <c:title>
          <c:tx>
            <c:rich>
              <a:bodyPr/>
              <a:lstStyle/>
              <a:p>
                <a:pPr>
                  <a:defRPr sz="1025" b="0" i="0" u="none" strike="noStrike" baseline="0">
                    <a:solidFill>
                      <a:srgbClr val="000000"/>
                    </a:solidFill>
                    <a:latin typeface="Times New Roman"/>
                    <a:ea typeface="Times New Roman"/>
                    <a:cs typeface="Times New Roman"/>
                  </a:defRPr>
                </a:pPr>
                <a:r>
                  <a:rPr lang="ru-RU" b="0"/>
                  <a:t>млрд. тенге</a:t>
                </a:r>
              </a:p>
            </c:rich>
          </c:tx>
          <c:layout>
            <c:manualLayout>
              <c:xMode val="edge"/>
              <c:yMode val="edge"/>
              <c:x val="0.17104291789915954"/>
              <c:y val="0.27163309383802908"/>
            </c:manualLayout>
          </c:layout>
          <c:overlay val="1"/>
          <c:spPr>
            <a:noFill/>
            <a:ln w="25409">
              <a:noFill/>
            </a:ln>
          </c:spPr>
        </c:title>
        <c:numFmt formatCode="General" sourceLinked="1"/>
        <c:majorTickMark val="out"/>
        <c:minorTickMark val="none"/>
        <c:tickLblPos val="nextTo"/>
        <c:crossAx val="154013424"/>
        <c:crosses val="autoZero"/>
        <c:crossBetween val="between"/>
        <c:majorUnit val="6"/>
        <c:minorUnit val="4"/>
      </c:valAx>
      <c:dTable>
        <c:showHorzBorder val="1"/>
        <c:showVertBorder val="1"/>
        <c:showOutline val="1"/>
        <c:showKeys val="1"/>
        <c:spPr>
          <a:ln w="3255">
            <a:solidFill>
              <a:srgbClr val="000000"/>
            </a:solidFill>
            <a:prstDash val="solid"/>
          </a:ln>
        </c:spPr>
        <c:txPr>
          <a:bodyPr/>
          <a:lstStyle/>
          <a:p>
            <a:pPr>
              <a:defRPr sz="500" b="0" i="0" u="none" strike="noStrike" baseline="0">
                <a:solidFill>
                  <a:srgbClr val="000000"/>
                </a:solidFill>
                <a:latin typeface="Times New Roman"/>
                <a:ea typeface="Times New Roman"/>
                <a:cs typeface="Times New Roman"/>
              </a:defRPr>
            </a:pPr>
            <a:endParaRPr lang="ru-RU"/>
          </a:p>
        </c:txPr>
      </c:dTable>
      <c:spPr>
        <a:noFill/>
        <a:ln w="25409">
          <a:noFill/>
        </a:ln>
      </c:spPr>
    </c:plotArea>
    <c:plotVisOnly val="1"/>
    <c:dispBlanksAs val="gap"/>
    <c:showDLblsOverMax val="1"/>
  </c:chart>
  <c:spPr>
    <a:solidFill>
      <a:srgbClr val="FFFFFF"/>
    </a:solidFill>
    <a:ln>
      <a:noFill/>
    </a:ln>
  </c:spPr>
  <c:txPr>
    <a:bodyPr/>
    <a:lstStyle/>
    <a:p>
      <a:pPr>
        <a:defRPr sz="1025"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2014 г.</c:v>
                </c:pt>
              </c:strCache>
            </c:strRef>
          </c:tx>
          <c:spPr>
            <a:solidFill>
              <a:srgbClr val="FF0000"/>
            </a:solidFill>
            <a:ln w="12695">
              <a:solidFill>
                <a:srgbClr val="FF00FF"/>
              </a:solidFill>
              <a:prstDash val="solid"/>
            </a:ln>
          </c:spPr>
          <c:dPt>
            <c:idx val="0"/>
            <c:bubble3D val="0"/>
            <c:extLst>
              <c:ext xmlns:c16="http://schemas.microsoft.com/office/drawing/2014/chart" uri="{C3380CC4-5D6E-409C-BE32-E72D297353CC}">
                <c16:uniqueId val="{00000000-3A52-4BE3-A812-2370838FCB10}"/>
              </c:ext>
            </c:extLst>
          </c:dPt>
          <c:dPt>
            <c:idx val="1"/>
            <c:bubble3D val="0"/>
            <c:spPr>
              <a:solidFill>
                <a:srgbClr val="FFFF00"/>
              </a:solidFill>
              <a:ln w="12695">
                <a:solidFill>
                  <a:srgbClr val="FF00FF"/>
                </a:solidFill>
                <a:prstDash val="solid"/>
              </a:ln>
            </c:spPr>
            <c:extLst>
              <c:ext xmlns:c16="http://schemas.microsoft.com/office/drawing/2014/chart" uri="{C3380CC4-5D6E-409C-BE32-E72D297353CC}">
                <c16:uniqueId val="{00000001-3A52-4BE3-A812-2370838FCB10}"/>
              </c:ext>
            </c:extLst>
          </c:dPt>
          <c:dPt>
            <c:idx val="2"/>
            <c:bubble3D val="0"/>
            <c:spPr>
              <a:solidFill>
                <a:srgbClr val="339933"/>
              </a:solidFill>
              <a:ln w="12695">
                <a:solidFill>
                  <a:srgbClr val="FF00FF"/>
                </a:solidFill>
                <a:prstDash val="solid"/>
              </a:ln>
            </c:spPr>
            <c:extLst>
              <c:ext xmlns:c16="http://schemas.microsoft.com/office/drawing/2014/chart" uri="{C3380CC4-5D6E-409C-BE32-E72D297353CC}">
                <c16:uniqueId val="{00000002-3A52-4BE3-A812-2370838FCB10}"/>
              </c:ext>
            </c:extLst>
          </c:dPt>
          <c:dPt>
            <c:idx val="3"/>
            <c:bubble3D val="0"/>
            <c:spPr>
              <a:solidFill>
                <a:srgbClr val="FF00FF"/>
              </a:solidFill>
              <a:ln w="12695">
                <a:solidFill>
                  <a:srgbClr val="FF00FF"/>
                </a:solidFill>
                <a:prstDash val="solid"/>
              </a:ln>
            </c:spPr>
            <c:extLst>
              <c:ext xmlns:c16="http://schemas.microsoft.com/office/drawing/2014/chart" uri="{C3380CC4-5D6E-409C-BE32-E72D297353CC}">
                <c16:uniqueId val="{00000003-3A52-4BE3-A812-2370838FCB10}"/>
              </c:ext>
            </c:extLst>
          </c:dPt>
          <c:dPt>
            <c:idx val="4"/>
            <c:bubble3D val="0"/>
            <c:spPr>
              <a:solidFill>
                <a:srgbClr val="00FFFF"/>
              </a:solidFill>
              <a:ln w="12695">
                <a:solidFill>
                  <a:srgbClr val="FF00FF"/>
                </a:solidFill>
                <a:prstDash val="solid"/>
              </a:ln>
            </c:spPr>
            <c:extLst>
              <c:ext xmlns:c16="http://schemas.microsoft.com/office/drawing/2014/chart" uri="{C3380CC4-5D6E-409C-BE32-E72D297353CC}">
                <c16:uniqueId val="{00000004-3A52-4BE3-A812-2370838FCB10}"/>
              </c:ext>
            </c:extLst>
          </c:dPt>
          <c:dPt>
            <c:idx val="5"/>
            <c:bubble3D val="0"/>
            <c:spPr>
              <a:solidFill>
                <a:srgbClr val="600080"/>
              </a:solidFill>
              <a:ln w="12695">
                <a:solidFill>
                  <a:srgbClr val="FF00FF"/>
                </a:solidFill>
                <a:prstDash val="solid"/>
              </a:ln>
            </c:spPr>
            <c:extLst>
              <c:ext xmlns:c16="http://schemas.microsoft.com/office/drawing/2014/chart" uri="{C3380CC4-5D6E-409C-BE32-E72D297353CC}">
                <c16:uniqueId val="{00000005-3A52-4BE3-A812-2370838FCB10}"/>
              </c:ext>
            </c:extLst>
          </c:dPt>
          <c:dPt>
            <c:idx val="6"/>
            <c:bubble3D val="0"/>
            <c:spPr>
              <a:solidFill>
                <a:srgbClr val="A6CAF0"/>
              </a:solidFill>
              <a:ln w="12695">
                <a:solidFill>
                  <a:srgbClr val="FF00FF"/>
                </a:solidFill>
                <a:prstDash val="solid"/>
              </a:ln>
            </c:spPr>
            <c:extLst>
              <c:ext xmlns:c16="http://schemas.microsoft.com/office/drawing/2014/chart" uri="{C3380CC4-5D6E-409C-BE32-E72D297353CC}">
                <c16:uniqueId val="{00000006-3A52-4BE3-A812-2370838FCB10}"/>
              </c:ext>
            </c:extLst>
          </c:dPt>
          <c:dLbls>
            <c:dLbl>
              <c:idx val="1"/>
              <c:layout>
                <c:manualLayout>
                  <c:x val="-0.10887684493983701"/>
                  <c:y val="2.6218372703412082E-2"/>
                </c:manualLayout>
              </c:layout>
              <c:numFmt formatCode="0.0%" sourceLinked="0"/>
              <c:spPr>
                <a:noFill/>
                <a:ln w="25396">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A52-4BE3-A812-2370838FCB10}"/>
                </c:ext>
              </c:extLst>
            </c:dLbl>
            <c:numFmt formatCode="0.0%" sourceLinked="0"/>
            <c:spPr>
              <a:noFill/>
              <a:ln w="25396">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Sheet1!$A$2:$A$8</c:f>
              <c:strCache>
                <c:ptCount val="7"/>
                <c:pt idx="0">
                  <c:v>Золотая корона</c:v>
                </c:pt>
                <c:pt idx="1">
                  <c:v>Western Union</c:v>
                </c:pt>
                <c:pt idx="2">
                  <c:v>Faster</c:v>
                </c:pt>
                <c:pt idx="3">
                  <c:v>Юнистрим</c:v>
                </c:pt>
                <c:pt idx="4">
                  <c:v>Contact</c:v>
                </c:pt>
                <c:pt idx="5">
                  <c:v>Блиц</c:v>
                </c:pt>
                <c:pt idx="6">
                  <c:v>Прочие</c:v>
                </c:pt>
              </c:strCache>
            </c:strRef>
          </c:cat>
          <c:val>
            <c:numRef>
              <c:f>Sheet1!$B$2:$B$8</c:f>
              <c:numCache>
                <c:formatCode>General</c:formatCode>
                <c:ptCount val="7"/>
                <c:pt idx="0">
                  <c:v>618.5</c:v>
                </c:pt>
                <c:pt idx="1">
                  <c:v>350.3</c:v>
                </c:pt>
                <c:pt idx="2">
                  <c:v>269.3</c:v>
                </c:pt>
                <c:pt idx="3">
                  <c:v>226.8</c:v>
                </c:pt>
                <c:pt idx="4">
                  <c:v>163.4</c:v>
                </c:pt>
                <c:pt idx="5">
                  <c:v>102.7</c:v>
                </c:pt>
                <c:pt idx="6">
                  <c:v>138.5</c:v>
                </c:pt>
              </c:numCache>
            </c:numRef>
          </c:val>
          <c:extLst>
            <c:ext xmlns:c16="http://schemas.microsoft.com/office/drawing/2014/chart" uri="{C3380CC4-5D6E-409C-BE32-E72D297353CC}">
              <c16:uniqueId val="{00000007-3A52-4BE3-A812-2370838FCB10}"/>
            </c:ext>
          </c:extLst>
        </c:ser>
        <c:dLbls>
          <c:showLegendKey val="1"/>
          <c:showVal val="1"/>
          <c:showCatName val="1"/>
          <c:showSerName val="1"/>
          <c:showPercent val="1"/>
          <c:showBubbleSize val="0"/>
          <c:showLeaderLines val="0"/>
        </c:dLbls>
      </c:pie3DChart>
      <c:spPr>
        <a:noFill/>
        <a:ln w="25396">
          <a:noFill/>
        </a:ln>
      </c:spPr>
    </c:plotArea>
    <c:legend>
      <c:legendPos val="b"/>
      <c:layout>
        <c:manualLayout>
          <c:xMode val="edge"/>
          <c:yMode val="edge"/>
          <c:wMode val="edge"/>
          <c:hMode val="edge"/>
          <c:x val="4.3188359844281203E-2"/>
          <c:y val="0.72209187755273907"/>
          <c:w val="0.99285278937448251"/>
          <c:h val="0.94312799135402192"/>
        </c:manualLayout>
      </c:layout>
      <c:overlay val="1"/>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7">
              <a:solidFill>
                <a:srgbClr val="FF00FF"/>
              </a:solidFill>
              <a:prstDash val="solid"/>
            </a:ln>
          </c:spPr>
          <c:dPt>
            <c:idx val="0"/>
            <c:bubble3D val="0"/>
            <c:extLst>
              <c:ext xmlns:c16="http://schemas.microsoft.com/office/drawing/2014/chart" uri="{C3380CC4-5D6E-409C-BE32-E72D297353CC}">
                <c16:uniqueId val="{00000000-385B-4E0F-8C5F-26DAAEBF3A87}"/>
              </c:ext>
            </c:extLst>
          </c:dPt>
          <c:dPt>
            <c:idx val="1"/>
            <c:bubble3D val="0"/>
            <c:spPr>
              <a:solidFill>
                <a:srgbClr val="FFFF00"/>
              </a:solidFill>
              <a:ln w="12697">
                <a:solidFill>
                  <a:srgbClr val="FF00FF"/>
                </a:solidFill>
                <a:prstDash val="solid"/>
              </a:ln>
            </c:spPr>
            <c:extLst>
              <c:ext xmlns:c16="http://schemas.microsoft.com/office/drawing/2014/chart" uri="{C3380CC4-5D6E-409C-BE32-E72D297353CC}">
                <c16:uniqueId val="{00000001-385B-4E0F-8C5F-26DAAEBF3A87}"/>
              </c:ext>
            </c:extLst>
          </c:dPt>
          <c:dPt>
            <c:idx val="2"/>
            <c:bubble3D val="0"/>
            <c:spPr>
              <a:solidFill>
                <a:srgbClr val="339933"/>
              </a:solidFill>
              <a:ln w="12697">
                <a:solidFill>
                  <a:srgbClr val="FF00FF"/>
                </a:solidFill>
                <a:prstDash val="solid"/>
              </a:ln>
            </c:spPr>
            <c:extLst>
              <c:ext xmlns:c16="http://schemas.microsoft.com/office/drawing/2014/chart" uri="{C3380CC4-5D6E-409C-BE32-E72D297353CC}">
                <c16:uniqueId val="{00000002-385B-4E0F-8C5F-26DAAEBF3A87}"/>
              </c:ext>
            </c:extLst>
          </c:dPt>
          <c:dPt>
            <c:idx val="3"/>
            <c:bubble3D val="0"/>
            <c:spPr>
              <a:solidFill>
                <a:srgbClr val="FF00FF"/>
              </a:solidFill>
              <a:ln w="12697">
                <a:solidFill>
                  <a:srgbClr val="FF00FF"/>
                </a:solidFill>
                <a:prstDash val="solid"/>
              </a:ln>
            </c:spPr>
            <c:extLst>
              <c:ext xmlns:c16="http://schemas.microsoft.com/office/drawing/2014/chart" uri="{C3380CC4-5D6E-409C-BE32-E72D297353CC}">
                <c16:uniqueId val="{00000003-385B-4E0F-8C5F-26DAAEBF3A87}"/>
              </c:ext>
            </c:extLst>
          </c:dPt>
          <c:dPt>
            <c:idx val="4"/>
            <c:bubble3D val="0"/>
            <c:spPr>
              <a:solidFill>
                <a:srgbClr val="00FFFF"/>
              </a:solidFill>
              <a:ln w="12697">
                <a:solidFill>
                  <a:srgbClr val="FF00FF"/>
                </a:solidFill>
                <a:prstDash val="solid"/>
              </a:ln>
            </c:spPr>
            <c:extLst>
              <c:ext xmlns:c16="http://schemas.microsoft.com/office/drawing/2014/chart" uri="{C3380CC4-5D6E-409C-BE32-E72D297353CC}">
                <c16:uniqueId val="{00000004-385B-4E0F-8C5F-26DAAEBF3A87}"/>
              </c:ext>
            </c:extLst>
          </c:dPt>
          <c:dPt>
            <c:idx val="5"/>
            <c:bubble3D val="0"/>
            <c:spPr>
              <a:solidFill>
                <a:srgbClr val="600080"/>
              </a:solidFill>
              <a:ln w="12697">
                <a:solidFill>
                  <a:srgbClr val="FF00FF"/>
                </a:solidFill>
                <a:prstDash val="solid"/>
              </a:ln>
            </c:spPr>
            <c:extLst>
              <c:ext xmlns:c16="http://schemas.microsoft.com/office/drawing/2014/chart" uri="{C3380CC4-5D6E-409C-BE32-E72D297353CC}">
                <c16:uniqueId val="{00000005-385B-4E0F-8C5F-26DAAEBF3A87}"/>
              </c:ext>
            </c:extLst>
          </c:dPt>
          <c:dPt>
            <c:idx val="6"/>
            <c:bubble3D val="0"/>
            <c:spPr>
              <a:solidFill>
                <a:srgbClr val="A6CAF0"/>
              </a:solidFill>
              <a:ln w="12697">
                <a:solidFill>
                  <a:srgbClr val="FF00FF"/>
                </a:solidFill>
                <a:prstDash val="solid"/>
              </a:ln>
            </c:spPr>
            <c:extLst>
              <c:ext xmlns:c16="http://schemas.microsoft.com/office/drawing/2014/chart" uri="{C3380CC4-5D6E-409C-BE32-E72D297353CC}">
                <c16:uniqueId val="{00000006-385B-4E0F-8C5F-26DAAEBF3A87}"/>
              </c:ext>
            </c:extLst>
          </c:dPt>
          <c:dLbls>
            <c:dLbl>
              <c:idx val="1"/>
              <c:layout>
                <c:manualLayout>
                  <c:x val="-0.13829498585404104"/>
                  <c:y val="4.0040935250066224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5B-4E0F-8C5F-26DAAEBF3A87}"/>
                </c:ext>
              </c:extLst>
            </c:dLbl>
            <c:dLbl>
              <c:idx val="6"/>
              <c:layout>
                <c:manualLayout>
                  <c:x val="0.13856188430991581"/>
                  <c:y val="-8.0484514435695501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385B-4E0F-8C5F-26DAAEBF3A87}"/>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Sheet1!$A$2:$A$8</c:f>
              <c:strCache>
                <c:ptCount val="7"/>
                <c:pt idx="0">
                  <c:v>Золотая корона</c:v>
                </c:pt>
                <c:pt idx="1">
                  <c:v>Western Union</c:v>
                </c:pt>
                <c:pt idx="2">
                  <c:v>Contact</c:v>
                </c:pt>
                <c:pt idx="3">
                  <c:v>Юнистрим</c:v>
                </c:pt>
                <c:pt idx="4">
                  <c:v>Faster</c:v>
                </c:pt>
                <c:pt idx="5">
                  <c:v>Блиц</c:v>
                </c:pt>
                <c:pt idx="6">
                  <c:v>Прочие</c:v>
                </c:pt>
              </c:strCache>
            </c:strRef>
          </c:cat>
          <c:val>
            <c:numRef>
              <c:f>Sheet1!$B$2:$B$8</c:f>
              <c:numCache>
                <c:formatCode>#,##0.00</c:formatCode>
                <c:ptCount val="7"/>
                <c:pt idx="0">
                  <c:v>79289.2</c:v>
                </c:pt>
                <c:pt idx="1">
                  <c:v>70567.600000000006</c:v>
                </c:pt>
                <c:pt idx="2">
                  <c:v>35324.199999999997</c:v>
                </c:pt>
                <c:pt idx="3">
                  <c:v>34489.4</c:v>
                </c:pt>
                <c:pt idx="4">
                  <c:v>28254.7</c:v>
                </c:pt>
                <c:pt idx="5">
                  <c:v>11668.1</c:v>
                </c:pt>
                <c:pt idx="6">
                  <c:v>20762.400000000001</c:v>
                </c:pt>
              </c:numCache>
            </c:numRef>
          </c:val>
          <c:extLst>
            <c:ext xmlns:c16="http://schemas.microsoft.com/office/drawing/2014/chart" uri="{C3380CC4-5D6E-409C-BE32-E72D297353CC}">
              <c16:uniqueId val="{00000007-385B-4E0F-8C5F-26DAAEBF3A87}"/>
            </c:ext>
          </c:extLst>
        </c:ser>
        <c:dLbls>
          <c:showLegendKey val="1"/>
          <c:showVal val="1"/>
          <c:showCatName val="1"/>
          <c:showSerName val="1"/>
          <c:showPercent val="1"/>
          <c:showBubbleSize val="0"/>
          <c:showLeaderLines val="0"/>
        </c:dLbls>
      </c:pie3DChart>
      <c:spPr>
        <a:noFill/>
        <a:ln w="25399">
          <a:noFill/>
        </a:ln>
      </c:spPr>
    </c:plotArea>
    <c:legend>
      <c:legendPos val="b"/>
      <c:layout>
        <c:manualLayout>
          <c:xMode val="edge"/>
          <c:yMode val="edge"/>
          <c:wMode val="edge"/>
          <c:hMode val="edge"/>
          <c:x val="2.1543448008596242E-2"/>
          <c:y val="0.71237762805422511"/>
          <c:w val="0.97120787753879756"/>
          <c:h val="0.93883810915388144"/>
        </c:manualLayout>
      </c:layout>
      <c:overlay val="1"/>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rAngAx val="0"/>
    </c:view3D>
    <c:floor>
      <c:thickness val="0"/>
    </c:floor>
    <c:sideWall>
      <c:thickness val="0"/>
    </c:sideWall>
    <c:backWall>
      <c:thickness val="0"/>
    </c:backWall>
    <c:plotArea>
      <c:layout>
        <c:manualLayout>
          <c:layoutTarget val="inner"/>
          <c:xMode val="edge"/>
          <c:yMode val="edge"/>
          <c:x val="0.19640072683222295"/>
          <c:y val="4.8418812513300723E-3"/>
          <c:w val="0.66628257621643461"/>
          <c:h val="0.90146442505497626"/>
        </c:manualLayout>
      </c:layout>
      <c:pie3DChart>
        <c:varyColors val="1"/>
        <c:ser>
          <c:idx val="1"/>
          <c:order val="0"/>
          <c:tx>
            <c:strRef>
              <c:f>Sheet1!$B$1</c:f>
              <c:strCache>
                <c:ptCount val="1"/>
                <c:pt idx="0">
                  <c:v>2014</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8DD5-458A-AB9F-691000A10897}"/>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8DD5-458A-AB9F-691000A10897}"/>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8DD5-458A-AB9F-691000A10897}"/>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8DD5-458A-AB9F-691000A10897}"/>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8DD5-458A-AB9F-691000A10897}"/>
              </c:ext>
            </c:extLst>
          </c:dPt>
          <c:dLbls>
            <c:dLbl>
              <c:idx val="0"/>
              <c:layout>
                <c:manualLayout>
                  <c:x val="-0.18427151221481924"/>
                  <c:y val="-0.15478470596580834"/>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DD5-458A-AB9F-691000A10897}"/>
                </c:ext>
              </c:extLst>
            </c:dLbl>
            <c:dLbl>
              <c:idx val="1"/>
              <c:layout>
                <c:manualLayout>
                  <c:x val="9.6538986472844743E-2"/>
                  <c:y val="-1.23305667872597E-2"/>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D5-458A-AB9F-691000A10897}"/>
                </c:ext>
              </c:extLst>
            </c:dLbl>
            <c:dLbl>
              <c:idx val="4"/>
              <c:layout>
                <c:manualLayout>
                  <c:x val="1.6117908338380785E-2"/>
                  <c:y val="-0.11595431652124559"/>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DD5-458A-AB9F-691000A10897}"/>
                </c:ext>
              </c:extLst>
            </c:dLbl>
            <c:dLbl>
              <c:idx val="5"/>
              <c:layout>
                <c:manualLayout>
                  <c:x val="0.1319566701561149"/>
                  <c:y val="-8.7849613392920495E-2"/>
                </c:manualLayout>
              </c:layout>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DD5-458A-AB9F-691000A10897}"/>
                </c:ext>
              </c:extLst>
            </c:dLbl>
            <c:numFmt formatCode="0.0%" sourceLinked="0"/>
            <c:spPr>
              <a:noFill/>
              <a:ln w="25400">
                <a:noFill/>
              </a:ln>
            </c:spPr>
            <c:txPr>
              <a:bodyPr/>
              <a:lstStyle/>
              <a:p>
                <a:pPr>
                  <a:defRPr sz="1100" b="0"/>
                </a:pPr>
                <a:endParaRPr lang="ru-RU"/>
              </a:p>
            </c:txPr>
            <c:showLegendKey val="1"/>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Российская Федерация</c:v>
                </c:pt>
                <c:pt idx="1">
                  <c:v>Узбекистан</c:v>
                </c:pt>
                <c:pt idx="2">
                  <c:v>Китай</c:v>
                </c:pt>
                <c:pt idx="3">
                  <c:v>Кыргызстан</c:v>
                </c:pt>
                <c:pt idx="4">
                  <c:v>Прочие</c:v>
                </c:pt>
              </c:strCache>
            </c:strRef>
          </c:cat>
          <c:val>
            <c:numRef>
              <c:f>Sheet1!$B$2:$B$6</c:f>
              <c:numCache>
                <c:formatCode>_-* #\ ##0.00_р_._-;\-* #\ ##0.00_р_._-;_-* "-"??_р_._-;_-@_-</c:formatCode>
                <c:ptCount val="5"/>
                <c:pt idx="0">
                  <c:v>107760610982.35971</c:v>
                </c:pt>
                <c:pt idx="1">
                  <c:v>54946799006.12001</c:v>
                </c:pt>
                <c:pt idx="2">
                  <c:v>27878504622.120041</c:v>
                </c:pt>
                <c:pt idx="3">
                  <c:v>19817819300.460003</c:v>
                </c:pt>
                <c:pt idx="4">
                  <c:v>65131929196.860031</c:v>
                </c:pt>
              </c:numCache>
            </c:numRef>
          </c:val>
          <c:extLst>
            <c:ext xmlns:c16="http://schemas.microsoft.com/office/drawing/2014/chart" uri="{C3380CC4-5D6E-409C-BE32-E72D297353CC}">
              <c16:uniqueId val="{00000006-8DD5-458A-AB9F-691000A10897}"/>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wMode val="edge"/>
          <c:hMode val="edge"/>
          <c:x val="0.1018397700287464"/>
          <c:y val="0.72185146667987266"/>
          <c:w val="0.91384608173978243"/>
          <c:h val="0.97004044305782544"/>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23397435897435898"/>
          <c:y val="0.16"/>
          <c:w val="0.63461538461538503"/>
          <c:h val="0.45142857142857157"/>
        </c:manualLayout>
      </c:layout>
      <c:pie3DChart>
        <c:varyColors val="1"/>
        <c:ser>
          <c:idx val="1"/>
          <c:order val="0"/>
          <c:tx>
            <c:strRef>
              <c:f>Sheet1!$B$1</c:f>
              <c:strCache>
                <c:ptCount val="1"/>
                <c:pt idx="0">
                  <c:v>2014 г.</c:v>
                </c:pt>
              </c:strCache>
            </c:strRef>
          </c:tx>
          <c:spPr>
            <a:solidFill>
              <a:srgbClr val="FF0000"/>
            </a:solidFill>
            <a:ln w="12690">
              <a:solidFill>
                <a:srgbClr val="FF00FF"/>
              </a:solidFill>
              <a:prstDash val="solid"/>
            </a:ln>
          </c:spPr>
          <c:dPt>
            <c:idx val="0"/>
            <c:bubble3D val="0"/>
            <c:extLst>
              <c:ext xmlns:c16="http://schemas.microsoft.com/office/drawing/2014/chart" uri="{C3380CC4-5D6E-409C-BE32-E72D297353CC}">
                <c16:uniqueId val="{00000000-03A2-47EE-81F0-AF73D707208F}"/>
              </c:ext>
            </c:extLst>
          </c:dPt>
          <c:dPt>
            <c:idx val="1"/>
            <c:bubble3D val="0"/>
            <c:spPr>
              <a:solidFill>
                <a:srgbClr val="FFFF00"/>
              </a:solidFill>
              <a:ln w="12690">
                <a:solidFill>
                  <a:srgbClr val="FF00FF"/>
                </a:solidFill>
                <a:prstDash val="solid"/>
              </a:ln>
            </c:spPr>
            <c:extLst>
              <c:ext xmlns:c16="http://schemas.microsoft.com/office/drawing/2014/chart" uri="{C3380CC4-5D6E-409C-BE32-E72D297353CC}">
                <c16:uniqueId val="{00000001-03A2-47EE-81F0-AF73D707208F}"/>
              </c:ext>
            </c:extLst>
          </c:dPt>
          <c:dPt>
            <c:idx val="2"/>
            <c:bubble3D val="0"/>
            <c:spPr>
              <a:solidFill>
                <a:srgbClr val="339933"/>
              </a:solidFill>
              <a:ln w="12690">
                <a:solidFill>
                  <a:srgbClr val="FF00FF"/>
                </a:solidFill>
                <a:prstDash val="solid"/>
              </a:ln>
            </c:spPr>
            <c:extLst>
              <c:ext xmlns:c16="http://schemas.microsoft.com/office/drawing/2014/chart" uri="{C3380CC4-5D6E-409C-BE32-E72D297353CC}">
                <c16:uniqueId val="{00000002-03A2-47EE-81F0-AF73D707208F}"/>
              </c:ext>
            </c:extLst>
          </c:dPt>
          <c:dPt>
            <c:idx val="3"/>
            <c:bubble3D val="0"/>
            <c:spPr>
              <a:solidFill>
                <a:srgbClr val="FF00FF"/>
              </a:solidFill>
              <a:ln w="12690">
                <a:solidFill>
                  <a:srgbClr val="FF00FF"/>
                </a:solidFill>
                <a:prstDash val="solid"/>
              </a:ln>
            </c:spPr>
            <c:extLst>
              <c:ext xmlns:c16="http://schemas.microsoft.com/office/drawing/2014/chart" uri="{C3380CC4-5D6E-409C-BE32-E72D297353CC}">
                <c16:uniqueId val="{00000003-03A2-47EE-81F0-AF73D707208F}"/>
              </c:ext>
            </c:extLst>
          </c:dPt>
          <c:dPt>
            <c:idx val="4"/>
            <c:bubble3D val="0"/>
            <c:spPr>
              <a:solidFill>
                <a:srgbClr val="00FFFF"/>
              </a:solidFill>
              <a:ln w="12690">
                <a:solidFill>
                  <a:srgbClr val="FF00FF"/>
                </a:solidFill>
                <a:prstDash val="solid"/>
              </a:ln>
            </c:spPr>
            <c:extLst>
              <c:ext xmlns:c16="http://schemas.microsoft.com/office/drawing/2014/chart" uri="{C3380CC4-5D6E-409C-BE32-E72D297353CC}">
                <c16:uniqueId val="{00000004-03A2-47EE-81F0-AF73D707208F}"/>
              </c:ext>
            </c:extLst>
          </c:dPt>
          <c:dLbls>
            <c:dLbl>
              <c:idx val="0"/>
              <c:numFmt formatCode="0.0%" sourceLinked="0"/>
              <c:spPr>
                <a:noFill/>
                <a:ln w="25387">
                  <a:noFill/>
                </a:ln>
              </c:spPr>
              <c:txPr>
                <a:bodyPr/>
                <a:lstStyle/>
                <a:p>
                  <a:pPr>
                    <a:defRPr sz="1099"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3A2-47EE-81F0-AF73D707208F}"/>
                </c:ext>
              </c:extLst>
            </c:dLbl>
            <c:dLbl>
              <c:idx val="2"/>
              <c:layout>
                <c:manualLayout>
                  <c:x val="-0.109147847284261"/>
                  <c:y val="2.075850610416817E-2"/>
                </c:manualLayout>
              </c:layout>
              <c:numFmt formatCode="0.0%" sourceLinked="0"/>
              <c:spPr>
                <a:noFill/>
                <a:ln w="25387">
                  <a:noFill/>
                </a:ln>
              </c:spPr>
              <c:txPr>
                <a:bodyPr/>
                <a:lstStyle/>
                <a:p>
                  <a:pPr>
                    <a:defRPr sz="1099" b="0" i="0" u="none" strike="noStrike" baseline="0">
                      <a:solidFill>
                        <a:srgbClr val="000000"/>
                      </a:solidFill>
                      <a:latin typeface="Times New Roman"/>
                      <a:ea typeface="Times New Roman"/>
                      <a:cs typeface="Times New Roman"/>
                    </a:defRPr>
                  </a:pPr>
                  <a:endParaRPr lang="ru-RU"/>
                </a:p>
              </c:txPr>
              <c:dLblPos val="bestFit"/>
              <c:showLegendKey val="1"/>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3A2-47EE-81F0-AF73D707208F}"/>
                </c:ext>
              </c:extLst>
            </c:dLbl>
            <c:numFmt formatCode="0.0%" sourceLinked="0"/>
            <c:spPr>
              <a:noFill/>
              <a:ln w="25387">
                <a:noFill/>
              </a:ln>
            </c:spPr>
            <c:txPr>
              <a:bodyPr wrap="square" lIns="38100" tIns="19050" rIns="38100" bIns="19050" anchor="ctr">
                <a:spAutoFit/>
              </a:bodyPr>
              <a:lstStyle/>
              <a:p>
                <a:pPr>
                  <a:defRPr sz="1099"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Sheet1!$A$2:$A$6</c:f>
              <c:strCache>
                <c:ptCount val="5"/>
                <c:pt idx="0">
                  <c:v>Российская Федерация</c:v>
                </c:pt>
                <c:pt idx="1">
                  <c:v>Узбекистан</c:v>
                </c:pt>
                <c:pt idx="2">
                  <c:v>Индия</c:v>
                </c:pt>
                <c:pt idx="3">
                  <c:v>Китай</c:v>
                </c:pt>
                <c:pt idx="4">
                  <c:v>Прочие</c:v>
                </c:pt>
              </c:strCache>
            </c:strRef>
          </c:cat>
          <c:val>
            <c:numRef>
              <c:f>Sheet1!$B$2:$B$6</c:f>
              <c:numCache>
                <c:formatCode>#,##0.00</c:formatCode>
                <c:ptCount val="5"/>
                <c:pt idx="0">
                  <c:v>658513677.85000002</c:v>
                </c:pt>
                <c:pt idx="1">
                  <c:v>609094010.26999998</c:v>
                </c:pt>
                <c:pt idx="2">
                  <c:v>593351908.96000004</c:v>
                </c:pt>
                <c:pt idx="3">
                  <c:v>384660219.50999999</c:v>
                </c:pt>
                <c:pt idx="4">
                  <c:v>1049063648.5</c:v>
                </c:pt>
              </c:numCache>
            </c:numRef>
          </c:val>
          <c:extLst>
            <c:ext xmlns:c16="http://schemas.microsoft.com/office/drawing/2014/chart" uri="{C3380CC4-5D6E-409C-BE32-E72D297353CC}">
              <c16:uniqueId val="{00000005-03A2-47EE-81F0-AF73D707208F}"/>
            </c:ext>
          </c:extLst>
        </c:ser>
        <c:dLbls>
          <c:showLegendKey val="1"/>
          <c:showVal val="1"/>
          <c:showCatName val="1"/>
          <c:showSerName val="1"/>
          <c:showPercent val="1"/>
          <c:showBubbleSize val="0"/>
          <c:showLeaderLines val="0"/>
        </c:dLbls>
      </c:pie3DChart>
      <c:spPr>
        <a:noFill/>
        <a:ln w="25387">
          <a:noFill/>
        </a:ln>
      </c:spPr>
    </c:plotArea>
    <c:legend>
      <c:legendPos val="b"/>
      <c:layout>
        <c:manualLayout>
          <c:xMode val="edge"/>
          <c:yMode val="edge"/>
          <c:wMode val="edge"/>
          <c:hMode val="edge"/>
          <c:x val="0.25089814992638115"/>
          <c:y val="0.77915253381788807"/>
          <c:w val="0.92260333311994536"/>
          <c:h val="0.96941903896628301"/>
        </c:manualLayout>
      </c:layout>
      <c:overlay val="1"/>
      <c:spPr>
        <a:noFill/>
        <a:ln w="3172">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2014 г.</c:v>
                </c:pt>
              </c:strCache>
            </c:strRef>
          </c:tx>
          <c:spPr>
            <a:solidFill>
              <a:srgbClr val="FF0000"/>
            </a:solidFill>
            <a:ln w="12698">
              <a:solidFill>
                <a:srgbClr val="FF00FF"/>
              </a:solidFill>
              <a:prstDash val="solid"/>
            </a:ln>
          </c:spPr>
          <c:dPt>
            <c:idx val="0"/>
            <c:bubble3D val="0"/>
            <c:extLst>
              <c:ext xmlns:c16="http://schemas.microsoft.com/office/drawing/2014/chart" uri="{C3380CC4-5D6E-409C-BE32-E72D297353CC}">
                <c16:uniqueId val="{00000000-AA7B-4573-A26F-95DA21BDFAE3}"/>
              </c:ext>
            </c:extLst>
          </c:dPt>
          <c:dPt>
            <c:idx val="1"/>
            <c:bubble3D val="0"/>
            <c:spPr>
              <a:solidFill>
                <a:srgbClr val="FFFF00"/>
              </a:solidFill>
              <a:ln w="12698">
                <a:solidFill>
                  <a:srgbClr val="FF00FF"/>
                </a:solidFill>
                <a:prstDash val="solid"/>
              </a:ln>
            </c:spPr>
            <c:extLst>
              <c:ext xmlns:c16="http://schemas.microsoft.com/office/drawing/2014/chart" uri="{C3380CC4-5D6E-409C-BE32-E72D297353CC}">
                <c16:uniqueId val="{00000001-AA7B-4573-A26F-95DA21BDFAE3}"/>
              </c:ext>
            </c:extLst>
          </c:dPt>
          <c:dPt>
            <c:idx val="2"/>
            <c:bubble3D val="0"/>
            <c:spPr>
              <a:solidFill>
                <a:srgbClr val="339933"/>
              </a:solidFill>
              <a:ln w="12698">
                <a:solidFill>
                  <a:srgbClr val="FF00FF"/>
                </a:solidFill>
                <a:prstDash val="solid"/>
              </a:ln>
            </c:spPr>
            <c:extLst>
              <c:ext xmlns:c16="http://schemas.microsoft.com/office/drawing/2014/chart" uri="{C3380CC4-5D6E-409C-BE32-E72D297353CC}">
                <c16:uniqueId val="{00000002-AA7B-4573-A26F-95DA21BDFAE3}"/>
              </c:ext>
            </c:extLst>
          </c:dPt>
          <c:dPt>
            <c:idx val="3"/>
            <c:bubble3D val="0"/>
            <c:spPr>
              <a:solidFill>
                <a:srgbClr val="FF00FF"/>
              </a:solidFill>
              <a:ln w="12698">
                <a:solidFill>
                  <a:srgbClr val="FF00FF"/>
                </a:solidFill>
                <a:prstDash val="solid"/>
              </a:ln>
            </c:spPr>
            <c:extLst>
              <c:ext xmlns:c16="http://schemas.microsoft.com/office/drawing/2014/chart" uri="{C3380CC4-5D6E-409C-BE32-E72D297353CC}">
                <c16:uniqueId val="{00000003-AA7B-4573-A26F-95DA21BDFAE3}"/>
              </c:ext>
            </c:extLst>
          </c:dPt>
          <c:dPt>
            <c:idx val="4"/>
            <c:bubble3D val="0"/>
            <c:spPr>
              <a:solidFill>
                <a:srgbClr val="00FFFF"/>
              </a:solidFill>
              <a:ln w="12698">
                <a:solidFill>
                  <a:srgbClr val="FF00FF"/>
                </a:solidFill>
                <a:prstDash val="solid"/>
              </a:ln>
            </c:spPr>
            <c:extLst>
              <c:ext xmlns:c16="http://schemas.microsoft.com/office/drawing/2014/chart" uri="{C3380CC4-5D6E-409C-BE32-E72D297353CC}">
                <c16:uniqueId val="{00000004-AA7B-4573-A26F-95DA21BDFAE3}"/>
              </c:ext>
            </c:extLst>
          </c:dPt>
          <c:dLbls>
            <c:numFmt formatCode="0.0%" sourceLinked="0"/>
            <c:spPr>
              <a:noFill/>
              <a:ln w="25401">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Sheet1!$A$2:$A$6</c:f>
              <c:strCache>
                <c:ptCount val="5"/>
                <c:pt idx="0">
                  <c:v>Золотая корона</c:v>
                </c:pt>
                <c:pt idx="1">
                  <c:v>Western Union</c:v>
                </c:pt>
                <c:pt idx="2">
                  <c:v>Faster</c:v>
                </c:pt>
                <c:pt idx="3">
                  <c:v>Юнистрим</c:v>
                </c:pt>
                <c:pt idx="4">
                  <c:v>Прочие</c:v>
                </c:pt>
              </c:strCache>
            </c:strRef>
          </c:cat>
          <c:val>
            <c:numRef>
              <c:f>Sheet1!$B$2:$B$6</c:f>
              <c:numCache>
                <c:formatCode>#,##0.00</c:formatCode>
                <c:ptCount val="5"/>
                <c:pt idx="0">
                  <c:v>312424</c:v>
                </c:pt>
                <c:pt idx="1">
                  <c:v>217887</c:v>
                </c:pt>
                <c:pt idx="2">
                  <c:v>100106</c:v>
                </c:pt>
                <c:pt idx="3">
                  <c:v>60213</c:v>
                </c:pt>
                <c:pt idx="4">
                  <c:v>257647</c:v>
                </c:pt>
              </c:numCache>
            </c:numRef>
          </c:val>
          <c:extLst>
            <c:ext xmlns:c16="http://schemas.microsoft.com/office/drawing/2014/chart" uri="{C3380CC4-5D6E-409C-BE32-E72D297353CC}">
              <c16:uniqueId val="{00000005-AA7B-4573-A26F-95DA21BDFAE3}"/>
            </c:ext>
          </c:extLst>
        </c:ser>
        <c:dLbls>
          <c:showLegendKey val="1"/>
          <c:showVal val="1"/>
          <c:showCatName val="1"/>
          <c:showSerName val="1"/>
          <c:showPercent val="1"/>
          <c:showBubbleSize val="0"/>
          <c:showLeaderLines val="0"/>
        </c:dLbls>
      </c:pie3DChart>
      <c:spPr>
        <a:noFill/>
        <a:ln w="25401">
          <a:noFill/>
        </a:ln>
      </c:spPr>
    </c:plotArea>
    <c:legend>
      <c:legendPos val="b"/>
      <c:layout>
        <c:manualLayout>
          <c:xMode val="edge"/>
          <c:yMode val="edge"/>
          <c:wMode val="edge"/>
          <c:hMode val="edge"/>
          <c:x val="4.3188359844281203E-2"/>
          <c:y val="0.74736842105263157"/>
          <c:w val="0.99285278937448251"/>
          <c:h val="0.94"/>
        </c:manualLayout>
      </c:layout>
      <c:overlay val="1"/>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0.18791946308724855"/>
          <c:y val="0.16842105263157892"/>
          <c:w val="0.72483221476510062"/>
          <c:h val="0.45263157894736844"/>
        </c:manualLayout>
      </c:layout>
      <c:pie3DChart>
        <c:varyColors val="1"/>
        <c:ser>
          <c:idx val="1"/>
          <c:order val="0"/>
          <c:tx>
            <c:strRef>
              <c:f>Sheet1!$B$1</c:f>
              <c:strCache>
                <c:ptCount val="1"/>
                <c:pt idx="0">
                  <c:v>2014 г.</c:v>
                </c:pt>
              </c:strCache>
            </c:strRef>
          </c:tx>
          <c:spPr>
            <a:solidFill>
              <a:srgbClr val="FF0000"/>
            </a:solidFill>
            <a:ln w="12698">
              <a:solidFill>
                <a:srgbClr val="FF00FF"/>
              </a:solidFill>
              <a:prstDash val="solid"/>
            </a:ln>
          </c:spPr>
          <c:dPt>
            <c:idx val="0"/>
            <c:bubble3D val="0"/>
            <c:extLst>
              <c:ext xmlns:c16="http://schemas.microsoft.com/office/drawing/2014/chart" uri="{C3380CC4-5D6E-409C-BE32-E72D297353CC}">
                <c16:uniqueId val="{00000000-DE40-443F-8AF2-C4E2E7EB5B48}"/>
              </c:ext>
            </c:extLst>
          </c:dPt>
          <c:dPt>
            <c:idx val="1"/>
            <c:bubble3D val="0"/>
            <c:spPr>
              <a:solidFill>
                <a:srgbClr val="FFFF00"/>
              </a:solidFill>
              <a:ln w="12698">
                <a:solidFill>
                  <a:srgbClr val="FF00FF"/>
                </a:solidFill>
                <a:prstDash val="solid"/>
              </a:ln>
            </c:spPr>
            <c:extLst>
              <c:ext xmlns:c16="http://schemas.microsoft.com/office/drawing/2014/chart" uri="{C3380CC4-5D6E-409C-BE32-E72D297353CC}">
                <c16:uniqueId val="{00000001-DE40-443F-8AF2-C4E2E7EB5B48}"/>
              </c:ext>
            </c:extLst>
          </c:dPt>
          <c:dPt>
            <c:idx val="2"/>
            <c:bubble3D val="0"/>
            <c:spPr>
              <a:solidFill>
                <a:srgbClr val="339933"/>
              </a:solidFill>
              <a:ln w="12698">
                <a:solidFill>
                  <a:srgbClr val="FF00FF"/>
                </a:solidFill>
                <a:prstDash val="solid"/>
              </a:ln>
            </c:spPr>
            <c:extLst>
              <c:ext xmlns:c16="http://schemas.microsoft.com/office/drawing/2014/chart" uri="{C3380CC4-5D6E-409C-BE32-E72D297353CC}">
                <c16:uniqueId val="{00000002-DE40-443F-8AF2-C4E2E7EB5B48}"/>
              </c:ext>
            </c:extLst>
          </c:dPt>
          <c:dPt>
            <c:idx val="3"/>
            <c:bubble3D val="0"/>
            <c:spPr>
              <a:solidFill>
                <a:srgbClr val="FF00FF"/>
              </a:solidFill>
              <a:ln w="12698">
                <a:solidFill>
                  <a:srgbClr val="FF00FF"/>
                </a:solidFill>
                <a:prstDash val="solid"/>
              </a:ln>
            </c:spPr>
            <c:extLst>
              <c:ext xmlns:c16="http://schemas.microsoft.com/office/drawing/2014/chart" uri="{C3380CC4-5D6E-409C-BE32-E72D297353CC}">
                <c16:uniqueId val="{00000003-DE40-443F-8AF2-C4E2E7EB5B48}"/>
              </c:ext>
            </c:extLst>
          </c:dPt>
          <c:dPt>
            <c:idx val="4"/>
            <c:bubble3D val="0"/>
            <c:spPr>
              <a:solidFill>
                <a:srgbClr val="00FFFF"/>
              </a:solidFill>
              <a:ln w="12698">
                <a:solidFill>
                  <a:srgbClr val="FF00FF"/>
                </a:solidFill>
                <a:prstDash val="solid"/>
              </a:ln>
            </c:spPr>
            <c:extLst>
              <c:ext xmlns:c16="http://schemas.microsoft.com/office/drawing/2014/chart" uri="{C3380CC4-5D6E-409C-BE32-E72D297353CC}">
                <c16:uniqueId val="{00000004-DE40-443F-8AF2-C4E2E7EB5B48}"/>
              </c:ext>
            </c:extLst>
          </c:dPt>
          <c:dLbls>
            <c:numFmt formatCode="0.0%" sourceLinked="0"/>
            <c:spPr>
              <a:noFill/>
              <a:ln w="25401">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1"/>
            <c:showBubbleSize val="0"/>
            <c:showLeaderLines val="0"/>
            <c:extLst>
              <c:ext xmlns:c15="http://schemas.microsoft.com/office/drawing/2012/chart" uri="{CE6537A1-D6FC-4f65-9D91-7224C49458BB}"/>
            </c:extLst>
          </c:dLbls>
          <c:cat>
            <c:strRef>
              <c:f>Sheet1!$A$2:$A$6</c:f>
              <c:strCache>
                <c:ptCount val="5"/>
                <c:pt idx="0">
                  <c:v>Золотая корона</c:v>
                </c:pt>
                <c:pt idx="1">
                  <c:v>Western Union</c:v>
                </c:pt>
                <c:pt idx="2">
                  <c:v>Faster</c:v>
                </c:pt>
                <c:pt idx="3">
                  <c:v>Юнистрим</c:v>
                </c:pt>
                <c:pt idx="4">
                  <c:v>Прочие</c:v>
                </c:pt>
              </c:strCache>
            </c:strRef>
          </c:cat>
          <c:val>
            <c:numRef>
              <c:f>Sheet1!$B$2:$B$6</c:f>
              <c:numCache>
                <c:formatCode>#,##0.00</c:formatCode>
                <c:ptCount val="5"/>
                <c:pt idx="0">
                  <c:v>48151802553.57</c:v>
                </c:pt>
                <c:pt idx="1">
                  <c:v>23720557383.939999</c:v>
                </c:pt>
                <c:pt idx="2">
                  <c:v>16862920912.860001</c:v>
                </c:pt>
                <c:pt idx="3">
                  <c:v>13899547458.450001</c:v>
                </c:pt>
                <c:pt idx="4">
                  <c:v>18763449552.419998</c:v>
                </c:pt>
              </c:numCache>
            </c:numRef>
          </c:val>
          <c:extLst>
            <c:ext xmlns:c16="http://schemas.microsoft.com/office/drawing/2014/chart" uri="{C3380CC4-5D6E-409C-BE32-E72D297353CC}">
              <c16:uniqueId val="{00000005-DE40-443F-8AF2-C4E2E7EB5B48}"/>
            </c:ext>
          </c:extLst>
        </c:ser>
        <c:dLbls>
          <c:showLegendKey val="1"/>
          <c:showVal val="1"/>
          <c:showCatName val="1"/>
          <c:showSerName val="1"/>
          <c:showPercent val="1"/>
          <c:showBubbleSize val="0"/>
          <c:showLeaderLines val="0"/>
        </c:dLbls>
      </c:pie3DChart>
      <c:spPr>
        <a:noFill/>
        <a:ln w="25401">
          <a:noFill/>
        </a:ln>
      </c:spPr>
    </c:plotArea>
    <c:legend>
      <c:legendPos val="b"/>
      <c:layout>
        <c:manualLayout>
          <c:xMode val="edge"/>
          <c:yMode val="edge"/>
          <c:wMode val="edge"/>
          <c:hMode val="edge"/>
          <c:x val="3.0201342281879196E-2"/>
          <c:y val="0.71684210526315795"/>
          <c:w val="0.97986577181208057"/>
          <c:h val="0.94666666666666677"/>
        </c:manualLayout>
      </c:layout>
      <c:overlay val="1"/>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1"/>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ru-RU"/>
              <a:t>Количество</a:t>
            </a:r>
          </a:p>
        </c:rich>
      </c:tx>
      <c:overlay val="0"/>
      <c:spPr>
        <a:noFill/>
        <a:ln w="25395">
          <a:noFill/>
        </a:ln>
      </c:spPr>
    </c:title>
    <c:autoTitleDeleted val="0"/>
    <c:plotArea>
      <c:layout/>
      <c:barChart>
        <c:barDir val="col"/>
        <c:grouping val="clustered"/>
        <c:varyColors val="1"/>
        <c:ser>
          <c:idx val="1"/>
          <c:order val="0"/>
          <c:tx>
            <c:strRef>
              <c:f>Sheet1!$B$1</c:f>
              <c:strCache>
                <c:ptCount val="1"/>
                <c:pt idx="0">
                  <c:v>Кол. операций</c:v>
                </c:pt>
              </c:strCache>
            </c:strRef>
          </c:tx>
          <c:spPr>
            <a:solidFill>
              <a:srgbClr val="FFFF00"/>
            </a:solidFill>
            <a:ln w="12698">
              <a:solidFill>
                <a:srgbClr val="000000"/>
              </a:solidFill>
              <a:prstDash val="solid"/>
            </a:ln>
          </c:spPr>
          <c:invertIfNegative val="1"/>
          <c:dPt>
            <c:idx val="0"/>
            <c:invertIfNegative val="1"/>
            <c:bubble3D val="0"/>
            <c:extLst>
              <c:ext xmlns:c16="http://schemas.microsoft.com/office/drawing/2014/chart" uri="{C3380CC4-5D6E-409C-BE32-E72D297353CC}">
                <c16:uniqueId val="{00000001-2D09-401D-9C86-C7C437C33565}"/>
              </c:ext>
            </c:extLst>
          </c:dPt>
          <c:dPt>
            <c:idx val="1"/>
            <c:invertIfNegative val="1"/>
            <c:bubble3D val="0"/>
            <c:extLst>
              <c:ext xmlns:c16="http://schemas.microsoft.com/office/drawing/2014/chart" uri="{C3380CC4-5D6E-409C-BE32-E72D297353CC}">
                <c16:uniqueId val="{00000003-2D09-401D-9C86-C7C437C33565}"/>
              </c:ext>
            </c:extLst>
          </c:dPt>
          <c:dPt>
            <c:idx val="2"/>
            <c:invertIfNegative val="1"/>
            <c:bubble3D val="0"/>
            <c:extLst>
              <c:ext xmlns:c16="http://schemas.microsoft.com/office/drawing/2014/chart" uri="{C3380CC4-5D6E-409C-BE32-E72D297353CC}">
                <c16:uniqueId val="{00000005-2D09-401D-9C86-C7C437C33565}"/>
              </c:ext>
            </c:extLst>
          </c:dPt>
          <c:dPt>
            <c:idx val="3"/>
            <c:invertIfNegative val="1"/>
            <c:bubble3D val="0"/>
            <c:extLst>
              <c:ext xmlns:c16="http://schemas.microsoft.com/office/drawing/2014/chart" uri="{C3380CC4-5D6E-409C-BE32-E72D297353CC}">
                <c16:uniqueId val="{00000007-2D09-401D-9C86-C7C437C33565}"/>
              </c:ext>
            </c:extLst>
          </c:dPt>
          <c:dLbls>
            <c:numFmt formatCode="#,##0.0" sourceLinked="0"/>
            <c:spPr>
              <a:noFill/>
              <a:ln w="25395">
                <a:noFill/>
              </a:ln>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 кв.</c:v>
                </c:pt>
                <c:pt idx="1">
                  <c:v>2 кв.</c:v>
                </c:pt>
                <c:pt idx="2">
                  <c:v>3 кв.</c:v>
                </c:pt>
                <c:pt idx="3">
                  <c:v>4 кв.</c:v>
                </c:pt>
              </c:strCache>
            </c:strRef>
          </c:cat>
          <c:val>
            <c:numRef>
              <c:f>Sheet1!$B$2:$B$5</c:f>
              <c:numCache>
                <c:formatCode>#,##0.00</c:formatCode>
                <c:ptCount val="4"/>
                <c:pt idx="0">
                  <c:v>1474.5</c:v>
                </c:pt>
                <c:pt idx="1">
                  <c:v>1192</c:v>
                </c:pt>
                <c:pt idx="2">
                  <c:v>2100.5</c:v>
                </c:pt>
                <c:pt idx="3">
                  <c:v>3141.8</c:v>
                </c:pt>
              </c:numCache>
            </c:numRef>
          </c:val>
          <c:extLst>
            <c:ext xmlns:c14="http://schemas.microsoft.com/office/drawing/2007/8/2/chart" uri="{6F2FDCE9-48DA-4B69-8628-5D25D57E5C99}">
              <c14:invertSolidFillFmt>
                <c14:spPr xmlns:c14="http://schemas.microsoft.com/office/drawing/2007/8/2/chart">
                  <a:solidFill>
                    <a:srgbClr val="FFFFFF"/>
                  </a:solidFill>
                  <a:ln w="12698">
                    <a:solidFill>
                      <a:srgbClr val="000000"/>
                    </a:solidFill>
                    <a:prstDash val="solid"/>
                  </a:ln>
                </c14:spPr>
              </c14:invertSolidFillFmt>
            </c:ext>
            <c:ext xmlns:c16="http://schemas.microsoft.com/office/drawing/2014/chart" uri="{C3380CC4-5D6E-409C-BE32-E72D297353CC}">
              <c16:uniqueId val="{00000008-2D09-401D-9C86-C7C437C33565}"/>
            </c:ext>
          </c:extLst>
        </c:ser>
        <c:dLbls>
          <c:showLegendKey val="0"/>
          <c:showVal val="0"/>
          <c:showCatName val="0"/>
          <c:showSerName val="0"/>
          <c:showPercent val="0"/>
          <c:showBubbleSize val="0"/>
        </c:dLbls>
        <c:gapWidth val="150"/>
        <c:axId val="154017584"/>
        <c:axId val="1"/>
      </c:barChart>
      <c:catAx>
        <c:axId val="154017584"/>
        <c:scaling>
          <c:orientation val="minMax"/>
        </c:scaling>
        <c:delete val="0"/>
        <c:axPos val="b"/>
        <c:numFmt formatCode="General" sourceLinked="1"/>
        <c:majorTickMark val="none"/>
        <c:minorTickMark val="none"/>
        <c:tickLblPos val="nextTo"/>
        <c:spPr>
          <a:ln w="3174">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LblSkip val="1"/>
        <c:tickMarkSkip val="1"/>
        <c:noMultiLvlLbl val="1"/>
      </c:catAx>
      <c:valAx>
        <c:axId val="1"/>
        <c:scaling>
          <c:orientation val="minMax"/>
          <c:max val="3200"/>
          <c:min val="0"/>
        </c:scaling>
        <c:delete val="0"/>
        <c:axPos val="l"/>
        <c:numFmt formatCode="#,##0" sourceLinked="0"/>
        <c:majorTickMark val="none"/>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54017584"/>
        <c:crosses val="autoZero"/>
        <c:crossBetween val="between"/>
        <c:majorUnit val="800"/>
        <c:minorUnit val="500"/>
      </c:valAx>
      <c:spPr>
        <a:solidFill>
          <a:srgbClr val="FFFFFF"/>
        </a:solidFill>
        <a:ln w="25395">
          <a:noFill/>
        </a:ln>
      </c:spPr>
    </c:plotArea>
    <c:plotVisOnly val="1"/>
    <c:dispBlanksAs val="gap"/>
    <c:showDLblsOverMax val="1"/>
  </c:chart>
  <c:spPr>
    <a:solidFill>
      <a:srgbClr val="FFFFFF"/>
    </a:solidFill>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2">
                <a:latin typeface="Times New Roman" pitchFamily="18" charset="0"/>
                <a:cs typeface="Times New Roman" pitchFamily="18" charset="0"/>
              </a:defRPr>
            </a:pPr>
            <a:r>
              <a:rPr lang="ru-RU" sz="1196"/>
              <a:t>Доля платежей в МСПД </a:t>
            </a:r>
          </a:p>
          <a:p>
            <a:pPr>
              <a:defRPr sz="1192">
                <a:latin typeface="Times New Roman" pitchFamily="18" charset="0"/>
                <a:cs typeface="Times New Roman" pitchFamily="18" charset="0"/>
              </a:defRPr>
            </a:pPr>
            <a:r>
              <a:rPr lang="ru-RU" sz="1196"/>
              <a:t>по группам</a:t>
            </a:r>
          </a:p>
        </c:rich>
      </c:tx>
      <c:layout>
        <c:manualLayout>
          <c:xMode val="edge"/>
          <c:yMode val="edge"/>
          <c:x val="0.14529348676577719"/>
          <c:y val="0"/>
        </c:manualLayout>
      </c:layout>
      <c:overlay val="0"/>
      <c:spPr>
        <a:noFill/>
        <a:ln w="25323">
          <a:noFill/>
        </a:ln>
      </c:spPr>
    </c:title>
    <c:autoTitleDeleted val="0"/>
    <c:view3D>
      <c:rotX val="15"/>
      <c:rotY val="0"/>
      <c:rAngAx val="0"/>
    </c:view3D>
    <c:floor>
      <c:thickness val="0"/>
    </c:floor>
    <c:sideWall>
      <c:thickness val="0"/>
    </c:sideWall>
    <c:backWall>
      <c:thickness val="0"/>
    </c:backWall>
    <c:plotArea>
      <c:layout>
        <c:manualLayout>
          <c:layoutTarget val="inner"/>
          <c:xMode val="edge"/>
          <c:yMode val="edge"/>
          <c:x val="0.1268782208671721"/>
          <c:y val="0.17820365107007941"/>
          <c:w val="0.7212320913039959"/>
          <c:h val="0.82179634892992059"/>
        </c:manualLayout>
      </c:layout>
      <c:pie3DChart>
        <c:varyColors val="1"/>
        <c:ser>
          <c:idx val="0"/>
          <c:order val="0"/>
          <c:tx>
            <c:strRef>
              <c:f>Лист1!$B$1</c:f>
              <c:strCache>
                <c:ptCount val="1"/>
                <c:pt idx="0">
                  <c:v>Доля платежей в МСПД по группам</c:v>
                </c:pt>
              </c:strCache>
            </c:strRef>
          </c:tx>
          <c:dPt>
            <c:idx val="0"/>
            <c:bubble3D val="0"/>
            <c:explosion val="3"/>
            <c:extLst>
              <c:ext xmlns:c16="http://schemas.microsoft.com/office/drawing/2014/chart" uri="{C3380CC4-5D6E-409C-BE32-E72D297353CC}">
                <c16:uniqueId val="{00000000-D155-4039-B04E-0F33A3CF23F9}"/>
              </c:ext>
            </c:extLst>
          </c:dPt>
          <c:dPt>
            <c:idx val="1"/>
            <c:bubble3D val="0"/>
            <c:extLst>
              <c:ext xmlns:c16="http://schemas.microsoft.com/office/drawing/2014/chart" uri="{C3380CC4-5D6E-409C-BE32-E72D297353CC}">
                <c16:uniqueId val="{00000001-D155-4039-B04E-0F33A3CF23F9}"/>
              </c:ext>
            </c:extLst>
          </c:dPt>
          <c:dPt>
            <c:idx val="2"/>
            <c:bubble3D val="0"/>
            <c:extLst>
              <c:ext xmlns:c16="http://schemas.microsoft.com/office/drawing/2014/chart" uri="{C3380CC4-5D6E-409C-BE32-E72D297353CC}">
                <c16:uniqueId val="{00000002-D155-4039-B04E-0F33A3CF23F9}"/>
              </c:ext>
            </c:extLst>
          </c:dPt>
          <c:dLbls>
            <c:dLbl>
              <c:idx val="0"/>
              <c:layout>
                <c:manualLayout>
                  <c:x val="-8.6780352455943024E-2"/>
                  <c:y val="0.448396141117811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155-4039-B04E-0F33A3CF23F9}"/>
                </c:ext>
              </c:extLst>
            </c:dLbl>
            <c:dLbl>
              <c:idx val="1"/>
              <c:layout>
                <c:manualLayout>
                  <c:x val="1.0877540307461572E-2"/>
                  <c:y val="-0.359788972866686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155-4039-B04E-0F33A3CF23F9}"/>
                </c:ext>
              </c:extLst>
            </c:dLbl>
            <c:dLbl>
              <c:idx val="2"/>
              <c:layout>
                <c:manualLayout>
                  <c:x val="6.3716835395575572E-2"/>
                  <c:y val="0.167989536425003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155-4039-B04E-0F33A3CF23F9}"/>
                </c:ext>
              </c:extLst>
            </c:dLbl>
            <c:spPr>
              <a:noFill/>
              <a:ln w="25323">
                <a:noFill/>
              </a:ln>
            </c:spPr>
            <c:txPr>
              <a:bodyPr/>
              <a:lstStyle/>
              <a:p>
                <a:pPr>
                  <a:defRPr sz="798">
                    <a:latin typeface="Times New Roman" pitchFamily="18" charset="0"/>
                    <a:cs typeface="Times New Roman" pitchFamily="18" charset="0"/>
                  </a:defRPr>
                </a:pPr>
                <a:endParaRPr lang="ru-RU"/>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Пять крупных банков</c:v>
                </c:pt>
                <c:pt idx="1">
                  <c:v>Прочие банки</c:v>
                </c:pt>
                <c:pt idx="2">
                  <c:v>Организации</c:v>
                </c:pt>
              </c:strCache>
            </c:strRef>
          </c:cat>
          <c:val>
            <c:numRef>
              <c:f>Лист1!$B$2:$B$4</c:f>
              <c:numCache>
                <c:formatCode>#,##0.00</c:formatCode>
                <c:ptCount val="3"/>
                <c:pt idx="0">
                  <c:v>49249.5</c:v>
                </c:pt>
                <c:pt idx="1">
                  <c:v>47348.5</c:v>
                </c:pt>
                <c:pt idx="2">
                  <c:v>100600.9</c:v>
                </c:pt>
              </c:numCache>
            </c:numRef>
          </c:val>
          <c:extLst>
            <c:ext xmlns:c16="http://schemas.microsoft.com/office/drawing/2014/chart" uri="{C3380CC4-5D6E-409C-BE32-E72D297353CC}">
              <c16:uniqueId val="{00000003-D155-4039-B04E-0F33A3CF23F9}"/>
            </c:ext>
          </c:extLst>
        </c:ser>
        <c:dLbls>
          <c:showLegendKey val="0"/>
          <c:showVal val="0"/>
          <c:showCatName val="0"/>
          <c:showSerName val="0"/>
          <c:showPercent val="0"/>
          <c:showBubbleSize val="0"/>
          <c:showLeaderLines val="1"/>
        </c:dLbls>
      </c:pie3DChart>
      <c:spPr>
        <a:noFill/>
        <a:ln w="25323">
          <a:noFill/>
        </a:ln>
      </c:spPr>
    </c:plotArea>
    <c:plotVisOnly val="1"/>
    <c:dispBlanksAs val="zero"/>
    <c:showDLblsOverMax val="0"/>
  </c:chart>
  <c:spPr>
    <a:noFill/>
    <a:ln>
      <a:noFill/>
    </a:ln>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pPr>
            <a:r>
              <a:rPr lang="ru-RU"/>
              <a:t>Сумма</a:t>
            </a:r>
          </a:p>
        </c:rich>
      </c:tx>
      <c:overlay val="0"/>
      <c:spPr>
        <a:noFill/>
        <a:ln w="25394">
          <a:noFill/>
        </a:ln>
      </c:spPr>
    </c:title>
    <c:autoTitleDeleted val="0"/>
    <c:plotArea>
      <c:layout/>
      <c:barChart>
        <c:barDir val="col"/>
        <c:grouping val="clustered"/>
        <c:varyColors val="1"/>
        <c:ser>
          <c:idx val="1"/>
          <c:order val="0"/>
          <c:tx>
            <c:strRef>
              <c:f>Sheet1!$B$1</c:f>
              <c:strCache>
                <c:ptCount val="1"/>
              </c:strCache>
            </c:strRef>
          </c:tx>
          <c:invertIfNegative val="1"/>
          <c:dPt>
            <c:idx val="0"/>
            <c:invertIfNegative val="1"/>
            <c:bubble3D val="0"/>
            <c:extLst>
              <c:ext xmlns:c16="http://schemas.microsoft.com/office/drawing/2014/chart" uri="{C3380CC4-5D6E-409C-BE32-E72D297353CC}">
                <c16:uniqueId val="{00000001-9B28-40C7-9DD9-04AB7CEA2F0B}"/>
              </c:ext>
            </c:extLst>
          </c:dPt>
          <c:dPt>
            <c:idx val="1"/>
            <c:invertIfNegative val="1"/>
            <c:bubble3D val="0"/>
            <c:extLst>
              <c:ext xmlns:c16="http://schemas.microsoft.com/office/drawing/2014/chart" uri="{C3380CC4-5D6E-409C-BE32-E72D297353CC}">
                <c16:uniqueId val="{00000003-9B28-40C7-9DD9-04AB7CEA2F0B}"/>
              </c:ext>
            </c:extLst>
          </c:dPt>
          <c:dPt>
            <c:idx val="2"/>
            <c:invertIfNegative val="1"/>
            <c:bubble3D val="0"/>
            <c:extLst>
              <c:ext xmlns:c16="http://schemas.microsoft.com/office/drawing/2014/chart" uri="{C3380CC4-5D6E-409C-BE32-E72D297353CC}">
                <c16:uniqueId val="{00000005-9B28-40C7-9DD9-04AB7CEA2F0B}"/>
              </c:ext>
            </c:extLst>
          </c:dPt>
          <c:dPt>
            <c:idx val="3"/>
            <c:invertIfNegative val="1"/>
            <c:bubble3D val="0"/>
            <c:extLst>
              <c:ext xmlns:c16="http://schemas.microsoft.com/office/drawing/2014/chart" uri="{C3380CC4-5D6E-409C-BE32-E72D297353CC}">
                <c16:uniqueId val="{00000007-9B28-40C7-9DD9-04AB7CEA2F0B}"/>
              </c:ext>
            </c:extLst>
          </c:dPt>
          <c:dLbls>
            <c:numFmt formatCode="#,##0.0" sourceLinked="0"/>
            <c:spPr>
              <a:noFill/>
              <a:ln w="2539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 кв.</c:v>
                </c:pt>
                <c:pt idx="1">
                  <c:v>2 кв.</c:v>
                </c:pt>
                <c:pt idx="2">
                  <c:v>3 кв.</c:v>
                </c:pt>
                <c:pt idx="3">
                  <c:v>4 кв.</c:v>
                </c:pt>
              </c:strCache>
            </c:strRef>
          </c:cat>
          <c:val>
            <c:numRef>
              <c:f>Sheet1!$B$2:$B$5</c:f>
              <c:numCache>
                <c:formatCode>#,##0.00</c:formatCode>
                <c:ptCount val="4"/>
                <c:pt idx="0">
                  <c:v>3272.3</c:v>
                </c:pt>
                <c:pt idx="1">
                  <c:v>3904.6</c:v>
                </c:pt>
                <c:pt idx="2">
                  <c:v>5380.1</c:v>
                </c:pt>
                <c:pt idx="3">
                  <c:v>8485.7999999999993</c:v>
                </c:pt>
              </c:numCache>
            </c:numRef>
          </c:val>
          <c:extLst>
            <c:ext xmlns:c16="http://schemas.microsoft.com/office/drawing/2014/chart" uri="{C3380CC4-5D6E-409C-BE32-E72D297353CC}">
              <c16:uniqueId val="{00000008-9B28-40C7-9DD9-04AB7CEA2F0B}"/>
            </c:ext>
          </c:extLst>
        </c:ser>
        <c:dLbls>
          <c:showLegendKey val="0"/>
          <c:showVal val="0"/>
          <c:showCatName val="0"/>
          <c:showSerName val="0"/>
          <c:showPercent val="0"/>
          <c:showBubbleSize val="0"/>
        </c:dLbls>
        <c:gapWidth val="150"/>
        <c:axId val="154014256"/>
        <c:axId val="1"/>
      </c:barChart>
      <c:catAx>
        <c:axId val="154014256"/>
        <c:scaling>
          <c:orientation val="minMax"/>
        </c:scaling>
        <c:delete val="0"/>
        <c:axPos val="b"/>
        <c:numFmt formatCode="General" sourceLinked="1"/>
        <c:majorTickMark val="none"/>
        <c:minorTickMark val="none"/>
        <c:tickLblPos val="nextTo"/>
        <c:txPr>
          <a:bodyPr rot="0" vert="horz"/>
          <a:lstStyle/>
          <a:p>
            <a:pPr>
              <a:defRPr sz="1000"/>
            </a:pPr>
            <a:endParaRPr lang="ru-RU"/>
          </a:p>
        </c:txPr>
        <c:crossAx val="1"/>
        <c:crosses val="autoZero"/>
        <c:auto val="1"/>
        <c:lblAlgn val="ctr"/>
        <c:lblOffset val="100"/>
        <c:tickLblSkip val="1"/>
        <c:tickMarkSkip val="1"/>
        <c:noMultiLvlLbl val="1"/>
      </c:catAx>
      <c:valAx>
        <c:axId val="1"/>
        <c:scaling>
          <c:orientation val="minMax"/>
        </c:scaling>
        <c:delete val="0"/>
        <c:axPos val="l"/>
        <c:numFmt formatCode="#,##0" sourceLinked="0"/>
        <c:majorTickMark val="none"/>
        <c:minorTickMark val="none"/>
        <c:tickLblPos val="nextTo"/>
        <c:txPr>
          <a:bodyPr rot="0" vert="horz"/>
          <a:lstStyle/>
          <a:p>
            <a:pPr>
              <a:defRPr sz="800"/>
            </a:pPr>
            <a:endParaRPr lang="ru-RU"/>
          </a:p>
        </c:txPr>
        <c:crossAx val="154014256"/>
        <c:crosses val="autoZero"/>
        <c:crossBetween val="between"/>
        <c:majorUnit val="3000"/>
      </c:valAx>
      <c:spPr>
        <a:ln>
          <a:noFill/>
        </a:ln>
      </c:spPr>
    </c:plotArea>
    <c:plotVisOnly val="1"/>
    <c:dispBlanksAs val="gap"/>
    <c:showDLblsOverMax val="1"/>
  </c:chart>
  <c:spPr>
    <a:noFill/>
    <a:ln>
      <a:noFill/>
    </a:ln>
  </c:spPr>
  <c:txPr>
    <a:bodyPr/>
    <a:lstStyle/>
    <a:p>
      <a:pPr>
        <a:defRPr sz="1200">
          <a:latin typeface="Times New Roman" pitchFamily="18" charset="0"/>
          <a:cs typeface="Times New Roman" pitchFamily="18" charset="0"/>
        </a:defRPr>
      </a:pPr>
      <a:endParaRPr lang="ru-RU"/>
    </a:p>
  </c:txPr>
  <c:externalData r:id="rId2">
    <c:autoUpdate val="0"/>
  </c:externalData>
  <c:userShapes r:id="rId3"/>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Times New Roman"/>
                <a:ea typeface="Times New Roman"/>
                <a:cs typeface="Times New Roman"/>
              </a:defRPr>
            </a:pPr>
            <a:r>
              <a:rPr lang="ru-RU" sz="1100"/>
              <a:t>Динамика изменения  количества владельцев электронных денег, совершающих оплату с использованием электронных денег</a:t>
            </a:r>
          </a:p>
        </c:rich>
      </c:tx>
      <c:overlay val="0"/>
      <c:spPr>
        <a:noFill/>
        <a:ln w="25395">
          <a:noFill/>
        </a:ln>
      </c:spPr>
    </c:title>
    <c:autoTitleDeleted val="0"/>
    <c:plotArea>
      <c:layout>
        <c:manualLayout>
          <c:layoutTarget val="inner"/>
          <c:xMode val="edge"/>
          <c:yMode val="edge"/>
          <c:x val="0.14225488047760274"/>
          <c:y val="0.21296296296296308"/>
          <c:w val="0.83053423516865588"/>
          <c:h val="0.70623505395158981"/>
        </c:manualLayout>
      </c:layout>
      <c:lineChart>
        <c:grouping val="standard"/>
        <c:varyColors val="1"/>
        <c:ser>
          <c:idx val="0"/>
          <c:order val="0"/>
          <c:tx>
            <c:strRef>
              <c:f>Sheet1!$C$1</c:f>
              <c:strCache>
                <c:ptCount val="1"/>
                <c:pt idx="0">
                  <c:v>владельцы электроннных денег</c:v>
                </c:pt>
              </c:strCache>
            </c:strRef>
          </c:tx>
          <c:spPr>
            <a:ln w="25395">
              <a:solidFill>
                <a:srgbClr val="000080"/>
              </a:solidFill>
              <a:prstDash val="solid"/>
            </a:ln>
          </c:spPr>
          <c:marker>
            <c:symbol val="diamond"/>
            <c:size val="6"/>
            <c:spPr>
              <a:solidFill>
                <a:srgbClr val="000080"/>
              </a:solidFill>
              <a:ln>
                <a:solidFill>
                  <a:srgbClr val="000080"/>
                </a:solidFill>
                <a:prstDash val="solid"/>
              </a:ln>
            </c:spPr>
          </c:marker>
          <c:dPt>
            <c:idx val="0"/>
            <c:bubble3D val="0"/>
            <c:extLst>
              <c:ext xmlns:c16="http://schemas.microsoft.com/office/drawing/2014/chart" uri="{C3380CC4-5D6E-409C-BE32-E72D297353CC}">
                <c16:uniqueId val="{00000001-1D64-4B8B-B974-ED52268533A6}"/>
              </c:ext>
            </c:extLst>
          </c:dPt>
          <c:dPt>
            <c:idx val="1"/>
            <c:bubble3D val="0"/>
            <c:extLst>
              <c:ext xmlns:c16="http://schemas.microsoft.com/office/drawing/2014/chart" uri="{C3380CC4-5D6E-409C-BE32-E72D297353CC}">
                <c16:uniqueId val="{00000003-1D64-4B8B-B974-ED52268533A6}"/>
              </c:ext>
            </c:extLst>
          </c:dPt>
          <c:dPt>
            <c:idx val="2"/>
            <c:bubble3D val="0"/>
            <c:extLst>
              <c:ext xmlns:c16="http://schemas.microsoft.com/office/drawing/2014/chart" uri="{C3380CC4-5D6E-409C-BE32-E72D297353CC}">
                <c16:uniqueId val="{00000005-1D64-4B8B-B974-ED52268533A6}"/>
              </c:ext>
            </c:extLst>
          </c:dPt>
          <c:dPt>
            <c:idx val="3"/>
            <c:bubble3D val="0"/>
            <c:extLst>
              <c:ext xmlns:c16="http://schemas.microsoft.com/office/drawing/2014/chart" uri="{C3380CC4-5D6E-409C-BE32-E72D297353CC}">
                <c16:uniqueId val="{00000007-1D64-4B8B-B974-ED52268533A6}"/>
              </c:ext>
            </c:extLst>
          </c:dPt>
          <c:dLbls>
            <c:dLbl>
              <c:idx val="0"/>
              <c:layout>
                <c:manualLayout>
                  <c:x val="-1.4842300556586271E-2"/>
                  <c:y val="-5.0925925925925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64-4B8B-B974-ED52268533A6}"/>
                </c:ext>
              </c:extLst>
            </c:dLbl>
            <c:dLbl>
              <c:idx val="1"/>
              <c:layout>
                <c:manualLayout>
                  <c:x val="-2.9684601113172542E-2"/>
                  <c:y val="-9.25925925925926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64-4B8B-B974-ED52268533A6}"/>
                </c:ext>
              </c:extLst>
            </c:dLbl>
            <c:dLbl>
              <c:idx val="2"/>
              <c:layout>
                <c:manualLayout>
                  <c:x val="-4.9474335188620912E-2"/>
                  <c:y val="-9.72222222222221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64-4B8B-B974-ED52268533A6}"/>
                </c:ext>
              </c:extLst>
            </c:dLbl>
            <c:spPr>
              <a:noFill/>
              <a:ln w="25395">
                <a:noFill/>
              </a:ln>
            </c:spPr>
            <c:txPr>
              <a:bodyPr/>
              <a:lstStyle/>
              <a:p>
                <a:pPr>
                  <a:defRPr sz="11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4"/>
                <c:pt idx="0">
                  <c:v>1 кв.</c:v>
                </c:pt>
                <c:pt idx="1">
                  <c:v>2 кв.</c:v>
                </c:pt>
                <c:pt idx="2">
                  <c:v>3 кв.</c:v>
                </c:pt>
                <c:pt idx="3">
                  <c:v>4 кв.</c:v>
                </c:pt>
              </c:strCache>
            </c:strRef>
          </c:cat>
          <c:val>
            <c:numRef>
              <c:f>Sheet1!$C$2:$C$7</c:f>
              <c:numCache>
                <c:formatCode>#,##0</c:formatCode>
                <c:ptCount val="4"/>
                <c:pt idx="0">
                  <c:v>206534</c:v>
                </c:pt>
                <c:pt idx="1">
                  <c:v>208994</c:v>
                </c:pt>
                <c:pt idx="2">
                  <c:v>226782</c:v>
                </c:pt>
                <c:pt idx="3">
                  <c:v>295935</c:v>
                </c:pt>
              </c:numCache>
            </c:numRef>
          </c:val>
          <c:smooth val="1"/>
          <c:extLst>
            <c:ext xmlns:c16="http://schemas.microsoft.com/office/drawing/2014/chart" uri="{C3380CC4-5D6E-409C-BE32-E72D297353CC}">
              <c16:uniqueId val="{00000008-1D64-4B8B-B974-ED52268533A6}"/>
            </c:ext>
          </c:extLst>
        </c:ser>
        <c:dLbls>
          <c:showLegendKey val="0"/>
          <c:showVal val="0"/>
          <c:showCatName val="0"/>
          <c:showSerName val="0"/>
          <c:showPercent val="0"/>
          <c:showBubbleSize val="0"/>
        </c:dLbls>
        <c:marker val="1"/>
        <c:smooth val="0"/>
        <c:axId val="215564720"/>
        <c:axId val="1"/>
      </c:lineChart>
      <c:catAx>
        <c:axId val="215564720"/>
        <c:scaling>
          <c:orientation val="minMax"/>
        </c:scaling>
        <c:delete val="0"/>
        <c:axPos val="b"/>
        <c:numFmt formatCode="General" sourceLinked="1"/>
        <c:majorTickMark val="none"/>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LblSkip val="1"/>
        <c:tickMarkSkip val="1"/>
        <c:noMultiLvlLbl val="1"/>
      </c:catAx>
      <c:valAx>
        <c:axId val="1"/>
        <c:scaling>
          <c:orientation val="minMax"/>
          <c:max val="300000"/>
          <c:min val="200000"/>
        </c:scaling>
        <c:delete val="0"/>
        <c:axPos val="l"/>
        <c:title>
          <c:tx>
            <c:rich>
              <a:bodyPr/>
              <a:lstStyle/>
              <a:p>
                <a:pPr>
                  <a:defRPr sz="800" b="0" i="0" u="none" strike="noStrike" baseline="0">
                    <a:solidFill>
                      <a:srgbClr val="000000"/>
                    </a:solidFill>
                    <a:latin typeface="Times New Roman"/>
                    <a:ea typeface="Times New Roman"/>
                    <a:cs typeface="Times New Roman"/>
                  </a:defRPr>
                </a:pPr>
                <a:r>
                  <a:rPr lang="ru-RU"/>
                  <a:t>ед.</a:t>
                </a:r>
              </a:p>
            </c:rich>
          </c:tx>
          <c:overlay val="0"/>
          <c:spPr>
            <a:noFill/>
            <a:ln w="25395">
              <a:noFill/>
            </a:ln>
          </c:spPr>
        </c:title>
        <c:numFmt formatCode="#,##0" sourceLinked="1"/>
        <c:majorTickMark val="none"/>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15564720"/>
        <c:crosses val="autoZero"/>
        <c:crossBetween val="between"/>
        <c:minorUnit val="5000"/>
      </c:valAx>
      <c:spPr>
        <a:solidFill>
          <a:srgbClr val="FFFFFF"/>
        </a:solidFill>
        <a:ln w="25395">
          <a:noFill/>
        </a:ln>
      </c:spPr>
    </c:plotArea>
    <c:plotVisOnly val="1"/>
    <c:dispBlanksAs val="gap"/>
    <c:showDLblsOverMax val="1"/>
  </c:chart>
  <c:spPr>
    <a:solidFill>
      <a:srgbClr val="FFFFFF"/>
    </a:solidFill>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4297">
          <a:noFill/>
        </a:ln>
      </c:spPr>
      <c:txPr>
        <a:bodyPr/>
        <a:lstStyle/>
        <a:p>
          <a:pPr>
            <a:defRPr sz="1148">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Лист1!$B$1</c:f>
              <c:strCache>
                <c:ptCount val="1"/>
                <c:pt idx="0">
                  <c:v>Количество</c:v>
                </c:pt>
              </c:strCache>
            </c:strRef>
          </c:tx>
          <c:invertIfNegative val="0"/>
          <c:dLbls>
            <c:spPr>
              <a:noFill/>
              <a:ln w="24297">
                <a:noFill/>
              </a:ln>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2011</c:v>
                </c:pt>
                <c:pt idx="2">
                  <c:v>2012</c:v>
                </c:pt>
                <c:pt idx="3">
                  <c:v>2013</c:v>
                </c:pt>
                <c:pt idx="4">
                  <c:v>2014</c:v>
                </c:pt>
              </c:numCache>
            </c:numRef>
          </c:cat>
          <c:val>
            <c:numRef>
              <c:f>Лист1!$B$2:$B$6</c:f>
              <c:numCache>
                <c:formatCode>#\ ##0.0</c:formatCode>
                <c:ptCount val="5"/>
                <c:pt idx="0">
                  <c:v>18251.400000000001</c:v>
                </c:pt>
                <c:pt idx="1">
                  <c:v>19635.599999999999</c:v>
                </c:pt>
                <c:pt idx="2">
                  <c:v>20067.7</c:v>
                </c:pt>
                <c:pt idx="3">
                  <c:v>21352.799999999999</c:v>
                </c:pt>
                <c:pt idx="4">
                  <c:v>20688.900000000001</c:v>
                </c:pt>
              </c:numCache>
            </c:numRef>
          </c:val>
          <c:extLst>
            <c:ext xmlns:c16="http://schemas.microsoft.com/office/drawing/2014/chart" uri="{C3380CC4-5D6E-409C-BE32-E72D297353CC}">
              <c16:uniqueId val="{00000000-D2A3-4441-A809-8EC546541004}"/>
            </c:ext>
          </c:extLst>
        </c:ser>
        <c:dLbls>
          <c:showLegendKey val="0"/>
          <c:showVal val="0"/>
          <c:showCatName val="0"/>
          <c:showSerName val="0"/>
          <c:showPercent val="0"/>
          <c:showBubbleSize val="0"/>
        </c:dLbls>
        <c:gapWidth val="150"/>
        <c:axId val="154012176"/>
        <c:axId val="1"/>
      </c:barChart>
      <c:catAx>
        <c:axId val="154012176"/>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
        <c:crosses val="autoZero"/>
        <c:auto val="1"/>
        <c:lblAlgn val="ctr"/>
        <c:lblOffset val="100"/>
        <c:noMultiLvlLbl val="0"/>
      </c:catAx>
      <c:valAx>
        <c:axId val="1"/>
        <c:scaling>
          <c:orientation val="minMax"/>
        </c:scaling>
        <c:delete val="0"/>
        <c:axPos val="l"/>
        <c:numFmt formatCode="#\ ##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54012176"/>
        <c:crosses val="autoZero"/>
        <c:crossBetween val="between"/>
      </c:valAx>
    </c:plotArea>
    <c:plotVisOnly val="1"/>
    <c:dispBlanksAs val="gap"/>
    <c:showDLblsOverMax val="0"/>
  </c:chart>
  <c:spPr>
    <a:ln>
      <a:noFill/>
    </a:ln>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98">
          <a:noFill/>
        </a:ln>
      </c:spPr>
      <c:txPr>
        <a:bodyPr/>
        <a:lstStyle/>
        <a:p>
          <a:pPr>
            <a:defRPr sz="1200">
              <a:latin typeface="Times New Roman" pitchFamily="18" charset="0"/>
              <a:cs typeface="Times New Roman" pitchFamily="18" charset="0"/>
            </a:defRPr>
          </a:pPr>
          <a:endParaRPr lang="ru-RU"/>
        </a:p>
      </c:txPr>
    </c:title>
    <c:autoTitleDeleted val="0"/>
    <c:plotArea>
      <c:layout/>
      <c:barChart>
        <c:barDir val="col"/>
        <c:grouping val="clustered"/>
        <c:varyColors val="0"/>
        <c:ser>
          <c:idx val="0"/>
          <c:order val="0"/>
          <c:tx>
            <c:strRef>
              <c:f>Лист1!$B$1</c:f>
              <c:strCache>
                <c:ptCount val="1"/>
                <c:pt idx="0">
                  <c:v>Сумма</c:v>
                </c:pt>
              </c:strCache>
            </c:strRef>
          </c:tx>
          <c:spPr>
            <a:solidFill>
              <a:schemeClr val="accent6">
                <a:lumMod val="75000"/>
              </a:schemeClr>
            </a:solidFill>
          </c:spPr>
          <c:invertIfNegative val="0"/>
          <c:dLbls>
            <c:spPr>
              <a:noFill/>
              <a:ln w="25398">
                <a:noFill/>
              </a:ln>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2010</c:v>
                </c:pt>
                <c:pt idx="1">
                  <c:v>2011</c:v>
                </c:pt>
                <c:pt idx="2">
                  <c:v>2012</c:v>
                </c:pt>
                <c:pt idx="3">
                  <c:v>2013</c:v>
                </c:pt>
                <c:pt idx="4">
                  <c:v>2014</c:v>
                </c:pt>
              </c:numCache>
            </c:numRef>
          </c:cat>
          <c:val>
            <c:numRef>
              <c:f>Лист1!$B$2:$B$6</c:f>
              <c:numCache>
                <c:formatCode>#\ ##0.0</c:formatCode>
                <c:ptCount val="5"/>
                <c:pt idx="0">
                  <c:v>3253.5</c:v>
                </c:pt>
                <c:pt idx="1">
                  <c:v>3724.7</c:v>
                </c:pt>
                <c:pt idx="2">
                  <c:v>4218.5</c:v>
                </c:pt>
                <c:pt idx="3">
                  <c:v>4814.8999999999996</c:v>
                </c:pt>
                <c:pt idx="4">
                  <c:v>5388.8</c:v>
                </c:pt>
              </c:numCache>
            </c:numRef>
          </c:val>
          <c:extLst>
            <c:ext xmlns:c16="http://schemas.microsoft.com/office/drawing/2014/chart" uri="{C3380CC4-5D6E-409C-BE32-E72D297353CC}">
              <c16:uniqueId val="{00000000-6DC0-462B-8947-0F3BF539084E}"/>
            </c:ext>
          </c:extLst>
        </c:ser>
        <c:dLbls>
          <c:showLegendKey val="0"/>
          <c:showVal val="0"/>
          <c:showCatName val="0"/>
          <c:showSerName val="0"/>
          <c:showPercent val="0"/>
          <c:showBubbleSize val="0"/>
        </c:dLbls>
        <c:gapWidth val="150"/>
        <c:axId val="154015920"/>
        <c:axId val="1"/>
      </c:barChart>
      <c:catAx>
        <c:axId val="15401592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
        <c:crosses val="autoZero"/>
        <c:auto val="1"/>
        <c:lblAlgn val="ctr"/>
        <c:lblOffset val="100"/>
        <c:noMultiLvlLbl val="0"/>
      </c:catAx>
      <c:valAx>
        <c:axId val="1"/>
        <c:scaling>
          <c:orientation val="minMax"/>
        </c:scaling>
        <c:delete val="0"/>
        <c:axPos val="l"/>
        <c:numFmt formatCode="#\ ##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54015920"/>
        <c:crosses val="autoZero"/>
        <c:crossBetween val="between"/>
      </c:valAx>
    </c:plotArea>
    <c:plotVisOnly val="1"/>
    <c:dispBlanksAs val="gap"/>
    <c:showDLblsOverMax val="0"/>
  </c:chart>
  <c:spPr>
    <a:ln>
      <a:no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ru-RU" sz="1200" b="1" i="0" baseline="0">
                <a:effectLst/>
                <a:latin typeface="Times New Roman" pitchFamily="18" charset="0"/>
                <a:cs typeface="Times New Roman" pitchFamily="18" charset="0"/>
              </a:rPr>
              <a:t>Объем платежей</a:t>
            </a:r>
            <a:endParaRPr lang="ru-RU" sz="1200">
              <a:effectLst/>
              <a:latin typeface="Times New Roman" pitchFamily="18" charset="0"/>
              <a:cs typeface="Times New Roman" pitchFamily="18" charset="0"/>
            </a:endParaRPr>
          </a:p>
        </c:rich>
      </c:tx>
      <c:overlay val="1"/>
    </c:title>
    <c:autoTitleDeleted val="0"/>
    <c:plotArea>
      <c:layout/>
      <c:lineChart>
        <c:grouping val="standard"/>
        <c:varyColors val="1"/>
        <c:ser>
          <c:idx val="0"/>
          <c:order val="0"/>
          <c:tx>
            <c:strRef>
              <c:f>Лист1!$B$26</c:f>
              <c:strCache>
                <c:ptCount val="1"/>
                <c:pt idx="0">
                  <c:v>Сумма</c:v>
                </c:pt>
              </c:strCache>
            </c:strRef>
          </c:tx>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trendline>
            <c:trendlineType val="linear"/>
            <c:dispRSqr val="1"/>
            <c:dispEq val="1"/>
            <c:trendlineLbl>
              <c:numFmt formatCode="General" sourceLinked="0"/>
            </c:trendlineLbl>
          </c:trendline>
          <c:cat>
            <c:numRef>
              <c:f>Лист1!$A$27:$A$36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Лист1!$B$27:$B$36</c:f>
              <c:numCache>
                <c:formatCode>_-* #,##0.0_р_._-;\-* #,##0.0_р_._-;_-* "-"?_р_._-;_-@_-</c:formatCode>
                <c:ptCount val="10"/>
                <c:pt idx="0">
                  <c:v>94.707100000000025</c:v>
                </c:pt>
                <c:pt idx="1">
                  <c:v>143.45440000000002</c:v>
                </c:pt>
                <c:pt idx="2">
                  <c:v>141.85330000000002</c:v>
                </c:pt>
                <c:pt idx="3">
                  <c:v>159.74559999999994</c:v>
                </c:pt>
                <c:pt idx="4">
                  <c:v>187.70439999999999</c:v>
                </c:pt>
                <c:pt idx="5">
                  <c:v>192.39110000000002</c:v>
                </c:pt>
                <c:pt idx="6">
                  <c:v>170.70689999999999</c:v>
                </c:pt>
                <c:pt idx="7">
                  <c:v>177.59080276897399</c:v>
                </c:pt>
                <c:pt idx="8">
                  <c:v>202.58779716344537</c:v>
                </c:pt>
                <c:pt idx="9">
                  <c:v>214.91213585032747</c:v>
                </c:pt>
              </c:numCache>
            </c:numRef>
          </c:val>
          <c:smooth val="1"/>
          <c:extLst>
            <c:ext xmlns:c16="http://schemas.microsoft.com/office/drawing/2014/chart" uri="{C3380CC4-5D6E-409C-BE32-E72D297353CC}">
              <c16:uniqueId val="{00000000-804F-4579-B6C0-DD34385EEBF1}"/>
            </c:ext>
          </c:extLst>
        </c:ser>
        <c:dLbls>
          <c:showLegendKey val="0"/>
          <c:showVal val="0"/>
          <c:showCatName val="0"/>
          <c:showSerName val="0"/>
          <c:showPercent val="0"/>
          <c:showBubbleSize val="0"/>
        </c:dLbls>
        <c:marker val="1"/>
        <c:smooth val="0"/>
        <c:axId val="53830784"/>
        <c:axId val="53832320"/>
      </c:lineChart>
      <c:catAx>
        <c:axId val="53830784"/>
        <c:scaling>
          <c:orientation val="minMax"/>
        </c:scaling>
        <c:delete val="1"/>
        <c:axPos val="b"/>
        <c:numFmt formatCode="General" sourceLinked="1"/>
        <c:majorTickMark val="cross"/>
        <c:minorTickMark val="cross"/>
        <c:tickLblPos val="nextTo"/>
        <c:crossAx val="53832320"/>
        <c:crosses val="autoZero"/>
        <c:auto val="1"/>
        <c:lblAlgn val="ctr"/>
        <c:lblOffset val="100"/>
        <c:noMultiLvlLbl val="1"/>
      </c:catAx>
      <c:valAx>
        <c:axId val="53832320"/>
        <c:scaling>
          <c:orientation val="minMax"/>
          <c:min val="50"/>
        </c:scaling>
        <c:delete val="1"/>
        <c:axPos val="l"/>
        <c:majorGridlines/>
        <c:numFmt formatCode="_-* #,##0.0_р_._-;\-* #,##0.0_р_._-;_-* &quot;-&quot;?_р_._-;_-@_-" sourceLinked="1"/>
        <c:majorTickMark val="cross"/>
        <c:minorTickMark val="cross"/>
        <c:tickLblPos val="nextTo"/>
        <c:crossAx val="53830784"/>
        <c:crosses val="autoZero"/>
        <c:crossBetween val="between"/>
      </c:valAx>
    </c:plotArea>
    <c:legend>
      <c:legendPos val="b"/>
      <c:overlay val="1"/>
    </c:legend>
    <c:plotVisOnly val="1"/>
    <c:dispBlanksAs val="gap"/>
    <c:showDLblsOverMax val="1"/>
  </c:chart>
  <c:externalData r:id="rId2">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8"/>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Количество платежей</a:t>
            </a:r>
          </a:p>
        </c:rich>
      </c:tx>
      <c:overlay val="1"/>
    </c:title>
    <c:autoTitleDeleted val="0"/>
    <c:plotArea>
      <c:layout/>
      <c:lineChart>
        <c:grouping val="standard"/>
        <c:varyColors val="1"/>
        <c:ser>
          <c:idx val="0"/>
          <c:order val="0"/>
          <c:tx>
            <c:strRef>
              <c:f>Лист1!$C$26</c:f>
              <c:strCache>
                <c:ptCount val="1"/>
                <c:pt idx="0">
                  <c:v>Количество</c:v>
                </c:pt>
              </c:strCache>
            </c:strRef>
          </c:tx>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trendline>
            <c:trendlineType val="linear"/>
            <c:dispRSqr val="1"/>
            <c:dispEq val="1"/>
            <c:trendlineLbl>
              <c:numFmt formatCode="General" sourceLinked="0"/>
            </c:trendlineLbl>
          </c:trendline>
          <c:cat>
            <c:numRef>
              <c:f>Лист1!$A$27:$A$36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Лист1!$C$27:$C$36</c:f>
              <c:numCache>
                <c:formatCode>_-* #,##0.0_р_._-;\-* #,##0.0_р_._-;_-* "-"?_р_._-;_-@_-</c:formatCode>
                <c:ptCount val="10"/>
                <c:pt idx="0">
                  <c:v>24.1006</c:v>
                </c:pt>
                <c:pt idx="1">
                  <c:v>23.59869999999999</c:v>
                </c:pt>
                <c:pt idx="2">
                  <c:v>24.442900000000002</c:v>
                </c:pt>
                <c:pt idx="3">
                  <c:v>25.924300000000002</c:v>
                </c:pt>
                <c:pt idx="4">
                  <c:v>29.709700000000002</c:v>
                </c:pt>
                <c:pt idx="5">
                  <c:v>31.463699999999989</c:v>
                </c:pt>
                <c:pt idx="6">
                  <c:v>32.3523</c:v>
                </c:pt>
                <c:pt idx="7">
                  <c:v>35.222531000000018</c:v>
                </c:pt>
                <c:pt idx="8">
                  <c:v>34.667452000000004</c:v>
                </c:pt>
                <c:pt idx="9">
                  <c:v>36.327567638888887</c:v>
                </c:pt>
              </c:numCache>
            </c:numRef>
          </c:val>
          <c:smooth val="1"/>
          <c:extLst>
            <c:ext xmlns:c16="http://schemas.microsoft.com/office/drawing/2014/chart" uri="{C3380CC4-5D6E-409C-BE32-E72D297353CC}">
              <c16:uniqueId val="{00000000-64DE-4BF9-AB01-2FB4D2432DC4}"/>
            </c:ext>
          </c:extLst>
        </c:ser>
        <c:dLbls>
          <c:showLegendKey val="0"/>
          <c:showVal val="0"/>
          <c:showCatName val="0"/>
          <c:showSerName val="0"/>
          <c:showPercent val="0"/>
          <c:showBubbleSize val="0"/>
        </c:dLbls>
        <c:marker val="1"/>
        <c:smooth val="0"/>
        <c:axId val="53845376"/>
        <c:axId val="53851264"/>
      </c:lineChart>
      <c:catAx>
        <c:axId val="53845376"/>
        <c:scaling>
          <c:orientation val="minMax"/>
        </c:scaling>
        <c:delete val="1"/>
        <c:axPos val="b"/>
        <c:numFmt formatCode="General" sourceLinked="1"/>
        <c:majorTickMark val="cross"/>
        <c:minorTickMark val="cross"/>
        <c:tickLblPos val="nextTo"/>
        <c:crossAx val="53851264"/>
        <c:crosses val="autoZero"/>
        <c:auto val="1"/>
        <c:lblAlgn val="ctr"/>
        <c:lblOffset val="100"/>
        <c:noMultiLvlLbl val="1"/>
      </c:catAx>
      <c:valAx>
        <c:axId val="53851264"/>
        <c:scaling>
          <c:orientation val="minMax"/>
          <c:min val="15"/>
        </c:scaling>
        <c:delete val="1"/>
        <c:axPos val="l"/>
        <c:majorGridlines/>
        <c:numFmt formatCode="_-* #,##0.0_р_._-;\-* #,##0.0_р_._-;_-* &quot;-&quot;?_р_._-;_-@_-" sourceLinked="1"/>
        <c:majorTickMark val="cross"/>
        <c:minorTickMark val="cross"/>
        <c:tickLblPos val="nextTo"/>
        <c:crossAx val="53845376"/>
        <c:crosses val="autoZero"/>
        <c:crossBetween val="between"/>
      </c:valAx>
    </c:plotArea>
    <c:legend>
      <c:legendPos val="b"/>
      <c:overlay val="1"/>
    </c:legend>
    <c:plotVisOnly val="1"/>
    <c:dispBlanksAs val="gap"/>
    <c:showDLblsOverMax val="1"/>
  </c:chart>
  <c:externalData r:id="rId2">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465705542788014"/>
          <c:y val="9.5037763136750761E-2"/>
          <c:w val="0.78407766014894076"/>
          <c:h val="0.47913439391504642"/>
        </c:manualLayout>
      </c:layout>
      <c:barChart>
        <c:barDir val="col"/>
        <c:grouping val="percentStacked"/>
        <c:varyColors val="0"/>
        <c:ser>
          <c:idx val="1"/>
          <c:order val="0"/>
          <c:tx>
            <c:strRef>
              <c:f>Sheet1!$A$2</c:f>
              <c:strCache>
                <c:ptCount val="1"/>
                <c:pt idx="0">
                  <c:v>неисполненные</c:v>
                </c:pt>
              </c:strCache>
            </c:strRef>
          </c:tx>
          <c:spPr>
            <a:solidFill>
              <a:srgbClr val="99CCFF"/>
            </a:solidFill>
            <a:ln w="9542">
              <a:solidFill>
                <a:srgbClr val="000000"/>
              </a:solidFill>
              <a:prstDash val="solid"/>
            </a:ln>
          </c:spPr>
          <c:invertIfNegative val="1"/>
          <c:cat>
            <c:strRef>
              <c:f>Sheet1!$B$1:$E$1</c:f>
              <c:strCache>
                <c:ptCount val="4"/>
                <c:pt idx="0">
                  <c:v>количество</c:v>
                </c:pt>
                <c:pt idx="1">
                  <c:v>сумма (млрд.)</c:v>
                </c:pt>
                <c:pt idx="2">
                  <c:v>количество</c:v>
                </c:pt>
                <c:pt idx="3">
                  <c:v>сумма (млрд.)</c:v>
                </c:pt>
              </c:strCache>
            </c:strRef>
          </c:cat>
          <c:val>
            <c:numRef>
              <c:f>Sheet1!$B$2:$E$2</c:f>
              <c:numCache>
                <c:formatCode>#\ ##0.0</c:formatCode>
                <c:ptCount val="4"/>
                <c:pt idx="0" formatCode="General">
                  <c:v>16</c:v>
                </c:pt>
                <c:pt idx="1">
                  <c:v>12.683012928</c:v>
                </c:pt>
                <c:pt idx="2" formatCode="General">
                  <c:v>8</c:v>
                </c:pt>
                <c:pt idx="3">
                  <c:v>0.1</c:v>
                </c:pt>
              </c:numCache>
            </c:numRef>
          </c:val>
          <c:extLst>
            <c:ext xmlns:c14="http://schemas.microsoft.com/office/drawing/2007/8/2/chart" uri="{6F2FDCE9-48DA-4B69-8628-5D25D57E5C99}">
              <c14:invertSolidFillFmt>
                <c14:spPr xmlns:c14="http://schemas.microsoft.com/office/drawing/2007/8/2/chart">
                  <a:solidFill>
                    <a:srgbClr val="FFFFFF"/>
                  </a:solidFill>
                  <a:ln w="9542">
                    <a:solidFill>
                      <a:srgbClr val="000000"/>
                    </a:solidFill>
                    <a:prstDash val="solid"/>
                  </a:ln>
                </c14:spPr>
              </c14:invertSolidFillFmt>
            </c:ext>
            <c:ext xmlns:c16="http://schemas.microsoft.com/office/drawing/2014/chart" uri="{C3380CC4-5D6E-409C-BE32-E72D297353CC}">
              <c16:uniqueId val="{00000000-6E9B-4A8F-A3E9-E5FA21B37922}"/>
            </c:ext>
          </c:extLst>
        </c:ser>
        <c:ser>
          <c:idx val="2"/>
          <c:order val="1"/>
          <c:tx>
            <c:strRef>
              <c:f>Sheet1!$A$3</c:f>
              <c:strCache>
                <c:ptCount val="1"/>
                <c:pt idx="0">
                  <c:v>отозванные</c:v>
                </c:pt>
              </c:strCache>
            </c:strRef>
          </c:tx>
          <c:spPr>
            <a:solidFill>
              <a:srgbClr val="FFFFCC"/>
            </a:solidFill>
            <a:ln w="9542">
              <a:solidFill>
                <a:srgbClr val="000000"/>
              </a:solidFill>
              <a:prstDash val="solid"/>
            </a:ln>
          </c:spPr>
          <c:invertIfNegative val="1"/>
          <c:cat>
            <c:strRef>
              <c:f>Sheet1!$B$1:$E$1</c:f>
              <c:strCache>
                <c:ptCount val="4"/>
                <c:pt idx="0">
                  <c:v>количество</c:v>
                </c:pt>
                <c:pt idx="1">
                  <c:v>сумма (млрд.)</c:v>
                </c:pt>
                <c:pt idx="2">
                  <c:v>количество</c:v>
                </c:pt>
                <c:pt idx="3">
                  <c:v>сумма (млрд.)</c:v>
                </c:pt>
              </c:strCache>
            </c:strRef>
          </c:cat>
          <c:val>
            <c:numRef>
              <c:f>Sheet1!$B$3:$E$3</c:f>
              <c:numCache>
                <c:formatCode>#\ ##0.0</c:formatCode>
                <c:ptCount val="4"/>
                <c:pt idx="0" formatCode="General">
                  <c:v>4</c:v>
                </c:pt>
                <c:pt idx="1">
                  <c:v>3.8303565499999999</c:v>
                </c:pt>
                <c:pt idx="2" formatCode="General">
                  <c:v>4</c:v>
                </c:pt>
                <c:pt idx="3">
                  <c:v>3.7</c:v>
                </c:pt>
              </c:numCache>
            </c:numRef>
          </c:val>
          <c:extLst>
            <c:ext xmlns:c14="http://schemas.microsoft.com/office/drawing/2007/8/2/chart" uri="{6F2FDCE9-48DA-4B69-8628-5D25D57E5C99}">
              <c14:invertSolidFillFmt>
                <c14:spPr xmlns:c14="http://schemas.microsoft.com/office/drawing/2007/8/2/chart">
                  <a:solidFill>
                    <a:srgbClr val="FFFFFF"/>
                  </a:solidFill>
                  <a:ln w="9542">
                    <a:solidFill>
                      <a:srgbClr val="000000"/>
                    </a:solidFill>
                    <a:prstDash val="solid"/>
                  </a:ln>
                </c14:spPr>
              </c14:invertSolidFillFmt>
            </c:ext>
            <c:ext xmlns:c16="http://schemas.microsoft.com/office/drawing/2014/chart" uri="{C3380CC4-5D6E-409C-BE32-E72D297353CC}">
              <c16:uniqueId val="{00000001-6E9B-4A8F-A3E9-E5FA21B37922}"/>
            </c:ext>
          </c:extLst>
        </c:ser>
        <c:dLbls>
          <c:showLegendKey val="0"/>
          <c:showVal val="0"/>
          <c:showCatName val="0"/>
          <c:showSerName val="0"/>
          <c:showPercent val="0"/>
          <c:showBubbleSize val="0"/>
        </c:dLbls>
        <c:gapWidth val="150"/>
        <c:overlap val="100"/>
        <c:axId val="154012176"/>
        <c:axId val="1"/>
      </c:barChart>
      <c:catAx>
        <c:axId val="154012176"/>
        <c:scaling>
          <c:orientation val="minMax"/>
        </c:scaling>
        <c:delete val="1"/>
        <c:axPos val="b"/>
        <c:numFmt formatCode="General" sourceLinked="1"/>
        <c:majorTickMark val="out"/>
        <c:minorTickMark val="none"/>
        <c:tickLblPos val="nextTo"/>
        <c:crossAx val="1"/>
        <c:crosses val="autoZero"/>
        <c:auto val="1"/>
        <c:lblAlgn val="ctr"/>
        <c:lblOffset val="100"/>
        <c:noMultiLvlLbl val="1"/>
      </c:catAx>
      <c:valAx>
        <c:axId val="1"/>
        <c:scaling>
          <c:orientation val="minMax"/>
        </c:scaling>
        <c:delete val="1"/>
        <c:axPos val="l"/>
        <c:majorGridlines>
          <c:spPr>
            <a:ln w="9542">
              <a:solidFill>
                <a:srgbClr val="FFFFFF"/>
              </a:solidFill>
              <a:prstDash val="solid"/>
            </a:ln>
          </c:spPr>
        </c:majorGridlines>
        <c:numFmt formatCode="0%" sourceLinked="1"/>
        <c:majorTickMark val="out"/>
        <c:minorTickMark val="none"/>
        <c:tickLblPos val="nextTo"/>
        <c:crossAx val="154012176"/>
        <c:crosses val="autoZero"/>
        <c:crossBetween val="between"/>
      </c:valAx>
      <c:dTable>
        <c:showHorzBorder val="1"/>
        <c:showVertBorder val="1"/>
        <c:showOutline val="1"/>
        <c:showKeys val="1"/>
        <c:spPr>
          <a:ln w="2386">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solidFill>
          <a:srgbClr val="FFFFFF"/>
        </a:solidFill>
        <a:ln w="9542">
          <a:solidFill>
            <a:srgbClr val="000000"/>
          </a:solidFill>
          <a:prstDash val="solid"/>
        </a:ln>
      </c:spPr>
    </c:plotArea>
    <c:legend>
      <c:legendPos val="b"/>
      <c:layout>
        <c:manualLayout>
          <c:xMode val="edge"/>
          <c:yMode val="edge"/>
          <c:wMode val="edge"/>
          <c:hMode val="edge"/>
          <c:x val="0.2574826120802971"/>
          <c:y val="0.86261902746027719"/>
          <c:w val="0.73825070083419475"/>
          <c:h val="0.96065814353850931"/>
        </c:manualLayout>
      </c:layout>
      <c:overlay val="1"/>
      <c:spPr>
        <a:noFill/>
        <a:ln w="19085">
          <a:noFill/>
        </a:ln>
      </c:spPr>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gap"/>
    <c:showDLblsOverMax val="1"/>
  </c:chart>
  <c:spPr>
    <a:noFill/>
    <a:ln>
      <a:noFill/>
    </a:ln>
  </c:spPr>
  <c:txPr>
    <a:bodyPr/>
    <a:lstStyle/>
    <a:p>
      <a:pPr>
        <a:defRPr sz="600" b="0" i="0" u="none" strike="noStrike" baseline="0">
          <a:solidFill>
            <a:srgbClr val="000000"/>
          </a:solidFill>
          <a:latin typeface="Times New Roman"/>
          <a:ea typeface="Times New Roman"/>
          <a:cs typeface="Times New Roman"/>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45" b="1" i="0" u="none" strike="noStrike" baseline="0">
                <a:solidFill>
                  <a:srgbClr val="000000"/>
                </a:solidFill>
                <a:latin typeface="Times New Roman"/>
                <a:ea typeface="Times New Roman"/>
                <a:cs typeface="Times New Roman"/>
              </a:defRPr>
            </a:pPr>
            <a:r>
              <a:rPr lang="ru-RU"/>
              <a:t>Структура объемов платежей с сипользованием платежных карточек казахстанских эмитентов (млн. тенге)</a:t>
            </a:r>
          </a:p>
        </c:rich>
      </c:tx>
      <c:layout>
        <c:manualLayout>
          <c:xMode val="edge"/>
          <c:yMode val="edge"/>
          <c:x val="0.13461527632724754"/>
          <c:y val="1.8867707124210154E-2"/>
        </c:manualLayout>
      </c:layout>
      <c:overlay val="1"/>
      <c:spPr>
        <a:noFill/>
        <a:ln w="24124">
          <a:noFill/>
        </a:ln>
      </c:spPr>
    </c:title>
    <c:autoTitleDeleted val="0"/>
    <c:plotArea>
      <c:layout>
        <c:manualLayout>
          <c:layoutTarget val="inner"/>
          <c:xMode val="edge"/>
          <c:yMode val="edge"/>
          <c:x val="0.13506815365551428"/>
          <c:y val="0.25378787878787878"/>
          <c:w val="0.86493184634448572"/>
          <c:h val="0.39015151515151514"/>
        </c:manualLayout>
      </c:layout>
      <c:barChart>
        <c:barDir val="col"/>
        <c:grouping val="percentStacked"/>
        <c:varyColors val="0"/>
        <c:ser>
          <c:idx val="1"/>
          <c:order val="0"/>
          <c:tx>
            <c:strRef>
              <c:f>Sheet1!$A$2</c:f>
              <c:strCache>
                <c:ptCount val="1"/>
                <c:pt idx="0">
                  <c:v>безналичные </c:v>
                </c:pt>
              </c:strCache>
            </c:strRef>
          </c:tx>
          <c:spPr>
            <a:solidFill>
              <a:srgbClr val="99CCFF"/>
            </a:solidFill>
            <a:ln w="12071">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Sheet1!$B$2:$F$2</c:f>
              <c:numCache>
                <c:formatCode>#,##0.00</c:formatCode>
                <c:ptCount val="5"/>
                <c:pt idx="0">
                  <c:v>411119</c:v>
                </c:pt>
                <c:pt idx="1">
                  <c:v>584537.19999999995</c:v>
                </c:pt>
                <c:pt idx="2">
                  <c:v>769412.3</c:v>
                </c:pt>
                <c:pt idx="3">
                  <c:v>921774.2</c:v>
                </c:pt>
                <c:pt idx="4">
                  <c:v>988945.6</c:v>
                </c:pt>
              </c:numCache>
            </c:numRef>
          </c:val>
          <c:extLst>
            <c:ext xmlns:c14="http://schemas.microsoft.com/office/drawing/2007/8/2/chart" uri="{6F2FDCE9-48DA-4B69-8628-5D25D57E5C99}">
              <c14:invertSolidFillFmt>
                <c14:spPr xmlns:c14="http://schemas.microsoft.com/office/drawing/2007/8/2/chart">
                  <a:solidFill>
                    <a:srgbClr val="FFFFFF"/>
                  </a:solidFill>
                  <a:ln w="12071">
                    <a:solidFill>
                      <a:srgbClr val="000000"/>
                    </a:solidFill>
                    <a:prstDash val="solid"/>
                  </a:ln>
                </c14:spPr>
              </c14:invertSolidFillFmt>
            </c:ext>
            <c:ext xmlns:c16="http://schemas.microsoft.com/office/drawing/2014/chart" uri="{C3380CC4-5D6E-409C-BE32-E72D297353CC}">
              <c16:uniqueId val="{00000000-4D2E-46D4-B1EF-B76EF2A1C2BF}"/>
            </c:ext>
          </c:extLst>
        </c:ser>
        <c:ser>
          <c:idx val="2"/>
          <c:order val="1"/>
          <c:tx>
            <c:strRef>
              <c:f>Sheet1!$A$3</c:f>
              <c:strCache>
                <c:ptCount val="1"/>
                <c:pt idx="0">
                  <c:v>наличные</c:v>
                </c:pt>
              </c:strCache>
            </c:strRef>
          </c:tx>
          <c:spPr>
            <a:solidFill>
              <a:srgbClr val="FFFFCC"/>
            </a:solidFill>
            <a:ln w="12071">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Sheet1!$B$3:$F$3</c:f>
              <c:numCache>
                <c:formatCode>#,##0.00</c:formatCode>
                <c:ptCount val="5"/>
                <c:pt idx="0">
                  <c:v>2935089.4</c:v>
                </c:pt>
                <c:pt idx="1">
                  <c:v>3762967.5</c:v>
                </c:pt>
                <c:pt idx="2">
                  <c:v>4793144.8</c:v>
                </c:pt>
                <c:pt idx="3">
                  <c:v>5615529.5</c:v>
                </c:pt>
                <c:pt idx="4">
                  <c:v>6745720.9000000004</c:v>
                </c:pt>
              </c:numCache>
            </c:numRef>
          </c:val>
          <c:extLst>
            <c:ext xmlns:c14="http://schemas.microsoft.com/office/drawing/2007/8/2/chart" uri="{6F2FDCE9-48DA-4B69-8628-5D25D57E5C99}">
              <c14:invertSolidFillFmt>
                <c14:spPr xmlns:c14="http://schemas.microsoft.com/office/drawing/2007/8/2/chart">
                  <a:solidFill>
                    <a:srgbClr val="FFFFFF"/>
                  </a:solidFill>
                  <a:ln w="12071">
                    <a:solidFill>
                      <a:srgbClr val="000000"/>
                    </a:solidFill>
                    <a:prstDash val="solid"/>
                  </a:ln>
                </c14:spPr>
              </c14:invertSolidFillFmt>
            </c:ext>
            <c:ext xmlns:c16="http://schemas.microsoft.com/office/drawing/2014/chart" uri="{C3380CC4-5D6E-409C-BE32-E72D297353CC}">
              <c16:uniqueId val="{00000001-4D2E-46D4-B1EF-B76EF2A1C2BF}"/>
            </c:ext>
          </c:extLst>
        </c:ser>
        <c:dLbls>
          <c:showLegendKey val="0"/>
          <c:showVal val="0"/>
          <c:showCatName val="0"/>
          <c:showSerName val="0"/>
          <c:showPercent val="0"/>
          <c:showBubbleSize val="0"/>
        </c:dLbls>
        <c:gapWidth val="150"/>
        <c:overlap val="100"/>
        <c:axId val="154011344"/>
        <c:axId val="1"/>
      </c:barChart>
      <c:catAx>
        <c:axId val="154011344"/>
        <c:scaling>
          <c:orientation val="minMax"/>
        </c:scaling>
        <c:delete val="1"/>
        <c:axPos val="b"/>
        <c:numFmt formatCode="General" sourceLinked="1"/>
        <c:majorTickMark val="out"/>
        <c:minorTickMark val="none"/>
        <c:tickLblPos val="nextTo"/>
        <c:crossAx val="1"/>
        <c:crosses val="autoZero"/>
        <c:auto val="1"/>
        <c:lblAlgn val="ctr"/>
        <c:lblOffset val="100"/>
        <c:noMultiLvlLbl val="1"/>
      </c:catAx>
      <c:valAx>
        <c:axId val="1"/>
        <c:scaling>
          <c:orientation val="minMax"/>
        </c:scaling>
        <c:delete val="1"/>
        <c:axPos val="l"/>
        <c:majorGridlines>
          <c:spPr>
            <a:ln w="12071">
              <a:solidFill>
                <a:srgbClr val="FFFFFF"/>
              </a:solidFill>
              <a:prstDash val="solid"/>
            </a:ln>
          </c:spPr>
        </c:majorGridlines>
        <c:numFmt formatCode="0%" sourceLinked="1"/>
        <c:majorTickMark val="out"/>
        <c:minorTickMark val="none"/>
        <c:tickLblPos val="nextTo"/>
        <c:crossAx val="154011344"/>
        <c:crosses val="autoZero"/>
        <c:crossBetween val="between"/>
      </c:valAx>
      <c:dTable>
        <c:showHorzBorder val="1"/>
        <c:showVertBorder val="1"/>
        <c:showOutline val="1"/>
        <c:showKeys val="1"/>
        <c:spPr>
          <a:ln w="3018">
            <a:solidFill>
              <a:srgbClr val="000000"/>
            </a:solidFill>
            <a:prstDash val="solid"/>
          </a:ln>
        </c:spPr>
        <c:txPr>
          <a:bodyPr/>
          <a:lstStyle/>
          <a:p>
            <a:pPr>
              <a:defRPr sz="760" b="0" i="0" u="none" strike="noStrike" baseline="0">
                <a:solidFill>
                  <a:srgbClr val="000000"/>
                </a:solidFill>
                <a:latin typeface="Times New Roman"/>
                <a:ea typeface="Times New Roman"/>
                <a:cs typeface="Times New Roman"/>
              </a:defRPr>
            </a:pPr>
            <a:endParaRPr lang="ru-RU"/>
          </a:p>
        </c:txPr>
      </c:dTable>
      <c:spPr>
        <a:solidFill>
          <a:srgbClr val="FFFFFF"/>
        </a:solidFill>
        <a:ln w="12071">
          <a:solidFill>
            <a:srgbClr val="000000"/>
          </a:solidFill>
          <a:prstDash val="solid"/>
        </a:ln>
      </c:spPr>
    </c:plotArea>
    <c:legend>
      <c:legendPos val="b"/>
      <c:layout>
        <c:manualLayout>
          <c:xMode val="edge"/>
          <c:yMode val="edge"/>
          <c:x val="0.30914826498422715"/>
          <c:y val="0.87142857142857144"/>
          <c:w val="0.42902208201892744"/>
          <c:h val="8.5714285714285715E-2"/>
        </c:manualLayout>
      </c:layout>
      <c:overlay val="1"/>
      <c:spPr>
        <a:noFill/>
        <a:ln w="24143">
          <a:noFill/>
        </a:ln>
      </c:spPr>
      <c:txPr>
        <a:bodyPr/>
        <a:lstStyle/>
        <a:p>
          <a:pPr>
            <a:defRPr sz="959" b="0" i="0" u="none" strike="noStrike" baseline="0">
              <a:solidFill>
                <a:srgbClr val="000000"/>
              </a:solidFill>
              <a:latin typeface="Times New Roman"/>
              <a:ea typeface="Times New Roman"/>
              <a:cs typeface="Times New Roman"/>
            </a:defRPr>
          </a:pPr>
          <a:endParaRPr lang="ru-RU"/>
        </a:p>
      </c:txPr>
    </c:legend>
    <c:plotVisOnly val="1"/>
    <c:dispBlanksAs val="gap"/>
    <c:showDLblsOverMax val="1"/>
  </c:chart>
  <c:spPr>
    <a:noFill/>
    <a:ln>
      <a:noFill/>
    </a:ln>
  </c:spPr>
  <c:txPr>
    <a:bodyPr/>
    <a:lstStyle/>
    <a:p>
      <a:pPr>
        <a:defRPr sz="76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47" b="1" i="0" u="none" strike="noStrike" baseline="0">
                <a:solidFill>
                  <a:srgbClr val="000000"/>
                </a:solidFill>
                <a:latin typeface="Times New Roman"/>
                <a:ea typeface="Times New Roman"/>
                <a:cs typeface="Times New Roman"/>
              </a:defRPr>
            </a:pPr>
            <a:r>
              <a:rPr lang="ru-RU"/>
              <a:t>Структура количества платежей с сипользованием платежных карточек казахстанских эмитентов (тыс. транзакций)</a:t>
            </a:r>
          </a:p>
        </c:rich>
      </c:tx>
      <c:layout>
        <c:manualLayout>
          <c:xMode val="edge"/>
          <c:yMode val="edge"/>
          <c:x val="0.16396109810287876"/>
          <c:y val="1.9607811459125983E-2"/>
        </c:manualLayout>
      </c:layout>
      <c:overlay val="1"/>
      <c:spPr>
        <a:noFill/>
        <a:ln w="24166">
          <a:noFill/>
        </a:ln>
      </c:spPr>
    </c:title>
    <c:autoTitleDeleted val="0"/>
    <c:plotArea>
      <c:layout>
        <c:manualLayout>
          <c:layoutTarget val="inner"/>
          <c:xMode val="edge"/>
          <c:yMode val="edge"/>
          <c:x val="0.14155844155844158"/>
          <c:y val="0.21810699588477367"/>
          <c:w val="0.85844155844155845"/>
          <c:h val="0.40740740740740744"/>
        </c:manualLayout>
      </c:layout>
      <c:barChart>
        <c:barDir val="col"/>
        <c:grouping val="percentStacked"/>
        <c:varyColors val="0"/>
        <c:ser>
          <c:idx val="1"/>
          <c:order val="0"/>
          <c:tx>
            <c:strRef>
              <c:f>Sheet1!$A$2</c:f>
              <c:strCache>
                <c:ptCount val="1"/>
                <c:pt idx="0">
                  <c:v>безналичные </c:v>
                </c:pt>
              </c:strCache>
            </c:strRef>
          </c:tx>
          <c:spPr>
            <a:solidFill>
              <a:srgbClr val="99CCFF"/>
            </a:solidFill>
            <a:ln w="12039">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Sheet1!$B$2:$F$2</c:f>
              <c:numCache>
                <c:formatCode>#,##0.00</c:formatCode>
                <c:ptCount val="5"/>
                <c:pt idx="0">
                  <c:v>25567.4</c:v>
                </c:pt>
                <c:pt idx="1">
                  <c:v>30772.400000000001</c:v>
                </c:pt>
                <c:pt idx="2">
                  <c:v>41214.699999999997</c:v>
                </c:pt>
                <c:pt idx="3">
                  <c:v>54099.199999999997</c:v>
                </c:pt>
                <c:pt idx="4">
                  <c:v>64746.8</c:v>
                </c:pt>
              </c:numCache>
            </c:numRef>
          </c:val>
          <c:extLst>
            <c:ext xmlns:c14="http://schemas.microsoft.com/office/drawing/2007/8/2/chart" uri="{6F2FDCE9-48DA-4B69-8628-5D25D57E5C99}">
              <c14:invertSolidFillFmt>
                <c14:spPr xmlns:c14="http://schemas.microsoft.com/office/drawing/2007/8/2/chart">
                  <a:solidFill>
                    <a:srgbClr val="FFFFFF"/>
                  </a:solidFill>
                  <a:ln w="12039">
                    <a:solidFill>
                      <a:srgbClr val="000000"/>
                    </a:solidFill>
                    <a:prstDash val="solid"/>
                  </a:ln>
                </c14:spPr>
              </c14:invertSolidFillFmt>
            </c:ext>
            <c:ext xmlns:c16="http://schemas.microsoft.com/office/drawing/2014/chart" uri="{C3380CC4-5D6E-409C-BE32-E72D297353CC}">
              <c16:uniqueId val="{00000000-CCDF-478B-B158-FA28EBED2A6F}"/>
            </c:ext>
          </c:extLst>
        </c:ser>
        <c:ser>
          <c:idx val="2"/>
          <c:order val="1"/>
          <c:tx>
            <c:strRef>
              <c:f>Sheet1!$A$3</c:f>
              <c:strCache>
                <c:ptCount val="1"/>
                <c:pt idx="0">
                  <c:v>наличные</c:v>
                </c:pt>
              </c:strCache>
            </c:strRef>
          </c:tx>
          <c:spPr>
            <a:solidFill>
              <a:srgbClr val="FFFFCC"/>
            </a:solidFill>
            <a:ln w="12039">
              <a:solidFill>
                <a:srgbClr val="000000"/>
              </a:solidFill>
              <a:prstDash val="solid"/>
            </a:ln>
          </c:spPr>
          <c:invertIfNegative val="1"/>
          <c:cat>
            <c:numRef>
              <c:f>Sheet1!$B$1:$F$1</c:f>
              <c:numCache>
                <c:formatCode>General</c:formatCode>
                <c:ptCount val="5"/>
                <c:pt idx="0">
                  <c:v>2010</c:v>
                </c:pt>
                <c:pt idx="1">
                  <c:v>2011</c:v>
                </c:pt>
                <c:pt idx="2">
                  <c:v>2012</c:v>
                </c:pt>
                <c:pt idx="3">
                  <c:v>2013</c:v>
                </c:pt>
                <c:pt idx="4">
                  <c:v>2014</c:v>
                </c:pt>
              </c:numCache>
            </c:numRef>
          </c:cat>
          <c:val>
            <c:numRef>
              <c:f>Sheet1!$B$3:$F$3</c:f>
              <c:numCache>
                <c:formatCode>#,##0.00</c:formatCode>
                <c:ptCount val="5"/>
                <c:pt idx="0">
                  <c:v>110710</c:v>
                </c:pt>
                <c:pt idx="1">
                  <c:v>124899.3</c:v>
                </c:pt>
                <c:pt idx="2">
                  <c:v>146431.20000000001</c:v>
                </c:pt>
                <c:pt idx="3">
                  <c:v>160977</c:v>
                </c:pt>
                <c:pt idx="4">
                  <c:v>175944.2</c:v>
                </c:pt>
              </c:numCache>
            </c:numRef>
          </c:val>
          <c:extLst>
            <c:ext xmlns:c14="http://schemas.microsoft.com/office/drawing/2007/8/2/chart" uri="{6F2FDCE9-48DA-4B69-8628-5D25D57E5C99}">
              <c14:invertSolidFillFmt>
                <c14:spPr xmlns:c14="http://schemas.microsoft.com/office/drawing/2007/8/2/chart">
                  <a:solidFill>
                    <a:srgbClr val="FFFFFF"/>
                  </a:solidFill>
                  <a:ln w="12039">
                    <a:solidFill>
                      <a:srgbClr val="000000"/>
                    </a:solidFill>
                    <a:prstDash val="solid"/>
                  </a:ln>
                </c14:spPr>
              </c14:invertSolidFillFmt>
            </c:ext>
            <c:ext xmlns:c16="http://schemas.microsoft.com/office/drawing/2014/chart" uri="{C3380CC4-5D6E-409C-BE32-E72D297353CC}">
              <c16:uniqueId val="{00000001-CCDF-478B-B158-FA28EBED2A6F}"/>
            </c:ext>
          </c:extLst>
        </c:ser>
        <c:dLbls>
          <c:showLegendKey val="0"/>
          <c:showVal val="0"/>
          <c:showCatName val="0"/>
          <c:showSerName val="0"/>
          <c:showPercent val="0"/>
          <c:showBubbleSize val="0"/>
        </c:dLbls>
        <c:gapWidth val="150"/>
        <c:overlap val="100"/>
        <c:axId val="154011760"/>
        <c:axId val="1"/>
      </c:barChart>
      <c:catAx>
        <c:axId val="154011760"/>
        <c:scaling>
          <c:orientation val="minMax"/>
        </c:scaling>
        <c:delete val="1"/>
        <c:axPos val="b"/>
        <c:numFmt formatCode="General" sourceLinked="1"/>
        <c:majorTickMark val="out"/>
        <c:minorTickMark val="none"/>
        <c:tickLblPos val="nextTo"/>
        <c:crossAx val="1"/>
        <c:crosses val="autoZero"/>
        <c:auto val="1"/>
        <c:lblAlgn val="ctr"/>
        <c:lblOffset val="100"/>
        <c:noMultiLvlLbl val="1"/>
      </c:catAx>
      <c:valAx>
        <c:axId val="1"/>
        <c:scaling>
          <c:orientation val="minMax"/>
        </c:scaling>
        <c:delete val="1"/>
        <c:axPos val="l"/>
        <c:majorGridlines>
          <c:spPr>
            <a:ln w="12039">
              <a:solidFill>
                <a:srgbClr val="FFFFFF"/>
              </a:solidFill>
              <a:prstDash val="solid"/>
            </a:ln>
          </c:spPr>
        </c:majorGridlines>
        <c:numFmt formatCode="0%" sourceLinked="1"/>
        <c:majorTickMark val="out"/>
        <c:minorTickMark val="none"/>
        <c:tickLblPos val="nextTo"/>
        <c:crossAx val="154011760"/>
        <c:crosses val="autoZero"/>
        <c:crossBetween val="between"/>
      </c:valAx>
      <c:dTable>
        <c:showHorzBorder val="1"/>
        <c:showVertBorder val="1"/>
        <c:showOutline val="1"/>
        <c:showKeys val="1"/>
        <c:spPr>
          <a:ln w="3010">
            <a:solidFill>
              <a:srgbClr val="000000"/>
            </a:solidFill>
            <a:prstDash val="solid"/>
          </a:ln>
        </c:spPr>
        <c:txPr>
          <a:bodyPr/>
          <a:lstStyle/>
          <a:p>
            <a:pPr>
              <a:defRPr sz="761" b="0" i="0" u="none" strike="noStrike" baseline="0">
                <a:solidFill>
                  <a:srgbClr val="000000"/>
                </a:solidFill>
                <a:latin typeface="Times New Roman"/>
                <a:ea typeface="Times New Roman"/>
                <a:cs typeface="Times New Roman"/>
              </a:defRPr>
            </a:pPr>
            <a:endParaRPr lang="ru-RU"/>
          </a:p>
        </c:txPr>
      </c:dTable>
      <c:spPr>
        <a:solidFill>
          <a:srgbClr val="FFFFFF"/>
        </a:solidFill>
        <a:ln w="12039">
          <a:solidFill>
            <a:srgbClr val="000000"/>
          </a:solidFill>
          <a:prstDash val="solid"/>
        </a:ln>
      </c:spPr>
    </c:plotArea>
    <c:legend>
      <c:legendPos val="b"/>
      <c:layout>
        <c:manualLayout>
          <c:xMode val="edge"/>
          <c:yMode val="edge"/>
          <c:x val="0.20745542949756887"/>
          <c:y val="0.86734693877551017"/>
          <c:w val="0.52512155591572118"/>
          <c:h val="0.10204081632653061"/>
        </c:manualLayout>
      </c:layout>
      <c:overlay val="1"/>
      <c:spPr>
        <a:noFill/>
        <a:ln w="24078">
          <a:noFill/>
        </a:ln>
      </c:spPr>
      <c:txPr>
        <a:bodyPr/>
        <a:lstStyle/>
        <a:p>
          <a:pPr>
            <a:defRPr sz="961" b="0" i="0" u="none" strike="noStrike" baseline="0">
              <a:solidFill>
                <a:srgbClr val="000000"/>
              </a:solidFill>
              <a:latin typeface="Times New Roman"/>
              <a:ea typeface="Times New Roman"/>
              <a:cs typeface="Times New Roman"/>
            </a:defRPr>
          </a:pPr>
          <a:endParaRPr lang="ru-RU"/>
        </a:p>
      </c:txPr>
    </c:legend>
    <c:plotVisOnly val="1"/>
    <c:dispBlanksAs val="gap"/>
    <c:showDLblsOverMax val="1"/>
  </c:chart>
  <c:spPr>
    <a:noFill/>
    <a:ln>
      <a:noFill/>
    </a:ln>
  </c:spPr>
  <c:txPr>
    <a:bodyPr/>
    <a:lstStyle/>
    <a:p>
      <a:pPr>
        <a:defRPr sz="761"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0.07005</cdr:y>
    </cdr:from>
    <cdr:to>
      <cdr:x>0.31183</cdr:x>
      <cdr:y>0.23569</cdr:y>
    </cdr:to>
    <cdr:sp macro="" textlink="">
      <cdr:nvSpPr>
        <cdr:cNvPr id="2" name="Надпись 2"/>
        <cdr:cNvSpPr txBox="1">
          <a:spLocks xmlns:a="http://schemas.openxmlformats.org/drawingml/2006/main" noChangeArrowheads="1"/>
        </cdr:cNvSpPr>
      </cdr:nvSpPr>
      <cdr:spPr bwMode="auto">
        <a:xfrm xmlns:a="http://schemas.openxmlformats.org/drawingml/2006/main">
          <a:off x="0" y="101418"/>
          <a:ext cx="902935" cy="2398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ru-RU" sz="1000">
              <a:latin typeface="Times New Roman" pitchFamily="18" charset="0"/>
              <a:cs typeface="Times New Roman" pitchFamily="18" charset="0"/>
            </a:rPr>
            <a:t>тыс.</a:t>
          </a:r>
          <a:r>
            <a:rPr lang="ru-RU" sz="1000" baseline="0">
              <a:latin typeface="Times New Roman" pitchFamily="18" charset="0"/>
              <a:cs typeface="Times New Roman" pitchFamily="18" charset="0"/>
            </a:rPr>
            <a:t> тр.</a:t>
          </a:r>
          <a:endParaRPr lang="ru-RU" sz="10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0.05089</cdr:y>
    </cdr:from>
    <cdr:to>
      <cdr:x>0.31183</cdr:x>
      <cdr:y>0.22452</cdr:y>
    </cdr:to>
    <cdr:sp macro="" textlink="">
      <cdr:nvSpPr>
        <cdr:cNvPr id="2" name="Надпись 2"/>
        <cdr:cNvSpPr txBox="1">
          <a:spLocks xmlns:a="http://schemas.openxmlformats.org/drawingml/2006/main" noChangeArrowheads="1"/>
        </cdr:cNvSpPr>
      </cdr:nvSpPr>
      <cdr:spPr bwMode="auto">
        <a:xfrm xmlns:a="http://schemas.openxmlformats.org/drawingml/2006/main">
          <a:off x="0" y="70285"/>
          <a:ext cx="938577" cy="2398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ru-RU" sz="1000">
              <a:latin typeface="Times New Roman" pitchFamily="18" charset="0"/>
              <a:cs typeface="Times New Roman" pitchFamily="18" charset="0"/>
            </a:rPr>
            <a:t>млрд. тг.</a:t>
          </a:r>
        </a:p>
      </cdr:txBody>
    </cdr:sp>
  </cdr:relSizeAnchor>
</c:userShapes>
</file>

<file path=word/drawings/drawing3.xml><?xml version="1.0" encoding="utf-8"?>
<c:userShapes xmlns:c="http://schemas.openxmlformats.org/drawingml/2006/chart">
  <cdr:relSizeAnchor xmlns:cdr="http://schemas.openxmlformats.org/drawingml/2006/chartDrawing">
    <cdr:from>
      <cdr:x>0.357</cdr:x>
      <cdr:y>0</cdr:y>
    </cdr:from>
    <cdr:to>
      <cdr:x>0.40815</cdr:x>
      <cdr:y>0.10456</cdr:y>
    </cdr:to>
    <cdr:sp macro="" textlink="">
      <cdr:nvSpPr>
        <cdr:cNvPr id="1025" name="Text Box 1"/>
        <cdr:cNvSpPr txBox="1">
          <a:spLocks xmlns:a="http://schemas.openxmlformats.org/drawingml/2006/main" noChangeArrowheads="1"/>
        </cdr:cNvSpPr>
      </cdr:nvSpPr>
      <cdr:spPr bwMode="auto">
        <a:xfrm xmlns:a="http://schemas.openxmlformats.org/drawingml/2006/main">
          <a:off x="2098062" y="0"/>
          <a:ext cx="300595" cy="18524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ru-RU" sz="1100" b="0" i="0" u="none" strike="noStrike" baseline="0">
              <a:solidFill>
                <a:srgbClr val="000000"/>
              </a:solidFill>
              <a:latin typeface="Times New Roman"/>
              <a:ea typeface="+mn-ea"/>
              <a:cs typeface="Times New Roman"/>
            </a:rPr>
            <a:t>2013</a:t>
          </a:r>
          <a:endParaRPr lang="ru-RU" sz="1100" b="0" i="0" u="none" strike="noStrike" baseline="0">
            <a:solidFill>
              <a:srgbClr val="000000"/>
            </a:solidFill>
            <a:latin typeface="Times New Roman"/>
            <a:cs typeface="Times New Roman"/>
          </a:endParaRPr>
        </a:p>
      </cdr:txBody>
    </cdr:sp>
  </cdr:relSizeAnchor>
  <cdr:relSizeAnchor xmlns:cdr="http://schemas.openxmlformats.org/drawingml/2006/chartDrawing">
    <cdr:from>
      <cdr:x>0.77275</cdr:x>
      <cdr:y>0</cdr:y>
    </cdr:from>
    <cdr:to>
      <cdr:x>0.8239</cdr:x>
      <cdr:y>0.10195</cdr:y>
    </cdr:to>
    <cdr:sp macro="" textlink="">
      <cdr:nvSpPr>
        <cdr:cNvPr id="1026" name="Text Box 2"/>
        <cdr:cNvSpPr txBox="1">
          <a:spLocks xmlns:a="http://schemas.openxmlformats.org/drawingml/2006/main" noChangeArrowheads="1"/>
        </cdr:cNvSpPr>
      </cdr:nvSpPr>
      <cdr:spPr bwMode="auto">
        <a:xfrm xmlns:a="http://schemas.openxmlformats.org/drawingml/2006/main">
          <a:off x="4541394" y="0"/>
          <a:ext cx="300595" cy="18062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ru-RU" sz="1100" b="0" i="0" u="none" strike="noStrike" baseline="0">
              <a:solidFill>
                <a:srgbClr val="000000"/>
              </a:solidFill>
              <a:latin typeface="Times New Roman"/>
              <a:ea typeface="+mn-ea"/>
              <a:cs typeface="Times New Roman"/>
            </a:rPr>
            <a:t>2014</a:t>
          </a:r>
          <a:endParaRPr lang="ru-RU" sz="1100" b="0" i="0" u="none" strike="noStrike" baseline="0">
            <a:solidFill>
              <a:srgbClr val="000000"/>
            </a:solidFill>
            <a:latin typeface="Times New Roman"/>
            <a:cs typeface="Times New Roman"/>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0.02208</cdr:x>
      <cdr:y>0.09455</cdr:y>
    </cdr:from>
    <cdr:to>
      <cdr:x>0.28076</cdr:x>
      <cdr:y>0.20727</cdr:y>
    </cdr:to>
    <cdr:sp macro="" textlink="">
      <cdr:nvSpPr>
        <cdr:cNvPr id="2" name="Прямоугольник 1"/>
        <cdr:cNvSpPr/>
      </cdr:nvSpPr>
      <cdr:spPr>
        <a:xfrm xmlns:a="http://schemas.openxmlformats.org/drawingml/2006/main">
          <a:off x="66675" y="247650"/>
          <a:ext cx="781050" cy="29527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1000">
              <a:latin typeface="Times New Roman" pitchFamily="18" charset="0"/>
              <a:cs typeface="Times New Roman" pitchFamily="18" charset="0"/>
            </a:rPr>
            <a:t>тыс. тр.</a:t>
          </a:r>
        </a:p>
      </cdr:txBody>
    </cdr:sp>
  </cdr:relSizeAnchor>
</c:userShapes>
</file>

<file path=word/drawings/drawing5.xml><?xml version="1.0" encoding="utf-8"?>
<c:userShapes xmlns:c="http://schemas.openxmlformats.org/drawingml/2006/chart">
  <cdr:relSizeAnchor xmlns:cdr="http://schemas.openxmlformats.org/drawingml/2006/chartDrawing">
    <cdr:from>
      <cdr:x>0.0303</cdr:x>
      <cdr:y>0.05597</cdr:y>
    </cdr:from>
    <cdr:to>
      <cdr:x>0.28485</cdr:x>
      <cdr:y>0.16418</cdr:y>
    </cdr:to>
    <cdr:sp macro="" textlink="">
      <cdr:nvSpPr>
        <cdr:cNvPr id="2" name="Прямоугольник 1"/>
        <cdr:cNvSpPr/>
      </cdr:nvSpPr>
      <cdr:spPr>
        <a:xfrm xmlns:a="http://schemas.openxmlformats.org/drawingml/2006/main">
          <a:off x="95250" y="142875"/>
          <a:ext cx="800100" cy="27622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900">
              <a:latin typeface="Times New Roman" pitchFamily="18" charset="0"/>
              <a:cs typeface="Times New Roman" pitchFamily="18" charset="0"/>
            </a:rPr>
            <a:t>млн. тенге</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3296D-0B7B-41E0-AEB3-1BB1CDC3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7389</Words>
  <Characters>42121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Тасхожаеву Е</vt:lpstr>
    </vt:vector>
  </TitlesOfParts>
  <Company>Microsoft</Company>
  <LinksUpToDate>false</LinksUpToDate>
  <CharactersWithSpaces>49412</CharactersWithSpaces>
  <SharedDoc>false</SharedDoc>
  <HLinks>
    <vt:vector size="12" baseType="variant">
      <vt:variant>
        <vt:i4>2883626</vt:i4>
      </vt:variant>
      <vt:variant>
        <vt:i4>3</vt:i4>
      </vt:variant>
      <vt:variant>
        <vt:i4>0</vt:i4>
      </vt:variant>
      <vt:variant>
        <vt:i4>5</vt:i4>
      </vt:variant>
      <vt:variant>
        <vt:lpwstr>http://www.stat.gov.kz/</vt:lpwstr>
      </vt:variant>
      <vt:variant>
        <vt:lpwstr/>
      </vt:variant>
      <vt:variant>
        <vt:i4>2883626</vt:i4>
      </vt:variant>
      <vt:variant>
        <vt:i4>0</vt:i4>
      </vt:variant>
      <vt:variant>
        <vt:i4>0</vt:i4>
      </vt:variant>
      <vt:variant>
        <vt:i4>5</vt:i4>
      </vt:variant>
      <vt:variant>
        <vt:lpwstr>http://www.stat.gov.kz/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Тасхожаеву Е</dc:title>
  <dc:subject/>
  <dc:creator>PS_Gulsana_D</dc:creator>
  <cp:keywords/>
  <cp:lastModifiedBy>Владимир Мушегов</cp:lastModifiedBy>
  <cp:revision>2</cp:revision>
  <cp:lastPrinted>2013-07-23T08:54:00Z</cp:lastPrinted>
  <dcterms:created xsi:type="dcterms:W3CDTF">2019-11-14T10:47:00Z</dcterms:created>
  <dcterms:modified xsi:type="dcterms:W3CDTF">2019-11-14T10:47:00Z</dcterms:modified>
</cp:coreProperties>
</file>