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789" w:rsidRPr="00C56F6D" w:rsidRDefault="00F65EDB" w:rsidP="001F1919">
      <w:pPr>
        <w:jc w:val="center"/>
        <w:rPr>
          <w:b/>
          <w:spacing w:val="4"/>
          <w:sz w:val="28"/>
          <w:szCs w:val="28"/>
          <w:lang w:val="kk-KZ"/>
          <w14:shadow w14:blurRad="50800" w14:dist="38100" w14:dir="2700000" w14:sx="100000" w14:sy="100000" w14:kx="0" w14:ky="0" w14:algn="tl">
            <w14:srgbClr w14:val="000000">
              <w14:alpha w14:val="60000"/>
            </w14:srgbClr>
          </w14:shadow>
        </w:rPr>
      </w:pPr>
      <w:bookmarkStart w:id="0" w:name="_GoBack"/>
      <w:bookmarkEnd w:id="0"/>
      <w:r w:rsidRPr="00C56F6D">
        <w:rPr>
          <w:b/>
          <w:spacing w:val="4"/>
          <w:sz w:val="28"/>
          <w:szCs w:val="28"/>
          <w:lang w:val="kk-KZ"/>
          <w14:shadow w14:blurRad="50800" w14:dist="38100" w14:dir="2700000" w14:sx="100000" w14:sy="100000" w14:kx="0" w14:ky="0" w14:algn="tl">
            <w14:srgbClr w14:val="000000">
              <w14:alpha w14:val="60000"/>
            </w14:srgbClr>
          </w14:shadow>
        </w:rPr>
        <w:t>Электрондық банк қызметтері нарығының 2013 жылғы қысқаша талдамалық шолуы</w:t>
      </w:r>
    </w:p>
    <w:p w:rsidR="00BF79CE" w:rsidRPr="0086499E" w:rsidRDefault="00BF79CE" w:rsidP="000A5789">
      <w:pPr>
        <w:ind w:firstLine="709"/>
        <w:jc w:val="both"/>
        <w:rPr>
          <w:sz w:val="28"/>
          <w:szCs w:val="28"/>
          <w:lang w:val="kk-KZ"/>
        </w:rPr>
      </w:pPr>
    </w:p>
    <w:p w:rsidR="00B26AA0" w:rsidRPr="0086499E" w:rsidRDefault="00DC5774" w:rsidP="00F65EDB">
      <w:pPr>
        <w:ind w:firstLine="709"/>
        <w:jc w:val="both"/>
        <w:rPr>
          <w:sz w:val="28"/>
          <w:szCs w:val="28"/>
          <w:lang w:val="kk-KZ"/>
        </w:rPr>
      </w:pPr>
      <w:r w:rsidRPr="0086499E">
        <w:rPr>
          <w:sz w:val="28"/>
          <w:szCs w:val="28"/>
          <w:lang w:val="kk-KZ"/>
        </w:rPr>
        <w:t>01.</w:t>
      </w:r>
      <w:r w:rsidR="00367ACC" w:rsidRPr="0086499E">
        <w:rPr>
          <w:sz w:val="28"/>
          <w:szCs w:val="28"/>
          <w:lang w:val="kk-KZ"/>
        </w:rPr>
        <w:t>0</w:t>
      </w:r>
      <w:r w:rsidRPr="0086499E">
        <w:rPr>
          <w:sz w:val="28"/>
          <w:szCs w:val="28"/>
          <w:lang w:val="kk-KZ"/>
        </w:rPr>
        <w:t>1.201</w:t>
      </w:r>
      <w:r w:rsidR="00367ACC" w:rsidRPr="0086499E">
        <w:rPr>
          <w:sz w:val="28"/>
          <w:szCs w:val="28"/>
          <w:lang w:val="kk-KZ"/>
        </w:rPr>
        <w:t>4</w:t>
      </w:r>
      <w:r w:rsidRPr="0086499E">
        <w:rPr>
          <w:sz w:val="28"/>
          <w:szCs w:val="28"/>
          <w:lang w:val="kk-KZ"/>
        </w:rPr>
        <w:t xml:space="preserve"> </w:t>
      </w:r>
      <w:r w:rsidR="00F65EDB" w:rsidRPr="0086499E">
        <w:rPr>
          <w:sz w:val="28"/>
          <w:szCs w:val="28"/>
          <w:lang w:val="kk-KZ"/>
        </w:rPr>
        <w:t xml:space="preserve">жылғы жағдай бойынша электрондық терминалдар мен қашықтан қол жеткізу жүйелері арқылы қашықтан көрсетілетін банк қызметтерін 27 екінші деңгейдегі банк және «Қазпочта» АҚ көрсетті. Көрсетілген ұйымдардың ішінде 24 банк және «Қазпочта» АҚ төлем карточкалары пайдаланылатын қызметтерді және 13 банк олар пайдаланылмайтын қызметтерді көрсетеді. </w:t>
      </w:r>
    </w:p>
    <w:p w:rsidR="00DC5774" w:rsidRPr="0086499E" w:rsidRDefault="00F65EDB" w:rsidP="00F65EDB">
      <w:pPr>
        <w:ind w:firstLine="709"/>
        <w:jc w:val="both"/>
        <w:rPr>
          <w:sz w:val="28"/>
          <w:szCs w:val="28"/>
          <w:lang w:val="kk-KZ"/>
        </w:rPr>
      </w:pPr>
      <w:r w:rsidRPr="0086499E">
        <w:rPr>
          <w:sz w:val="28"/>
          <w:szCs w:val="28"/>
          <w:lang w:val="kk-KZ"/>
        </w:rPr>
        <w:t xml:space="preserve">Өткен жылы төлем карточкаларын пайдаланбай электрондық банк қызметтерін көрсететін банктер санының 3-ке ұлғайғанын атап өткен жөн, ал төлем карточкалары пайдаланылатын электрондық банк қызметтерін көрсететін банктердің саны өзгеріссіз қалды. Бұл ірі емес банктердің жылдам ақы төлеу терминалдарын орнату жөніндегі іс-қимылдарымен түсіндіріледі. </w:t>
      </w:r>
      <w:r w:rsidR="0086499E" w:rsidRPr="0086499E">
        <w:rPr>
          <w:sz w:val="28"/>
          <w:szCs w:val="28"/>
          <w:lang w:val="kk-KZ"/>
        </w:rPr>
        <w:t>Осын</w:t>
      </w:r>
      <w:r w:rsidRPr="0086499E">
        <w:rPr>
          <w:sz w:val="28"/>
          <w:szCs w:val="28"/>
          <w:lang w:val="kk-KZ"/>
        </w:rPr>
        <w:t>дай динамикаға қарамастан</w:t>
      </w:r>
      <w:r w:rsidR="00BB13A0" w:rsidRPr="0086499E">
        <w:rPr>
          <w:sz w:val="28"/>
          <w:szCs w:val="28"/>
          <w:lang w:val="kk-KZ"/>
        </w:rPr>
        <w:t>,</w:t>
      </w:r>
      <w:r w:rsidRPr="0086499E">
        <w:rPr>
          <w:sz w:val="28"/>
          <w:szCs w:val="28"/>
          <w:lang w:val="kk-KZ"/>
        </w:rPr>
        <w:t xml:space="preserve"> жақын болашақта (заңнамалық базаны ешбір түбегейлі өзгертпестен) жылдам ақы төлеу терминалдары бар банктер саны айтарлықтай өседі екен деуге болмайды</w:t>
      </w:r>
      <w:r w:rsidR="00BB13A0" w:rsidRPr="0086499E">
        <w:rPr>
          <w:sz w:val="28"/>
          <w:szCs w:val="28"/>
          <w:lang w:val="kk-KZ"/>
        </w:rPr>
        <w:t xml:space="preserve">, </w:t>
      </w:r>
      <w:r w:rsidRPr="0086499E">
        <w:rPr>
          <w:sz w:val="28"/>
          <w:szCs w:val="28"/>
          <w:lang w:val="kk-KZ"/>
        </w:rPr>
        <w:t xml:space="preserve">себебі нарықтың көрсетілген </w:t>
      </w:r>
      <w:r w:rsidR="00BB13A0" w:rsidRPr="0086499E">
        <w:rPr>
          <w:sz w:val="28"/>
          <w:szCs w:val="28"/>
          <w:lang w:val="kk-KZ"/>
        </w:rPr>
        <w:t>сегмент</w:t>
      </w:r>
      <w:r w:rsidRPr="0086499E">
        <w:rPr>
          <w:sz w:val="28"/>
          <w:szCs w:val="28"/>
          <w:lang w:val="kk-KZ"/>
        </w:rPr>
        <w:t>і</w:t>
      </w:r>
      <w:r w:rsidR="00BB13A0" w:rsidRPr="0086499E">
        <w:rPr>
          <w:sz w:val="28"/>
          <w:szCs w:val="28"/>
          <w:lang w:val="kk-KZ"/>
        </w:rPr>
        <w:t xml:space="preserve"> </w:t>
      </w:r>
      <w:r w:rsidRPr="0086499E">
        <w:rPr>
          <w:sz w:val="28"/>
          <w:szCs w:val="28"/>
          <w:lang w:val="kk-KZ"/>
        </w:rPr>
        <w:t xml:space="preserve">бәсекелестікті ескере отырып, бұрынғысынша банктер үшін тартымсыз болып қала береді. </w:t>
      </w:r>
    </w:p>
    <w:p w:rsidR="00CB3385" w:rsidRPr="0086499E" w:rsidRDefault="00F65EDB" w:rsidP="00D527AF">
      <w:pPr>
        <w:ind w:firstLine="709"/>
        <w:jc w:val="both"/>
        <w:rPr>
          <w:sz w:val="28"/>
          <w:szCs w:val="28"/>
          <w:lang w:val="kk-KZ"/>
        </w:rPr>
      </w:pPr>
      <w:r w:rsidRPr="0086499E">
        <w:rPr>
          <w:sz w:val="28"/>
          <w:szCs w:val="28"/>
          <w:lang w:val="kk-KZ"/>
        </w:rPr>
        <w:t>Сонымен қатар өткен жылы саны</w:t>
      </w:r>
      <w:r w:rsidR="00D527AF" w:rsidRPr="0086499E">
        <w:rPr>
          <w:sz w:val="28"/>
          <w:szCs w:val="28"/>
          <w:lang w:val="kk-KZ"/>
        </w:rPr>
        <w:t xml:space="preserve"> 4%-дан аз ұлғайған банкоматтар желісінің ұлғаюына деген қызығушылықтың төмендеуі байқалады. </w:t>
      </w:r>
      <w:r w:rsidR="0086499E" w:rsidRPr="0086499E">
        <w:rPr>
          <w:sz w:val="28"/>
          <w:szCs w:val="28"/>
          <w:lang w:val="kk-KZ"/>
        </w:rPr>
        <w:t>Соңғы 3 жылда б</w:t>
      </w:r>
      <w:r w:rsidR="00D527AF" w:rsidRPr="0086499E">
        <w:rPr>
          <w:sz w:val="28"/>
          <w:szCs w:val="28"/>
          <w:lang w:val="kk-KZ"/>
        </w:rPr>
        <w:t xml:space="preserve">анкоматтар санының өсу қарқынының төмендегенімен, 2013 жылы олардың өсуі төмен болды. Мұндай жағдайда оған себеп отырған нарықтың банкоматтармен толып кетуі екені сөзсіз, сондай-ақ эквайрингтік қызметті болжамды монополияландыру жөнінде айтылған ұсыныс та әсер етті. Алайда, банк дүңгіршектерімен қалыптасқан ахуал қарама-қайшы, олардың саны 2 есе ұлғайды </w:t>
      </w:r>
      <w:r w:rsidR="0031287D" w:rsidRPr="0086499E">
        <w:rPr>
          <w:sz w:val="28"/>
          <w:szCs w:val="28"/>
          <w:lang w:val="kk-KZ"/>
        </w:rPr>
        <w:t>(1</w:t>
      </w:r>
      <w:r w:rsidR="00D527AF" w:rsidRPr="0086499E">
        <w:rPr>
          <w:sz w:val="28"/>
          <w:szCs w:val="28"/>
          <w:lang w:val="kk-KZ"/>
        </w:rPr>
        <w:t> </w:t>
      </w:r>
      <w:r w:rsidR="0031287D" w:rsidRPr="0086499E">
        <w:rPr>
          <w:sz w:val="28"/>
          <w:szCs w:val="28"/>
          <w:lang w:val="kk-KZ"/>
        </w:rPr>
        <w:t>6</w:t>
      </w:r>
      <w:r w:rsidR="00BF5EA6" w:rsidRPr="0086499E">
        <w:rPr>
          <w:sz w:val="28"/>
          <w:szCs w:val="28"/>
          <w:lang w:val="kk-KZ"/>
        </w:rPr>
        <w:t>78</w:t>
      </w:r>
      <w:r w:rsidR="00D527AF" w:rsidRPr="0086499E">
        <w:rPr>
          <w:sz w:val="28"/>
          <w:szCs w:val="28"/>
          <w:lang w:val="kk-KZ"/>
        </w:rPr>
        <w:t>-ден</w:t>
      </w:r>
      <w:r w:rsidR="0031287D" w:rsidRPr="0086499E">
        <w:rPr>
          <w:sz w:val="28"/>
          <w:szCs w:val="28"/>
          <w:lang w:val="kk-KZ"/>
        </w:rPr>
        <w:t xml:space="preserve"> 3</w:t>
      </w:r>
      <w:r w:rsidR="00D527AF" w:rsidRPr="0086499E">
        <w:rPr>
          <w:sz w:val="28"/>
          <w:szCs w:val="28"/>
          <w:lang w:val="kk-KZ"/>
        </w:rPr>
        <w:t> </w:t>
      </w:r>
      <w:r w:rsidR="00BF5EA6" w:rsidRPr="0086499E">
        <w:rPr>
          <w:sz w:val="28"/>
          <w:szCs w:val="28"/>
          <w:lang w:val="kk-KZ"/>
        </w:rPr>
        <w:t>982</w:t>
      </w:r>
      <w:r w:rsidR="00D527AF" w:rsidRPr="0086499E">
        <w:rPr>
          <w:sz w:val="28"/>
          <w:szCs w:val="28"/>
          <w:lang w:val="kk-KZ"/>
        </w:rPr>
        <w:t>-ге дейін</w:t>
      </w:r>
      <w:r w:rsidR="0031287D" w:rsidRPr="0086499E">
        <w:rPr>
          <w:sz w:val="28"/>
          <w:szCs w:val="28"/>
          <w:lang w:val="kk-KZ"/>
        </w:rPr>
        <w:t xml:space="preserve">), </w:t>
      </w:r>
      <w:r w:rsidR="00D527AF" w:rsidRPr="0086499E">
        <w:rPr>
          <w:sz w:val="28"/>
          <w:szCs w:val="28"/>
          <w:lang w:val="kk-KZ"/>
        </w:rPr>
        <w:t>бұл банктердің бірінің клиент тарту жөнінде жүргізген саясатының салдары болды.</w:t>
      </w:r>
      <w:r w:rsidR="0031287D" w:rsidRPr="0086499E">
        <w:rPr>
          <w:sz w:val="28"/>
          <w:szCs w:val="28"/>
          <w:lang w:val="kk-KZ"/>
        </w:rPr>
        <w:t xml:space="preserve"> </w:t>
      </w:r>
      <w:r w:rsidR="00D527AF" w:rsidRPr="0086499E">
        <w:rPr>
          <w:sz w:val="28"/>
          <w:szCs w:val="28"/>
          <w:lang w:val="kk-KZ"/>
        </w:rPr>
        <w:t xml:space="preserve">Бұл ретте </w:t>
      </w:r>
      <w:r w:rsidR="0031287D" w:rsidRPr="0086499E">
        <w:rPr>
          <w:sz w:val="28"/>
          <w:szCs w:val="28"/>
          <w:lang w:val="kk-KZ"/>
        </w:rPr>
        <w:t>банк</w:t>
      </w:r>
      <w:r w:rsidR="00D527AF" w:rsidRPr="0086499E">
        <w:rPr>
          <w:sz w:val="28"/>
          <w:szCs w:val="28"/>
          <w:lang w:val="kk-KZ"/>
        </w:rPr>
        <w:t xml:space="preserve"> дүңгіршектері бір рет қана орнатылмай, 2013 жыл  бойы орнатылды.</w:t>
      </w:r>
    </w:p>
    <w:p w:rsidR="005C6DAF" w:rsidRPr="0086499E" w:rsidRDefault="00D527AF" w:rsidP="000A5789">
      <w:pPr>
        <w:ind w:firstLine="709"/>
        <w:jc w:val="both"/>
        <w:rPr>
          <w:sz w:val="28"/>
          <w:szCs w:val="28"/>
          <w:lang w:val="kk-KZ"/>
        </w:rPr>
      </w:pPr>
      <w:r w:rsidRPr="0086499E">
        <w:rPr>
          <w:sz w:val="28"/>
          <w:szCs w:val="28"/>
          <w:lang w:val="kk-KZ"/>
        </w:rPr>
        <w:t xml:space="preserve">Банкоматтарға түскен салмақ </w:t>
      </w:r>
      <w:r w:rsidR="005C6DAF" w:rsidRPr="0086499E">
        <w:rPr>
          <w:sz w:val="28"/>
          <w:szCs w:val="28"/>
          <w:lang w:val="kk-KZ"/>
        </w:rPr>
        <w:t xml:space="preserve">2013 </w:t>
      </w:r>
      <w:r w:rsidRPr="0086499E">
        <w:rPr>
          <w:sz w:val="28"/>
          <w:szCs w:val="28"/>
          <w:lang w:val="kk-KZ"/>
        </w:rPr>
        <w:t>жылы салыстырмалы түрде жоғары болған жоқ</w:t>
      </w:r>
      <w:r w:rsidR="00781A6A" w:rsidRPr="0086499E">
        <w:rPr>
          <w:sz w:val="28"/>
          <w:szCs w:val="28"/>
          <w:lang w:val="kk-KZ"/>
        </w:rPr>
        <w:t xml:space="preserve">, </w:t>
      </w:r>
      <w:r w:rsidRPr="0086499E">
        <w:rPr>
          <w:sz w:val="28"/>
          <w:szCs w:val="28"/>
          <w:lang w:val="kk-KZ"/>
        </w:rPr>
        <w:t xml:space="preserve">орташа алғанда күніне бір </w:t>
      </w:r>
      <w:r w:rsidR="00781A6A" w:rsidRPr="0086499E">
        <w:rPr>
          <w:sz w:val="28"/>
          <w:szCs w:val="28"/>
          <w:lang w:val="kk-KZ"/>
        </w:rPr>
        <w:t>банкомат</w:t>
      </w:r>
      <w:r w:rsidRPr="0086499E">
        <w:rPr>
          <w:sz w:val="28"/>
          <w:szCs w:val="28"/>
          <w:lang w:val="kk-KZ"/>
        </w:rPr>
        <w:t>та</w:t>
      </w:r>
      <w:r w:rsidR="00781A6A" w:rsidRPr="0086499E">
        <w:rPr>
          <w:sz w:val="28"/>
          <w:szCs w:val="28"/>
          <w:lang w:val="kk-KZ"/>
        </w:rPr>
        <w:t xml:space="preserve"> </w:t>
      </w:r>
      <w:r w:rsidRPr="0086499E">
        <w:rPr>
          <w:sz w:val="28"/>
          <w:szCs w:val="28"/>
          <w:lang w:val="kk-KZ"/>
        </w:rPr>
        <w:t>53 транзакция жүргізілді</w:t>
      </w:r>
      <w:r w:rsidR="00781A6A" w:rsidRPr="0086499E">
        <w:rPr>
          <w:sz w:val="28"/>
          <w:szCs w:val="28"/>
          <w:lang w:val="kk-KZ"/>
        </w:rPr>
        <w:t xml:space="preserve">, </w:t>
      </w:r>
      <w:r w:rsidRPr="0086499E">
        <w:rPr>
          <w:sz w:val="28"/>
          <w:szCs w:val="28"/>
          <w:lang w:val="kk-KZ"/>
        </w:rPr>
        <w:t xml:space="preserve">2012 жылмен салыстырғанда </w:t>
      </w:r>
      <w:r w:rsidR="00781A6A" w:rsidRPr="0086499E">
        <w:rPr>
          <w:sz w:val="28"/>
          <w:szCs w:val="28"/>
          <w:lang w:val="kk-KZ"/>
        </w:rPr>
        <w:t>2 транзакци</w:t>
      </w:r>
      <w:r w:rsidRPr="0086499E">
        <w:rPr>
          <w:sz w:val="28"/>
          <w:szCs w:val="28"/>
          <w:lang w:val="kk-KZ"/>
        </w:rPr>
        <w:t>яға көп</w:t>
      </w:r>
      <w:r w:rsidR="00781A6A" w:rsidRPr="0086499E">
        <w:rPr>
          <w:sz w:val="28"/>
          <w:szCs w:val="28"/>
          <w:lang w:val="kk-KZ"/>
        </w:rPr>
        <w:t xml:space="preserve">. </w:t>
      </w:r>
      <w:r w:rsidRPr="0086499E">
        <w:rPr>
          <w:sz w:val="28"/>
          <w:szCs w:val="28"/>
          <w:lang w:val="kk-KZ"/>
        </w:rPr>
        <w:t>Мұндай өзгеріс орнатылатын банкоматтардың өсу қарқынының баяулауы тұрғысынан түсінікті. Бұл ретте банк дүңгіршектері бойынша мұндай көрсеткіштер</w:t>
      </w:r>
      <w:r w:rsidR="004F182A" w:rsidRPr="0086499E">
        <w:rPr>
          <w:sz w:val="28"/>
          <w:szCs w:val="28"/>
          <w:lang w:val="kk-KZ"/>
        </w:rPr>
        <w:t xml:space="preserve"> айтарлықтай өзгерді</w:t>
      </w:r>
      <w:r w:rsidR="00781A6A" w:rsidRPr="0086499E">
        <w:rPr>
          <w:sz w:val="28"/>
          <w:szCs w:val="28"/>
          <w:lang w:val="kk-KZ"/>
        </w:rPr>
        <w:t xml:space="preserve">, </w:t>
      </w:r>
      <w:r w:rsidR="004F182A" w:rsidRPr="0086499E">
        <w:rPr>
          <w:sz w:val="28"/>
          <w:szCs w:val="28"/>
          <w:lang w:val="kk-KZ"/>
        </w:rPr>
        <w:t xml:space="preserve">бір банк дүңгіршегіне 2012 жылы </w:t>
      </w:r>
      <w:r w:rsidR="00781A6A" w:rsidRPr="0086499E">
        <w:rPr>
          <w:sz w:val="28"/>
          <w:szCs w:val="28"/>
          <w:lang w:val="kk-KZ"/>
        </w:rPr>
        <w:t>97 транзакци</w:t>
      </w:r>
      <w:r w:rsidR="004F182A" w:rsidRPr="0086499E">
        <w:rPr>
          <w:sz w:val="28"/>
          <w:szCs w:val="28"/>
          <w:lang w:val="kk-KZ"/>
        </w:rPr>
        <w:t xml:space="preserve">ядан келсе, 2013 жылы </w:t>
      </w:r>
      <w:r w:rsidR="00781A6A" w:rsidRPr="0086499E">
        <w:rPr>
          <w:sz w:val="28"/>
          <w:szCs w:val="28"/>
          <w:lang w:val="kk-KZ"/>
        </w:rPr>
        <w:t>178 транзакци</w:t>
      </w:r>
      <w:r w:rsidR="004F182A" w:rsidRPr="0086499E">
        <w:rPr>
          <w:sz w:val="28"/>
          <w:szCs w:val="28"/>
          <w:lang w:val="kk-KZ"/>
        </w:rPr>
        <w:t>яға дейін жасалған.</w:t>
      </w:r>
      <w:r w:rsidR="00080403" w:rsidRPr="0086499E">
        <w:rPr>
          <w:sz w:val="28"/>
          <w:szCs w:val="28"/>
          <w:lang w:val="kk-KZ"/>
        </w:rPr>
        <w:t xml:space="preserve"> </w:t>
      </w:r>
      <w:r w:rsidR="004F182A" w:rsidRPr="0086499E">
        <w:rPr>
          <w:sz w:val="28"/>
          <w:szCs w:val="28"/>
          <w:lang w:val="kk-KZ"/>
        </w:rPr>
        <w:t xml:space="preserve">Банк дүңгіршектеріне түскен салмақтың өсуі салдарынан олардың </w:t>
      </w:r>
      <w:r w:rsidR="00080403" w:rsidRPr="0086499E">
        <w:rPr>
          <w:sz w:val="28"/>
          <w:szCs w:val="28"/>
          <w:lang w:val="kk-KZ"/>
        </w:rPr>
        <w:t>функционал</w:t>
      </w:r>
      <w:r w:rsidR="004F182A" w:rsidRPr="0086499E">
        <w:rPr>
          <w:sz w:val="28"/>
          <w:szCs w:val="28"/>
          <w:lang w:val="kk-KZ"/>
        </w:rPr>
        <w:t>дық мүмкіндіктері де кеңейді</w:t>
      </w:r>
      <w:r w:rsidR="00080403" w:rsidRPr="0086499E">
        <w:rPr>
          <w:sz w:val="28"/>
          <w:szCs w:val="28"/>
          <w:lang w:val="kk-KZ"/>
        </w:rPr>
        <w:t>,</w:t>
      </w:r>
      <w:r w:rsidR="004F182A" w:rsidRPr="0086499E">
        <w:rPr>
          <w:sz w:val="28"/>
          <w:szCs w:val="28"/>
          <w:lang w:val="kk-KZ"/>
        </w:rPr>
        <w:t xml:space="preserve"> атап айтқанда</w:t>
      </w:r>
      <w:r w:rsidR="00080403" w:rsidRPr="0086499E">
        <w:rPr>
          <w:sz w:val="28"/>
          <w:szCs w:val="28"/>
          <w:lang w:val="kk-KZ"/>
        </w:rPr>
        <w:t xml:space="preserve">, </w:t>
      </w:r>
      <w:r w:rsidR="004F182A" w:rsidRPr="0086499E">
        <w:rPr>
          <w:sz w:val="28"/>
          <w:szCs w:val="28"/>
          <w:lang w:val="kk-KZ"/>
        </w:rPr>
        <w:t>қолма-қол ақы төлеу терминалы ретінде пайдалану мүмкіндігін енгізу</w:t>
      </w:r>
      <w:r w:rsidR="00080403" w:rsidRPr="0086499E">
        <w:rPr>
          <w:sz w:val="28"/>
          <w:szCs w:val="28"/>
          <w:lang w:val="kk-KZ"/>
        </w:rPr>
        <w:t>.</w:t>
      </w:r>
    </w:p>
    <w:p w:rsidR="00511F32" w:rsidRPr="0086499E" w:rsidRDefault="004F182A" w:rsidP="000A5789">
      <w:pPr>
        <w:ind w:firstLine="709"/>
        <w:jc w:val="both"/>
        <w:rPr>
          <w:sz w:val="28"/>
          <w:szCs w:val="28"/>
          <w:lang w:val="kk-KZ"/>
        </w:rPr>
      </w:pPr>
      <w:r w:rsidRPr="0086499E">
        <w:rPr>
          <w:sz w:val="28"/>
          <w:szCs w:val="28"/>
          <w:lang w:val="kk-KZ"/>
        </w:rPr>
        <w:t xml:space="preserve">Соған қарамастан кезекті кезеңнің қорытындылары бойынша Қазақстандағы барлық қолма-қол ақшасыз төлемдер мен қолма-қол ақшаны пайдалана отырып жүргізілген </w:t>
      </w:r>
      <w:r w:rsidR="00511F32" w:rsidRPr="0086499E">
        <w:rPr>
          <w:sz w:val="28"/>
          <w:szCs w:val="28"/>
          <w:lang w:val="kk-KZ"/>
        </w:rPr>
        <w:t>транзакци</w:t>
      </w:r>
      <w:r w:rsidRPr="0086499E">
        <w:rPr>
          <w:sz w:val="28"/>
          <w:szCs w:val="28"/>
          <w:lang w:val="kk-KZ"/>
        </w:rPr>
        <w:t xml:space="preserve">ялардың негізгі үлесі дәстүрлі қондырғылар </w:t>
      </w:r>
      <w:r w:rsidR="00FA4308" w:rsidRPr="0086499E">
        <w:rPr>
          <w:sz w:val="28"/>
          <w:szCs w:val="28"/>
          <w:lang w:val="kk-KZ"/>
        </w:rPr>
        <w:t>– банкомат</w:t>
      </w:r>
      <w:r w:rsidRPr="0086499E">
        <w:rPr>
          <w:sz w:val="28"/>
          <w:szCs w:val="28"/>
          <w:lang w:val="kk-KZ"/>
        </w:rPr>
        <w:t xml:space="preserve">тар мен </w:t>
      </w:r>
      <w:r w:rsidR="00FA4308" w:rsidRPr="0086499E">
        <w:rPr>
          <w:sz w:val="28"/>
          <w:szCs w:val="28"/>
          <w:lang w:val="kk-KZ"/>
        </w:rPr>
        <w:t>POS-терминал</w:t>
      </w:r>
      <w:r w:rsidRPr="0086499E">
        <w:rPr>
          <w:sz w:val="28"/>
          <w:szCs w:val="28"/>
          <w:lang w:val="kk-KZ"/>
        </w:rPr>
        <w:t>дарға тиесілі болды</w:t>
      </w:r>
      <w:r w:rsidR="00FA4308" w:rsidRPr="0086499E">
        <w:rPr>
          <w:sz w:val="28"/>
          <w:szCs w:val="28"/>
          <w:lang w:val="kk-KZ"/>
        </w:rPr>
        <w:t>.</w:t>
      </w:r>
    </w:p>
    <w:tbl>
      <w:tblPr>
        <w:tblW w:w="0" w:type="auto"/>
        <w:tblLook w:val="04A0" w:firstRow="1" w:lastRow="0" w:firstColumn="1" w:lastColumn="0" w:noHBand="0" w:noVBand="1"/>
      </w:tblPr>
      <w:tblGrid>
        <w:gridCol w:w="4748"/>
        <w:gridCol w:w="4748"/>
      </w:tblGrid>
      <w:tr w:rsidR="006C41CD" w:rsidRPr="00665566" w:rsidTr="00D20632">
        <w:trPr>
          <w:trHeight w:val="4031"/>
        </w:trPr>
        <w:tc>
          <w:tcPr>
            <w:tcW w:w="4856" w:type="dxa"/>
            <w:shd w:val="clear" w:color="auto" w:fill="auto"/>
          </w:tcPr>
          <w:p w:rsidR="006C41CD" w:rsidRPr="000B5741" w:rsidRDefault="006C41CD" w:rsidP="00D20632">
            <w:pPr>
              <w:tabs>
                <w:tab w:val="num" w:pos="993"/>
              </w:tabs>
              <w:jc w:val="center"/>
              <w:rPr>
                <w:b/>
                <w:lang w:val="kk-KZ"/>
              </w:rPr>
            </w:pPr>
            <w:r>
              <w:rPr>
                <w:b/>
                <w:lang w:val="kk-KZ"/>
              </w:rPr>
              <w:lastRenderedPageBreak/>
              <w:t>Қолма-қол ақшасыз жасалатын төлемдер жалпы көлемінің  үлесі</w:t>
            </w:r>
          </w:p>
          <w:p w:rsidR="006C41CD" w:rsidRPr="00665566" w:rsidRDefault="00C56F6D" w:rsidP="00D20632">
            <w:pPr>
              <w:tabs>
                <w:tab w:val="num" w:pos="993"/>
              </w:tabs>
              <w:jc w:val="both"/>
              <w:rPr>
                <w:sz w:val="28"/>
                <w:szCs w:val="28"/>
              </w:rPr>
            </w:pPr>
            <w:r w:rsidRPr="00665566">
              <w:rPr>
                <w:noProof/>
                <w:sz w:val="28"/>
                <w:szCs w:val="28"/>
              </w:rPr>
              <w:drawing>
                <wp:inline distT="0" distB="0" distL="0" distR="0">
                  <wp:extent cx="2943225" cy="22669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4856" w:type="dxa"/>
            <w:shd w:val="clear" w:color="auto" w:fill="auto"/>
          </w:tcPr>
          <w:p w:rsidR="006C41CD" w:rsidRPr="00665566" w:rsidRDefault="006C41CD" w:rsidP="00D20632">
            <w:pPr>
              <w:tabs>
                <w:tab w:val="num" w:pos="993"/>
              </w:tabs>
              <w:jc w:val="center"/>
              <w:rPr>
                <w:b/>
              </w:rPr>
            </w:pPr>
            <w:r>
              <w:rPr>
                <w:b/>
                <w:lang w:val="kk-KZ"/>
              </w:rPr>
              <w:t>Қолма-қол ақшаны пайдалана  отырып жүргізілетін транзакциялар жалпы көлемнің үлесі</w:t>
            </w:r>
          </w:p>
          <w:p w:rsidR="006C41CD" w:rsidRPr="00665566" w:rsidRDefault="00C56F6D" w:rsidP="00D20632">
            <w:pPr>
              <w:tabs>
                <w:tab w:val="num" w:pos="993"/>
              </w:tabs>
              <w:jc w:val="both"/>
              <w:rPr>
                <w:sz w:val="28"/>
                <w:szCs w:val="28"/>
              </w:rPr>
            </w:pPr>
            <w:r w:rsidRPr="00665566">
              <w:rPr>
                <w:noProof/>
                <w:sz w:val="28"/>
                <w:szCs w:val="28"/>
              </w:rPr>
              <w:drawing>
                <wp:inline distT="0" distB="0" distL="0" distR="0">
                  <wp:extent cx="2943225" cy="22669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6C41CD" w:rsidRDefault="006C41CD" w:rsidP="006C41CD">
      <w:pPr>
        <w:ind w:firstLine="709"/>
        <w:jc w:val="both"/>
        <w:rPr>
          <w:sz w:val="28"/>
          <w:szCs w:val="28"/>
        </w:rPr>
      </w:pPr>
    </w:p>
    <w:p w:rsidR="006C41CD" w:rsidRPr="001E2732" w:rsidRDefault="006C41CD" w:rsidP="006C41CD">
      <w:pPr>
        <w:ind w:firstLine="709"/>
        <w:jc w:val="both"/>
        <w:rPr>
          <w:sz w:val="28"/>
          <w:szCs w:val="28"/>
          <w:lang w:val="kk-KZ"/>
        </w:rPr>
      </w:pPr>
      <w:r>
        <w:rPr>
          <w:sz w:val="28"/>
          <w:szCs w:val="28"/>
          <w:lang w:val="kk-KZ"/>
        </w:rPr>
        <w:t>2013 жылдың басында қабылданған Үкіметтің қаулысы</w:t>
      </w:r>
      <w:r>
        <w:rPr>
          <w:rStyle w:val="a4"/>
          <w:sz w:val="28"/>
          <w:szCs w:val="28"/>
        </w:rPr>
        <w:footnoteReference w:id="1"/>
      </w:r>
      <w:r>
        <w:rPr>
          <w:sz w:val="28"/>
          <w:szCs w:val="28"/>
          <w:lang w:val="kk-KZ"/>
        </w:rPr>
        <w:t xml:space="preserve"> төлем карточкаларын пайдалана  отырып төлемге қабылдау желілерінің дамуына оң  әсер етті, осыған  сәйкес  дара  кәсіпкерлер қызметтің  белгілі  бір түрлерін  жүзеге асырған кезде есеп айырысу үшін төлем карточкаларын қабылдауға, тиісінше </w:t>
      </w:r>
      <w:r>
        <w:rPr>
          <w:sz w:val="28"/>
          <w:szCs w:val="28"/>
          <w:lang w:val="en-US"/>
        </w:rPr>
        <w:t>POS</w:t>
      </w:r>
      <w:r w:rsidRPr="0028547C">
        <w:rPr>
          <w:sz w:val="28"/>
          <w:szCs w:val="28"/>
        </w:rPr>
        <w:t>-</w:t>
      </w:r>
      <w:r>
        <w:rPr>
          <w:sz w:val="28"/>
          <w:szCs w:val="28"/>
        </w:rPr>
        <w:t>терминал</w:t>
      </w:r>
      <w:r>
        <w:rPr>
          <w:sz w:val="28"/>
          <w:szCs w:val="28"/>
          <w:lang w:val="kk-KZ"/>
        </w:rPr>
        <w:t xml:space="preserve">ды орнатуға міндеттенеді. Мәселен, кәсіпкерлерде орнатылған </w:t>
      </w:r>
      <w:r w:rsidRPr="00366D2C">
        <w:rPr>
          <w:sz w:val="28"/>
          <w:szCs w:val="28"/>
          <w:lang w:val="kk-KZ"/>
        </w:rPr>
        <w:t>POS-терминал</w:t>
      </w:r>
      <w:r>
        <w:rPr>
          <w:sz w:val="28"/>
          <w:szCs w:val="28"/>
          <w:lang w:val="kk-KZ"/>
        </w:rPr>
        <w:t>дар санының өсуі</w:t>
      </w:r>
      <w:r w:rsidRPr="00366D2C">
        <w:rPr>
          <w:sz w:val="28"/>
          <w:szCs w:val="28"/>
          <w:lang w:val="kk-KZ"/>
        </w:rPr>
        <w:t xml:space="preserve"> 40 117 </w:t>
      </w:r>
      <w:r>
        <w:rPr>
          <w:sz w:val="28"/>
          <w:szCs w:val="28"/>
          <w:lang w:val="kk-KZ"/>
        </w:rPr>
        <w:t>бірлікке дейін жетіп,</w:t>
      </w:r>
      <w:r w:rsidRPr="00366D2C">
        <w:rPr>
          <w:sz w:val="28"/>
          <w:szCs w:val="28"/>
          <w:lang w:val="kk-KZ"/>
        </w:rPr>
        <w:t xml:space="preserve"> 46,8%</w:t>
      </w:r>
      <w:r>
        <w:rPr>
          <w:sz w:val="28"/>
          <w:szCs w:val="28"/>
          <w:lang w:val="kk-KZ"/>
        </w:rPr>
        <w:t>-ды құрады. Банктер</w:t>
      </w:r>
      <w:r w:rsidRPr="00366D2C">
        <w:rPr>
          <w:sz w:val="28"/>
          <w:szCs w:val="28"/>
          <w:lang w:val="kk-KZ"/>
        </w:rPr>
        <w:t xml:space="preserve"> POS-терминал</w:t>
      </w:r>
      <w:r>
        <w:rPr>
          <w:sz w:val="28"/>
          <w:szCs w:val="28"/>
          <w:lang w:val="kk-KZ"/>
        </w:rPr>
        <w:t>дарды орнатуға шарт жасасқан  кәсіпкерлердің саны</w:t>
      </w:r>
      <w:r w:rsidRPr="00366D2C">
        <w:rPr>
          <w:sz w:val="28"/>
          <w:szCs w:val="28"/>
          <w:lang w:val="kk-KZ"/>
        </w:rPr>
        <w:t xml:space="preserve"> </w:t>
      </w:r>
      <w:r>
        <w:rPr>
          <w:sz w:val="28"/>
          <w:szCs w:val="28"/>
          <w:lang w:val="kk-KZ"/>
        </w:rPr>
        <w:t>2014ж.</w:t>
      </w:r>
      <w:r w:rsidRPr="00366D2C">
        <w:rPr>
          <w:sz w:val="28"/>
          <w:szCs w:val="28"/>
          <w:lang w:val="kk-KZ"/>
        </w:rPr>
        <w:t>01.01.</w:t>
      </w:r>
      <w:r>
        <w:rPr>
          <w:sz w:val="28"/>
          <w:szCs w:val="28"/>
          <w:lang w:val="kk-KZ"/>
        </w:rPr>
        <w:t xml:space="preserve"> жағдай  бойынша өткен жылы </w:t>
      </w:r>
      <w:r w:rsidRPr="00366D2C">
        <w:rPr>
          <w:sz w:val="28"/>
          <w:szCs w:val="28"/>
          <w:lang w:val="kk-KZ"/>
        </w:rPr>
        <w:t>61,6%</w:t>
      </w:r>
      <w:r>
        <w:rPr>
          <w:sz w:val="28"/>
          <w:szCs w:val="28"/>
          <w:lang w:val="kk-KZ"/>
        </w:rPr>
        <w:t>-ға  ұлғайып,</w:t>
      </w:r>
      <w:r w:rsidRPr="00366D2C">
        <w:rPr>
          <w:sz w:val="28"/>
          <w:szCs w:val="28"/>
          <w:lang w:val="kk-KZ"/>
        </w:rPr>
        <w:t xml:space="preserve"> 22 904 </w:t>
      </w:r>
      <w:r>
        <w:rPr>
          <w:sz w:val="28"/>
          <w:szCs w:val="28"/>
          <w:lang w:val="kk-KZ"/>
        </w:rPr>
        <w:t xml:space="preserve">бірлікті  құрады. Сондай-ақ </w:t>
      </w:r>
      <w:r w:rsidRPr="00366D2C">
        <w:rPr>
          <w:sz w:val="28"/>
          <w:szCs w:val="28"/>
          <w:lang w:val="kk-KZ"/>
        </w:rPr>
        <w:t>POS-терминал</w:t>
      </w:r>
      <w:r>
        <w:rPr>
          <w:sz w:val="28"/>
          <w:szCs w:val="28"/>
          <w:lang w:val="kk-KZ"/>
        </w:rPr>
        <w:t>дар орнатылған сауда нүктелерінің саны елеулі өсіп</w:t>
      </w:r>
      <w:r w:rsidRPr="001E2732">
        <w:rPr>
          <w:sz w:val="28"/>
          <w:szCs w:val="28"/>
          <w:lang w:val="kk-KZ"/>
        </w:rPr>
        <w:t xml:space="preserve"> (58,0%)</w:t>
      </w:r>
      <w:r>
        <w:rPr>
          <w:sz w:val="28"/>
          <w:szCs w:val="28"/>
          <w:lang w:val="kk-KZ"/>
        </w:rPr>
        <w:t>,</w:t>
      </w:r>
      <w:r w:rsidRPr="001E2732">
        <w:rPr>
          <w:sz w:val="28"/>
          <w:szCs w:val="28"/>
          <w:lang w:val="kk-KZ"/>
        </w:rPr>
        <w:t xml:space="preserve"> 33 709 </w:t>
      </w:r>
      <w:r>
        <w:rPr>
          <w:sz w:val="28"/>
          <w:szCs w:val="28"/>
          <w:lang w:val="kk-KZ"/>
        </w:rPr>
        <w:t xml:space="preserve"> бірлікті  құрады</w:t>
      </w:r>
      <w:r w:rsidRPr="001E2732">
        <w:rPr>
          <w:sz w:val="28"/>
          <w:szCs w:val="28"/>
          <w:lang w:val="kk-KZ"/>
        </w:rPr>
        <w:t>.</w:t>
      </w:r>
    </w:p>
    <w:p w:rsidR="006C41CD" w:rsidRDefault="006C41CD" w:rsidP="006C41CD">
      <w:pPr>
        <w:ind w:firstLine="709"/>
        <w:jc w:val="both"/>
        <w:rPr>
          <w:sz w:val="28"/>
          <w:szCs w:val="28"/>
          <w:lang w:val="kk-KZ"/>
        </w:rPr>
      </w:pPr>
      <w:r>
        <w:rPr>
          <w:sz w:val="28"/>
          <w:szCs w:val="28"/>
          <w:lang w:val="kk-KZ"/>
        </w:rPr>
        <w:t xml:space="preserve">Төлем карточкаларын пайдалана отырып, төлемдерді  қабылдау желісі дамуының көрсетілген көрсеткіштері 2008 жылдың соңында Қазақстан экономикасындағы  дағдарыстық көріністің байқалу сәтінен бастап қана емес, сондай-ақ  электрондық  банктік  қызметтер нарығы  мониторингін жүргізудің көз жетерлік кезеңінде рекордтық болды. Оған қоса, </w:t>
      </w:r>
      <w:r w:rsidRPr="00366D2C">
        <w:rPr>
          <w:sz w:val="28"/>
          <w:szCs w:val="28"/>
          <w:lang w:val="kk-KZ"/>
        </w:rPr>
        <w:t>POS-терминал</w:t>
      </w:r>
      <w:r>
        <w:rPr>
          <w:sz w:val="28"/>
          <w:szCs w:val="28"/>
          <w:lang w:val="kk-KZ"/>
        </w:rPr>
        <w:t xml:space="preserve">дарды орнату бойынша талаптарды соңына дейін орындағысы келмейтін кәсіпкерлердің </w:t>
      </w:r>
      <w:r w:rsidRPr="00445342">
        <w:rPr>
          <w:sz w:val="28"/>
          <w:szCs w:val="28"/>
          <w:lang w:val="kk-KZ"/>
        </w:rPr>
        <w:t>психологи</w:t>
      </w:r>
      <w:r>
        <w:rPr>
          <w:sz w:val="28"/>
          <w:szCs w:val="28"/>
          <w:lang w:val="kk-KZ"/>
        </w:rPr>
        <w:t xml:space="preserve">ясын ескере  отырып, салық  органдары мен  қаржы  полициясы  органдары тарапынан  жағдайды  тиісті  түрде  бақылау болғанда төлем карточкаларына  пайдалана отырып төлемдерді  қабылдау  желісінің дамуы көрсеткіштерінің бұдан әрі  өсуін күтуге  болады. </w:t>
      </w:r>
    </w:p>
    <w:p w:rsidR="006C41CD" w:rsidRPr="00F71F93" w:rsidRDefault="006C41CD" w:rsidP="006C41CD">
      <w:pPr>
        <w:ind w:firstLine="709"/>
        <w:jc w:val="both"/>
        <w:rPr>
          <w:sz w:val="28"/>
          <w:szCs w:val="28"/>
          <w:lang w:val="kk-KZ"/>
        </w:rPr>
      </w:pPr>
      <w:r>
        <w:rPr>
          <w:sz w:val="28"/>
          <w:szCs w:val="28"/>
          <w:lang w:val="kk-KZ"/>
        </w:rPr>
        <w:t>Сонымен қатар, қазір кезде кәсіпкерлерде</w:t>
      </w:r>
      <w:r w:rsidRPr="00445342">
        <w:rPr>
          <w:sz w:val="28"/>
          <w:szCs w:val="28"/>
          <w:lang w:val="kk-KZ"/>
        </w:rPr>
        <w:t xml:space="preserve"> </w:t>
      </w:r>
      <w:r>
        <w:rPr>
          <w:sz w:val="28"/>
          <w:szCs w:val="28"/>
          <w:lang w:val="kk-KZ"/>
        </w:rPr>
        <w:t xml:space="preserve">орнатылған POS-терминалдарға жүктеменің  төмен болып отырғандығын байқауға болады. Мәселен, 2013 жылы бір POS-терминал бойынша  орташа  күніне 2-ден артық транзакция жасалған  жоқ. Осындай оптимистік емес көрсеткіштерді  POS-терминалдардың қолайлы орналаспауымен  түсіндіруге болады.  Бөлшек төлемдердің негізгі массасы иелері дара кәсіпкерлер болып табылатын және </w:t>
      </w:r>
      <w:r>
        <w:rPr>
          <w:sz w:val="28"/>
          <w:szCs w:val="28"/>
          <w:lang w:val="kk-KZ"/>
        </w:rPr>
        <w:lastRenderedPageBreak/>
        <w:t>әдетте, қазіргі кезде POS-терминалдар жоқ үлкен емес дүкендерде және сервистік пункттерде жүзеге асырылады. Яғни, жоғарыда көрсетілген Қаулының талаптарын орындау арқылы төлем карточкаларын төлемге қабылдау желісі дамып қана қоймай, сондай-ақ төлем карточкалары  пайдаланыла отырып жүргізілетін төлемдердің  көлемі  елеулі өсетін  болады.</w:t>
      </w:r>
    </w:p>
    <w:p w:rsidR="0086499E" w:rsidRPr="0086499E" w:rsidRDefault="0086499E" w:rsidP="0086499E">
      <w:pPr>
        <w:ind w:firstLine="709"/>
        <w:jc w:val="both"/>
        <w:rPr>
          <w:sz w:val="28"/>
          <w:szCs w:val="28"/>
          <w:lang w:val="kk-KZ"/>
        </w:rPr>
      </w:pPr>
      <w:r w:rsidRPr="0086499E">
        <w:rPr>
          <w:sz w:val="28"/>
          <w:szCs w:val="28"/>
          <w:lang w:val="kk-KZ"/>
        </w:rPr>
        <w:t>Өңірлер бойынша электрондық банктік қызметтерді жүзеге асыру желілерінің бөлінуі айтарлықтай өзгермеді. Өңірлердің басым көпшілігінің негізгі көрсеткіштер бойынша үлесінің азаюы немесе ұлғаюы 1% аспады. Банк дүңгіршектерінің жағдайы керісінше болды, Оңтүстік Қазақстан облысында олардың үлесі 6,3%-ға, Қарағанды облысында – 4,4%-ға және Алматы қаласында 3,7%-ға өскен, бұл жоғарыда аталған жекелеген банктің іс-қимылдарына байланысты болды.</w:t>
      </w:r>
    </w:p>
    <w:p w:rsidR="0086499E" w:rsidRDefault="0086499E" w:rsidP="0086499E">
      <w:pPr>
        <w:ind w:firstLine="709"/>
        <w:jc w:val="both"/>
        <w:rPr>
          <w:sz w:val="28"/>
          <w:szCs w:val="28"/>
          <w:lang w:val="kk-KZ"/>
        </w:rPr>
      </w:pPr>
      <w:r w:rsidRPr="0086499E">
        <w:rPr>
          <w:sz w:val="28"/>
          <w:szCs w:val="28"/>
          <w:lang w:val="kk-KZ"/>
        </w:rPr>
        <w:t>Бұрынғыдай, негізгі көрсеткіштер бойынша нарықтың кемінде 20% Алматы қаласына тиесілі.</w:t>
      </w:r>
    </w:p>
    <w:p w:rsidR="006C41CD" w:rsidRPr="0086499E" w:rsidRDefault="006C41CD" w:rsidP="0086499E">
      <w:pPr>
        <w:ind w:firstLine="709"/>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1526"/>
        <w:gridCol w:w="1418"/>
        <w:gridCol w:w="1559"/>
        <w:gridCol w:w="1559"/>
        <w:gridCol w:w="1524"/>
      </w:tblGrid>
      <w:tr w:rsidR="0086499E" w:rsidRPr="0086499E" w:rsidTr="00D20632">
        <w:tc>
          <w:tcPr>
            <w:tcW w:w="2018" w:type="dxa"/>
            <w:shd w:val="clear" w:color="auto" w:fill="auto"/>
          </w:tcPr>
          <w:p w:rsidR="0086499E" w:rsidRPr="0086499E" w:rsidRDefault="0086499E" w:rsidP="0086499E">
            <w:pPr>
              <w:ind w:left="-108" w:right="-75"/>
              <w:jc w:val="center"/>
              <w:rPr>
                <w:b/>
                <w:lang w:val="kk-KZ"/>
              </w:rPr>
            </w:pPr>
            <w:r w:rsidRPr="0086499E">
              <w:rPr>
                <w:b/>
                <w:lang w:val="kk-KZ"/>
              </w:rPr>
              <w:t>Облыстың/қала</w:t>
            </w:r>
            <w:r>
              <w:rPr>
                <w:b/>
                <w:lang w:val="kk-KZ"/>
              </w:rPr>
              <w:t>-</w:t>
            </w:r>
            <w:r w:rsidRPr="0086499E">
              <w:rPr>
                <w:b/>
                <w:lang w:val="kk-KZ"/>
              </w:rPr>
              <w:t>ның атауы</w:t>
            </w:r>
          </w:p>
        </w:tc>
        <w:tc>
          <w:tcPr>
            <w:tcW w:w="1526" w:type="dxa"/>
            <w:shd w:val="clear" w:color="auto" w:fill="auto"/>
            <w:vAlign w:val="center"/>
          </w:tcPr>
          <w:p w:rsidR="0086499E" w:rsidRPr="0086499E" w:rsidRDefault="0086499E" w:rsidP="0086499E">
            <w:pPr>
              <w:ind w:left="-141" w:right="-75"/>
              <w:jc w:val="center"/>
              <w:rPr>
                <w:b/>
                <w:lang w:val="kk-KZ"/>
              </w:rPr>
            </w:pPr>
            <w:r w:rsidRPr="0086499E">
              <w:rPr>
                <w:b/>
                <w:lang w:val="kk-KZ"/>
              </w:rPr>
              <w:t>POS-терминалдар</w:t>
            </w:r>
          </w:p>
        </w:tc>
        <w:tc>
          <w:tcPr>
            <w:tcW w:w="1418" w:type="dxa"/>
            <w:shd w:val="clear" w:color="auto" w:fill="auto"/>
            <w:vAlign w:val="center"/>
          </w:tcPr>
          <w:p w:rsidR="0086499E" w:rsidRPr="0086499E" w:rsidRDefault="0086499E" w:rsidP="0086499E">
            <w:pPr>
              <w:ind w:right="-75" w:hanging="108"/>
              <w:jc w:val="center"/>
              <w:rPr>
                <w:b/>
                <w:lang w:val="kk-KZ"/>
              </w:rPr>
            </w:pPr>
            <w:r w:rsidRPr="0086499E">
              <w:rPr>
                <w:b/>
                <w:lang w:val="kk-KZ"/>
              </w:rPr>
              <w:t>Кәсіпкерлер</w:t>
            </w:r>
          </w:p>
        </w:tc>
        <w:tc>
          <w:tcPr>
            <w:tcW w:w="1559" w:type="dxa"/>
            <w:shd w:val="clear" w:color="auto" w:fill="auto"/>
            <w:vAlign w:val="center"/>
          </w:tcPr>
          <w:p w:rsidR="0086499E" w:rsidRPr="0086499E" w:rsidRDefault="0086499E" w:rsidP="0086499E">
            <w:pPr>
              <w:ind w:left="-108" w:right="-75"/>
              <w:jc w:val="center"/>
              <w:rPr>
                <w:b/>
                <w:lang w:val="kk-KZ"/>
              </w:rPr>
            </w:pPr>
            <w:r w:rsidRPr="0086499E">
              <w:rPr>
                <w:b/>
                <w:lang w:val="kk-KZ"/>
              </w:rPr>
              <w:t>Сауда орындары</w:t>
            </w:r>
          </w:p>
        </w:tc>
        <w:tc>
          <w:tcPr>
            <w:tcW w:w="1559" w:type="dxa"/>
            <w:shd w:val="clear" w:color="auto" w:fill="auto"/>
            <w:vAlign w:val="center"/>
          </w:tcPr>
          <w:p w:rsidR="0086499E" w:rsidRPr="0086499E" w:rsidRDefault="0086499E" w:rsidP="0086499E">
            <w:pPr>
              <w:ind w:right="-75" w:hanging="108"/>
              <w:jc w:val="center"/>
              <w:rPr>
                <w:b/>
                <w:lang w:val="kk-KZ"/>
              </w:rPr>
            </w:pPr>
            <w:r w:rsidRPr="0086499E">
              <w:rPr>
                <w:b/>
                <w:lang w:val="kk-KZ"/>
              </w:rPr>
              <w:t>Банкоматтар</w:t>
            </w:r>
          </w:p>
        </w:tc>
        <w:tc>
          <w:tcPr>
            <w:tcW w:w="1524" w:type="dxa"/>
            <w:shd w:val="clear" w:color="auto" w:fill="auto"/>
            <w:vAlign w:val="center"/>
          </w:tcPr>
          <w:p w:rsidR="0086499E" w:rsidRPr="0086499E" w:rsidRDefault="0086499E" w:rsidP="0086499E">
            <w:pPr>
              <w:ind w:left="-108" w:right="-2"/>
              <w:jc w:val="center"/>
              <w:rPr>
                <w:b/>
                <w:lang w:val="kk-KZ"/>
              </w:rPr>
            </w:pPr>
            <w:r w:rsidRPr="0086499E">
              <w:rPr>
                <w:b/>
                <w:lang w:val="kk-KZ"/>
              </w:rPr>
              <w:t>Банк дүңгіршектері</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Ақмола                  </w:t>
            </w:r>
          </w:p>
        </w:tc>
        <w:tc>
          <w:tcPr>
            <w:tcW w:w="1526" w:type="dxa"/>
            <w:shd w:val="clear" w:color="auto" w:fill="auto"/>
            <w:vAlign w:val="center"/>
          </w:tcPr>
          <w:p w:rsidR="0086499E" w:rsidRPr="0086499E" w:rsidRDefault="0086499E" w:rsidP="00D20632">
            <w:pPr>
              <w:jc w:val="center"/>
              <w:rPr>
                <w:lang w:val="kk-KZ"/>
              </w:rPr>
            </w:pPr>
            <w:r w:rsidRPr="0086499E">
              <w:rPr>
                <w:lang w:val="kk-KZ"/>
              </w:rPr>
              <w:t>1 085</w:t>
            </w:r>
          </w:p>
        </w:tc>
        <w:tc>
          <w:tcPr>
            <w:tcW w:w="1418" w:type="dxa"/>
            <w:shd w:val="clear" w:color="auto" w:fill="auto"/>
            <w:vAlign w:val="center"/>
          </w:tcPr>
          <w:p w:rsidR="0086499E" w:rsidRPr="0086499E" w:rsidRDefault="0086499E" w:rsidP="00D20632">
            <w:pPr>
              <w:jc w:val="center"/>
              <w:rPr>
                <w:lang w:val="kk-KZ"/>
              </w:rPr>
            </w:pPr>
            <w:r w:rsidRPr="0086499E">
              <w:rPr>
                <w:lang w:val="kk-KZ"/>
              </w:rPr>
              <w:t>548</w:t>
            </w:r>
          </w:p>
        </w:tc>
        <w:tc>
          <w:tcPr>
            <w:tcW w:w="1559" w:type="dxa"/>
            <w:shd w:val="clear" w:color="auto" w:fill="auto"/>
            <w:vAlign w:val="center"/>
          </w:tcPr>
          <w:p w:rsidR="0086499E" w:rsidRPr="0086499E" w:rsidRDefault="0086499E" w:rsidP="00D20632">
            <w:pPr>
              <w:jc w:val="center"/>
              <w:rPr>
                <w:lang w:val="kk-KZ"/>
              </w:rPr>
            </w:pPr>
            <w:r w:rsidRPr="0086499E">
              <w:rPr>
                <w:lang w:val="kk-KZ"/>
              </w:rPr>
              <w:t>745</w:t>
            </w:r>
          </w:p>
        </w:tc>
        <w:tc>
          <w:tcPr>
            <w:tcW w:w="1559" w:type="dxa"/>
            <w:shd w:val="clear" w:color="auto" w:fill="auto"/>
            <w:vAlign w:val="center"/>
          </w:tcPr>
          <w:p w:rsidR="0086499E" w:rsidRPr="0086499E" w:rsidRDefault="0086499E" w:rsidP="00D20632">
            <w:pPr>
              <w:jc w:val="center"/>
              <w:rPr>
                <w:lang w:val="kk-KZ"/>
              </w:rPr>
            </w:pPr>
            <w:r w:rsidRPr="0086499E">
              <w:rPr>
                <w:lang w:val="kk-KZ"/>
              </w:rPr>
              <w:t>311</w:t>
            </w:r>
          </w:p>
        </w:tc>
        <w:tc>
          <w:tcPr>
            <w:tcW w:w="1524" w:type="dxa"/>
            <w:shd w:val="clear" w:color="auto" w:fill="auto"/>
            <w:vAlign w:val="center"/>
          </w:tcPr>
          <w:p w:rsidR="0086499E" w:rsidRPr="0086499E" w:rsidRDefault="0086499E" w:rsidP="00D20632">
            <w:pPr>
              <w:jc w:val="center"/>
              <w:rPr>
                <w:lang w:val="kk-KZ"/>
              </w:rPr>
            </w:pPr>
            <w:r w:rsidRPr="0086499E">
              <w:rPr>
                <w:lang w:val="kk-KZ"/>
              </w:rPr>
              <w:t>66</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2,5%</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2,6%</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2,4%</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3,5%</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1,9%</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Ақтөбе</w:t>
            </w:r>
          </w:p>
        </w:tc>
        <w:tc>
          <w:tcPr>
            <w:tcW w:w="1526" w:type="dxa"/>
            <w:shd w:val="clear" w:color="auto" w:fill="auto"/>
            <w:vAlign w:val="center"/>
          </w:tcPr>
          <w:p w:rsidR="0086499E" w:rsidRPr="0086499E" w:rsidRDefault="0086499E" w:rsidP="00D20632">
            <w:pPr>
              <w:jc w:val="center"/>
              <w:rPr>
                <w:lang w:val="kk-KZ"/>
              </w:rPr>
            </w:pPr>
            <w:r w:rsidRPr="0086499E">
              <w:rPr>
                <w:lang w:val="kk-KZ"/>
              </w:rPr>
              <w:t>1 769</w:t>
            </w:r>
          </w:p>
        </w:tc>
        <w:tc>
          <w:tcPr>
            <w:tcW w:w="1418" w:type="dxa"/>
            <w:shd w:val="clear" w:color="auto" w:fill="auto"/>
            <w:vAlign w:val="center"/>
          </w:tcPr>
          <w:p w:rsidR="0086499E" w:rsidRPr="0086499E" w:rsidRDefault="0086499E" w:rsidP="00D20632">
            <w:pPr>
              <w:jc w:val="center"/>
              <w:rPr>
                <w:lang w:val="kk-KZ"/>
              </w:rPr>
            </w:pPr>
            <w:r w:rsidRPr="0086499E">
              <w:rPr>
                <w:lang w:val="kk-KZ"/>
              </w:rPr>
              <w:t>745</w:t>
            </w:r>
          </w:p>
        </w:tc>
        <w:tc>
          <w:tcPr>
            <w:tcW w:w="1559" w:type="dxa"/>
            <w:shd w:val="clear" w:color="auto" w:fill="auto"/>
            <w:vAlign w:val="center"/>
          </w:tcPr>
          <w:p w:rsidR="0086499E" w:rsidRPr="0086499E" w:rsidRDefault="0086499E" w:rsidP="00D20632">
            <w:pPr>
              <w:jc w:val="center"/>
              <w:rPr>
                <w:lang w:val="kk-KZ"/>
              </w:rPr>
            </w:pPr>
            <w:r w:rsidRPr="0086499E">
              <w:rPr>
                <w:lang w:val="kk-KZ"/>
              </w:rPr>
              <w:t>1 114</w:t>
            </w:r>
          </w:p>
        </w:tc>
        <w:tc>
          <w:tcPr>
            <w:tcW w:w="1559" w:type="dxa"/>
            <w:shd w:val="clear" w:color="auto" w:fill="auto"/>
            <w:vAlign w:val="center"/>
          </w:tcPr>
          <w:p w:rsidR="0086499E" w:rsidRPr="0086499E" w:rsidRDefault="0086499E" w:rsidP="00D20632">
            <w:pPr>
              <w:jc w:val="center"/>
              <w:rPr>
                <w:lang w:val="kk-KZ"/>
              </w:rPr>
            </w:pPr>
            <w:r w:rsidRPr="0086499E">
              <w:rPr>
                <w:lang w:val="kk-KZ"/>
              </w:rPr>
              <w:t>483</w:t>
            </w:r>
          </w:p>
        </w:tc>
        <w:tc>
          <w:tcPr>
            <w:tcW w:w="1524" w:type="dxa"/>
            <w:shd w:val="clear" w:color="auto" w:fill="auto"/>
            <w:vAlign w:val="center"/>
          </w:tcPr>
          <w:p w:rsidR="0086499E" w:rsidRPr="0086499E" w:rsidRDefault="0086499E" w:rsidP="00D20632">
            <w:pPr>
              <w:jc w:val="center"/>
              <w:rPr>
                <w:lang w:val="kk-KZ"/>
              </w:rPr>
            </w:pPr>
            <w:r w:rsidRPr="0086499E">
              <w:rPr>
                <w:lang w:val="kk-KZ"/>
              </w:rPr>
              <w:t>115</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4,0%</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3,5%</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3,5%</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5,4%</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3,3%</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Алматы                   </w:t>
            </w:r>
          </w:p>
        </w:tc>
        <w:tc>
          <w:tcPr>
            <w:tcW w:w="1526" w:type="dxa"/>
            <w:shd w:val="clear" w:color="auto" w:fill="auto"/>
            <w:vAlign w:val="center"/>
          </w:tcPr>
          <w:p w:rsidR="0086499E" w:rsidRPr="0086499E" w:rsidRDefault="0086499E" w:rsidP="00D20632">
            <w:pPr>
              <w:jc w:val="center"/>
              <w:rPr>
                <w:lang w:val="kk-KZ"/>
              </w:rPr>
            </w:pPr>
            <w:r w:rsidRPr="0086499E">
              <w:rPr>
                <w:lang w:val="kk-KZ"/>
              </w:rPr>
              <w:t>1 305</w:t>
            </w:r>
          </w:p>
        </w:tc>
        <w:tc>
          <w:tcPr>
            <w:tcW w:w="1418" w:type="dxa"/>
            <w:shd w:val="clear" w:color="auto" w:fill="auto"/>
            <w:vAlign w:val="center"/>
          </w:tcPr>
          <w:p w:rsidR="0086499E" w:rsidRPr="0086499E" w:rsidRDefault="0086499E" w:rsidP="00D20632">
            <w:pPr>
              <w:jc w:val="center"/>
              <w:rPr>
                <w:lang w:val="kk-KZ"/>
              </w:rPr>
            </w:pPr>
            <w:r w:rsidRPr="0086499E">
              <w:rPr>
                <w:lang w:val="kk-KZ"/>
              </w:rPr>
              <w:t>584</w:t>
            </w:r>
          </w:p>
        </w:tc>
        <w:tc>
          <w:tcPr>
            <w:tcW w:w="1559" w:type="dxa"/>
            <w:shd w:val="clear" w:color="auto" w:fill="auto"/>
            <w:vAlign w:val="center"/>
          </w:tcPr>
          <w:p w:rsidR="0086499E" w:rsidRPr="0086499E" w:rsidRDefault="0086499E" w:rsidP="00D20632">
            <w:pPr>
              <w:jc w:val="center"/>
              <w:rPr>
                <w:lang w:val="kk-KZ"/>
              </w:rPr>
            </w:pPr>
            <w:r w:rsidRPr="0086499E">
              <w:rPr>
                <w:lang w:val="kk-KZ"/>
              </w:rPr>
              <w:t>906</w:t>
            </w:r>
          </w:p>
        </w:tc>
        <w:tc>
          <w:tcPr>
            <w:tcW w:w="1559" w:type="dxa"/>
            <w:shd w:val="clear" w:color="auto" w:fill="auto"/>
            <w:vAlign w:val="center"/>
          </w:tcPr>
          <w:p w:rsidR="0086499E" w:rsidRPr="0086499E" w:rsidRDefault="0086499E" w:rsidP="00D20632">
            <w:pPr>
              <w:jc w:val="center"/>
              <w:rPr>
                <w:lang w:val="kk-KZ"/>
              </w:rPr>
            </w:pPr>
            <w:r w:rsidRPr="0086499E">
              <w:rPr>
                <w:lang w:val="kk-KZ"/>
              </w:rPr>
              <w:t>356</w:t>
            </w:r>
          </w:p>
        </w:tc>
        <w:tc>
          <w:tcPr>
            <w:tcW w:w="1524" w:type="dxa"/>
            <w:shd w:val="clear" w:color="auto" w:fill="auto"/>
            <w:vAlign w:val="center"/>
          </w:tcPr>
          <w:p w:rsidR="0086499E" w:rsidRPr="0086499E" w:rsidRDefault="0086499E" w:rsidP="00D20632">
            <w:pPr>
              <w:jc w:val="center"/>
              <w:rPr>
                <w:lang w:val="kk-KZ"/>
              </w:rPr>
            </w:pPr>
            <w:r w:rsidRPr="0086499E">
              <w:rPr>
                <w:lang w:val="kk-KZ"/>
              </w:rPr>
              <w:t>166</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3,0%</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2,7%</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2,9%</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4,0%</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4,7%</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Атырау                    </w:t>
            </w:r>
          </w:p>
        </w:tc>
        <w:tc>
          <w:tcPr>
            <w:tcW w:w="1526" w:type="dxa"/>
            <w:shd w:val="clear" w:color="auto" w:fill="auto"/>
            <w:vAlign w:val="center"/>
          </w:tcPr>
          <w:p w:rsidR="0086499E" w:rsidRPr="0086499E" w:rsidRDefault="0086499E" w:rsidP="00D20632">
            <w:pPr>
              <w:jc w:val="center"/>
              <w:rPr>
                <w:lang w:val="kk-KZ"/>
              </w:rPr>
            </w:pPr>
            <w:r w:rsidRPr="0086499E">
              <w:rPr>
                <w:lang w:val="kk-KZ"/>
              </w:rPr>
              <w:t>2 042</w:t>
            </w:r>
          </w:p>
        </w:tc>
        <w:tc>
          <w:tcPr>
            <w:tcW w:w="1418" w:type="dxa"/>
            <w:shd w:val="clear" w:color="auto" w:fill="auto"/>
            <w:vAlign w:val="center"/>
          </w:tcPr>
          <w:p w:rsidR="0086499E" w:rsidRPr="0086499E" w:rsidRDefault="0086499E" w:rsidP="00D20632">
            <w:pPr>
              <w:jc w:val="center"/>
              <w:rPr>
                <w:lang w:val="kk-KZ"/>
              </w:rPr>
            </w:pPr>
            <w:r w:rsidRPr="0086499E">
              <w:rPr>
                <w:lang w:val="kk-KZ"/>
              </w:rPr>
              <w:t>842</w:t>
            </w:r>
          </w:p>
        </w:tc>
        <w:tc>
          <w:tcPr>
            <w:tcW w:w="1559" w:type="dxa"/>
            <w:shd w:val="clear" w:color="auto" w:fill="auto"/>
            <w:vAlign w:val="center"/>
          </w:tcPr>
          <w:p w:rsidR="0086499E" w:rsidRPr="0086499E" w:rsidRDefault="0086499E" w:rsidP="00D20632">
            <w:pPr>
              <w:jc w:val="center"/>
              <w:rPr>
                <w:lang w:val="kk-KZ"/>
              </w:rPr>
            </w:pPr>
            <w:r w:rsidRPr="0086499E">
              <w:rPr>
                <w:lang w:val="kk-KZ"/>
              </w:rPr>
              <w:t>1 298</w:t>
            </w:r>
          </w:p>
        </w:tc>
        <w:tc>
          <w:tcPr>
            <w:tcW w:w="1559" w:type="dxa"/>
            <w:shd w:val="clear" w:color="auto" w:fill="auto"/>
            <w:vAlign w:val="center"/>
          </w:tcPr>
          <w:p w:rsidR="0086499E" w:rsidRPr="0086499E" w:rsidRDefault="0086499E" w:rsidP="00D20632">
            <w:pPr>
              <w:jc w:val="center"/>
              <w:rPr>
                <w:lang w:val="kk-KZ"/>
              </w:rPr>
            </w:pPr>
            <w:r w:rsidRPr="0086499E">
              <w:rPr>
                <w:lang w:val="kk-KZ"/>
              </w:rPr>
              <w:t>516</w:t>
            </w:r>
          </w:p>
        </w:tc>
        <w:tc>
          <w:tcPr>
            <w:tcW w:w="1524" w:type="dxa"/>
            <w:shd w:val="clear" w:color="auto" w:fill="auto"/>
            <w:vAlign w:val="center"/>
          </w:tcPr>
          <w:p w:rsidR="0086499E" w:rsidRPr="0086499E" w:rsidRDefault="0086499E" w:rsidP="00D20632">
            <w:pPr>
              <w:jc w:val="center"/>
              <w:rPr>
                <w:lang w:val="kk-KZ"/>
              </w:rPr>
            </w:pPr>
            <w:r w:rsidRPr="0086499E">
              <w:rPr>
                <w:lang w:val="kk-KZ"/>
              </w:rPr>
              <w:t>89</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4,6%</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4,0%</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4,1%</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5,8%</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2,5%</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ШҚО</w:t>
            </w:r>
          </w:p>
        </w:tc>
        <w:tc>
          <w:tcPr>
            <w:tcW w:w="1526" w:type="dxa"/>
            <w:shd w:val="clear" w:color="auto" w:fill="auto"/>
            <w:vAlign w:val="center"/>
          </w:tcPr>
          <w:p w:rsidR="0086499E" w:rsidRPr="0086499E" w:rsidRDefault="0086499E" w:rsidP="00D20632">
            <w:pPr>
              <w:jc w:val="center"/>
              <w:rPr>
                <w:lang w:val="kk-KZ"/>
              </w:rPr>
            </w:pPr>
            <w:r w:rsidRPr="0086499E">
              <w:rPr>
                <w:lang w:val="kk-KZ"/>
              </w:rPr>
              <w:t>2 698</w:t>
            </w:r>
          </w:p>
        </w:tc>
        <w:tc>
          <w:tcPr>
            <w:tcW w:w="1418" w:type="dxa"/>
            <w:shd w:val="clear" w:color="auto" w:fill="auto"/>
            <w:vAlign w:val="center"/>
          </w:tcPr>
          <w:p w:rsidR="0086499E" w:rsidRPr="0086499E" w:rsidRDefault="0086499E" w:rsidP="00D20632">
            <w:pPr>
              <w:jc w:val="center"/>
              <w:rPr>
                <w:lang w:val="kk-KZ"/>
              </w:rPr>
            </w:pPr>
            <w:r w:rsidRPr="0086499E">
              <w:rPr>
                <w:lang w:val="kk-KZ"/>
              </w:rPr>
              <w:t>1 213</w:t>
            </w:r>
          </w:p>
        </w:tc>
        <w:tc>
          <w:tcPr>
            <w:tcW w:w="1559" w:type="dxa"/>
            <w:shd w:val="clear" w:color="auto" w:fill="auto"/>
            <w:vAlign w:val="center"/>
          </w:tcPr>
          <w:p w:rsidR="0086499E" w:rsidRPr="0086499E" w:rsidRDefault="0086499E" w:rsidP="00D20632">
            <w:pPr>
              <w:jc w:val="center"/>
              <w:rPr>
                <w:lang w:val="kk-KZ"/>
              </w:rPr>
            </w:pPr>
            <w:r w:rsidRPr="0086499E">
              <w:rPr>
                <w:lang w:val="kk-KZ"/>
              </w:rPr>
              <w:t>1 858</w:t>
            </w:r>
          </w:p>
        </w:tc>
        <w:tc>
          <w:tcPr>
            <w:tcW w:w="1559" w:type="dxa"/>
            <w:shd w:val="clear" w:color="auto" w:fill="auto"/>
            <w:vAlign w:val="center"/>
          </w:tcPr>
          <w:p w:rsidR="0086499E" w:rsidRPr="0086499E" w:rsidRDefault="0086499E" w:rsidP="00D20632">
            <w:pPr>
              <w:jc w:val="center"/>
              <w:rPr>
                <w:lang w:val="kk-KZ"/>
              </w:rPr>
            </w:pPr>
            <w:r w:rsidRPr="0086499E">
              <w:rPr>
                <w:lang w:val="kk-KZ"/>
              </w:rPr>
              <w:t>713</w:t>
            </w:r>
          </w:p>
        </w:tc>
        <w:tc>
          <w:tcPr>
            <w:tcW w:w="1524" w:type="dxa"/>
            <w:shd w:val="clear" w:color="auto" w:fill="auto"/>
            <w:vAlign w:val="center"/>
          </w:tcPr>
          <w:p w:rsidR="0086499E" w:rsidRPr="0086499E" w:rsidRDefault="0086499E" w:rsidP="00D20632">
            <w:pPr>
              <w:jc w:val="center"/>
              <w:rPr>
                <w:lang w:val="kk-KZ"/>
              </w:rPr>
            </w:pPr>
            <w:r w:rsidRPr="0086499E">
              <w:rPr>
                <w:lang w:val="kk-KZ"/>
              </w:rPr>
              <w:t>154</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6,1%</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5,7%</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5,9%</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8,0%</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4,4%</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Жамбыл</w:t>
            </w:r>
          </w:p>
        </w:tc>
        <w:tc>
          <w:tcPr>
            <w:tcW w:w="1526" w:type="dxa"/>
            <w:shd w:val="clear" w:color="auto" w:fill="auto"/>
            <w:vAlign w:val="center"/>
          </w:tcPr>
          <w:p w:rsidR="0086499E" w:rsidRPr="0086499E" w:rsidRDefault="0086499E" w:rsidP="00D20632">
            <w:pPr>
              <w:jc w:val="center"/>
              <w:rPr>
                <w:lang w:val="kk-KZ"/>
              </w:rPr>
            </w:pPr>
            <w:r w:rsidRPr="0086499E">
              <w:rPr>
                <w:lang w:val="kk-KZ"/>
              </w:rPr>
              <w:t>864</w:t>
            </w:r>
          </w:p>
        </w:tc>
        <w:tc>
          <w:tcPr>
            <w:tcW w:w="1418" w:type="dxa"/>
            <w:shd w:val="clear" w:color="auto" w:fill="auto"/>
            <w:vAlign w:val="center"/>
          </w:tcPr>
          <w:p w:rsidR="0086499E" w:rsidRPr="0086499E" w:rsidRDefault="0086499E" w:rsidP="00D20632">
            <w:pPr>
              <w:jc w:val="center"/>
              <w:rPr>
                <w:lang w:val="kk-KZ"/>
              </w:rPr>
            </w:pPr>
            <w:r w:rsidRPr="0086499E">
              <w:rPr>
                <w:lang w:val="kk-KZ"/>
              </w:rPr>
              <w:t>425</w:t>
            </w:r>
          </w:p>
        </w:tc>
        <w:tc>
          <w:tcPr>
            <w:tcW w:w="1559" w:type="dxa"/>
            <w:shd w:val="clear" w:color="auto" w:fill="auto"/>
            <w:vAlign w:val="center"/>
          </w:tcPr>
          <w:p w:rsidR="0086499E" w:rsidRPr="0086499E" w:rsidRDefault="0086499E" w:rsidP="00D20632">
            <w:pPr>
              <w:jc w:val="center"/>
              <w:rPr>
                <w:lang w:val="kk-KZ"/>
              </w:rPr>
            </w:pPr>
            <w:r w:rsidRPr="0086499E">
              <w:rPr>
                <w:lang w:val="kk-KZ"/>
              </w:rPr>
              <w:t>622</w:t>
            </w:r>
          </w:p>
        </w:tc>
        <w:tc>
          <w:tcPr>
            <w:tcW w:w="1559" w:type="dxa"/>
            <w:shd w:val="clear" w:color="auto" w:fill="auto"/>
            <w:vAlign w:val="center"/>
          </w:tcPr>
          <w:p w:rsidR="0086499E" w:rsidRPr="0086499E" w:rsidRDefault="0086499E" w:rsidP="00D20632">
            <w:pPr>
              <w:jc w:val="center"/>
              <w:rPr>
                <w:lang w:val="kk-KZ"/>
              </w:rPr>
            </w:pPr>
            <w:r w:rsidRPr="0086499E">
              <w:rPr>
                <w:lang w:val="kk-KZ"/>
              </w:rPr>
              <w:t>318</w:t>
            </w:r>
          </w:p>
        </w:tc>
        <w:tc>
          <w:tcPr>
            <w:tcW w:w="1524" w:type="dxa"/>
            <w:shd w:val="clear" w:color="auto" w:fill="auto"/>
            <w:vAlign w:val="center"/>
          </w:tcPr>
          <w:p w:rsidR="0086499E" w:rsidRPr="0086499E" w:rsidRDefault="0086499E" w:rsidP="00D20632">
            <w:pPr>
              <w:jc w:val="center"/>
              <w:rPr>
                <w:lang w:val="kk-KZ"/>
              </w:rPr>
            </w:pPr>
            <w:r w:rsidRPr="0086499E">
              <w:rPr>
                <w:lang w:val="kk-KZ"/>
              </w:rPr>
              <w:t>87</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2,0%</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2,0%</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2,0%</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3,6%</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2,5%</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БҚО</w:t>
            </w:r>
          </w:p>
        </w:tc>
        <w:tc>
          <w:tcPr>
            <w:tcW w:w="1526" w:type="dxa"/>
            <w:shd w:val="clear" w:color="auto" w:fill="auto"/>
            <w:vAlign w:val="center"/>
          </w:tcPr>
          <w:p w:rsidR="0086499E" w:rsidRPr="0086499E" w:rsidRDefault="0086499E" w:rsidP="00D20632">
            <w:pPr>
              <w:jc w:val="center"/>
              <w:rPr>
                <w:lang w:val="kk-KZ"/>
              </w:rPr>
            </w:pPr>
            <w:r w:rsidRPr="0086499E">
              <w:rPr>
                <w:lang w:val="kk-KZ"/>
              </w:rPr>
              <w:t>1 480</w:t>
            </w:r>
          </w:p>
        </w:tc>
        <w:tc>
          <w:tcPr>
            <w:tcW w:w="1418" w:type="dxa"/>
            <w:shd w:val="clear" w:color="auto" w:fill="auto"/>
            <w:vAlign w:val="center"/>
          </w:tcPr>
          <w:p w:rsidR="0086499E" w:rsidRPr="0086499E" w:rsidRDefault="0086499E" w:rsidP="00D20632">
            <w:pPr>
              <w:jc w:val="center"/>
              <w:rPr>
                <w:lang w:val="kk-KZ"/>
              </w:rPr>
            </w:pPr>
            <w:r w:rsidRPr="0086499E">
              <w:rPr>
                <w:lang w:val="kk-KZ"/>
              </w:rPr>
              <w:t>657</w:t>
            </w:r>
          </w:p>
        </w:tc>
        <w:tc>
          <w:tcPr>
            <w:tcW w:w="1559" w:type="dxa"/>
            <w:shd w:val="clear" w:color="auto" w:fill="auto"/>
            <w:vAlign w:val="center"/>
          </w:tcPr>
          <w:p w:rsidR="0086499E" w:rsidRPr="0086499E" w:rsidRDefault="0086499E" w:rsidP="00D20632">
            <w:pPr>
              <w:jc w:val="center"/>
              <w:rPr>
                <w:lang w:val="kk-KZ"/>
              </w:rPr>
            </w:pPr>
            <w:r w:rsidRPr="0086499E">
              <w:rPr>
                <w:lang w:val="kk-KZ"/>
              </w:rPr>
              <w:t>1 034</w:t>
            </w:r>
          </w:p>
        </w:tc>
        <w:tc>
          <w:tcPr>
            <w:tcW w:w="1559" w:type="dxa"/>
            <w:shd w:val="clear" w:color="auto" w:fill="auto"/>
            <w:vAlign w:val="center"/>
          </w:tcPr>
          <w:p w:rsidR="0086499E" w:rsidRPr="0086499E" w:rsidRDefault="0086499E" w:rsidP="00D20632">
            <w:pPr>
              <w:jc w:val="center"/>
              <w:rPr>
                <w:lang w:val="kk-KZ"/>
              </w:rPr>
            </w:pPr>
            <w:r w:rsidRPr="0086499E">
              <w:rPr>
                <w:lang w:val="kk-KZ"/>
              </w:rPr>
              <w:t>349</w:t>
            </w:r>
          </w:p>
        </w:tc>
        <w:tc>
          <w:tcPr>
            <w:tcW w:w="1524" w:type="dxa"/>
            <w:shd w:val="clear" w:color="auto" w:fill="auto"/>
            <w:vAlign w:val="center"/>
          </w:tcPr>
          <w:p w:rsidR="0086499E" w:rsidRPr="0086499E" w:rsidRDefault="0086499E" w:rsidP="00D20632">
            <w:pPr>
              <w:jc w:val="center"/>
              <w:rPr>
                <w:lang w:val="kk-KZ"/>
              </w:rPr>
            </w:pPr>
            <w:r w:rsidRPr="0086499E">
              <w:rPr>
                <w:lang w:val="kk-KZ"/>
              </w:rPr>
              <w:t>87</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3,4%</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3,1%</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3,3%</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3,9%</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2,5%</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Қарағанды                </w:t>
            </w:r>
          </w:p>
        </w:tc>
        <w:tc>
          <w:tcPr>
            <w:tcW w:w="1526" w:type="dxa"/>
            <w:shd w:val="clear" w:color="auto" w:fill="auto"/>
            <w:vAlign w:val="center"/>
          </w:tcPr>
          <w:p w:rsidR="0086499E" w:rsidRPr="0086499E" w:rsidRDefault="0086499E" w:rsidP="00D20632">
            <w:pPr>
              <w:jc w:val="center"/>
              <w:rPr>
                <w:lang w:val="kk-KZ"/>
              </w:rPr>
            </w:pPr>
            <w:r w:rsidRPr="0086499E">
              <w:rPr>
                <w:lang w:val="kk-KZ"/>
              </w:rPr>
              <w:t>3 282</w:t>
            </w:r>
          </w:p>
        </w:tc>
        <w:tc>
          <w:tcPr>
            <w:tcW w:w="1418" w:type="dxa"/>
            <w:shd w:val="clear" w:color="auto" w:fill="auto"/>
            <w:vAlign w:val="center"/>
          </w:tcPr>
          <w:p w:rsidR="0086499E" w:rsidRPr="0086499E" w:rsidRDefault="0086499E" w:rsidP="00D20632">
            <w:pPr>
              <w:jc w:val="center"/>
              <w:rPr>
                <w:lang w:val="kk-KZ"/>
              </w:rPr>
            </w:pPr>
            <w:r w:rsidRPr="0086499E">
              <w:rPr>
                <w:lang w:val="kk-KZ"/>
              </w:rPr>
              <w:t>1 577</w:t>
            </w:r>
          </w:p>
        </w:tc>
        <w:tc>
          <w:tcPr>
            <w:tcW w:w="1559" w:type="dxa"/>
            <w:shd w:val="clear" w:color="auto" w:fill="auto"/>
            <w:vAlign w:val="center"/>
          </w:tcPr>
          <w:p w:rsidR="0086499E" w:rsidRPr="0086499E" w:rsidRDefault="0086499E" w:rsidP="00D20632">
            <w:pPr>
              <w:jc w:val="center"/>
              <w:rPr>
                <w:lang w:val="kk-KZ"/>
              </w:rPr>
            </w:pPr>
            <w:r w:rsidRPr="0086499E">
              <w:rPr>
                <w:lang w:val="kk-KZ"/>
              </w:rPr>
              <w:t>2 233</w:t>
            </w:r>
          </w:p>
        </w:tc>
        <w:tc>
          <w:tcPr>
            <w:tcW w:w="1559" w:type="dxa"/>
            <w:shd w:val="clear" w:color="auto" w:fill="auto"/>
            <w:vAlign w:val="center"/>
          </w:tcPr>
          <w:p w:rsidR="0086499E" w:rsidRPr="0086499E" w:rsidRDefault="0086499E" w:rsidP="00D20632">
            <w:pPr>
              <w:jc w:val="center"/>
              <w:rPr>
                <w:lang w:val="kk-KZ"/>
              </w:rPr>
            </w:pPr>
            <w:r w:rsidRPr="0086499E">
              <w:rPr>
                <w:lang w:val="kk-KZ"/>
              </w:rPr>
              <w:t>767</w:t>
            </w:r>
          </w:p>
        </w:tc>
        <w:tc>
          <w:tcPr>
            <w:tcW w:w="1524" w:type="dxa"/>
            <w:shd w:val="clear" w:color="auto" w:fill="auto"/>
            <w:vAlign w:val="center"/>
          </w:tcPr>
          <w:p w:rsidR="0086499E" w:rsidRPr="0086499E" w:rsidRDefault="0086499E" w:rsidP="00D20632">
            <w:pPr>
              <w:jc w:val="center"/>
              <w:rPr>
                <w:lang w:val="kk-KZ"/>
              </w:rPr>
            </w:pPr>
            <w:r w:rsidRPr="0086499E">
              <w:rPr>
                <w:lang w:val="kk-KZ"/>
              </w:rPr>
              <w:t>581</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7,4%</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7,4%</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7,0%</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8,6%</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16,5%</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Қостанай                  </w:t>
            </w:r>
          </w:p>
        </w:tc>
        <w:tc>
          <w:tcPr>
            <w:tcW w:w="1526" w:type="dxa"/>
            <w:shd w:val="clear" w:color="auto" w:fill="auto"/>
            <w:vAlign w:val="center"/>
          </w:tcPr>
          <w:p w:rsidR="0086499E" w:rsidRPr="0086499E" w:rsidRDefault="0086499E" w:rsidP="00D20632">
            <w:pPr>
              <w:jc w:val="center"/>
              <w:rPr>
                <w:lang w:val="kk-KZ"/>
              </w:rPr>
            </w:pPr>
            <w:r w:rsidRPr="0086499E">
              <w:rPr>
                <w:lang w:val="kk-KZ"/>
              </w:rPr>
              <w:t>2 298</w:t>
            </w:r>
          </w:p>
        </w:tc>
        <w:tc>
          <w:tcPr>
            <w:tcW w:w="1418" w:type="dxa"/>
            <w:shd w:val="clear" w:color="auto" w:fill="auto"/>
            <w:vAlign w:val="center"/>
          </w:tcPr>
          <w:p w:rsidR="0086499E" w:rsidRPr="0086499E" w:rsidRDefault="0086499E" w:rsidP="00D20632">
            <w:pPr>
              <w:jc w:val="center"/>
              <w:rPr>
                <w:lang w:val="kk-KZ"/>
              </w:rPr>
            </w:pPr>
            <w:r w:rsidRPr="0086499E">
              <w:rPr>
                <w:lang w:val="kk-KZ"/>
              </w:rPr>
              <w:t>1 147</w:t>
            </w:r>
          </w:p>
        </w:tc>
        <w:tc>
          <w:tcPr>
            <w:tcW w:w="1559" w:type="dxa"/>
            <w:shd w:val="clear" w:color="auto" w:fill="auto"/>
            <w:vAlign w:val="center"/>
          </w:tcPr>
          <w:p w:rsidR="0086499E" w:rsidRPr="0086499E" w:rsidRDefault="0086499E" w:rsidP="00D20632">
            <w:pPr>
              <w:jc w:val="center"/>
              <w:rPr>
                <w:lang w:val="kk-KZ"/>
              </w:rPr>
            </w:pPr>
            <w:r w:rsidRPr="0086499E">
              <w:rPr>
                <w:lang w:val="kk-KZ"/>
              </w:rPr>
              <w:t>1 809</w:t>
            </w:r>
          </w:p>
        </w:tc>
        <w:tc>
          <w:tcPr>
            <w:tcW w:w="1559" w:type="dxa"/>
            <w:shd w:val="clear" w:color="auto" w:fill="auto"/>
            <w:vAlign w:val="center"/>
          </w:tcPr>
          <w:p w:rsidR="0086499E" w:rsidRPr="0086499E" w:rsidRDefault="0086499E" w:rsidP="00D20632">
            <w:pPr>
              <w:jc w:val="center"/>
              <w:rPr>
                <w:lang w:val="kk-KZ"/>
              </w:rPr>
            </w:pPr>
            <w:r w:rsidRPr="0086499E">
              <w:rPr>
                <w:lang w:val="kk-KZ"/>
              </w:rPr>
              <w:t>370</w:t>
            </w:r>
          </w:p>
        </w:tc>
        <w:tc>
          <w:tcPr>
            <w:tcW w:w="1524" w:type="dxa"/>
            <w:shd w:val="clear" w:color="auto" w:fill="auto"/>
            <w:vAlign w:val="center"/>
          </w:tcPr>
          <w:p w:rsidR="0086499E" w:rsidRPr="0086499E" w:rsidRDefault="0086499E" w:rsidP="00D20632">
            <w:pPr>
              <w:jc w:val="center"/>
              <w:rPr>
                <w:lang w:val="kk-KZ"/>
              </w:rPr>
            </w:pPr>
            <w:r w:rsidRPr="0086499E">
              <w:rPr>
                <w:lang w:val="kk-KZ"/>
              </w:rPr>
              <w:t>256</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5,2%</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5,4%</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5,7%</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4,1%</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7,3%</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Қызылорда              </w:t>
            </w:r>
          </w:p>
        </w:tc>
        <w:tc>
          <w:tcPr>
            <w:tcW w:w="1526" w:type="dxa"/>
            <w:shd w:val="clear" w:color="auto" w:fill="auto"/>
            <w:vAlign w:val="center"/>
          </w:tcPr>
          <w:p w:rsidR="0086499E" w:rsidRPr="0086499E" w:rsidRDefault="0086499E" w:rsidP="00D20632">
            <w:pPr>
              <w:jc w:val="center"/>
              <w:rPr>
                <w:lang w:val="kk-KZ"/>
              </w:rPr>
            </w:pPr>
            <w:r w:rsidRPr="0086499E">
              <w:rPr>
                <w:lang w:val="kk-KZ"/>
              </w:rPr>
              <w:t>658</w:t>
            </w:r>
          </w:p>
        </w:tc>
        <w:tc>
          <w:tcPr>
            <w:tcW w:w="1418" w:type="dxa"/>
            <w:shd w:val="clear" w:color="auto" w:fill="auto"/>
            <w:vAlign w:val="center"/>
          </w:tcPr>
          <w:p w:rsidR="0086499E" w:rsidRPr="0086499E" w:rsidRDefault="0086499E" w:rsidP="00D20632">
            <w:pPr>
              <w:jc w:val="center"/>
              <w:rPr>
                <w:lang w:val="kk-KZ"/>
              </w:rPr>
            </w:pPr>
            <w:r w:rsidRPr="0086499E">
              <w:rPr>
                <w:lang w:val="kk-KZ"/>
              </w:rPr>
              <w:t>280</w:t>
            </w:r>
          </w:p>
        </w:tc>
        <w:tc>
          <w:tcPr>
            <w:tcW w:w="1559" w:type="dxa"/>
            <w:shd w:val="clear" w:color="auto" w:fill="auto"/>
            <w:vAlign w:val="center"/>
          </w:tcPr>
          <w:p w:rsidR="0086499E" w:rsidRPr="0086499E" w:rsidRDefault="0086499E" w:rsidP="00D20632">
            <w:pPr>
              <w:jc w:val="center"/>
              <w:rPr>
                <w:lang w:val="kk-KZ"/>
              </w:rPr>
            </w:pPr>
            <w:r w:rsidRPr="0086499E">
              <w:rPr>
                <w:lang w:val="kk-KZ"/>
              </w:rPr>
              <w:t>421</w:t>
            </w:r>
          </w:p>
        </w:tc>
        <w:tc>
          <w:tcPr>
            <w:tcW w:w="1559" w:type="dxa"/>
            <w:shd w:val="clear" w:color="auto" w:fill="auto"/>
            <w:vAlign w:val="center"/>
          </w:tcPr>
          <w:p w:rsidR="0086499E" w:rsidRPr="0086499E" w:rsidRDefault="0086499E" w:rsidP="00D20632">
            <w:pPr>
              <w:jc w:val="center"/>
              <w:rPr>
                <w:lang w:val="kk-KZ"/>
              </w:rPr>
            </w:pPr>
            <w:r w:rsidRPr="0086499E">
              <w:rPr>
                <w:lang w:val="kk-KZ"/>
              </w:rPr>
              <w:t>241</w:t>
            </w:r>
          </w:p>
        </w:tc>
        <w:tc>
          <w:tcPr>
            <w:tcW w:w="1524" w:type="dxa"/>
            <w:shd w:val="clear" w:color="auto" w:fill="auto"/>
            <w:vAlign w:val="center"/>
          </w:tcPr>
          <w:p w:rsidR="0086499E" w:rsidRPr="0086499E" w:rsidRDefault="0086499E" w:rsidP="00D20632">
            <w:pPr>
              <w:jc w:val="center"/>
              <w:rPr>
                <w:lang w:val="kk-KZ"/>
              </w:rPr>
            </w:pPr>
            <w:r w:rsidRPr="0086499E">
              <w:rPr>
                <w:lang w:val="kk-KZ"/>
              </w:rPr>
              <w:t>56</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1,5%</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1,3%</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1,3%</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2,7%</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1,6%</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Маңғыстау                 </w:t>
            </w:r>
          </w:p>
        </w:tc>
        <w:tc>
          <w:tcPr>
            <w:tcW w:w="1526" w:type="dxa"/>
            <w:shd w:val="clear" w:color="auto" w:fill="auto"/>
            <w:vAlign w:val="center"/>
          </w:tcPr>
          <w:p w:rsidR="0086499E" w:rsidRPr="0086499E" w:rsidRDefault="0086499E" w:rsidP="00D20632">
            <w:pPr>
              <w:jc w:val="center"/>
              <w:rPr>
                <w:lang w:val="kk-KZ"/>
              </w:rPr>
            </w:pPr>
            <w:r w:rsidRPr="0086499E">
              <w:rPr>
                <w:lang w:val="kk-KZ"/>
              </w:rPr>
              <w:t>1 548</w:t>
            </w:r>
          </w:p>
        </w:tc>
        <w:tc>
          <w:tcPr>
            <w:tcW w:w="1418" w:type="dxa"/>
            <w:shd w:val="clear" w:color="auto" w:fill="auto"/>
            <w:vAlign w:val="center"/>
          </w:tcPr>
          <w:p w:rsidR="0086499E" w:rsidRPr="0086499E" w:rsidRDefault="0086499E" w:rsidP="00D20632">
            <w:pPr>
              <w:jc w:val="center"/>
              <w:rPr>
                <w:lang w:val="kk-KZ"/>
              </w:rPr>
            </w:pPr>
            <w:r w:rsidRPr="0086499E">
              <w:rPr>
                <w:lang w:val="kk-KZ"/>
              </w:rPr>
              <w:t>780</w:t>
            </w:r>
          </w:p>
        </w:tc>
        <w:tc>
          <w:tcPr>
            <w:tcW w:w="1559" w:type="dxa"/>
            <w:shd w:val="clear" w:color="auto" w:fill="auto"/>
            <w:vAlign w:val="center"/>
          </w:tcPr>
          <w:p w:rsidR="0086499E" w:rsidRPr="0086499E" w:rsidRDefault="0086499E" w:rsidP="00D20632">
            <w:pPr>
              <w:jc w:val="center"/>
              <w:rPr>
                <w:lang w:val="kk-KZ"/>
              </w:rPr>
            </w:pPr>
            <w:r w:rsidRPr="0086499E">
              <w:rPr>
                <w:lang w:val="kk-KZ"/>
              </w:rPr>
              <w:t>1 022</w:t>
            </w:r>
          </w:p>
        </w:tc>
        <w:tc>
          <w:tcPr>
            <w:tcW w:w="1559" w:type="dxa"/>
            <w:shd w:val="clear" w:color="auto" w:fill="auto"/>
            <w:vAlign w:val="center"/>
          </w:tcPr>
          <w:p w:rsidR="0086499E" w:rsidRPr="0086499E" w:rsidRDefault="0086499E" w:rsidP="00D20632">
            <w:pPr>
              <w:jc w:val="center"/>
              <w:rPr>
                <w:lang w:val="kk-KZ"/>
              </w:rPr>
            </w:pPr>
            <w:r w:rsidRPr="0086499E">
              <w:rPr>
                <w:lang w:val="kk-KZ"/>
              </w:rPr>
              <w:t>440</w:t>
            </w:r>
          </w:p>
        </w:tc>
        <w:tc>
          <w:tcPr>
            <w:tcW w:w="1524" w:type="dxa"/>
            <w:shd w:val="clear" w:color="auto" w:fill="auto"/>
            <w:vAlign w:val="center"/>
          </w:tcPr>
          <w:p w:rsidR="0086499E" w:rsidRPr="0086499E" w:rsidRDefault="0086499E" w:rsidP="00D20632">
            <w:pPr>
              <w:jc w:val="center"/>
              <w:rPr>
                <w:lang w:val="kk-KZ"/>
              </w:rPr>
            </w:pPr>
            <w:r w:rsidRPr="0086499E">
              <w:rPr>
                <w:lang w:val="kk-KZ"/>
              </w:rPr>
              <w:t>103</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3,5%</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3,7%</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3,2%</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4,9%</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2,9%</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Павлодар                  </w:t>
            </w:r>
          </w:p>
        </w:tc>
        <w:tc>
          <w:tcPr>
            <w:tcW w:w="1526" w:type="dxa"/>
            <w:shd w:val="clear" w:color="auto" w:fill="auto"/>
            <w:vAlign w:val="center"/>
          </w:tcPr>
          <w:p w:rsidR="0086499E" w:rsidRPr="0086499E" w:rsidRDefault="0086499E" w:rsidP="00D20632">
            <w:pPr>
              <w:jc w:val="center"/>
              <w:rPr>
                <w:lang w:val="kk-KZ"/>
              </w:rPr>
            </w:pPr>
            <w:r w:rsidRPr="0086499E">
              <w:rPr>
                <w:lang w:val="kk-KZ"/>
              </w:rPr>
              <w:t>2 080</w:t>
            </w:r>
          </w:p>
        </w:tc>
        <w:tc>
          <w:tcPr>
            <w:tcW w:w="1418" w:type="dxa"/>
            <w:shd w:val="clear" w:color="auto" w:fill="auto"/>
            <w:vAlign w:val="center"/>
          </w:tcPr>
          <w:p w:rsidR="0086499E" w:rsidRPr="0086499E" w:rsidRDefault="0086499E" w:rsidP="00D20632">
            <w:pPr>
              <w:jc w:val="center"/>
              <w:rPr>
                <w:lang w:val="kk-KZ"/>
              </w:rPr>
            </w:pPr>
            <w:r w:rsidRPr="0086499E">
              <w:rPr>
                <w:lang w:val="kk-KZ"/>
              </w:rPr>
              <w:t>1 009</w:t>
            </w:r>
          </w:p>
        </w:tc>
        <w:tc>
          <w:tcPr>
            <w:tcW w:w="1559" w:type="dxa"/>
            <w:shd w:val="clear" w:color="auto" w:fill="auto"/>
            <w:vAlign w:val="center"/>
          </w:tcPr>
          <w:p w:rsidR="0086499E" w:rsidRPr="0086499E" w:rsidRDefault="0086499E" w:rsidP="00D20632">
            <w:pPr>
              <w:jc w:val="center"/>
              <w:rPr>
                <w:lang w:val="kk-KZ"/>
              </w:rPr>
            </w:pPr>
            <w:r w:rsidRPr="0086499E">
              <w:rPr>
                <w:lang w:val="kk-KZ"/>
              </w:rPr>
              <w:t>1 462</w:t>
            </w:r>
          </w:p>
        </w:tc>
        <w:tc>
          <w:tcPr>
            <w:tcW w:w="1559" w:type="dxa"/>
            <w:shd w:val="clear" w:color="auto" w:fill="auto"/>
            <w:vAlign w:val="center"/>
          </w:tcPr>
          <w:p w:rsidR="0086499E" w:rsidRPr="0086499E" w:rsidRDefault="0086499E" w:rsidP="00D20632">
            <w:pPr>
              <w:jc w:val="center"/>
              <w:rPr>
                <w:lang w:val="kk-KZ"/>
              </w:rPr>
            </w:pPr>
            <w:r w:rsidRPr="0086499E">
              <w:rPr>
                <w:lang w:val="kk-KZ"/>
              </w:rPr>
              <w:t>554</w:t>
            </w:r>
          </w:p>
        </w:tc>
        <w:tc>
          <w:tcPr>
            <w:tcW w:w="1524" w:type="dxa"/>
            <w:shd w:val="clear" w:color="auto" w:fill="auto"/>
            <w:vAlign w:val="center"/>
          </w:tcPr>
          <w:p w:rsidR="0086499E" w:rsidRPr="0086499E" w:rsidRDefault="0086499E" w:rsidP="00D20632">
            <w:pPr>
              <w:jc w:val="center"/>
              <w:rPr>
                <w:lang w:val="kk-KZ"/>
              </w:rPr>
            </w:pPr>
            <w:r w:rsidRPr="0086499E">
              <w:rPr>
                <w:lang w:val="kk-KZ"/>
              </w:rPr>
              <w:t>197</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4,7%</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4,7%</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4,6%</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6,2%</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5,6%</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СҚО</w:t>
            </w:r>
          </w:p>
        </w:tc>
        <w:tc>
          <w:tcPr>
            <w:tcW w:w="1526" w:type="dxa"/>
            <w:shd w:val="clear" w:color="auto" w:fill="auto"/>
            <w:vAlign w:val="center"/>
          </w:tcPr>
          <w:p w:rsidR="0086499E" w:rsidRPr="0086499E" w:rsidRDefault="0086499E" w:rsidP="00D20632">
            <w:pPr>
              <w:jc w:val="center"/>
              <w:rPr>
                <w:lang w:val="kk-KZ"/>
              </w:rPr>
            </w:pPr>
            <w:r w:rsidRPr="0086499E">
              <w:rPr>
                <w:lang w:val="kk-KZ"/>
              </w:rPr>
              <w:t>1 184</w:t>
            </w:r>
          </w:p>
        </w:tc>
        <w:tc>
          <w:tcPr>
            <w:tcW w:w="1418" w:type="dxa"/>
            <w:shd w:val="clear" w:color="auto" w:fill="auto"/>
            <w:vAlign w:val="center"/>
          </w:tcPr>
          <w:p w:rsidR="0086499E" w:rsidRPr="0086499E" w:rsidRDefault="0086499E" w:rsidP="00D20632">
            <w:pPr>
              <w:jc w:val="center"/>
              <w:rPr>
                <w:lang w:val="kk-KZ"/>
              </w:rPr>
            </w:pPr>
            <w:r w:rsidRPr="0086499E">
              <w:rPr>
                <w:lang w:val="kk-KZ"/>
              </w:rPr>
              <w:t>567</w:t>
            </w:r>
          </w:p>
        </w:tc>
        <w:tc>
          <w:tcPr>
            <w:tcW w:w="1559" w:type="dxa"/>
            <w:shd w:val="clear" w:color="auto" w:fill="auto"/>
            <w:vAlign w:val="center"/>
          </w:tcPr>
          <w:p w:rsidR="0086499E" w:rsidRPr="0086499E" w:rsidRDefault="0086499E" w:rsidP="00D20632">
            <w:pPr>
              <w:jc w:val="center"/>
              <w:rPr>
                <w:lang w:val="kk-KZ"/>
              </w:rPr>
            </w:pPr>
            <w:r w:rsidRPr="0086499E">
              <w:rPr>
                <w:lang w:val="kk-KZ"/>
              </w:rPr>
              <w:t>848</w:t>
            </w:r>
          </w:p>
        </w:tc>
        <w:tc>
          <w:tcPr>
            <w:tcW w:w="1559" w:type="dxa"/>
            <w:shd w:val="clear" w:color="auto" w:fill="auto"/>
            <w:vAlign w:val="center"/>
          </w:tcPr>
          <w:p w:rsidR="0086499E" w:rsidRPr="0086499E" w:rsidRDefault="0086499E" w:rsidP="00D20632">
            <w:pPr>
              <w:jc w:val="center"/>
              <w:rPr>
                <w:lang w:val="kk-KZ"/>
              </w:rPr>
            </w:pPr>
            <w:r w:rsidRPr="0086499E">
              <w:rPr>
                <w:lang w:val="kk-KZ"/>
              </w:rPr>
              <w:t>272</w:t>
            </w:r>
          </w:p>
        </w:tc>
        <w:tc>
          <w:tcPr>
            <w:tcW w:w="1524" w:type="dxa"/>
            <w:shd w:val="clear" w:color="auto" w:fill="auto"/>
            <w:vAlign w:val="center"/>
          </w:tcPr>
          <w:p w:rsidR="0086499E" w:rsidRPr="0086499E" w:rsidRDefault="0086499E" w:rsidP="00D20632">
            <w:pPr>
              <w:jc w:val="center"/>
              <w:rPr>
                <w:lang w:val="kk-KZ"/>
              </w:rPr>
            </w:pPr>
            <w:r w:rsidRPr="0086499E">
              <w:rPr>
                <w:lang w:val="kk-KZ"/>
              </w:rPr>
              <w:t>62</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2,7%</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2,7%</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2,7%</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3,0%</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1,8%</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ОҚО</w:t>
            </w:r>
          </w:p>
        </w:tc>
        <w:tc>
          <w:tcPr>
            <w:tcW w:w="1526" w:type="dxa"/>
            <w:shd w:val="clear" w:color="auto" w:fill="auto"/>
            <w:vAlign w:val="center"/>
          </w:tcPr>
          <w:p w:rsidR="0086499E" w:rsidRPr="0086499E" w:rsidRDefault="0086499E" w:rsidP="00D20632">
            <w:pPr>
              <w:jc w:val="center"/>
              <w:rPr>
                <w:lang w:val="kk-KZ"/>
              </w:rPr>
            </w:pPr>
            <w:r w:rsidRPr="0086499E">
              <w:rPr>
                <w:lang w:val="kk-KZ"/>
              </w:rPr>
              <w:t>2 318</w:t>
            </w:r>
          </w:p>
        </w:tc>
        <w:tc>
          <w:tcPr>
            <w:tcW w:w="1418" w:type="dxa"/>
            <w:shd w:val="clear" w:color="auto" w:fill="auto"/>
            <w:vAlign w:val="center"/>
          </w:tcPr>
          <w:p w:rsidR="0086499E" w:rsidRPr="0086499E" w:rsidRDefault="0086499E" w:rsidP="00D20632">
            <w:pPr>
              <w:jc w:val="center"/>
              <w:rPr>
                <w:lang w:val="kk-KZ"/>
              </w:rPr>
            </w:pPr>
            <w:r w:rsidRPr="0086499E">
              <w:rPr>
                <w:lang w:val="kk-KZ"/>
              </w:rPr>
              <w:t>1 118</w:t>
            </w:r>
          </w:p>
        </w:tc>
        <w:tc>
          <w:tcPr>
            <w:tcW w:w="1559" w:type="dxa"/>
            <w:shd w:val="clear" w:color="auto" w:fill="auto"/>
            <w:vAlign w:val="center"/>
          </w:tcPr>
          <w:p w:rsidR="0086499E" w:rsidRPr="0086499E" w:rsidRDefault="0086499E" w:rsidP="00D20632">
            <w:pPr>
              <w:jc w:val="center"/>
              <w:rPr>
                <w:lang w:val="kk-KZ"/>
              </w:rPr>
            </w:pPr>
            <w:r w:rsidRPr="0086499E">
              <w:rPr>
                <w:lang w:val="kk-KZ"/>
              </w:rPr>
              <w:t>1 737</w:t>
            </w:r>
          </w:p>
        </w:tc>
        <w:tc>
          <w:tcPr>
            <w:tcW w:w="1559" w:type="dxa"/>
            <w:shd w:val="clear" w:color="auto" w:fill="auto"/>
            <w:vAlign w:val="center"/>
          </w:tcPr>
          <w:p w:rsidR="0086499E" w:rsidRPr="0086499E" w:rsidRDefault="0086499E" w:rsidP="00D20632">
            <w:pPr>
              <w:jc w:val="center"/>
              <w:rPr>
                <w:lang w:val="kk-KZ"/>
              </w:rPr>
            </w:pPr>
            <w:r w:rsidRPr="0086499E">
              <w:rPr>
                <w:lang w:val="kk-KZ"/>
              </w:rPr>
              <w:t>553</w:t>
            </w:r>
          </w:p>
        </w:tc>
        <w:tc>
          <w:tcPr>
            <w:tcW w:w="1524" w:type="dxa"/>
            <w:shd w:val="clear" w:color="auto" w:fill="auto"/>
            <w:vAlign w:val="center"/>
          </w:tcPr>
          <w:p w:rsidR="0086499E" w:rsidRPr="0086499E" w:rsidRDefault="0086499E" w:rsidP="00D20632">
            <w:pPr>
              <w:jc w:val="center"/>
              <w:rPr>
                <w:lang w:val="kk-KZ"/>
              </w:rPr>
            </w:pPr>
            <w:r w:rsidRPr="0086499E">
              <w:rPr>
                <w:lang w:val="kk-KZ"/>
              </w:rPr>
              <w:t>436</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5,3%</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5,3%</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5,5%</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6,2%</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12,3%</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Алматы                     </w:t>
            </w:r>
          </w:p>
        </w:tc>
        <w:tc>
          <w:tcPr>
            <w:tcW w:w="1526" w:type="dxa"/>
            <w:shd w:val="clear" w:color="auto" w:fill="auto"/>
            <w:vAlign w:val="center"/>
          </w:tcPr>
          <w:p w:rsidR="0086499E" w:rsidRPr="0086499E" w:rsidRDefault="0086499E" w:rsidP="00D20632">
            <w:pPr>
              <w:jc w:val="center"/>
              <w:rPr>
                <w:lang w:val="kk-KZ"/>
              </w:rPr>
            </w:pPr>
            <w:r w:rsidRPr="0086499E">
              <w:rPr>
                <w:lang w:val="kk-KZ"/>
              </w:rPr>
              <w:t>13 905</w:t>
            </w:r>
          </w:p>
        </w:tc>
        <w:tc>
          <w:tcPr>
            <w:tcW w:w="1418" w:type="dxa"/>
            <w:shd w:val="clear" w:color="auto" w:fill="auto"/>
            <w:vAlign w:val="center"/>
          </w:tcPr>
          <w:p w:rsidR="0086499E" w:rsidRPr="0086499E" w:rsidRDefault="0086499E" w:rsidP="00D20632">
            <w:pPr>
              <w:jc w:val="center"/>
              <w:rPr>
                <w:lang w:val="kk-KZ"/>
              </w:rPr>
            </w:pPr>
            <w:r w:rsidRPr="0086499E">
              <w:rPr>
                <w:lang w:val="kk-KZ"/>
              </w:rPr>
              <w:t>6 892</w:t>
            </w:r>
          </w:p>
        </w:tc>
        <w:tc>
          <w:tcPr>
            <w:tcW w:w="1559" w:type="dxa"/>
            <w:shd w:val="clear" w:color="auto" w:fill="auto"/>
            <w:vAlign w:val="center"/>
          </w:tcPr>
          <w:p w:rsidR="0086499E" w:rsidRPr="0086499E" w:rsidRDefault="0086499E" w:rsidP="00D20632">
            <w:pPr>
              <w:jc w:val="center"/>
              <w:rPr>
                <w:lang w:val="kk-KZ"/>
              </w:rPr>
            </w:pPr>
            <w:r w:rsidRPr="0086499E">
              <w:rPr>
                <w:lang w:val="kk-KZ"/>
              </w:rPr>
              <w:t>10 488</w:t>
            </w:r>
          </w:p>
        </w:tc>
        <w:tc>
          <w:tcPr>
            <w:tcW w:w="1559" w:type="dxa"/>
            <w:shd w:val="clear" w:color="auto" w:fill="auto"/>
            <w:vAlign w:val="center"/>
          </w:tcPr>
          <w:p w:rsidR="0086499E" w:rsidRPr="0086499E" w:rsidRDefault="0086499E" w:rsidP="00D20632">
            <w:pPr>
              <w:jc w:val="center"/>
              <w:rPr>
                <w:lang w:val="kk-KZ"/>
              </w:rPr>
            </w:pPr>
            <w:r w:rsidRPr="0086499E">
              <w:rPr>
                <w:lang w:val="kk-KZ"/>
              </w:rPr>
              <w:t>1 787</w:t>
            </w:r>
          </w:p>
        </w:tc>
        <w:tc>
          <w:tcPr>
            <w:tcW w:w="1524" w:type="dxa"/>
            <w:shd w:val="clear" w:color="auto" w:fill="auto"/>
            <w:vAlign w:val="center"/>
          </w:tcPr>
          <w:p w:rsidR="0086499E" w:rsidRPr="0086499E" w:rsidRDefault="0086499E" w:rsidP="00D20632">
            <w:pPr>
              <w:jc w:val="center"/>
              <w:rPr>
                <w:lang w:val="kk-KZ"/>
              </w:rPr>
            </w:pPr>
            <w:r w:rsidRPr="0086499E">
              <w:rPr>
                <w:lang w:val="kk-KZ"/>
              </w:rPr>
              <w:t>747</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31,5%</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32,4%</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33,1%</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20,0%</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21,2%</w:t>
            </w:r>
          </w:p>
        </w:tc>
      </w:tr>
      <w:tr w:rsidR="0086499E" w:rsidRPr="0086499E" w:rsidTr="00D20632">
        <w:tc>
          <w:tcPr>
            <w:tcW w:w="2018" w:type="dxa"/>
            <w:shd w:val="clear" w:color="auto" w:fill="auto"/>
            <w:vAlign w:val="bottom"/>
          </w:tcPr>
          <w:p w:rsidR="0086499E" w:rsidRPr="0086499E" w:rsidRDefault="0086499E" w:rsidP="00D20632">
            <w:pPr>
              <w:rPr>
                <w:lang w:val="kk-KZ"/>
              </w:rPr>
            </w:pPr>
            <w:r w:rsidRPr="0086499E">
              <w:rPr>
                <w:lang w:val="kk-KZ"/>
              </w:rPr>
              <w:t xml:space="preserve">Астана                     </w:t>
            </w:r>
          </w:p>
        </w:tc>
        <w:tc>
          <w:tcPr>
            <w:tcW w:w="1526" w:type="dxa"/>
            <w:shd w:val="clear" w:color="auto" w:fill="auto"/>
            <w:vAlign w:val="center"/>
          </w:tcPr>
          <w:p w:rsidR="0086499E" w:rsidRPr="0086499E" w:rsidRDefault="0086499E" w:rsidP="00D20632">
            <w:pPr>
              <w:jc w:val="center"/>
              <w:rPr>
                <w:lang w:val="kk-KZ"/>
              </w:rPr>
            </w:pPr>
            <w:r w:rsidRPr="0086499E">
              <w:rPr>
                <w:lang w:val="kk-KZ"/>
              </w:rPr>
              <w:t>5 579</w:t>
            </w:r>
          </w:p>
        </w:tc>
        <w:tc>
          <w:tcPr>
            <w:tcW w:w="1418" w:type="dxa"/>
            <w:shd w:val="clear" w:color="auto" w:fill="auto"/>
            <w:vAlign w:val="center"/>
          </w:tcPr>
          <w:p w:rsidR="0086499E" w:rsidRPr="0086499E" w:rsidRDefault="0086499E" w:rsidP="00D20632">
            <w:pPr>
              <w:jc w:val="center"/>
              <w:rPr>
                <w:lang w:val="kk-KZ"/>
              </w:rPr>
            </w:pPr>
            <w:r w:rsidRPr="0086499E">
              <w:rPr>
                <w:lang w:val="kk-KZ"/>
              </w:rPr>
              <w:t>2 896</w:t>
            </w:r>
          </w:p>
        </w:tc>
        <w:tc>
          <w:tcPr>
            <w:tcW w:w="1559" w:type="dxa"/>
            <w:shd w:val="clear" w:color="auto" w:fill="auto"/>
            <w:vAlign w:val="center"/>
          </w:tcPr>
          <w:p w:rsidR="0086499E" w:rsidRPr="0086499E" w:rsidRDefault="0086499E" w:rsidP="00D20632">
            <w:pPr>
              <w:jc w:val="center"/>
              <w:rPr>
                <w:lang w:val="kk-KZ"/>
              </w:rPr>
            </w:pPr>
            <w:r w:rsidRPr="0086499E">
              <w:rPr>
                <w:lang w:val="kk-KZ"/>
              </w:rPr>
              <w:t>4 094</w:t>
            </w:r>
          </w:p>
        </w:tc>
        <w:tc>
          <w:tcPr>
            <w:tcW w:w="1559" w:type="dxa"/>
            <w:shd w:val="clear" w:color="auto" w:fill="auto"/>
            <w:vAlign w:val="center"/>
          </w:tcPr>
          <w:p w:rsidR="0086499E" w:rsidRPr="0086499E" w:rsidRDefault="0086499E" w:rsidP="00D20632">
            <w:pPr>
              <w:jc w:val="center"/>
              <w:rPr>
                <w:lang w:val="kk-KZ"/>
              </w:rPr>
            </w:pPr>
            <w:r w:rsidRPr="0086499E">
              <w:rPr>
                <w:lang w:val="kk-KZ"/>
              </w:rPr>
              <w:t>909</w:t>
            </w:r>
          </w:p>
        </w:tc>
        <w:tc>
          <w:tcPr>
            <w:tcW w:w="1524" w:type="dxa"/>
            <w:shd w:val="clear" w:color="auto" w:fill="auto"/>
            <w:vAlign w:val="center"/>
          </w:tcPr>
          <w:p w:rsidR="0086499E" w:rsidRPr="0086499E" w:rsidRDefault="0086499E" w:rsidP="00D20632">
            <w:pPr>
              <w:jc w:val="center"/>
              <w:rPr>
                <w:lang w:val="kk-KZ"/>
              </w:rPr>
            </w:pPr>
            <w:r w:rsidRPr="0086499E">
              <w:rPr>
                <w:lang w:val="kk-KZ"/>
              </w:rPr>
              <w:t>329</w:t>
            </w:r>
          </w:p>
        </w:tc>
      </w:tr>
      <w:tr w:rsidR="0086499E" w:rsidRPr="0086499E" w:rsidTr="00D20632">
        <w:tc>
          <w:tcPr>
            <w:tcW w:w="2018" w:type="dxa"/>
            <w:shd w:val="clear" w:color="auto" w:fill="auto"/>
            <w:vAlign w:val="bottom"/>
          </w:tcPr>
          <w:p w:rsidR="0086499E" w:rsidRPr="0086499E" w:rsidRDefault="0086499E" w:rsidP="00D20632">
            <w:pPr>
              <w:rPr>
                <w:i/>
                <w:lang w:val="kk-KZ"/>
              </w:rPr>
            </w:pPr>
            <w:r w:rsidRPr="0086499E">
              <w:rPr>
                <w:i/>
                <w:lang w:val="kk-KZ"/>
              </w:rPr>
              <w:lastRenderedPageBreak/>
              <w:t>үлесі %</w:t>
            </w:r>
          </w:p>
        </w:tc>
        <w:tc>
          <w:tcPr>
            <w:tcW w:w="1526" w:type="dxa"/>
            <w:shd w:val="clear" w:color="auto" w:fill="auto"/>
            <w:vAlign w:val="center"/>
          </w:tcPr>
          <w:p w:rsidR="0086499E" w:rsidRPr="0086499E" w:rsidRDefault="0086499E" w:rsidP="00D20632">
            <w:pPr>
              <w:jc w:val="center"/>
              <w:rPr>
                <w:i/>
                <w:lang w:val="kk-KZ"/>
              </w:rPr>
            </w:pPr>
            <w:r w:rsidRPr="0086499E">
              <w:rPr>
                <w:i/>
                <w:lang w:val="kk-KZ"/>
              </w:rPr>
              <w:t>12,7%</w:t>
            </w:r>
          </w:p>
        </w:tc>
        <w:tc>
          <w:tcPr>
            <w:tcW w:w="1418" w:type="dxa"/>
            <w:shd w:val="clear" w:color="auto" w:fill="auto"/>
            <w:vAlign w:val="center"/>
          </w:tcPr>
          <w:p w:rsidR="0086499E" w:rsidRPr="0086499E" w:rsidRDefault="0086499E" w:rsidP="00D20632">
            <w:pPr>
              <w:jc w:val="center"/>
              <w:rPr>
                <w:i/>
                <w:lang w:val="kk-KZ"/>
              </w:rPr>
            </w:pPr>
            <w:r w:rsidRPr="0086499E">
              <w:rPr>
                <w:i/>
                <w:lang w:val="kk-KZ"/>
              </w:rPr>
              <w:t>13,6%</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12,9%</w:t>
            </w:r>
          </w:p>
        </w:tc>
        <w:tc>
          <w:tcPr>
            <w:tcW w:w="1559" w:type="dxa"/>
            <w:shd w:val="clear" w:color="auto" w:fill="auto"/>
            <w:vAlign w:val="center"/>
          </w:tcPr>
          <w:p w:rsidR="0086499E" w:rsidRPr="0086499E" w:rsidRDefault="0086499E" w:rsidP="00D20632">
            <w:pPr>
              <w:jc w:val="center"/>
              <w:rPr>
                <w:i/>
                <w:lang w:val="kk-KZ"/>
              </w:rPr>
            </w:pPr>
            <w:r w:rsidRPr="0086499E">
              <w:rPr>
                <w:i/>
                <w:lang w:val="kk-KZ"/>
              </w:rPr>
              <w:t>10,2%</w:t>
            </w:r>
          </w:p>
        </w:tc>
        <w:tc>
          <w:tcPr>
            <w:tcW w:w="1524" w:type="dxa"/>
            <w:shd w:val="clear" w:color="auto" w:fill="auto"/>
            <w:vAlign w:val="center"/>
          </w:tcPr>
          <w:p w:rsidR="0086499E" w:rsidRPr="0086499E" w:rsidRDefault="0086499E" w:rsidP="00D20632">
            <w:pPr>
              <w:jc w:val="center"/>
              <w:rPr>
                <w:i/>
                <w:lang w:val="kk-KZ"/>
              </w:rPr>
            </w:pPr>
            <w:r w:rsidRPr="0086499E">
              <w:rPr>
                <w:i/>
                <w:lang w:val="kk-KZ"/>
              </w:rPr>
              <w:t>9,3%</w:t>
            </w:r>
          </w:p>
        </w:tc>
      </w:tr>
      <w:tr w:rsidR="0086499E" w:rsidRPr="0086499E" w:rsidTr="00D20632">
        <w:tc>
          <w:tcPr>
            <w:tcW w:w="2018" w:type="dxa"/>
            <w:shd w:val="clear" w:color="auto" w:fill="auto"/>
          </w:tcPr>
          <w:p w:rsidR="0086499E" w:rsidRPr="0086499E" w:rsidRDefault="0086499E" w:rsidP="00D20632">
            <w:pPr>
              <w:jc w:val="both"/>
              <w:rPr>
                <w:b/>
                <w:lang w:val="kk-KZ"/>
              </w:rPr>
            </w:pPr>
            <w:r w:rsidRPr="0086499E">
              <w:rPr>
                <w:b/>
                <w:lang w:val="kk-KZ"/>
              </w:rPr>
              <w:t>Қазақстан Респ.</w:t>
            </w:r>
          </w:p>
        </w:tc>
        <w:tc>
          <w:tcPr>
            <w:tcW w:w="1526" w:type="dxa"/>
            <w:shd w:val="clear" w:color="auto" w:fill="auto"/>
            <w:vAlign w:val="center"/>
          </w:tcPr>
          <w:p w:rsidR="0086499E" w:rsidRPr="0086499E" w:rsidRDefault="0086499E" w:rsidP="00D20632">
            <w:pPr>
              <w:jc w:val="center"/>
              <w:rPr>
                <w:b/>
                <w:lang w:val="kk-KZ"/>
              </w:rPr>
            </w:pPr>
            <w:r w:rsidRPr="0086499E">
              <w:rPr>
                <w:b/>
                <w:lang w:val="kk-KZ"/>
              </w:rPr>
              <w:t>44 095</w:t>
            </w:r>
          </w:p>
        </w:tc>
        <w:tc>
          <w:tcPr>
            <w:tcW w:w="1418" w:type="dxa"/>
            <w:shd w:val="clear" w:color="auto" w:fill="auto"/>
            <w:vAlign w:val="center"/>
          </w:tcPr>
          <w:p w:rsidR="0086499E" w:rsidRPr="0086499E" w:rsidRDefault="0086499E" w:rsidP="00D20632">
            <w:pPr>
              <w:jc w:val="center"/>
              <w:rPr>
                <w:b/>
                <w:lang w:val="kk-KZ"/>
              </w:rPr>
            </w:pPr>
            <w:r w:rsidRPr="0086499E">
              <w:rPr>
                <w:b/>
                <w:lang w:val="kk-KZ"/>
              </w:rPr>
              <w:t>21 280</w:t>
            </w:r>
          </w:p>
        </w:tc>
        <w:tc>
          <w:tcPr>
            <w:tcW w:w="1559" w:type="dxa"/>
            <w:shd w:val="clear" w:color="auto" w:fill="auto"/>
            <w:vAlign w:val="center"/>
          </w:tcPr>
          <w:p w:rsidR="0086499E" w:rsidRPr="0086499E" w:rsidRDefault="0086499E" w:rsidP="00D20632">
            <w:pPr>
              <w:jc w:val="center"/>
              <w:rPr>
                <w:b/>
                <w:lang w:val="kk-KZ"/>
              </w:rPr>
            </w:pPr>
            <w:r w:rsidRPr="0086499E">
              <w:rPr>
                <w:b/>
                <w:lang w:val="kk-KZ"/>
              </w:rPr>
              <w:t>31 691</w:t>
            </w:r>
          </w:p>
        </w:tc>
        <w:tc>
          <w:tcPr>
            <w:tcW w:w="1559" w:type="dxa"/>
            <w:shd w:val="clear" w:color="auto" w:fill="auto"/>
            <w:vAlign w:val="center"/>
          </w:tcPr>
          <w:p w:rsidR="0086499E" w:rsidRPr="0086499E" w:rsidRDefault="0086499E" w:rsidP="00D20632">
            <w:pPr>
              <w:jc w:val="center"/>
              <w:rPr>
                <w:b/>
                <w:lang w:val="kk-KZ"/>
              </w:rPr>
            </w:pPr>
            <w:r w:rsidRPr="0086499E">
              <w:rPr>
                <w:b/>
                <w:lang w:val="kk-KZ"/>
              </w:rPr>
              <w:t>8 939</w:t>
            </w:r>
          </w:p>
        </w:tc>
        <w:tc>
          <w:tcPr>
            <w:tcW w:w="1524" w:type="dxa"/>
            <w:shd w:val="clear" w:color="auto" w:fill="auto"/>
            <w:vAlign w:val="center"/>
          </w:tcPr>
          <w:p w:rsidR="0086499E" w:rsidRPr="0086499E" w:rsidRDefault="0086499E" w:rsidP="00D20632">
            <w:pPr>
              <w:jc w:val="center"/>
              <w:rPr>
                <w:b/>
                <w:lang w:val="kk-KZ"/>
              </w:rPr>
            </w:pPr>
            <w:r w:rsidRPr="0086499E">
              <w:rPr>
                <w:b/>
                <w:lang w:val="kk-KZ"/>
              </w:rPr>
              <w:t>3 531</w:t>
            </w:r>
          </w:p>
        </w:tc>
      </w:tr>
    </w:tbl>
    <w:p w:rsidR="0086499E" w:rsidRPr="0086499E" w:rsidRDefault="0086499E" w:rsidP="0086499E">
      <w:pPr>
        <w:ind w:firstLine="709"/>
        <w:jc w:val="both"/>
        <w:rPr>
          <w:sz w:val="28"/>
          <w:szCs w:val="28"/>
          <w:lang w:val="kk-KZ"/>
        </w:rPr>
      </w:pPr>
    </w:p>
    <w:p w:rsidR="0086499E" w:rsidRPr="0086499E" w:rsidRDefault="0086499E" w:rsidP="0086499E">
      <w:pPr>
        <w:ind w:firstLine="709"/>
        <w:jc w:val="both"/>
        <w:rPr>
          <w:sz w:val="28"/>
          <w:szCs w:val="28"/>
          <w:lang w:val="kk-KZ"/>
        </w:rPr>
      </w:pPr>
      <w:r w:rsidRPr="0086499E">
        <w:rPr>
          <w:sz w:val="28"/>
          <w:szCs w:val="28"/>
          <w:lang w:val="kk-KZ"/>
        </w:rPr>
        <w:t>Қаралатын кезеңдегі ерекшеліктердің бірі жергілікті желілердің төлем карточкаларын шығаруға және пайдалануға байланысты жағдай болып табылады. Электрондық банктік қызметтер нарығына мониторинг жүргізілген  кезең бойы жергілікті желілердің үлес салмағы төмендеп келді, VISA және MasterCard халықаралық жүйелерінің төлем карточкаларының үлесі тиісінше ұлғайып отырды. Қаралатын кезеңде айналыстағы төлем карточкалары мен оларды пайдалана отырып жасалған транзакцияларды қоса алғанда, жергілікті жүйелердің үлесі 2013 жыл бойы өсіп отырды. Алайда, желтоқсан айында халықаралық жүйелердің төлем карточкаларының үлкен көлемде шығарылуына байланысты жағдай өзгерді және жергілікті жүйелердің үлесі бір жыл бұрынғы көрсеткіштерден төмен болып қалды. Сонымен бірге, абсолюттік көрсетуде жергілікті жүйелердің көрсеткіштері төмен болып қалғанын атап өткен жөн.</w:t>
      </w:r>
    </w:p>
    <w:p w:rsidR="0086499E" w:rsidRPr="0086499E" w:rsidRDefault="0086499E" w:rsidP="0086499E">
      <w:pPr>
        <w:ind w:firstLine="709"/>
        <w:jc w:val="both"/>
        <w:rPr>
          <w:sz w:val="28"/>
          <w:szCs w:val="28"/>
          <w:lang w:val="kk-KZ"/>
        </w:rPr>
      </w:pPr>
      <w:r w:rsidRPr="0086499E">
        <w:rPr>
          <w:sz w:val="28"/>
          <w:szCs w:val="28"/>
          <w:lang w:val="kk-K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1559"/>
        <w:gridCol w:w="1914"/>
        <w:gridCol w:w="1914"/>
      </w:tblGrid>
      <w:tr w:rsidR="0086499E" w:rsidRPr="0086499E" w:rsidTr="00D20632">
        <w:tc>
          <w:tcPr>
            <w:tcW w:w="2552" w:type="dxa"/>
            <w:vMerge w:val="restart"/>
            <w:shd w:val="clear" w:color="auto" w:fill="FDE9D9"/>
            <w:vAlign w:val="center"/>
          </w:tcPr>
          <w:p w:rsidR="0086499E" w:rsidRPr="00057259" w:rsidRDefault="0086499E" w:rsidP="00D20632">
            <w:pPr>
              <w:rPr>
                <w:lang w:val="kk-KZ"/>
              </w:rPr>
            </w:pPr>
            <w:r w:rsidRPr="00057259">
              <w:rPr>
                <w:lang w:val="kk-KZ"/>
              </w:rPr>
              <w:t>Төлем карточкалары жүйелері</w:t>
            </w:r>
          </w:p>
        </w:tc>
        <w:tc>
          <w:tcPr>
            <w:tcW w:w="3118" w:type="dxa"/>
            <w:gridSpan w:val="2"/>
            <w:shd w:val="clear" w:color="auto" w:fill="FDE9D9"/>
            <w:vAlign w:val="center"/>
          </w:tcPr>
          <w:p w:rsidR="0086499E" w:rsidRPr="00057259" w:rsidRDefault="0086499E" w:rsidP="00D20632">
            <w:pPr>
              <w:jc w:val="center"/>
              <w:rPr>
                <w:lang w:val="kk-KZ"/>
              </w:rPr>
            </w:pPr>
            <w:r w:rsidRPr="00057259">
              <w:rPr>
                <w:lang w:val="kk-KZ"/>
              </w:rPr>
              <w:t>Айналыстағы төлем карточкалары (мың бірлікпен)</w:t>
            </w:r>
          </w:p>
        </w:tc>
        <w:tc>
          <w:tcPr>
            <w:tcW w:w="3828" w:type="dxa"/>
            <w:gridSpan w:val="2"/>
            <w:shd w:val="clear" w:color="auto" w:fill="FDE9D9"/>
            <w:vAlign w:val="center"/>
          </w:tcPr>
          <w:p w:rsidR="0086499E" w:rsidRPr="00057259" w:rsidRDefault="0086499E" w:rsidP="00D20632">
            <w:pPr>
              <w:jc w:val="center"/>
              <w:rPr>
                <w:lang w:val="kk-KZ"/>
              </w:rPr>
            </w:pPr>
            <w:r w:rsidRPr="00057259">
              <w:rPr>
                <w:lang w:val="kk-KZ"/>
              </w:rPr>
              <w:t>2012/2013 ж.ж.төлем карточкаларын</w:t>
            </w:r>
            <w:r w:rsidRPr="00057259">
              <w:rPr>
                <w:rStyle w:val="a4"/>
                <w:lang w:val="kk-KZ"/>
              </w:rPr>
              <w:footnoteReference w:id="2"/>
            </w:r>
            <w:r w:rsidRPr="00057259">
              <w:rPr>
                <w:lang w:val="kk-KZ"/>
              </w:rPr>
              <w:t xml:space="preserve"> пайдалана отырып жасалған төлемдердің көлемі</w:t>
            </w:r>
          </w:p>
          <w:p w:rsidR="0086499E" w:rsidRPr="00057259" w:rsidRDefault="0086499E" w:rsidP="00D20632">
            <w:pPr>
              <w:jc w:val="center"/>
              <w:rPr>
                <w:lang w:val="kk-KZ"/>
              </w:rPr>
            </w:pPr>
            <w:r w:rsidRPr="00057259">
              <w:rPr>
                <w:lang w:val="kk-KZ"/>
              </w:rPr>
              <w:t xml:space="preserve"> (млн. теңге)</w:t>
            </w:r>
          </w:p>
        </w:tc>
      </w:tr>
      <w:tr w:rsidR="0086499E" w:rsidRPr="0086499E" w:rsidTr="00D20632">
        <w:tc>
          <w:tcPr>
            <w:tcW w:w="2552" w:type="dxa"/>
            <w:vMerge/>
            <w:tcBorders>
              <w:bottom w:val="single" w:sz="4" w:space="0" w:color="auto"/>
            </w:tcBorders>
            <w:shd w:val="clear" w:color="auto" w:fill="FDE9D9"/>
          </w:tcPr>
          <w:p w:rsidR="0086499E" w:rsidRPr="00057259" w:rsidRDefault="0086499E" w:rsidP="00D20632">
            <w:pPr>
              <w:jc w:val="both"/>
              <w:rPr>
                <w:lang w:val="kk-KZ"/>
              </w:rPr>
            </w:pPr>
          </w:p>
        </w:tc>
        <w:tc>
          <w:tcPr>
            <w:tcW w:w="1559" w:type="dxa"/>
            <w:shd w:val="clear" w:color="auto" w:fill="FDE9D9"/>
            <w:vAlign w:val="center"/>
          </w:tcPr>
          <w:p w:rsidR="0086499E" w:rsidRPr="00057259" w:rsidRDefault="0086499E" w:rsidP="00D20632">
            <w:pPr>
              <w:jc w:val="center"/>
              <w:rPr>
                <w:lang w:val="kk-KZ"/>
              </w:rPr>
            </w:pPr>
            <w:r w:rsidRPr="00057259">
              <w:rPr>
                <w:lang w:val="kk-KZ"/>
              </w:rPr>
              <w:t>на 01.01.13г.</w:t>
            </w:r>
          </w:p>
        </w:tc>
        <w:tc>
          <w:tcPr>
            <w:tcW w:w="1559" w:type="dxa"/>
            <w:shd w:val="clear" w:color="auto" w:fill="FDE9D9"/>
            <w:vAlign w:val="center"/>
          </w:tcPr>
          <w:p w:rsidR="0086499E" w:rsidRPr="00057259" w:rsidRDefault="0086499E" w:rsidP="00D20632">
            <w:pPr>
              <w:jc w:val="center"/>
              <w:rPr>
                <w:lang w:val="kk-KZ"/>
              </w:rPr>
            </w:pPr>
            <w:r w:rsidRPr="00057259">
              <w:rPr>
                <w:lang w:val="kk-KZ"/>
              </w:rPr>
              <w:t>на 01.01.14г.</w:t>
            </w:r>
          </w:p>
        </w:tc>
        <w:tc>
          <w:tcPr>
            <w:tcW w:w="1914" w:type="dxa"/>
            <w:shd w:val="clear" w:color="auto" w:fill="FDE9D9"/>
            <w:vAlign w:val="center"/>
          </w:tcPr>
          <w:p w:rsidR="0086499E" w:rsidRPr="00057259" w:rsidRDefault="0086499E" w:rsidP="00D20632">
            <w:pPr>
              <w:jc w:val="center"/>
              <w:rPr>
                <w:lang w:val="kk-KZ"/>
              </w:rPr>
            </w:pPr>
            <w:r w:rsidRPr="00057259">
              <w:rPr>
                <w:lang w:val="kk-KZ"/>
              </w:rPr>
              <w:t>2012г.</w:t>
            </w:r>
          </w:p>
        </w:tc>
        <w:tc>
          <w:tcPr>
            <w:tcW w:w="1914" w:type="dxa"/>
            <w:shd w:val="clear" w:color="auto" w:fill="FDE9D9"/>
            <w:vAlign w:val="center"/>
          </w:tcPr>
          <w:p w:rsidR="0086499E" w:rsidRPr="00057259" w:rsidRDefault="0086499E" w:rsidP="00D20632">
            <w:pPr>
              <w:jc w:val="center"/>
              <w:rPr>
                <w:lang w:val="kk-KZ"/>
              </w:rPr>
            </w:pPr>
            <w:r w:rsidRPr="00057259">
              <w:rPr>
                <w:lang w:val="kk-KZ"/>
              </w:rPr>
              <w:t>2013г.</w:t>
            </w:r>
          </w:p>
        </w:tc>
      </w:tr>
      <w:tr w:rsidR="0086499E" w:rsidRPr="0086499E" w:rsidTr="00D20632">
        <w:tc>
          <w:tcPr>
            <w:tcW w:w="2552" w:type="dxa"/>
            <w:shd w:val="clear" w:color="auto" w:fill="FDE9D9"/>
          </w:tcPr>
          <w:p w:rsidR="0086499E" w:rsidRPr="00057259" w:rsidRDefault="0086499E" w:rsidP="00D20632">
            <w:pPr>
              <w:jc w:val="both"/>
              <w:rPr>
                <w:lang w:val="kk-KZ"/>
              </w:rPr>
            </w:pPr>
            <w:r w:rsidRPr="00057259">
              <w:rPr>
                <w:lang w:val="kk-KZ"/>
              </w:rPr>
              <w:t xml:space="preserve">жергілікті </w:t>
            </w:r>
          </w:p>
        </w:tc>
        <w:tc>
          <w:tcPr>
            <w:tcW w:w="1559" w:type="dxa"/>
            <w:shd w:val="clear" w:color="auto" w:fill="auto"/>
            <w:vAlign w:val="center"/>
          </w:tcPr>
          <w:p w:rsidR="0086499E" w:rsidRPr="00057259" w:rsidRDefault="0086499E" w:rsidP="00D20632">
            <w:pPr>
              <w:jc w:val="center"/>
              <w:rPr>
                <w:lang w:val="kk-KZ"/>
              </w:rPr>
            </w:pPr>
            <w:r w:rsidRPr="00057259">
              <w:rPr>
                <w:sz w:val="22"/>
                <w:szCs w:val="22"/>
                <w:lang w:val="kk-KZ"/>
              </w:rPr>
              <w:t>558,0</w:t>
            </w:r>
          </w:p>
        </w:tc>
        <w:tc>
          <w:tcPr>
            <w:tcW w:w="1559" w:type="dxa"/>
            <w:shd w:val="clear" w:color="auto" w:fill="auto"/>
            <w:vAlign w:val="center"/>
          </w:tcPr>
          <w:p w:rsidR="0086499E" w:rsidRPr="00057259" w:rsidRDefault="0086499E" w:rsidP="00D20632">
            <w:pPr>
              <w:jc w:val="center"/>
              <w:rPr>
                <w:lang w:val="kk-KZ"/>
              </w:rPr>
            </w:pPr>
            <w:r w:rsidRPr="00057259">
              <w:rPr>
                <w:sz w:val="22"/>
                <w:szCs w:val="22"/>
                <w:lang w:val="kk-KZ"/>
              </w:rPr>
              <w:t>732,8</w:t>
            </w:r>
          </w:p>
        </w:tc>
        <w:tc>
          <w:tcPr>
            <w:tcW w:w="1914" w:type="dxa"/>
            <w:shd w:val="clear" w:color="auto" w:fill="auto"/>
            <w:vAlign w:val="center"/>
          </w:tcPr>
          <w:p w:rsidR="0086499E" w:rsidRPr="00057259" w:rsidRDefault="0086499E" w:rsidP="00D20632">
            <w:pPr>
              <w:jc w:val="center"/>
              <w:rPr>
                <w:sz w:val="20"/>
                <w:szCs w:val="20"/>
                <w:lang w:val="kk-KZ"/>
              </w:rPr>
            </w:pPr>
            <w:r w:rsidRPr="00057259">
              <w:rPr>
                <w:sz w:val="20"/>
                <w:szCs w:val="20"/>
                <w:lang w:val="kk-KZ"/>
              </w:rPr>
              <w:t>193 529,0</w:t>
            </w:r>
          </w:p>
        </w:tc>
        <w:tc>
          <w:tcPr>
            <w:tcW w:w="1914" w:type="dxa"/>
            <w:shd w:val="clear" w:color="auto" w:fill="auto"/>
            <w:vAlign w:val="center"/>
          </w:tcPr>
          <w:p w:rsidR="0086499E" w:rsidRPr="00057259" w:rsidRDefault="0086499E" w:rsidP="00D20632">
            <w:pPr>
              <w:jc w:val="center"/>
              <w:rPr>
                <w:sz w:val="20"/>
                <w:szCs w:val="20"/>
                <w:lang w:val="kk-KZ"/>
              </w:rPr>
            </w:pPr>
            <w:r w:rsidRPr="00057259">
              <w:rPr>
                <w:sz w:val="20"/>
                <w:szCs w:val="20"/>
                <w:lang w:val="kk-KZ"/>
              </w:rPr>
              <w:t>263 062,0</w:t>
            </w:r>
          </w:p>
        </w:tc>
      </w:tr>
      <w:tr w:rsidR="0086499E" w:rsidRPr="0086499E" w:rsidTr="00D20632">
        <w:tc>
          <w:tcPr>
            <w:tcW w:w="2552" w:type="dxa"/>
            <w:shd w:val="clear" w:color="auto" w:fill="FDE9D9"/>
          </w:tcPr>
          <w:p w:rsidR="0086499E" w:rsidRPr="00057259" w:rsidRDefault="0086499E" w:rsidP="00D20632">
            <w:pPr>
              <w:jc w:val="both"/>
              <w:rPr>
                <w:i/>
                <w:lang w:val="kk-KZ"/>
              </w:rPr>
            </w:pPr>
            <w:r w:rsidRPr="00057259">
              <w:rPr>
                <w:i/>
                <w:lang w:val="kk-KZ"/>
              </w:rPr>
              <w:t xml:space="preserve">жергілікті  карточкалардың үлесі </w:t>
            </w:r>
          </w:p>
        </w:tc>
        <w:tc>
          <w:tcPr>
            <w:tcW w:w="1559" w:type="dxa"/>
            <w:shd w:val="clear" w:color="auto" w:fill="auto"/>
            <w:vAlign w:val="center"/>
          </w:tcPr>
          <w:p w:rsidR="0086499E" w:rsidRPr="00057259" w:rsidRDefault="0086499E" w:rsidP="00D20632">
            <w:pPr>
              <w:jc w:val="center"/>
              <w:rPr>
                <w:i/>
                <w:lang w:val="kk-KZ"/>
              </w:rPr>
            </w:pPr>
            <w:r w:rsidRPr="00057259">
              <w:rPr>
                <w:i/>
                <w:lang w:val="kk-KZ"/>
              </w:rPr>
              <w:t>4,6%</w:t>
            </w:r>
          </w:p>
        </w:tc>
        <w:tc>
          <w:tcPr>
            <w:tcW w:w="1559" w:type="dxa"/>
            <w:shd w:val="clear" w:color="auto" w:fill="auto"/>
            <w:vAlign w:val="center"/>
          </w:tcPr>
          <w:p w:rsidR="0086499E" w:rsidRPr="00057259" w:rsidRDefault="0086499E" w:rsidP="00D20632">
            <w:pPr>
              <w:jc w:val="center"/>
              <w:rPr>
                <w:i/>
                <w:lang w:val="kk-KZ"/>
              </w:rPr>
            </w:pPr>
            <w:r w:rsidRPr="00057259">
              <w:rPr>
                <w:i/>
                <w:lang w:val="kk-KZ"/>
              </w:rPr>
              <w:t>4,4%</w:t>
            </w:r>
          </w:p>
        </w:tc>
        <w:tc>
          <w:tcPr>
            <w:tcW w:w="1914" w:type="dxa"/>
            <w:shd w:val="clear" w:color="auto" w:fill="auto"/>
            <w:vAlign w:val="center"/>
          </w:tcPr>
          <w:p w:rsidR="0086499E" w:rsidRPr="00057259" w:rsidRDefault="0086499E" w:rsidP="00D20632">
            <w:pPr>
              <w:jc w:val="center"/>
              <w:rPr>
                <w:i/>
                <w:lang w:val="kk-KZ"/>
              </w:rPr>
            </w:pPr>
            <w:r w:rsidRPr="00057259">
              <w:rPr>
                <w:i/>
                <w:lang w:val="kk-KZ"/>
              </w:rPr>
              <w:t>3,5%</w:t>
            </w:r>
          </w:p>
        </w:tc>
        <w:tc>
          <w:tcPr>
            <w:tcW w:w="1914" w:type="dxa"/>
            <w:shd w:val="clear" w:color="auto" w:fill="auto"/>
            <w:vAlign w:val="center"/>
          </w:tcPr>
          <w:p w:rsidR="0086499E" w:rsidRPr="00057259" w:rsidRDefault="0086499E" w:rsidP="00D20632">
            <w:pPr>
              <w:jc w:val="center"/>
              <w:rPr>
                <w:i/>
                <w:lang w:val="kk-KZ"/>
              </w:rPr>
            </w:pPr>
            <w:r w:rsidRPr="00057259">
              <w:rPr>
                <w:i/>
                <w:lang w:val="kk-KZ"/>
              </w:rPr>
              <w:t>4,0%</w:t>
            </w:r>
          </w:p>
        </w:tc>
      </w:tr>
      <w:tr w:rsidR="0086499E" w:rsidRPr="0086499E" w:rsidTr="00D20632">
        <w:tc>
          <w:tcPr>
            <w:tcW w:w="2552" w:type="dxa"/>
            <w:shd w:val="clear" w:color="auto" w:fill="FDE9D9"/>
          </w:tcPr>
          <w:p w:rsidR="0086499E" w:rsidRPr="00057259" w:rsidRDefault="0086499E" w:rsidP="00D20632">
            <w:pPr>
              <w:jc w:val="both"/>
              <w:rPr>
                <w:lang w:val="kk-KZ"/>
              </w:rPr>
            </w:pPr>
            <w:r w:rsidRPr="00057259">
              <w:rPr>
                <w:lang w:val="kk-KZ"/>
              </w:rPr>
              <w:t xml:space="preserve">халықаралық </w:t>
            </w:r>
          </w:p>
        </w:tc>
        <w:tc>
          <w:tcPr>
            <w:tcW w:w="1559" w:type="dxa"/>
            <w:shd w:val="clear" w:color="auto" w:fill="auto"/>
            <w:vAlign w:val="center"/>
          </w:tcPr>
          <w:p w:rsidR="0086499E" w:rsidRPr="00057259" w:rsidRDefault="0086499E" w:rsidP="00D20632">
            <w:pPr>
              <w:jc w:val="center"/>
              <w:rPr>
                <w:lang w:val="kk-KZ"/>
              </w:rPr>
            </w:pPr>
            <w:r w:rsidRPr="00057259">
              <w:rPr>
                <w:sz w:val="22"/>
                <w:szCs w:val="22"/>
                <w:lang w:val="kk-KZ"/>
              </w:rPr>
              <w:t>11 581,8</w:t>
            </w:r>
          </w:p>
        </w:tc>
        <w:tc>
          <w:tcPr>
            <w:tcW w:w="1559" w:type="dxa"/>
            <w:shd w:val="clear" w:color="auto" w:fill="auto"/>
            <w:vAlign w:val="center"/>
          </w:tcPr>
          <w:p w:rsidR="0086499E" w:rsidRPr="00057259" w:rsidRDefault="0086499E" w:rsidP="00D20632">
            <w:pPr>
              <w:jc w:val="center"/>
              <w:rPr>
                <w:lang w:val="kk-KZ"/>
              </w:rPr>
            </w:pPr>
            <w:r w:rsidRPr="00057259">
              <w:rPr>
                <w:sz w:val="22"/>
                <w:szCs w:val="22"/>
                <w:lang w:val="kk-KZ"/>
              </w:rPr>
              <w:t>15 811,4</w:t>
            </w:r>
          </w:p>
        </w:tc>
        <w:tc>
          <w:tcPr>
            <w:tcW w:w="1914" w:type="dxa"/>
            <w:shd w:val="clear" w:color="auto" w:fill="auto"/>
            <w:vAlign w:val="center"/>
          </w:tcPr>
          <w:p w:rsidR="0086499E" w:rsidRPr="00057259" w:rsidRDefault="0086499E" w:rsidP="00D20632">
            <w:pPr>
              <w:jc w:val="center"/>
              <w:rPr>
                <w:sz w:val="20"/>
                <w:szCs w:val="20"/>
                <w:lang w:val="kk-KZ"/>
              </w:rPr>
            </w:pPr>
            <w:r w:rsidRPr="00057259">
              <w:rPr>
                <w:sz w:val="20"/>
                <w:szCs w:val="20"/>
                <w:lang w:val="kk-KZ"/>
              </w:rPr>
              <w:t>5 369 028,0</w:t>
            </w:r>
          </w:p>
        </w:tc>
        <w:tc>
          <w:tcPr>
            <w:tcW w:w="1914" w:type="dxa"/>
            <w:shd w:val="clear" w:color="auto" w:fill="auto"/>
            <w:vAlign w:val="center"/>
          </w:tcPr>
          <w:p w:rsidR="0086499E" w:rsidRPr="00057259" w:rsidRDefault="0086499E" w:rsidP="00D20632">
            <w:pPr>
              <w:jc w:val="center"/>
              <w:rPr>
                <w:sz w:val="20"/>
                <w:szCs w:val="20"/>
                <w:lang w:val="kk-KZ"/>
              </w:rPr>
            </w:pPr>
            <w:r w:rsidRPr="00057259">
              <w:rPr>
                <w:sz w:val="20"/>
                <w:szCs w:val="20"/>
                <w:lang w:val="kk-KZ"/>
              </w:rPr>
              <w:t>6 274 241,7</w:t>
            </w:r>
          </w:p>
        </w:tc>
      </w:tr>
      <w:tr w:rsidR="0086499E" w:rsidRPr="0086499E" w:rsidTr="00D20632">
        <w:tc>
          <w:tcPr>
            <w:tcW w:w="2552" w:type="dxa"/>
            <w:shd w:val="clear" w:color="auto" w:fill="FDE9D9"/>
          </w:tcPr>
          <w:p w:rsidR="0086499E" w:rsidRPr="00057259" w:rsidRDefault="0086499E" w:rsidP="00D20632">
            <w:pPr>
              <w:jc w:val="both"/>
              <w:rPr>
                <w:i/>
                <w:lang w:val="kk-KZ"/>
              </w:rPr>
            </w:pPr>
            <w:r w:rsidRPr="00057259">
              <w:rPr>
                <w:i/>
                <w:lang w:val="kk-KZ"/>
              </w:rPr>
              <w:t xml:space="preserve">халықаралық карточкалардың үлесі </w:t>
            </w:r>
          </w:p>
        </w:tc>
        <w:tc>
          <w:tcPr>
            <w:tcW w:w="1559" w:type="dxa"/>
            <w:shd w:val="clear" w:color="auto" w:fill="auto"/>
            <w:vAlign w:val="center"/>
          </w:tcPr>
          <w:p w:rsidR="0086499E" w:rsidRPr="00057259" w:rsidRDefault="0086499E" w:rsidP="00D20632">
            <w:pPr>
              <w:jc w:val="center"/>
              <w:rPr>
                <w:i/>
                <w:lang w:val="kk-KZ"/>
              </w:rPr>
            </w:pPr>
            <w:r w:rsidRPr="00057259">
              <w:rPr>
                <w:i/>
                <w:lang w:val="kk-KZ"/>
              </w:rPr>
              <w:t>95,4%</w:t>
            </w:r>
          </w:p>
        </w:tc>
        <w:tc>
          <w:tcPr>
            <w:tcW w:w="1559" w:type="dxa"/>
            <w:shd w:val="clear" w:color="auto" w:fill="auto"/>
            <w:vAlign w:val="center"/>
          </w:tcPr>
          <w:p w:rsidR="0086499E" w:rsidRPr="00057259" w:rsidRDefault="0086499E" w:rsidP="00D20632">
            <w:pPr>
              <w:jc w:val="center"/>
              <w:rPr>
                <w:i/>
                <w:lang w:val="kk-KZ"/>
              </w:rPr>
            </w:pPr>
            <w:r w:rsidRPr="00057259">
              <w:rPr>
                <w:i/>
                <w:lang w:val="kk-KZ"/>
              </w:rPr>
              <w:t>95,6%</w:t>
            </w:r>
          </w:p>
        </w:tc>
        <w:tc>
          <w:tcPr>
            <w:tcW w:w="1914" w:type="dxa"/>
            <w:shd w:val="clear" w:color="auto" w:fill="auto"/>
            <w:vAlign w:val="center"/>
          </w:tcPr>
          <w:p w:rsidR="0086499E" w:rsidRPr="00057259" w:rsidRDefault="0086499E" w:rsidP="00D20632">
            <w:pPr>
              <w:jc w:val="center"/>
              <w:rPr>
                <w:i/>
                <w:lang w:val="kk-KZ"/>
              </w:rPr>
            </w:pPr>
            <w:r w:rsidRPr="00057259">
              <w:rPr>
                <w:i/>
                <w:lang w:val="kk-KZ"/>
              </w:rPr>
              <w:t>96,5%</w:t>
            </w:r>
          </w:p>
        </w:tc>
        <w:tc>
          <w:tcPr>
            <w:tcW w:w="1914" w:type="dxa"/>
            <w:shd w:val="clear" w:color="auto" w:fill="auto"/>
            <w:vAlign w:val="center"/>
          </w:tcPr>
          <w:p w:rsidR="0086499E" w:rsidRPr="00057259" w:rsidRDefault="0086499E" w:rsidP="00D20632">
            <w:pPr>
              <w:jc w:val="center"/>
              <w:rPr>
                <w:i/>
                <w:lang w:val="kk-KZ"/>
              </w:rPr>
            </w:pPr>
            <w:r w:rsidRPr="00057259">
              <w:rPr>
                <w:i/>
                <w:lang w:val="kk-KZ"/>
              </w:rPr>
              <w:t>96,0%</w:t>
            </w:r>
          </w:p>
        </w:tc>
      </w:tr>
      <w:tr w:rsidR="0086499E" w:rsidRPr="0086499E" w:rsidTr="00D20632">
        <w:tc>
          <w:tcPr>
            <w:tcW w:w="2552" w:type="dxa"/>
            <w:shd w:val="clear" w:color="auto" w:fill="FDE9D9"/>
          </w:tcPr>
          <w:p w:rsidR="0086499E" w:rsidRPr="00057259" w:rsidRDefault="0086499E" w:rsidP="00D20632">
            <w:pPr>
              <w:jc w:val="both"/>
              <w:rPr>
                <w:b/>
                <w:lang w:val="kk-KZ"/>
              </w:rPr>
            </w:pPr>
            <w:r w:rsidRPr="00057259">
              <w:rPr>
                <w:b/>
                <w:lang w:val="kk-KZ"/>
              </w:rPr>
              <w:t>Барлығы:</w:t>
            </w:r>
          </w:p>
        </w:tc>
        <w:tc>
          <w:tcPr>
            <w:tcW w:w="1559" w:type="dxa"/>
            <w:shd w:val="clear" w:color="auto" w:fill="auto"/>
            <w:vAlign w:val="center"/>
          </w:tcPr>
          <w:p w:rsidR="0086499E" w:rsidRPr="00057259" w:rsidRDefault="0086499E" w:rsidP="00D20632">
            <w:pPr>
              <w:jc w:val="center"/>
              <w:rPr>
                <w:b/>
                <w:sz w:val="20"/>
                <w:szCs w:val="20"/>
                <w:lang w:val="kk-KZ"/>
              </w:rPr>
            </w:pPr>
            <w:r w:rsidRPr="00057259">
              <w:rPr>
                <w:b/>
                <w:sz w:val="20"/>
                <w:szCs w:val="20"/>
                <w:lang w:val="kk-KZ"/>
              </w:rPr>
              <w:t>12 139,8</w:t>
            </w:r>
          </w:p>
        </w:tc>
        <w:tc>
          <w:tcPr>
            <w:tcW w:w="1559" w:type="dxa"/>
            <w:shd w:val="clear" w:color="auto" w:fill="auto"/>
            <w:vAlign w:val="center"/>
          </w:tcPr>
          <w:p w:rsidR="0086499E" w:rsidRPr="00057259" w:rsidRDefault="0086499E" w:rsidP="00D20632">
            <w:pPr>
              <w:jc w:val="center"/>
              <w:rPr>
                <w:b/>
                <w:sz w:val="20"/>
                <w:szCs w:val="20"/>
                <w:lang w:val="kk-KZ"/>
              </w:rPr>
            </w:pPr>
            <w:r w:rsidRPr="00057259">
              <w:rPr>
                <w:b/>
                <w:sz w:val="20"/>
                <w:szCs w:val="20"/>
                <w:lang w:val="kk-KZ"/>
              </w:rPr>
              <w:t>16 544,1</w:t>
            </w:r>
          </w:p>
        </w:tc>
        <w:tc>
          <w:tcPr>
            <w:tcW w:w="1914" w:type="dxa"/>
            <w:shd w:val="clear" w:color="auto" w:fill="auto"/>
            <w:vAlign w:val="center"/>
          </w:tcPr>
          <w:p w:rsidR="0086499E" w:rsidRPr="00057259" w:rsidRDefault="0086499E" w:rsidP="00D20632">
            <w:pPr>
              <w:jc w:val="center"/>
              <w:rPr>
                <w:b/>
                <w:sz w:val="20"/>
                <w:szCs w:val="20"/>
                <w:lang w:val="kk-KZ"/>
              </w:rPr>
            </w:pPr>
            <w:r w:rsidRPr="00057259">
              <w:rPr>
                <w:b/>
                <w:sz w:val="20"/>
                <w:szCs w:val="20"/>
                <w:lang w:val="kk-KZ"/>
              </w:rPr>
              <w:t>5 562 557,0</w:t>
            </w:r>
          </w:p>
        </w:tc>
        <w:tc>
          <w:tcPr>
            <w:tcW w:w="1914" w:type="dxa"/>
            <w:shd w:val="clear" w:color="auto" w:fill="auto"/>
            <w:vAlign w:val="center"/>
          </w:tcPr>
          <w:p w:rsidR="0086499E" w:rsidRPr="00057259" w:rsidRDefault="0086499E" w:rsidP="00D20632">
            <w:pPr>
              <w:jc w:val="center"/>
              <w:rPr>
                <w:b/>
                <w:sz w:val="20"/>
                <w:szCs w:val="20"/>
                <w:lang w:val="kk-KZ"/>
              </w:rPr>
            </w:pPr>
            <w:r w:rsidRPr="00057259">
              <w:rPr>
                <w:b/>
                <w:sz w:val="20"/>
                <w:szCs w:val="20"/>
                <w:lang w:val="kk-KZ"/>
              </w:rPr>
              <w:t>6 537 303,7</w:t>
            </w:r>
          </w:p>
        </w:tc>
      </w:tr>
    </w:tbl>
    <w:p w:rsidR="0086499E" w:rsidRPr="0086499E" w:rsidRDefault="0086499E" w:rsidP="0086499E">
      <w:pPr>
        <w:ind w:firstLine="709"/>
        <w:jc w:val="both"/>
        <w:rPr>
          <w:sz w:val="28"/>
          <w:szCs w:val="28"/>
          <w:lang w:val="kk-KZ"/>
        </w:rPr>
      </w:pPr>
    </w:p>
    <w:p w:rsidR="0086499E" w:rsidRPr="0086499E" w:rsidRDefault="0086499E" w:rsidP="0086499E">
      <w:pPr>
        <w:ind w:firstLine="709"/>
        <w:jc w:val="both"/>
        <w:rPr>
          <w:sz w:val="28"/>
          <w:szCs w:val="28"/>
          <w:highlight w:val="yellow"/>
          <w:lang w:val="kk-KZ"/>
        </w:rPr>
      </w:pPr>
      <w:r w:rsidRPr="0086499E">
        <w:rPr>
          <w:sz w:val="28"/>
          <w:szCs w:val="28"/>
          <w:lang w:val="kk-KZ"/>
        </w:rPr>
        <w:t>Тұтастай алғанда, соңғы екі жылда төлем карточкаларын шығарудың жыл сайынғы өсуі  25% асады, бұл ретте кредиттік төлем карточкаларының үлесі үдемелі қарқынымен  өсіп келеді, 2013 жылы оның үлесі 21,0% құрады, салыстыру үшін 2012 жылы үлесі 17,6% болды. Кредиттік төлем карточкаларының 96,0% Алматы қаласына тиесілі екенін  атап өткен өте маңызды, өйткені бұның ірі мегаполис болуымен қатар, мұнда негізгі іскерлік белсенділік те шоғырланған.</w:t>
      </w:r>
    </w:p>
    <w:p w:rsidR="0088275A" w:rsidRPr="000B5741" w:rsidRDefault="0088275A" w:rsidP="0088275A">
      <w:pPr>
        <w:ind w:firstLine="709"/>
        <w:jc w:val="both"/>
        <w:rPr>
          <w:sz w:val="28"/>
          <w:szCs w:val="28"/>
          <w:lang w:val="kk-KZ"/>
        </w:rPr>
      </w:pPr>
      <w:r>
        <w:rPr>
          <w:sz w:val="28"/>
          <w:szCs w:val="28"/>
          <w:lang w:val="kk-KZ"/>
        </w:rPr>
        <w:t>К</w:t>
      </w:r>
      <w:r w:rsidRPr="000B5741">
        <w:rPr>
          <w:sz w:val="28"/>
          <w:szCs w:val="28"/>
          <w:lang w:val="kk-KZ"/>
        </w:rPr>
        <w:t>редит</w:t>
      </w:r>
      <w:r>
        <w:rPr>
          <w:sz w:val="28"/>
          <w:szCs w:val="28"/>
          <w:lang w:val="kk-KZ"/>
        </w:rPr>
        <w:t xml:space="preserve">тік төлем </w:t>
      </w:r>
      <w:r w:rsidRPr="000B5741">
        <w:rPr>
          <w:sz w:val="28"/>
          <w:szCs w:val="28"/>
          <w:lang w:val="kk-KZ"/>
        </w:rPr>
        <w:t>карточк</w:t>
      </w:r>
      <w:r>
        <w:rPr>
          <w:sz w:val="28"/>
          <w:szCs w:val="28"/>
          <w:lang w:val="kk-KZ"/>
        </w:rPr>
        <w:t>аларының</w:t>
      </w:r>
      <w:r w:rsidRPr="000B5741">
        <w:rPr>
          <w:sz w:val="28"/>
          <w:szCs w:val="28"/>
          <w:lang w:val="kk-KZ"/>
        </w:rPr>
        <w:t xml:space="preserve"> (93,5%)</w:t>
      </w:r>
      <w:r>
        <w:rPr>
          <w:sz w:val="28"/>
          <w:szCs w:val="28"/>
          <w:lang w:val="kk-KZ"/>
        </w:rPr>
        <w:t xml:space="preserve"> басым санының эмитенті</w:t>
      </w:r>
      <w:r w:rsidRPr="000B5741">
        <w:rPr>
          <w:sz w:val="28"/>
          <w:szCs w:val="28"/>
          <w:lang w:val="kk-KZ"/>
        </w:rPr>
        <w:t xml:space="preserve"> </w:t>
      </w:r>
      <w:r>
        <w:rPr>
          <w:sz w:val="28"/>
          <w:szCs w:val="28"/>
          <w:lang w:val="kk-KZ"/>
        </w:rPr>
        <w:t>бір</w:t>
      </w:r>
      <w:r w:rsidRPr="000B5741">
        <w:rPr>
          <w:sz w:val="28"/>
          <w:szCs w:val="28"/>
          <w:lang w:val="kk-KZ"/>
        </w:rPr>
        <w:t xml:space="preserve"> банк</w:t>
      </w:r>
      <w:r>
        <w:rPr>
          <w:sz w:val="28"/>
          <w:szCs w:val="28"/>
          <w:lang w:val="kk-KZ"/>
        </w:rPr>
        <w:t xml:space="preserve"> болып табылады</w:t>
      </w:r>
      <w:r w:rsidRPr="000B5741">
        <w:rPr>
          <w:sz w:val="28"/>
          <w:szCs w:val="28"/>
          <w:lang w:val="kk-KZ"/>
        </w:rPr>
        <w:t xml:space="preserve">. </w:t>
      </w:r>
      <w:r>
        <w:rPr>
          <w:sz w:val="28"/>
          <w:szCs w:val="28"/>
          <w:lang w:val="kk-KZ"/>
        </w:rPr>
        <w:t xml:space="preserve">Осы </w:t>
      </w:r>
      <w:r w:rsidRPr="000B5741">
        <w:rPr>
          <w:sz w:val="28"/>
          <w:szCs w:val="28"/>
          <w:lang w:val="kk-KZ"/>
        </w:rPr>
        <w:t xml:space="preserve">банк </w:t>
      </w:r>
      <w:r>
        <w:rPr>
          <w:sz w:val="28"/>
          <w:szCs w:val="28"/>
          <w:lang w:val="kk-KZ"/>
        </w:rPr>
        <w:t>те жалғыз болып табылады</w:t>
      </w:r>
      <w:r w:rsidRPr="000B5741">
        <w:rPr>
          <w:sz w:val="28"/>
          <w:szCs w:val="28"/>
          <w:lang w:val="kk-KZ"/>
        </w:rPr>
        <w:t xml:space="preserve">, </w:t>
      </w:r>
      <w:r>
        <w:rPr>
          <w:sz w:val="28"/>
          <w:szCs w:val="28"/>
          <w:lang w:val="kk-KZ"/>
        </w:rPr>
        <w:t xml:space="preserve">оның </w:t>
      </w:r>
      <w:r w:rsidRPr="000B5741">
        <w:rPr>
          <w:sz w:val="28"/>
          <w:szCs w:val="28"/>
          <w:lang w:val="kk-KZ"/>
        </w:rPr>
        <w:t>эмисси</w:t>
      </w:r>
      <w:r>
        <w:rPr>
          <w:sz w:val="28"/>
          <w:szCs w:val="28"/>
          <w:lang w:val="kk-KZ"/>
        </w:rPr>
        <w:t xml:space="preserve">я құрылымындағы негізгі үлесін </w:t>
      </w:r>
      <w:r w:rsidRPr="000B5741">
        <w:rPr>
          <w:sz w:val="28"/>
          <w:szCs w:val="28"/>
          <w:lang w:val="kk-KZ"/>
        </w:rPr>
        <w:t>кредит</w:t>
      </w:r>
      <w:r>
        <w:rPr>
          <w:sz w:val="28"/>
          <w:szCs w:val="28"/>
          <w:lang w:val="kk-KZ"/>
        </w:rPr>
        <w:t xml:space="preserve">тік төлем </w:t>
      </w:r>
      <w:r w:rsidRPr="000B5741">
        <w:rPr>
          <w:sz w:val="28"/>
          <w:szCs w:val="28"/>
          <w:lang w:val="kk-KZ"/>
        </w:rPr>
        <w:t>карт</w:t>
      </w:r>
      <w:r>
        <w:rPr>
          <w:sz w:val="28"/>
          <w:szCs w:val="28"/>
          <w:lang w:val="kk-KZ"/>
        </w:rPr>
        <w:t>о</w:t>
      </w:r>
      <w:r w:rsidRPr="000B5741">
        <w:rPr>
          <w:sz w:val="28"/>
          <w:szCs w:val="28"/>
          <w:lang w:val="kk-KZ"/>
        </w:rPr>
        <w:t>чк</w:t>
      </w:r>
      <w:r>
        <w:rPr>
          <w:sz w:val="28"/>
          <w:szCs w:val="28"/>
          <w:lang w:val="kk-KZ"/>
        </w:rPr>
        <w:t>алары құрайды</w:t>
      </w:r>
      <w:r w:rsidRPr="000B5741">
        <w:rPr>
          <w:sz w:val="28"/>
          <w:szCs w:val="28"/>
          <w:lang w:val="kk-KZ"/>
        </w:rPr>
        <w:t xml:space="preserve">, </w:t>
      </w:r>
      <w:r>
        <w:rPr>
          <w:sz w:val="28"/>
          <w:szCs w:val="28"/>
          <w:lang w:val="kk-KZ"/>
        </w:rPr>
        <w:t>бұл тұтынушылық кредиттеу нарығындағы күштердің шоғырлануына себепші</w:t>
      </w:r>
      <w:r w:rsidRPr="000B5741">
        <w:rPr>
          <w:sz w:val="28"/>
          <w:szCs w:val="28"/>
          <w:lang w:val="kk-KZ"/>
        </w:rPr>
        <w:t>.</w:t>
      </w:r>
    </w:p>
    <w:p w:rsidR="0088275A" w:rsidRPr="000B5741" w:rsidRDefault="0088275A" w:rsidP="0088275A">
      <w:pPr>
        <w:ind w:firstLine="709"/>
        <w:jc w:val="both"/>
        <w:rPr>
          <w:sz w:val="28"/>
          <w:szCs w:val="28"/>
          <w:lang w:val="kk-KZ"/>
        </w:rPr>
      </w:pPr>
      <w:r>
        <w:rPr>
          <w:sz w:val="28"/>
          <w:szCs w:val="28"/>
          <w:lang w:val="kk-KZ"/>
        </w:rPr>
        <w:t>Осы уақытта айналыстағы төлем карточкалары санының айтарлықтай өсуіне қарамастан</w:t>
      </w:r>
      <w:r w:rsidRPr="000B5741">
        <w:rPr>
          <w:sz w:val="28"/>
          <w:szCs w:val="28"/>
          <w:lang w:val="kk-KZ"/>
        </w:rPr>
        <w:t>, т</w:t>
      </w:r>
      <w:r>
        <w:rPr>
          <w:sz w:val="28"/>
          <w:szCs w:val="28"/>
          <w:lang w:val="kk-KZ"/>
        </w:rPr>
        <w:t>өлем карточкаларын теңбе-тең пайдалану сияқты осындай маңызды көрсеткіштің төмендемейтіндігін атап өтуге болады</w:t>
      </w:r>
      <w:r w:rsidRPr="000B5741">
        <w:rPr>
          <w:sz w:val="28"/>
          <w:szCs w:val="28"/>
          <w:lang w:val="kk-KZ"/>
        </w:rPr>
        <w:t xml:space="preserve">, </w:t>
      </w:r>
      <w:r>
        <w:rPr>
          <w:sz w:val="28"/>
          <w:szCs w:val="28"/>
          <w:lang w:val="kk-KZ"/>
        </w:rPr>
        <w:t xml:space="preserve">ол </w:t>
      </w:r>
      <w:r w:rsidRPr="000B5741">
        <w:rPr>
          <w:sz w:val="28"/>
          <w:szCs w:val="28"/>
          <w:lang w:val="kk-KZ"/>
        </w:rPr>
        <w:t xml:space="preserve">2013 </w:t>
      </w:r>
      <w:r>
        <w:rPr>
          <w:sz w:val="28"/>
          <w:szCs w:val="28"/>
          <w:lang w:val="kk-KZ"/>
        </w:rPr>
        <w:t xml:space="preserve">жылы орташа алғанда </w:t>
      </w:r>
      <w:r w:rsidRPr="000B5741">
        <w:rPr>
          <w:sz w:val="28"/>
          <w:szCs w:val="28"/>
          <w:lang w:val="kk-KZ"/>
        </w:rPr>
        <w:t>42,4%</w:t>
      </w:r>
      <w:r>
        <w:rPr>
          <w:sz w:val="28"/>
          <w:szCs w:val="28"/>
          <w:lang w:val="kk-KZ"/>
        </w:rPr>
        <w:t xml:space="preserve"> болды</w:t>
      </w:r>
      <w:r w:rsidRPr="000B5741">
        <w:rPr>
          <w:sz w:val="28"/>
          <w:szCs w:val="28"/>
          <w:lang w:val="kk-KZ"/>
        </w:rPr>
        <w:t xml:space="preserve">, 2012 </w:t>
      </w:r>
      <w:r>
        <w:rPr>
          <w:sz w:val="28"/>
          <w:szCs w:val="28"/>
          <w:lang w:val="kk-KZ"/>
        </w:rPr>
        <w:t xml:space="preserve">жылмен салыстырғанда </w:t>
      </w:r>
      <w:r w:rsidRPr="000B5741">
        <w:rPr>
          <w:sz w:val="28"/>
          <w:szCs w:val="28"/>
          <w:lang w:val="kk-KZ"/>
        </w:rPr>
        <w:t>о</w:t>
      </w:r>
      <w:r>
        <w:rPr>
          <w:sz w:val="28"/>
          <w:szCs w:val="28"/>
          <w:lang w:val="kk-KZ"/>
        </w:rPr>
        <w:t xml:space="preserve">л айналыстағы </w:t>
      </w:r>
      <w:r>
        <w:rPr>
          <w:sz w:val="28"/>
          <w:szCs w:val="28"/>
          <w:lang w:val="kk-KZ"/>
        </w:rPr>
        <w:lastRenderedPageBreak/>
        <w:t xml:space="preserve">карточкалардың жалпы санының </w:t>
      </w:r>
      <w:r w:rsidRPr="000B5741">
        <w:rPr>
          <w:sz w:val="28"/>
          <w:szCs w:val="28"/>
          <w:lang w:val="kk-KZ"/>
        </w:rPr>
        <w:t>46,8%</w:t>
      </w:r>
      <w:r>
        <w:rPr>
          <w:sz w:val="28"/>
          <w:szCs w:val="28"/>
          <w:lang w:val="kk-KZ"/>
        </w:rPr>
        <w:t xml:space="preserve"> құрайды</w:t>
      </w:r>
      <w:r w:rsidRPr="000B5741">
        <w:rPr>
          <w:sz w:val="28"/>
          <w:szCs w:val="28"/>
          <w:lang w:val="kk-KZ"/>
        </w:rPr>
        <w:t xml:space="preserve">. </w:t>
      </w:r>
      <w:r>
        <w:rPr>
          <w:sz w:val="28"/>
          <w:szCs w:val="28"/>
          <w:lang w:val="kk-KZ"/>
        </w:rPr>
        <w:t>Бұл төлем карточкалары нарығының сапалы өсуін көрсетеді</w:t>
      </w:r>
      <w:r w:rsidRPr="000B5741">
        <w:rPr>
          <w:sz w:val="28"/>
          <w:szCs w:val="28"/>
          <w:lang w:val="kk-KZ"/>
        </w:rPr>
        <w:t xml:space="preserve">, </w:t>
      </w:r>
      <w:r>
        <w:rPr>
          <w:sz w:val="28"/>
          <w:szCs w:val="28"/>
          <w:lang w:val="kk-KZ"/>
        </w:rPr>
        <w:t xml:space="preserve">мұнда </w:t>
      </w:r>
      <w:r w:rsidRPr="000B5741">
        <w:rPr>
          <w:sz w:val="28"/>
          <w:szCs w:val="28"/>
          <w:lang w:val="kk-KZ"/>
        </w:rPr>
        <w:t>эмитент</w:t>
      </w:r>
      <w:r>
        <w:rPr>
          <w:sz w:val="28"/>
          <w:szCs w:val="28"/>
          <w:lang w:val="kk-KZ"/>
        </w:rPr>
        <w:t xml:space="preserve"> </w:t>
      </w:r>
      <w:r w:rsidRPr="000B5741">
        <w:rPr>
          <w:sz w:val="28"/>
          <w:szCs w:val="28"/>
          <w:lang w:val="kk-KZ"/>
        </w:rPr>
        <w:t>банк</w:t>
      </w:r>
      <w:r>
        <w:rPr>
          <w:sz w:val="28"/>
          <w:szCs w:val="28"/>
          <w:lang w:val="kk-KZ"/>
        </w:rPr>
        <w:t>тер</w:t>
      </w:r>
      <w:r w:rsidRPr="000B5741">
        <w:rPr>
          <w:sz w:val="28"/>
          <w:szCs w:val="28"/>
          <w:lang w:val="kk-KZ"/>
        </w:rPr>
        <w:t xml:space="preserve"> </w:t>
      </w:r>
      <w:r>
        <w:rPr>
          <w:sz w:val="28"/>
          <w:szCs w:val="28"/>
          <w:lang w:val="kk-KZ"/>
        </w:rPr>
        <w:t>төлем карточкаларын кейіннен оларды төлем құралы ретінде пайдаланатын ұстаушыларға береді</w:t>
      </w:r>
      <w:r w:rsidRPr="000B5741">
        <w:rPr>
          <w:sz w:val="28"/>
          <w:szCs w:val="28"/>
          <w:lang w:val="kk-KZ"/>
        </w:rPr>
        <w:t>.</w:t>
      </w:r>
    </w:p>
    <w:p w:rsidR="0088275A" w:rsidRPr="00B63CD1" w:rsidRDefault="0088275A" w:rsidP="0088275A">
      <w:pPr>
        <w:ind w:firstLine="709"/>
        <w:jc w:val="both"/>
        <w:rPr>
          <w:sz w:val="28"/>
          <w:szCs w:val="28"/>
          <w:lang w:val="kk-KZ"/>
        </w:rPr>
      </w:pPr>
      <w:r>
        <w:rPr>
          <w:sz w:val="28"/>
          <w:szCs w:val="28"/>
          <w:lang w:val="kk-KZ"/>
        </w:rPr>
        <w:t>Ахуал төлем карточкаларын аймақтар бойынша бөле отырып біршама өзгерді</w:t>
      </w:r>
      <w:r w:rsidRPr="000B5741">
        <w:rPr>
          <w:sz w:val="28"/>
          <w:szCs w:val="28"/>
          <w:lang w:val="kk-KZ"/>
        </w:rPr>
        <w:t>. Алматы</w:t>
      </w:r>
      <w:r>
        <w:rPr>
          <w:sz w:val="28"/>
          <w:szCs w:val="28"/>
          <w:lang w:val="kk-KZ"/>
        </w:rPr>
        <w:t xml:space="preserve"> қ. үлесі</w:t>
      </w:r>
      <w:r w:rsidRPr="000B5741">
        <w:rPr>
          <w:sz w:val="28"/>
          <w:szCs w:val="28"/>
          <w:lang w:val="kk-KZ"/>
        </w:rPr>
        <w:t xml:space="preserve">, </w:t>
      </w:r>
      <w:r>
        <w:rPr>
          <w:sz w:val="28"/>
          <w:szCs w:val="28"/>
          <w:lang w:val="kk-KZ"/>
        </w:rPr>
        <w:t xml:space="preserve">бірінші кезекте </w:t>
      </w:r>
      <w:r w:rsidRPr="000B5741">
        <w:rPr>
          <w:sz w:val="28"/>
          <w:szCs w:val="28"/>
          <w:lang w:val="kk-KZ"/>
        </w:rPr>
        <w:t>кредит</w:t>
      </w:r>
      <w:r>
        <w:rPr>
          <w:sz w:val="28"/>
          <w:szCs w:val="28"/>
          <w:lang w:val="kk-KZ"/>
        </w:rPr>
        <w:t xml:space="preserve">тік төлем </w:t>
      </w:r>
      <w:r w:rsidRPr="000B5741">
        <w:rPr>
          <w:sz w:val="28"/>
          <w:szCs w:val="28"/>
          <w:lang w:val="kk-KZ"/>
        </w:rPr>
        <w:t>карточк</w:t>
      </w:r>
      <w:r>
        <w:rPr>
          <w:sz w:val="28"/>
          <w:szCs w:val="28"/>
          <w:lang w:val="kk-KZ"/>
        </w:rPr>
        <w:t xml:space="preserve">аларының ұлғаюы есебінен </w:t>
      </w:r>
      <w:r w:rsidRPr="000B5741">
        <w:rPr>
          <w:sz w:val="28"/>
          <w:szCs w:val="28"/>
          <w:lang w:val="kk-KZ"/>
        </w:rPr>
        <w:t>33,2%</w:t>
      </w:r>
      <w:r>
        <w:rPr>
          <w:sz w:val="28"/>
          <w:szCs w:val="28"/>
          <w:lang w:val="kk-KZ"/>
        </w:rPr>
        <w:t xml:space="preserve">-дан </w:t>
      </w:r>
      <w:r w:rsidRPr="000B5741">
        <w:rPr>
          <w:sz w:val="28"/>
          <w:szCs w:val="28"/>
          <w:lang w:val="kk-KZ"/>
        </w:rPr>
        <w:t>39,7%</w:t>
      </w:r>
      <w:r>
        <w:rPr>
          <w:sz w:val="28"/>
          <w:szCs w:val="28"/>
          <w:lang w:val="kk-KZ"/>
        </w:rPr>
        <w:t>-ға дейін ұлғайды</w:t>
      </w:r>
      <w:r w:rsidRPr="000B5741">
        <w:rPr>
          <w:sz w:val="28"/>
          <w:szCs w:val="28"/>
          <w:lang w:val="kk-KZ"/>
        </w:rPr>
        <w:t>. Алматы</w:t>
      </w:r>
      <w:r>
        <w:rPr>
          <w:sz w:val="28"/>
          <w:szCs w:val="28"/>
          <w:lang w:val="kk-KZ"/>
        </w:rPr>
        <w:t xml:space="preserve"> қ. кейін төлем карточкалары нарығының ең көп өсуі Оңтүстік Қазақстан облысына тиесілі </w:t>
      </w:r>
      <w:r w:rsidRPr="000B5741">
        <w:rPr>
          <w:sz w:val="28"/>
          <w:szCs w:val="28"/>
          <w:lang w:val="kk-KZ"/>
        </w:rPr>
        <w:t xml:space="preserve">(22,2%), </w:t>
      </w:r>
      <w:r>
        <w:rPr>
          <w:sz w:val="28"/>
          <w:szCs w:val="28"/>
          <w:lang w:val="kk-KZ"/>
        </w:rPr>
        <w:t xml:space="preserve">бұл айналыстағы төлем карточкаларының саны бойынша осы облыстың 5-орыннан 3-орынға </w:t>
      </w:r>
      <w:r w:rsidRPr="000B5741">
        <w:rPr>
          <w:sz w:val="28"/>
          <w:szCs w:val="28"/>
          <w:lang w:val="kk-KZ"/>
        </w:rPr>
        <w:t xml:space="preserve">(Алматы </w:t>
      </w:r>
      <w:r>
        <w:rPr>
          <w:sz w:val="28"/>
          <w:szCs w:val="28"/>
          <w:lang w:val="kk-KZ"/>
        </w:rPr>
        <w:t>және</w:t>
      </w:r>
      <w:r w:rsidRPr="000B5741">
        <w:rPr>
          <w:sz w:val="28"/>
          <w:szCs w:val="28"/>
          <w:lang w:val="kk-KZ"/>
        </w:rPr>
        <w:t xml:space="preserve"> </w:t>
      </w:r>
      <w:r>
        <w:rPr>
          <w:sz w:val="28"/>
          <w:szCs w:val="28"/>
          <w:lang w:val="kk-KZ"/>
        </w:rPr>
        <w:t>Қ</w:t>
      </w:r>
      <w:r w:rsidRPr="000B5741">
        <w:rPr>
          <w:sz w:val="28"/>
          <w:szCs w:val="28"/>
          <w:lang w:val="kk-KZ"/>
        </w:rPr>
        <w:t>ара</w:t>
      </w:r>
      <w:r>
        <w:rPr>
          <w:sz w:val="28"/>
          <w:szCs w:val="28"/>
          <w:lang w:val="kk-KZ"/>
        </w:rPr>
        <w:t>ғ</w:t>
      </w:r>
      <w:r w:rsidRPr="000B5741">
        <w:rPr>
          <w:sz w:val="28"/>
          <w:szCs w:val="28"/>
          <w:lang w:val="kk-KZ"/>
        </w:rPr>
        <w:t>анд</w:t>
      </w:r>
      <w:r>
        <w:rPr>
          <w:sz w:val="28"/>
          <w:szCs w:val="28"/>
          <w:lang w:val="kk-KZ"/>
        </w:rPr>
        <w:t xml:space="preserve">ы </w:t>
      </w:r>
      <w:r w:rsidRPr="000B5741">
        <w:rPr>
          <w:sz w:val="28"/>
          <w:szCs w:val="28"/>
          <w:lang w:val="kk-KZ"/>
        </w:rPr>
        <w:t>обл</w:t>
      </w:r>
      <w:r>
        <w:rPr>
          <w:sz w:val="28"/>
          <w:szCs w:val="28"/>
          <w:lang w:val="kk-KZ"/>
        </w:rPr>
        <w:t>ысынан кейін</w:t>
      </w:r>
      <w:r w:rsidRPr="000B5741">
        <w:rPr>
          <w:sz w:val="28"/>
          <w:szCs w:val="28"/>
          <w:lang w:val="kk-KZ"/>
        </w:rPr>
        <w:t xml:space="preserve">) </w:t>
      </w:r>
      <w:r>
        <w:rPr>
          <w:sz w:val="28"/>
          <w:szCs w:val="28"/>
          <w:lang w:val="kk-KZ"/>
        </w:rPr>
        <w:t>түсуіне себепші болды</w:t>
      </w:r>
      <w:r w:rsidRPr="000B5741">
        <w:rPr>
          <w:sz w:val="28"/>
          <w:szCs w:val="28"/>
          <w:lang w:val="kk-KZ"/>
        </w:rPr>
        <w:t xml:space="preserve">. </w:t>
      </w:r>
      <w:r>
        <w:rPr>
          <w:sz w:val="28"/>
          <w:szCs w:val="28"/>
          <w:lang w:val="kk-KZ"/>
        </w:rPr>
        <w:t xml:space="preserve">Оңтүстік Қазақстан облысындағы ахуалдың көрсетілген өзгеруін </w:t>
      </w:r>
      <w:r w:rsidRPr="000B5741">
        <w:rPr>
          <w:sz w:val="28"/>
          <w:szCs w:val="28"/>
          <w:lang w:val="kk-KZ"/>
        </w:rPr>
        <w:t xml:space="preserve">2,7 млн. </w:t>
      </w:r>
      <w:r>
        <w:rPr>
          <w:sz w:val="28"/>
          <w:szCs w:val="28"/>
          <w:lang w:val="kk-KZ"/>
        </w:rPr>
        <w:t xml:space="preserve">тұрғын саны бойынша Қазақстанда 1-ші орын алатын осы аймақтағы </w:t>
      </w:r>
      <w:r w:rsidRPr="000B5741">
        <w:rPr>
          <w:sz w:val="28"/>
          <w:szCs w:val="28"/>
          <w:lang w:val="kk-KZ"/>
        </w:rPr>
        <w:t>демографи</w:t>
      </w:r>
      <w:r>
        <w:rPr>
          <w:sz w:val="28"/>
          <w:szCs w:val="28"/>
          <w:lang w:val="kk-KZ"/>
        </w:rPr>
        <w:t>ялық ахуал тұрғысынан толық түсіндіруге болады. Сонымен қатар</w:t>
      </w:r>
      <w:r w:rsidRPr="00B63CD1">
        <w:rPr>
          <w:sz w:val="28"/>
          <w:szCs w:val="28"/>
          <w:lang w:val="kk-KZ"/>
        </w:rPr>
        <w:t>,</w:t>
      </w:r>
      <w:r>
        <w:rPr>
          <w:sz w:val="28"/>
          <w:szCs w:val="28"/>
          <w:lang w:val="kk-KZ"/>
        </w:rPr>
        <w:t xml:space="preserve"> аймақтағы тұрғындар санының төлем карточкаларының санымен арақатынасы кезінде</w:t>
      </w:r>
      <w:r w:rsidRPr="00B63CD1">
        <w:rPr>
          <w:sz w:val="28"/>
          <w:szCs w:val="28"/>
          <w:lang w:val="kk-KZ"/>
        </w:rPr>
        <w:t xml:space="preserve">, </w:t>
      </w:r>
      <w:r>
        <w:rPr>
          <w:sz w:val="28"/>
          <w:szCs w:val="28"/>
          <w:lang w:val="kk-KZ"/>
        </w:rPr>
        <w:t xml:space="preserve">Алматы облысынан кейін Оңтүстік Қазақстанда ахуал ең нашар болып тұр </w:t>
      </w:r>
      <w:r w:rsidRPr="00B63CD1">
        <w:rPr>
          <w:sz w:val="28"/>
          <w:szCs w:val="28"/>
          <w:lang w:val="kk-KZ"/>
        </w:rPr>
        <w:t xml:space="preserve">– 1 </w:t>
      </w:r>
      <w:r>
        <w:rPr>
          <w:sz w:val="28"/>
          <w:szCs w:val="28"/>
          <w:lang w:val="kk-KZ"/>
        </w:rPr>
        <w:t xml:space="preserve">төлем </w:t>
      </w:r>
      <w:r w:rsidRPr="00B63CD1">
        <w:rPr>
          <w:sz w:val="28"/>
          <w:szCs w:val="28"/>
          <w:lang w:val="kk-KZ"/>
        </w:rPr>
        <w:t>карточка</w:t>
      </w:r>
      <w:r>
        <w:rPr>
          <w:sz w:val="28"/>
          <w:szCs w:val="28"/>
          <w:lang w:val="kk-KZ"/>
        </w:rPr>
        <w:t>сы 3 адамға тиесілі</w:t>
      </w:r>
      <w:r w:rsidRPr="00B63CD1">
        <w:rPr>
          <w:sz w:val="28"/>
          <w:szCs w:val="28"/>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26"/>
        <w:gridCol w:w="2419"/>
        <w:gridCol w:w="2320"/>
      </w:tblGrid>
      <w:tr w:rsidR="0088275A" w:rsidRPr="005E64C6" w:rsidTr="00D20632">
        <w:tc>
          <w:tcPr>
            <w:tcW w:w="2320" w:type="dxa"/>
            <w:tcBorders>
              <w:bottom w:val="single" w:sz="4" w:space="0" w:color="auto"/>
            </w:tcBorders>
            <w:shd w:val="clear" w:color="auto" w:fill="E5DFEC"/>
            <w:vAlign w:val="center"/>
          </w:tcPr>
          <w:p w:rsidR="0088275A" w:rsidRPr="005E64C6" w:rsidRDefault="0088275A" w:rsidP="00D20632">
            <w:pPr>
              <w:jc w:val="center"/>
              <w:rPr>
                <w:b/>
              </w:rPr>
            </w:pPr>
            <w:r w:rsidRPr="005E64C6">
              <w:rPr>
                <w:b/>
                <w:lang w:val="kk-KZ"/>
              </w:rPr>
              <w:t>О</w:t>
            </w:r>
            <w:r w:rsidRPr="005E64C6">
              <w:rPr>
                <w:b/>
              </w:rPr>
              <w:t>бл</w:t>
            </w:r>
            <w:r w:rsidRPr="005E64C6">
              <w:rPr>
                <w:b/>
                <w:lang w:val="kk-KZ"/>
              </w:rPr>
              <w:t>ыстың</w:t>
            </w:r>
            <w:r w:rsidRPr="005E64C6">
              <w:rPr>
                <w:b/>
              </w:rPr>
              <w:t>/</w:t>
            </w:r>
            <w:r w:rsidRPr="005E64C6">
              <w:rPr>
                <w:b/>
                <w:lang w:val="kk-KZ"/>
              </w:rPr>
              <w:t>қаланың атауы</w:t>
            </w:r>
          </w:p>
        </w:tc>
        <w:tc>
          <w:tcPr>
            <w:tcW w:w="2428" w:type="dxa"/>
            <w:shd w:val="clear" w:color="auto" w:fill="E5DFEC"/>
            <w:vAlign w:val="center"/>
          </w:tcPr>
          <w:p w:rsidR="0088275A" w:rsidRPr="005E64C6" w:rsidRDefault="0088275A" w:rsidP="00D20632">
            <w:pPr>
              <w:jc w:val="center"/>
              <w:rPr>
                <w:b/>
              </w:rPr>
            </w:pPr>
            <w:r w:rsidRPr="005E64C6">
              <w:rPr>
                <w:b/>
                <w:lang w:val="kk-KZ"/>
              </w:rPr>
              <w:t xml:space="preserve">Айналыстағы төлем карточкаларының саны </w:t>
            </w:r>
            <w:r w:rsidRPr="005E64C6">
              <w:rPr>
                <w:b/>
              </w:rPr>
              <w:t>(</w:t>
            </w:r>
            <w:r w:rsidRPr="005E64C6">
              <w:rPr>
                <w:b/>
                <w:lang w:val="kk-KZ"/>
              </w:rPr>
              <w:t>бір</w:t>
            </w:r>
            <w:r w:rsidRPr="005E64C6">
              <w:rPr>
                <w:b/>
              </w:rPr>
              <w:t>.)</w:t>
            </w:r>
          </w:p>
        </w:tc>
        <w:tc>
          <w:tcPr>
            <w:tcW w:w="2428" w:type="dxa"/>
            <w:shd w:val="clear" w:color="auto" w:fill="E5DFEC"/>
            <w:vAlign w:val="center"/>
          </w:tcPr>
          <w:p w:rsidR="0088275A" w:rsidRPr="005E64C6" w:rsidRDefault="0088275A" w:rsidP="00D20632">
            <w:pPr>
              <w:jc w:val="center"/>
              <w:rPr>
                <w:b/>
                <w:lang w:val="en-US"/>
              </w:rPr>
            </w:pPr>
            <w:r w:rsidRPr="005E64C6">
              <w:rPr>
                <w:b/>
                <w:lang w:val="kk-KZ"/>
              </w:rPr>
              <w:t>Аймақтың үлесі</w:t>
            </w:r>
          </w:p>
        </w:tc>
        <w:tc>
          <w:tcPr>
            <w:tcW w:w="2322" w:type="dxa"/>
            <w:shd w:val="clear" w:color="auto" w:fill="E5DFEC"/>
            <w:vAlign w:val="center"/>
          </w:tcPr>
          <w:p w:rsidR="0088275A" w:rsidRPr="005E64C6" w:rsidRDefault="0088275A" w:rsidP="00D20632">
            <w:pPr>
              <w:jc w:val="center"/>
              <w:rPr>
                <w:b/>
                <w:lang w:val="kk-KZ"/>
              </w:rPr>
            </w:pPr>
            <w:r w:rsidRPr="005E64C6">
              <w:rPr>
                <w:b/>
                <w:lang w:val="kk-KZ"/>
              </w:rPr>
              <w:t xml:space="preserve">Аймақ тұрғындарының </w:t>
            </w:r>
          </w:p>
          <w:p w:rsidR="0088275A" w:rsidRPr="005E64C6" w:rsidRDefault="0088275A" w:rsidP="00D20632">
            <w:pPr>
              <w:jc w:val="center"/>
              <w:rPr>
                <w:b/>
                <w:lang w:val="en-US"/>
              </w:rPr>
            </w:pPr>
            <w:r w:rsidRPr="005E64C6">
              <w:rPr>
                <w:b/>
                <w:lang w:val="en-US"/>
              </w:rPr>
              <w:t xml:space="preserve">1 </w:t>
            </w:r>
            <w:r w:rsidRPr="005E64C6">
              <w:rPr>
                <w:b/>
                <w:lang w:val="kk-KZ"/>
              </w:rPr>
              <w:t>төлем</w:t>
            </w:r>
            <w:r w:rsidRPr="005E64C6">
              <w:rPr>
                <w:b/>
                <w:lang w:val="en-US"/>
              </w:rPr>
              <w:t xml:space="preserve"> </w:t>
            </w:r>
            <w:r w:rsidRPr="005E64C6">
              <w:rPr>
                <w:b/>
              </w:rPr>
              <w:t>карточк</w:t>
            </w:r>
            <w:r w:rsidRPr="005E64C6">
              <w:rPr>
                <w:b/>
                <w:lang w:val="kk-KZ"/>
              </w:rPr>
              <w:t>асына шаққандағы саны</w:t>
            </w:r>
          </w:p>
        </w:tc>
      </w:tr>
      <w:tr w:rsidR="0088275A" w:rsidRPr="005E64C6" w:rsidTr="00D20632">
        <w:tc>
          <w:tcPr>
            <w:tcW w:w="2320" w:type="dxa"/>
            <w:shd w:val="clear" w:color="auto" w:fill="E5DFEC"/>
            <w:vAlign w:val="bottom"/>
          </w:tcPr>
          <w:p w:rsidR="0088275A" w:rsidRPr="005E64C6" w:rsidRDefault="0088275A" w:rsidP="00D20632">
            <w:r w:rsidRPr="005E64C6">
              <w:t>А</w:t>
            </w:r>
            <w:r w:rsidRPr="005E64C6">
              <w:rPr>
                <w:lang w:val="kk-KZ"/>
              </w:rPr>
              <w:t>қ</w:t>
            </w:r>
            <w:r w:rsidRPr="005E64C6">
              <w:t>мол</w:t>
            </w:r>
            <w:r w:rsidRPr="005E64C6">
              <w:rPr>
                <w:lang w:val="kk-KZ"/>
              </w:rPr>
              <w:t>а</w:t>
            </w:r>
            <w:r w:rsidRPr="005E64C6">
              <w:t xml:space="preserve">                  </w:t>
            </w:r>
          </w:p>
        </w:tc>
        <w:tc>
          <w:tcPr>
            <w:tcW w:w="2428" w:type="dxa"/>
            <w:shd w:val="clear" w:color="auto" w:fill="auto"/>
            <w:vAlign w:val="bottom"/>
          </w:tcPr>
          <w:p w:rsidR="0088275A" w:rsidRPr="005E64C6" w:rsidRDefault="0088275A" w:rsidP="00D20632">
            <w:pPr>
              <w:jc w:val="center"/>
            </w:pPr>
            <w:r w:rsidRPr="005E64C6">
              <w:t>358 072</w:t>
            </w:r>
          </w:p>
        </w:tc>
        <w:tc>
          <w:tcPr>
            <w:tcW w:w="2428" w:type="dxa"/>
            <w:shd w:val="clear" w:color="auto" w:fill="auto"/>
            <w:vAlign w:val="bottom"/>
          </w:tcPr>
          <w:p w:rsidR="0088275A" w:rsidRPr="005E64C6" w:rsidRDefault="0088275A" w:rsidP="00D20632">
            <w:pPr>
              <w:jc w:val="center"/>
            </w:pPr>
            <w:r w:rsidRPr="005E64C6">
              <w:t>2,2%</w:t>
            </w:r>
          </w:p>
        </w:tc>
        <w:tc>
          <w:tcPr>
            <w:tcW w:w="2322" w:type="dxa"/>
            <w:shd w:val="clear" w:color="auto" w:fill="auto"/>
            <w:vAlign w:val="bottom"/>
          </w:tcPr>
          <w:p w:rsidR="0088275A" w:rsidRPr="005E64C6" w:rsidRDefault="0088275A" w:rsidP="00D20632">
            <w:pPr>
              <w:jc w:val="center"/>
            </w:pPr>
            <w:r w:rsidRPr="005E64C6">
              <w:t>2</w:t>
            </w:r>
          </w:p>
        </w:tc>
      </w:tr>
      <w:tr w:rsidR="0088275A" w:rsidRPr="005E64C6" w:rsidTr="00D20632">
        <w:tc>
          <w:tcPr>
            <w:tcW w:w="2320" w:type="dxa"/>
            <w:shd w:val="clear" w:color="auto" w:fill="E5DFEC"/>
            <w:vAlign w:val="bottom"/>
          </w:tcPr>
          <w:p w:rsidR="0088275A" w:rsidRPr="005E64C6" w:rsidRDefault="0088275A" w:rsidP="00D20632">
            <w:r w:rsidRPr="005E64C6">
              <w:t>А</w:t>
            </w:r>
            <w:r w:rsidRPr="005E64C6">
              <w:rPr>
                <w:lang w:val="kk-KZ"/>
              </w:rPr>
              <w:t>қ</w:t>
            </w:r>
            <w:r w:rsidRPr="005E64C6">
              <w:t>т</w:t>
            </w:r>
            <w:r w:rsidRPr="005E64C6">
              <w:rPr>
                <w:lang w:val="kk-KZ"/>
              </w:rPr>
              <w:t>өбе</w:t>
            </w:r>
          </w:p>
        </w:tc>
        <w:tc>
          <w:tcPr>
            <w:tcW w:w="2428" w:type="dxa"/>
            <w:shd w:val="clear" w:color="auto" w:fill="auto"/>
            <w:vAlign w:val="bottom"/>
          </w:tcPr>
          <w:p w:rsidR="0088275A" w:rsidRPr="005E64C6" w:rsidRDefault="0088275A" w:rsidP="00D20632">
            <w:pPr>
              <w:jc w:val="center"/>
            </w:pPr>
            <w:r w:rsidRPr="005E64C6">
              <w:t>615 245</w:t>
            </w:r>
          </w:p>
        </w:tc>
        <w:tc>
          <w:tcPr>
            <w:tcW w:w="2428" w:type="dxa"/>
            <w:shd w:val="clear" w:color="auto" w:fill="auto"/>
            <w:vAlign w:val="bottom"/>
          </w:tcPr>
          <w:p w:rsidR="0088275A" w:rsidRPr="005E64C6" w:rsidRDefault="0088275A" w:rsidP="00D20632">
            <w:pPr>
              <w:jc w:val="center"/>
            </w:pPr>
            <w:r w:rsidRPr="005E64C6">
              <w:t>3,7%</w:t>
            </w:r>
          </w:p>
        </w:tc>
        <w:tc>
          <w:tcPr>
            <w:tcW w:w="2322" w:type="dxa"/>
            <w:shd w:val="clear" w:color="auto" w:fill="auto"/>
            <w:vAlign w:val="bottom"/>
          </w:tcPr>
          <w:p w:rsidR="0088275A" w:rsidRPr="005E64C6" w:rsidRDefault="0088275A" w:rsidP="00D20632">
            <w:pPr>
              <w:jc w:val="center"/>
            </w:pPr>
            <w:r w:rsidRPr="005E64C6">
              <w:t>1</w:t>
            </w:r>
          </w:p>
        </w:tc>
      </w:tr>
      <w:tr w:rsidR="0088275A" w:rsidRPr="005E64C6" w:rsidTr="00D20632">
        <w:tc>
          <w:tcPr>
            <w:tcW w:w="2320" w:type="dxa"/>
            <w:shd w:val="clear" w:color="auto" w:fill="E5DFEC"/>
            <w:vAlign w:val="bottom"/>
          </w:tcPr>
          <w:p w:rsidR="0088275A" w:rsidRPr="005E64C6" w:rsidRDefault="0088275A" w:rsidP="00D20632">
            <w:r w:rsidRPr="005E64C6">
              <w:t>Алмат</w:t>
            </w:r>
            <w:r w:rsidRPr="005E64C6">
              <w:rPr>
                <w:lang w:val="kk-KZ"/>
              </w:rPr>
              <w:t>ы</w:t>
            </w:r>
            <w:r w:rsidRPr="005E64C6">
              <w:t xml:space="preserve">                   </w:t>
            </w:r>
          </w:p>
        </w:tc>
        <w:tc>
          <w:tcPr>
            <w:tcW w:w="2428" w:type="dxa"/>
            <w:shd w:val="clear" w:color="auto" w:fill="auto"/>
            <w:vAlign w:val="bottom"/>
          </w:tcPr>
          <w:p w:rsidR="0088275A" w:rsidRPr="005E64C6" w:rsidRDefault="0088275A" w:rsidP="00D20632">
            <w:pPr>
              <w:jc w:val="center"/>
            </w:pPr>
            <w:r w:rsidRPr="005E64C6">
              <w:t>520 741</w:t>
            </w:r>
          </w:p>
        </w:tc>
        <w:tc>
          <w:tcPr>
            <w:tcW w:w="2428" w:type="dxa"/>
            <w:shd w:val="clear" w:color="auto" w:fill="auto"/>
            <w:vAlign w:val="bottom"/>
          </w:tcPr>
          <w:p w:rsidR="0088275A" w:rsidRPr="005E64C6" w:rsidRDefault="0088275A" w:rsidP="00D20632">
            <w:pPr>
              <w:jc w:val="center"/>
            </w:pPr>
            <w:r w:rsidRPr="005E64C6">
              <w:t>3,1%</w:t>
            </w:r>
          </w:p>
        </w:tc>
        <w:tc>
          <w:tcPr>
            <w:tcW w:w="2322" w:type="dxa"/>
            <w:shd w:val="clear" w:color="auto" w:fill="auto"/>
            <w:vAlign w:val="bottom"/>
          </w:tcPr>
          <w:p w:rsidR="0088275A" w:rsidRPr="005E64C6" w:rsidRDefault="0088275A" w:rsidP="00D20632">
            <w:pPr>
              <w:jc w:val="center"/>
            </w:pPr>
            <w:r w:rsidRPr="005E64C6">
              <w:t>4</w:t>
            </w:r>
          </w:p>
        </w:tc>
      </w:tr>
      <w:tr w:rsidR="0088275A" w:rsidRPr="005E64C6" w:rsidTr="00D20632">
        <w:tc>
          <w:tcPr>
            <w:tcW w:w="2320" w:type="dxa"/>
            <w:shd w:val="clear" w:color="auto" w:fill="E5DFEC"/>
            <w:vAlign w:val="bottom"/>
          </w:tcPr>
          <w:p w:rsidR="0088275A" w:rsidRPr="005E64C6" w:rsidRDefault="0088275A" w:rsidP="00D20632">
            <w:r w:rsidRPr="005E64C6">
              <w:t xml:space="preserve">Атырау                    </w:t>
            </w:r>
          </w:p>
        </w:tc>
        <w:tc>
          <w:tcPr>
            <w:tcW w:w="2428" w:type="dxa"/>
            <w:shd w:val="clear" w:color="auto" w:fill="auto"/>
            <w:vAlign w:val="bottom"/>
          </w:tcPr>
          <w:p w:rsidR="0088275A" w:rsidRPr="005E64C6" w:rsidRDefault="0088275A" w:rsidP="00D20632">
            <w:pPr>
              <w:jc w:val="center"/>
            </w:pPr>
            <w:r w:rsidRPr="005E64C6">
              <w:t>554 435</w:t>
            </w:r>
          </w:p>
        </w:tc>
        <w:tc>
          <w:tcPr>
            <w:tcW w:w="2428" w:type="dxa"/>
            <w:shd w:val="clear" w:color="auto" w:fill="auto"/>
            <w:vAlign w:val="bottom"/>
          </w:tcPr>
          <w:p w:rsidR="0088275A" w:rsidRPr="005E64C6" w:rsidRDefault="0088275A" w:rsidP="00D20632">
            <w:pPr>
              <w:jc w:val="center"/>
            </w:pPr>
            <w:r w:rsidRPr="005E64C6">
              <w:t>3,4%</w:t>
            </w:r>
          </w:p>
        </w:tc>
        <w:tc>
          <w:tcPr>
            <w:tcW w:w="2322" w:type="dxa"/>
            <w:shd w:val="clear" w:color="auto" w:fill="auto"/>
            <w:vAlign w:val="bottom"/>
          </w:tcPr>
          <w:p w:rsidR="0088275A" w:rsidRPr="005E64C6" w:rsidRDefault="0088275A" w:rsidP="00D20632">
            <w:pPr>
              <w:jc w:val="center"/>
            </w:pPr>
            <w:r w:rsidRPr="005E64C6">
              <w:t>1</w:t>
            </w:r>
          </w:p>
        </w:tc>
      </w:tr>
      <w:tr w:rsidR="0088275A" w:rsidRPr="005E64C6" w:rsidTr="00D20632">
        <w:tc>
          <w:tcPr>
            <w:tcW w:w="2320" w:type="dxa"/>
            <w:shd w:val="clear" w:color="auto" w:fill="E5DFEC"/>
            <w:vAlign w:val="bottom"/>
          </w:tcPr>
          <w:p w:rsidR="0088275A" w:rsidRPr="005E64C6" w:rsidRDefault="0088275A" w:rsidP="00D20632">
            <w:r w:rsidRPr="005E64C6">
              <w:rPr>
                <w:lang w:val="kk-KZ"/>
              </w:rPr>
              <w:t>ШҚ</w:t>
            </w:r>
            <w:r w:rsidRPr="005E64C6">
              <w:t>О</w:t>
            </w:r>
          </w:p>
        </w:tc>
        <w:tc>
          <w:tcPr>
            <w:tcW w:w="2428" w:type="dxa"/>
            <w:shd w:val="clear" w:color="auto" w:fill="auto"/>
            <w:vAlign w:val="bottom"/>
          </w:tcPr>
          <w:p w:rsidR="0088275A" w:rsidRPr="005E64C6" w:rsidRDefault="0088275A" w:rsidP="00D20632">
            <w:pPr>
              <w:jc w:val="center"/>
            </w:pPr>
            <w:r w:rsidRPr="005E64C6">
              <w:t>967 030</w:t>
            </w:r>
          </w:p>
        </w:tc>
        <w:tc>
          <w:tcPr>
            <w:tcW w:w="2428" w:type="dxa"/>
            <w:shd w:val="clear" w:color="auto" w:fill="auto"/>
            <w:vAlign w:val="bottom"/>
          </w:tcPr>
          <w:p w:rsidR="0088275A" w:rsidRPr="005E64C6" w:rsidRDefault="0088275A" w:rsidP="00D20632">
            <w:pPr>
              <w:jc w:val="center"/>
            </w:pPr>
            <w:r w:rsidRPr="005E64C6">
              <w:t>5,8%</w:t>
            </w:r>
          </w:p>
        </w:tc>
        <w:tc>
          <w:tcPr>
            <w:tcW w:w="2322" w:type="dxa"/>
            <w:shd w:val="clear" w:color="auto" w:fill="auto"/>
            <w:vAlign w:val="bottom"/>
          </w:tcPr>
          <w:p w:rsidR="0088275A" w:rsidRPr="005E64C6" w:rsidRDefault="0088275A" w:rsidP="00D20632">
            <w:pPr>
              <w:jc w:val="center"/>
            </w:pPr>
            <w:r w:rsidRPr="005E64C6">
              <w:t>1</w:t>
            </w:r>
          </w:p>
        </w:tc>
      </w:tr>
      <w:tr w:rsidR="0088275A" w:rsidRPr="005E64C6" w:rsidTr="00D20632">
        <w:tc>
          <w:tcPr>
            <w:tcW w:w="2320" w:type="dxa"/>
            <w:shd w:val="clear" w:color="auto" w:fill="E5DFEC"/>
            <w:vAlign w:val="bottom"/>
          </w:tcPr>
          <w:p w:rsidR="0088275A" w:rsidRPr="005E64C6" w:rsidRDefault="0088275A" w:rsidP="00D20632">
            <w:r w:rsidRPr="005E64C6">
              <w:t>Жамбыл</w:t>
            </w:r>
          </w:p>
        </w:tc>
        <w:tc>
          <w:tcPr>
            <w:tcW w:w="2428" w:type="dxa"/>
            <w:shd w:val="clear" w:color="auto" w:fill="auto"/>
            <w:vAlign w:val="bottom"/>
          </w:tcPr>
          <w:p w:rsidR="0088275A" w:rsidRPr="005E64C6" w:rsidRDefault="0088275A" w:rsidP="00D20632">
            <w:pPr>
              <w:jc w:val="center"/>
            </w:pPr>
            <w:r w:rsidRPr="005E64C6">
              <w:t>469 209</w:t>
            </w:r>
          </w:p>
        </w:tc>
        <w:tc>
          <w:tcPr>
            <w:tcW w:w="2428" w:type="dxa"/>
            <w:shd w:val="clear" w:color="auto" w:fill="auto"/>
            <w:vAlign w:val="bottom"/>
          </w:tcPr>
          <w:p w:rsidR="0088275A" w:rsidRPr="005E64C6" w:rsidRDefault="0088275A" w:rsidP="00D20632">
            <w:pPr>
              <w:jc w:val="center"/>
            </w:pPr>
            <w:r w:rsidRPr="005E64C6">
              <w:t>2,8%</w:t>
            </w:r>
          </w:p>
        </w:tc>
        <w:tc>
          <w:tcPr>
            <w:tcW w:w="2322" w:type="dxa"/>
            <w:shd w:val="clear" w:color="auto" w:fill="auto"/>
            <w:vAlign w:val="bottom"/>
          </w:tcPr>
          <w:p w:rsidR="0088275A" w:rsidRPr="005E64C6" w:rsidRDefault="0088275A" w:rsidP="00D20632">
            <w:pPr>
              <w:jc w:val="center"/>
            </w:pPr>
            <w:r w:rsidRPr="005E64C6">
              <w:t>2</w:t>
            </w:r>
          </w:p>
        </w:tc>
      </w:tr>
      <w:tr w:rsidR="0088275A" w:rsidRPr="005E64C6" w:rsidTr="00D20632">
        <w:tc>
          <w:tcPr>
            <w:tcW w:w="2320" w:type="dxa"/>
            <w:shd w:val="clear" w:color="auto" w:fill="E5DFEC"/>
            <w:vAlign w:val="bottom"/>
          </w:tcPr>
          <w:p w:rsidR="0088275A" w:rsidRPr="005E64C6" w:rsidRDefault="0088275A" w:rsidP="00D20632">
            <w:r w:rsidRPr="005E64C6">
              <w:rPr>
                <w:lang w:val="kk-KZ"/>
              </w:rPr>
              <w:t>БҚ</w:t>
            </w:r>
            <w:r w:rsidRPr="005E64C6">
              <w:t>О</w:t>
            </w:r>
          </w:p>
        </w:tc>
        <w:tc>
          <w:tcPr>
            <w:tcW w:w="2428" w:type="dxa"/>
            <w:shd w:val="clear" w:color="auto" w:fill="auto"/>
            <w:vAlign w:val="bottom"/>
          </w:tcPr>
          <w:p w:rsidR="0088275A" w:rsidRPr="005E64C6" w:rsidRDefault="0088275A" w:rsidP="00D20632">
            <w:pPr>
              <w:jc w:val="center"/>
            </w:pPr>
            <w:r w:rsidRPr="005E64C6">
              <w:t>415 326</w:t>
            </w:r>
          </w:p>
        </w:tc>
        <w:tc>
          <w:tcPr>
            <w:tcW w:w="2428" w:type="dxa"/>
            <w:shd w:val="clear" w:color="auto" w:fill="auto"/>
            <w:vAlign w:val="bottom"/>
          </w:tcPr>
          <w:p w:rsidR="0088275A" w:rsidRPr="005E64C6" w:rsidRDefault="0088275A" w:rsidP="00D20632">
            <w:pPr>
              <w:jc w:val="center"/>
            </w:pPr>
            <w:r w:rsidRPr="005E64C6">
              <w:t>2,5%</w:t>
            </w:r>
          </w:p>
        </w:tc>
        <w:tc>
          <w:tcPr>
            <w:tcW w:w="2322" w:type="dxa"/>
            <w:shd w:val="clear" w:color="auto" w:fill="auto"/>
            <w:vAlign w:val="bottom"/>
          </w:tcPr>
          <w:p w:rsidR="0088275A" w:rsidRPr="005E64C6" w:rsidRDefault="0088275A" w:rsidP="00D20632">
            <w:pPr>
              <w:jc w:val="center"/>
            </w:pPr>
            <w:r w:rsidRPr="005E64C6">
              <w:t>2</w:t>
            </w:r>
          </w:p>
        </w:tc>
      </w:tr>
      <w:tr w:rsidR="0088275A" w:rsidRPr="005E64C6" w:rsidTr="00D20632">
        <w:tc>
          <w:tcPr>
            <w:tcW w:w="2320" w:type="dxa"/>
            <w:shd w:val="clear" w:color="auto" w:fill="E5DFEC"/>
            <w:vAlign w:val="bottom"/>
          </w:tcPr>
          <w:p w:rsidR="0088275A" w:rsidRPr="005E64C6" w:rsidRDefault="0088275A" w:rsidP="00D20632">
            <w:r w:rsidRPr="005E64C6">
              <w:rPr>
                <w:lang w:val="kk-KZ"/>
              </w:rPr>
              <w:t>Қ</w:t>
            </w:r>
            <w:r w:rsidRPr="005E64C6">
              <w:t>ара</w:t>
            </w:r>
            <w:r w:rsidRPr="005E64C6">
              <w:rPr>
                <w:lang w:val="kk-KZ"/>
              </w:rPr>
              <w:t>ғ</w:t>
            </w:r>
            <w:r w:rsidRPr="005E64C6">
              <w:t>анд</w:t>
            </w:r>
            <w:r w:rsidRPr="005E64C6">
              <w:rPr>
                <w:lang w:val="kk-KZ"/>
              </w:rPr>
              <w:t>ы</w:t>
            </w:r>
            <w:r w:rsidRPr="005E64C6">
              <w:t xml:space="preserve">                </w:t>
            </w:r>
          </w:p>
        </w:tc>
        <w:tc>
          <w:tcPr>
            <w:tcW w:w="2428" w:type="dxa"/>
            <w:shd w:val="clear" w:color="auto" w:fill="auto"/>
            <w:vAlign w:val="bottom"/>
          </w:tcPr>
          <w:p w:rsidR="0088275A" w:rsidRPr="005E64C6" w:rsidRDefault="0088275A" w:rsidP="00D20632">
            <w:pPr>
              <w:jc w:val="center"/>
            </w:pPr>
            <w:r w:rsidRPr="005E64C6">
              <w:t>1 021 740</w:t>
            </w:r>
          </w:p>
        </w:tc>
        <w:tc>
          <w:tcPr>
            <w:tcW w:w="2428" w:type="dxa"/>
            <w:shd w:val="clear" w:color="auto" w:fill="auto"/>
            <w:vAlign w:val="bottom"/>
          </w:tcPr>
          <w:p w:rsidR="0088275A" w:rsidRPr="005E64C6" w:rsidRDefault="0088275A" w:rsidP="00D20632">
            <w:pPr>
              <w:jc w:val="center"/>
            </w:pPr>
            <w:r w:rsidRPr="005E64C6">
              <w:t>6,2%</w:t>
            </w:r>
          </w:p>
        </w:tc>
        <w:tc>
          <w:tcPr>
            <w:tcW w:w="2322" w:type="dxa"/>
            <w:shd w:val="clear" w:color="auto" w:fill="auto"/>
            <w:vAlign w:val="bottom"/>
          </w:tcPr>
          <w:p w:rsidR="0088275A" w:rsidRPr="005E64C6" w:rsidRDefault="0088275A" w:rsidP="00D20632">
            <w:pPr>
              <w:jc w:val="center"/>
            </w:pPr>
            <w:r w:rsidRPr="005E64C6">
              <w:t>1</w:t>
            </w:r>
          </w:p>
        </w:tc>
      </w:tr>
      <w:tr w:rsidR="0088275A" w:rsidRPr="005E64C6" w:rsidTr="00D20632">
        <w:tc>
          <w:tcPr>
            <w:tcW w:w="2320" w:type="dxa"/>
            <w:shd w:val="clear" w:color="auto" w:fill="E5DFEC"/>
            <w:vAlign w:val="bottom"/>
          </w:tcPr>
          <w:p w:rsidR="0088275A" w:rsidRPr="005E64C6" w:rsidRDefault="0088275A" w:rsidP="00D20632">
            <w:r w:rsidRPr="005E64C6">
              <w:rPr>
                <w:lang w:val="kk-KZ"/>
              </w:rPr>
              <w:t>Қ</w:t>
            </w:r>
            <w:r w:rsidRPr="005E64C6">
              <w:t xml:space="preserve">останай                  </w:t>
            </w:r>
          </w:p>
        </w:tc>
        <w:tc>
          <w:tcPr>
            <w:tcW w:w="2428" w:type="dxa"/>
            <w:shd w:val="clear" w:color="auto" w:fill="auto"/>
            <w:vAlign w:val="bottom"/>
          </w:tcPr>
          <w:p w:rsidR="0088275A" w:rsidRPr="005E64C6" w:rsidRDefault="0088275A" w:rsidP="00D20632">
            <w:pPr>
              <w:jc w:val="center"/>
            </w:pPr>
            <w:r w:rsidRPr="005E64C6">
              <w:t>507 986</w:t>
            </w:r>
          </w:p>
        </w:tc>
        <w:tc>
          <w:tcPr>
            <w:tcW w:w="2428" w:type="dxa"/>
            <w:shd w:val="clear" w:color="auto" w:fill="auto"/>
            <w:vAlign w:val="bottom"/>
          </w:tcPr>
          <w:p w:rsidR="0088275A" w:rsidRPr="005E64C6" w:rsidRDefault="0088275A" w:rsidP="00D20632">
            <w:pPr>
              <w:jc w:val="center"/>
            </w:pPr>
            <w:r w:rsidRPr="005E64C6">
              <w:t>3,1%</w:t>
            </w:r>
          </w:p>
        </w:tc>
        <w:tc>
          <w:tcPr>
            <w:tcW w:w="2322" w:type="dxa"/>
            <w:shd w:val="clear" w:color="auto" w:fill="auto"/>
            <w:vAlign w:val="bottom"/>
          </w:tcPr>
          <w:p w:rsidR="0088275A" w:rsidRPr="005E64C6" w:rsidRDefault="0088275A" w:rsidP="00D20632">
            <w:pPr>
              <w:jc w:val="center"/>
            </w:pPr>
            <w:r w:rsidRPr="005E64C6">
              <w:t>2</w:t>
            </w:r>
          </w:p>
        </w:tc>
      </w:tr>
      <w:tr w:rsidR="0088275A" w:rsidRPr="005E64C6" w:rsidTr="00D20632">
        <w:tc>
          <w:tcPr>
            <w:tcW w:w="2320" w:type="dxa"/>
            <w:shd w:val="clear" w:color="auto" w:fill="E5DFEC"/>
            <w:vAlign w:val="bottom"/>
          </w:tcPr>
          <w:p w:rsidR="0088275A" w:rsidRPr="005E64C6" w:rsidRDefault="0088275A" w:rsidP="00D20632">
            <w:r w:rsidRPr="005E64C6">
              <w:rPr>
                <w:lang w:val="kk-KZ"/>
              </w:rPr>
              <w:t>Қ</w:t>
            </w:r>
            <w:r w:rsidRPr="005E64C6">
              <w:t>ызылорд</w:t>
            </w:r>
            <w:r w:rsidRPr="005E64C6">
              <w:rPr>
                <w:lang w:val="kk-KZ"/>
              </w:rPr>
              <w:t>а</w:t>
            </w:r>
            <w:r w:rsidRPr="005E64C6">
              <w:t xml:space="preserve">              </w:t>
            </w:r>
          </w:p>
        </w:tc>
        <w:tc>
          <w:tcPr>
            <w:tcW w:w="2428" w:type="dxa"/>
            <w:shd w:val="clear" w:color="auto" w:fill="auto"/>
            <w:vAlign w:val="bottom"/>
          </w:tcPr>
          <w:p w:rsidR="0088275A" w:rsidRPr="005E64C6" w:rsidRDefault="0088275A" w:rsidP="00D20632">
            <w:pPr>
              <w:jc w:val="center"/>
            </w:pPr>
            <w:r w:rsidRPr="005E64C6">
              <w:t>420 596</w:t>
            </w:r>
          </w:p>
        </w:tc>
        <w:tc>
          <w:tcPr>
            <w:tcW w:w="2428" w:type="dxa"/>
            <w:shd w:val="clear" w:color="auto" w:fill="auto"/>
            <w:vAlign w:val="bottom"/>
          </w:tcPr>
          <w:p w:rsidR="0088275A" w:rsidRPr="005E64C6" w:rsidRDefault="0088275A" w:rsidP="00D20632">
            <w:pPr>
              <w:jc w:val="center"/>
            </w:pPr>
            <w:r w:rsidRPr="005E64C6">
              <w:t>2,5%</w:t>
            </w:r>
          </w:p>
        </w:tc>
        <w:tc>
          <w:tcPr>
            <w:tcW w:w="2322" w:type="dxa"/>
            <w:shd w:val="clear" w:color="auto" w:fill="auto"/>
            <w:vAlign w:val="bottom"/>
          </w:tcPr>
          <w:p w:rsidR="0088275A" w:rsidRPr="005E64C6" w:rsidRDefault="0088275A" w:rsidP="00D20632">
            <w:pPr>
              <w:jc w:val="center"/>
            </w:pPr>
            <w:r w:rsidRPr="005E64C6">
              <w:t>2</w:t>
            </w:r>
          </w:p>
        </w:tc>
      </w:tr>
      <w:tr w:rsidR="0088275A" w:rsidRPr="005E64C6" w:rsidTr="00D20632">
        <w:tc>
          <w:tcPr>
            <w:tcW w:w="2320" w:type="dxa"/>
            <w:shd w:val="clear" w:color="auto" w:fill="E5DFEC"/>
            <w:vAlign w:val="bottom"/>
          </w:tcPr>
          <w:p w:rsidR="0088275A" w:rsidRPr="005E64C6" w:rsidRDefault="0088275A" w:rsidP="00D20632">
            <w:r w:rsidRPr="005E64C6">
              <w:t>Ма</w:t>
            </w:r>
            <w:r w:rsidRPr="005E64C6">
              <w:rPr>
                <w:lang w:val="kk-KZ"/>
              </w:rPr>
              <w:t>ңғыстау</w:t>
            </w:r>
            <w:r w:rsidRPr="005E64C6">
              <w:t xml:space="preserve">                 </w:t>
            </w:r>
          </w:p>
        </w:tc>
        <w:tc>
          <w:tcPr>
            <w:tcW w:w="2428" w:type="dxa"/>
            <w:shd w:val="clear" w:color="auto" w:fill="auto"/>
            <w:vAlign w:val="bottom"/>
          </w:tcPr>
          <w:p w:rsidR="0088275A" w:rsidRPr="005E64C6" w:rsidRDefault="0088275A" w:rsidP="00D20632">
            <w:pPr>
              <w:jc w:val="center"/>
            </w:pPr>
            <w:r w:rsidRPr="005E64C6">
              <w:t>503 273</w:t>
            </w:r>
          </w:p>
        </w:tc>
        <w:tc>
          <w:tcPr>
            <w:tcW w:w="2428" w:type="dxa"/>
            <w:shd w:val="clear" w:color="auto" w:fill="auto"/>
            <w:vAlign w:val="bottom"/>
          </w:tcPr>
          <w:p w:rsidR="0088275A" w:rsidRPr="005E64C6" w:rsidRDefault="0088275A" w:rsidP="00D20632">
            <w:pPr>
              <w:jc w:val="center"/>
            </w:pPr>
            <w:r w:rsidRPr="005E64C6">
              <w:t>3,0%</w:t>
            </w:r>
          </w:p>
        </w:tc>
        <w:tc>
          <w:tcPr>
            <w:tcW w:w="2322" w:type="dxa"/>
            <w:shd w:val="clear" w:color="auto" w:fill="auto"/>
            <w:vAlign w:val="bottom"/>
          </w:tcPr>
          <w:p w:rsidR="0088275A" w:rsidRPr="005E64C6" w:rsidRDefault="0088275A" w:rsidP="00D20632">
            <w:pPr>
              <w:jc w:val="center"/>
            </w:pPr>
            <w:r w:rsidRPr="005E64C6">
              <w:t>1</w:t>
            </w:r>
          </w:p>
        </w:tc>
      </w:tr>
      <w:tr w:rsidR="0088275A" w:rsidRPr="005E64C6" w:rsidTr="00D20632">
        <w:tc>
          <w:tcPr>
            <w:tcW w:w="2320" w:type="dxa"/>
            <w:shd w:val="clear" w:color="auto" w:fill="E5DFEC"/>
            <w:vAlign w:val="bottom"/>
          </w:tcPr>
          <w:p w:rsidR="0088275A" w:rsidRPr="005E64C6" w:rsidRDefault="0088275A" w:rsidP="00D20632">
            <w:r w:rsidRPr="005E64C6">
              <w:t xml:space="preserve">Павлодар                  </w:t>
            </w:r>
          </w:p>
        </w:tc>
        <w:tc>
          <w:tcPr>
            <w:tcW w:w="2428" w:type="dxa"/>
            <w:shd w:val="clear" w:color="auto" w:fill="auto"/>
            <w:vAlign w:val="bottom"/>
          </w:tcPr>
          <w:p w:rsidR="0088275A" w:rsidRPr="005E64C6" w:rsidRDefault="0088275A" w:rsidP="00D20632">
            <w:pPr>
              <w:jc w:val="center"/>
            </w:pPr>
            <w:r w:rsidRPr="005E64C6">
              <w:t>618 029</w:t>
            </w:r>
          </w:p>
        </w:tc>
        <w:tc>
          <w:tcPr>
            <w:tcW w:w="2428" w:type="dxa"/>
            <w:shd w:val="clear" w:color="auto" w:fill="auto"/>
            <w:vAlign w:val="bottom"/>
          </w:tcPr>
          <w:p w:rsidR="0088275A" w:rsidRPr="005E64C6" w:rsidRDefault="0088275A" w:rsidP="00D20632">
            <w:pPr>
              <w:jc w:val="center"/>
            </w:pPr>
            <w:r w:rsidRPr="005E64C6">
              <w:t>3,7%</w:t>
            </w:r>
          </w:p>
        </w:tc>
        <w:tc>
          <w:tcPr>
            <w:tcW w:w="2322" w:type="dxa"/>
            <w:shd w:val="clear" w:color="auto" w:fill="auto"/>
            <w:vAlign w:val="bottom"/>
          </w:tcPr>
          <w:p w:rsidR="0088275A" w:rsidRPr="005E64C6" w:rsidRDefault="0088275A" w:rsidP="00D20632">
            <w:pPr>
              <w:jc w:val="center"/>
            </w:pPr>
            <w:r w:rsidRPr="005E64C6">
              <w:t>1</w:t>
            </w:r>
          </w:p>
        </w:tc>
      </w:tr>
      <w:tr w:rsidR="0088275A" w:rsidRPr="005E64C6" w:rsidTr="00D20632">
        <w:tc>
          <w:tcPr>
            <w:tcW w:w="2320" w:type="dxa"/>
            <w:shd w:val="clear" w:color="auto" w:fill="E5DFEC"/>
            <w:vAlign w:val="bottom"/>
          </w:tcPr>
          <w:p w:rsidR="0088275A" w:rsidRPr="005E64C6" w:rsidRDefault="0088275A" w:rsidP="00D20632">
            <w:r w:rsidRPr="005E64C6">
              <w:t>С</w:t>
            </w:r>
            <w:r w:rsidRPr="005E64C6">
              <w:rPr>
                <w:lang w:val="kk-KZ"/>
              </w:rPr>
              <w:t>Қ</w:t>
            </w:r>
            <w:r w:rsidRPr="005E64C6">
              <w:t>О</w:t>
            </w:r>
          </w:p>
        </w:tc>
        <w:tc>
          <w:tcPr>
            <w:tcW w:w="2428" w:type="dxa"/>
            <w:shd w:val="clear" w:color="auto" w:fill="auto"/>
            <w:vAlign w:val="bottom"/>
          </w:tcPr>
          <w:p w:rsidR="0088275A" w:rsidRPr="005E64C6" w:rsidRDefault="0088275A" w:rsidP="00D20632">
            <w:pPr>
              <w:jc w:val="center"/>
            </w:pPr>
            <w:r w:rsidRPr="005E64C6">
              <w:t>287 125</w:t>
            </w:r>
          </w:p>
        </w:tc>
        <w:tc>
          <w:tcPr>
            <w:tcW w:w="2428" w:type="dxa"/>
            <w:shd w:val="clear" w:color="auto" w:fill="auto"/>
            <w:vAlign w:val="bottom"/>
          </w:tcPr>
          <w:p w:rsidR="0088275A" w:rsidRPr="005E64C6" w:rsidRDefault="0088275A" w:rsidP="00D20632">
            <w:pPr>
              <w:jc w:val="center"/>
            </w:pPr>
            <w:r w:rsidRPr="005E64C6">
              <w:t>1,7%</w:t>
            </w:r>
          </w:p>
        </w:tc>
        <w:tc>
          <w:tcPr>
            <w:tcW w:w="2322" w:type="dxa"/>
            <w:shd w:val="clear" w:color="auto" w:fill="auto"/>
            <w:vAlign w:val="bottom"/>
          </w:tcPr>
          <w:p w:rsidR="0088275A" w:rsidRPr="005E64C6" w:rsidRDefault="0088275A" w:rsidP="00D20632">
            <w:pPr>
              <w:jc w:val="center"/>
            </w:pPr>
            <w:r w:rsidRPr="005E64C6">
              <w:t>2</w:t>
            </w:r>
          </w:p>
        </w:tc>
      </w:tr>
      <w:tr w:rsidR="0088275A" w:rsidRPr="005E64C6" w:rsidTr="00D20632">
        <w:tc>
          <w:tcPr>
            <w:tcW w:w="2320" w:type="dxa"/>
            <w:shd w:val="clear" w:color="auto" w:fill="E5DFEC"/>
            <w:vAlign w:val="bottom"/>
          </w:tcPr>
          <w:p w:rsidR="0088275A" w:rsidRPr="005E64C6" w:rsidRDefault="0088275A" w:rsidP="00D20632">
            <w:r w:rsidRPr="005E64C6">
              <w:rPr>
                <w:lang w:val="kk-KZ"/>
              </w:rPr>
              <w:t>ОҚ</w:t>
            </w:r>
            <w:r w:rsidRPr="005E64C6">
              <w:t>О</w:t>
            </w:r>
          </w:p>
        </w:tc>
        <w:tc>
          <w:tcPr>
            <w:tcW w:w="2428" w:type="dxa"/>
            <w:shd w:val="clear" w:color="auto" w:fill="auto"/>
            <w:vAlign w:val="bottom"/>
          </w:tcPr>
          <w:p w:rsidR="0088275A" w:rsidRPr="005E64C6" w:rsidRDefault="0088275A" w:rsidP="00D20632">
            <w:pPr>
              <w:jc w:val="center"/>
            </w:pPr>
            <w:r w:rsidRPr="005E64C6">
              <w:t>996 052</w:t>
            </w:r>
          </w:p>
        </w:tc>
        <w:tc>
          <w:tcPr>
            <w:tcW w:w="2428" w:type="dxa"/>
            <w:shd w:val="clear" w:color="auto" w:fill="auto"/>
            <w:vAlign w:val="bottom"/>
          </w:tcPr>
          <w:p w:rsidR="0088275A" w:rsidRPr="005E64C6" w:rsidRDefault="0088275A" w:rsidP="00D20632">
            <w:pPr>
              <w:jc w:val="center"/>
            </w:pPr>
            <w:r w:rsidRPr="005E64C6">
              <w:t>6,0%</w:t>
            </w:r>
          </w:p>
        </w:tc>
        <w:tc>
          <w:tcPr>
            <w:tcW w:w="2322" w:type="dxa"/>
            <w:shd w:val="clear" w:color="auto" w:fill="auto"/>
            <w:vAlign w:val="bottom"/>
          </w:tcPr>
          <w:p w:rsidR="0088275A" w:rsidRPr="005E64C6" w:rsidRDefault="0088275A" w:rsidP="00D20632">
            <w:pPr>
              <w:jc w:val="center"/>
            </w:pPr>
            <w:r w:rsidRPr="005E64C6">
              <w:t>3</w:t>
            </w:r>
          </w:p>
        </w:tc>
      </w:tr>
      <w:tr w:rsidR="0088275A" w:rsidRPr="005E64C6" w:rsidTr="00D20632">
        <w:tc>
          <w:tcPr>
            <w:tcW w:w="2320" w:type="dxa"/>
            <w:shd w:val="clear" w:color="auto" w:fill="E5DFEC"/>
            <w:vAlign w:val="bottom"/>
          </w:tcPr>
          <w:p w:rsidR="0088275A" w:rsidRPr="005E64C6" w:rsidRDefault="0088275A" w:rsidP="00D20632">
            <w:r w:rsidRPr="005E64C6">
              <w:t xml:space="preserve">Алматы                     </w:t>
            </w:r>
          </w:p>
        </w:tc>
        <w:tc>
          <w:tcPr>
            <w:tcW w:w="2428" w:type="dxa"/>
            <w:shd w:val="clear" w:color="auto" w:fill="auto"/>
            <w:vAlign w:val="bottom"/>
          </w:tcPr>
          <w:p w:rsidR="0088275A" w:rsidRPr="005E64C6" w:rsidRDefault="0088275A" w:rsidP="00D20632">
            <w:pPr>
              <w:jc w:val="center"/>
            </w:pPr>
            <w:r w:rsidRPr="005E64C6">
              <w:t>7 360 059</w:t>
            </w:r>
          </w:p>
        </w:tc>
        <w:tc>
          <w:tcPr>
            <w:tcW w:w="2428" w:type="dxa"/>
            <w:shd w:val="clear" w:color="auto" w:fill="auto"/>
            <w:vAlign w:val="bottom"/>
          </w:tcPr>
          <w:p w:rsidR="0088275A" w:rsidRPr="005E64C6" w:rsidRDefault="0088275A" w:rsidP="00D20632">
            <w:pPr>
              <w:jc w:val="center"/>
            </w:pPr>
            <w:r w:rsidRPr="005E64C6">
              <w:t>44,5%</w:t>
            </w:r>
          </w:p>
        </w:tc>
        <w:tc>
          <w:tcPr>
            <w:tcW w:w="2322" w:type="dxa"/>
            <w:shd w:val="clear" w:color="auto" w:fill="auto"/>
            <w:vAlign w:val="bottom"/>
          </w:tcPr>
          <w:p w:rsidR="0088275A" w:rsidRPr="005E64C6" w:rsidRDefault="0088275A" w:rsidP="00D20632">
            <w:pPr>
              <w:jc w:val="center"/>
            </w:pPr>
            <w:r w:rsidRPr="005E64C6">
              <w:t>0,2</w:t>
            </w:r>
          </w:p>
        </w:tc>
      </w:tr>
      <w:tr w:rsidR="0088275A" w:rsidRPr="005E64C6" w:rsidTr="00D20632">
        <w:tc>
          <w:tcPr>
            <w:tcW w:w="2320" w:type="dxa"/>
            <w:shd w:val="clear" w:color="auto" w:fill="E5DFEC"/>
            <w:vAlign w:val="bottom"/>
          </w:tcPr>
          <w:p w:rsidR="0088275A" w:rsidRPr="005E64C6" w:rsidRDefault="0088275A" w:rsidP="00D20632">
            <w:r w:rsidRPr="005E64C6">
              <w:t xml:space="preserve">Астана                     </w:t>
            </w:r>
          </w:p>
        </w:tc>
        <w:tc>
          <w:tcPr>
            <w:tcW w:w="2428" w:type="dxa"/>
            <w:shd w:val="clear" w:color="auto" w:fill="auto"/>
            <w:vAlign w:val="bottom"/>
          </w:tcPr>
          <w:p w:rsidR="0088275A" w:rsidRPr="005E64C6" w:rsidRDefault="0088275A" w:rsidP="00D20632">
            <w:pPr>
              <w:jc w:val="center"/>
            </w:pPr>
            <w:r w:rsidRPr="005E64C6">
              <w:t>929 189</w:t>
            </w:r>
          </w:p>
        </w:tc>
        <w:tc>
          <w:tcPr>
            <w:tcW w:w="2428" w:type="dxa"/>
            <w:shd w:val="clear" w:color="auto" w:fill="auto"/>
            <w:vAlign w:val="bottom"/>
          </w:tcPr>
          <w:p w:rsidR="0088275A" w:rsidRPr="005E64C6" w:rsidRDefault="0088275A" w:rsidP="00D20632">
            <w:pPr>
              <w:jc w:val="center"/>
            </w:pPr>
            <w:r w:rsidRPr="005E64C6">
              <w:t>5,6%</w:t>
            </w:r>
          </w:p>
        </w:tc>
        <w:tc>
          <w:tcPr>
            <w:tcW w:w="2322" w:type="dxa"/>
            <w:shd w:val="clear" w:color="auto" w:fill="auto"/>
            <w:vAlign w:val="bottom"/>
          </w:tcPr>
          <w:p w:rsidR="0088275A" w:rsidRPr="005E64C6" w:rsidRDefault="0088275A" w:rsidP="00D20632">
            <w:pPr>
              <w:jc w:val="center"/>
            </w:pPr>
            <w:r w:rsidRPr="005E64C6">
              <w:t>1</w:t>
            </w:r>
          </w:p>
        </w:tc>
      </w:tr>
      <w:tr w:rsidR="0088275A" w:rsidRPr="005E64C6" w:rsidTr="00D20632">
        <w:tc>
          <w:tcPr>
            <w:tcW w:w="2320" w:type="dxa"/>
            <w:shd w:val="clear" w:color="auto" w:fill="E5DFEC"/>
          </w:tcPr>
          <w:p w:rsidR="0088275A" w:rsidRPr="005E64C6" w:rsidRDefault="0088275A" w:rsidP="00D20632">
            <w:pPr>
              <w:jc w:val="both"/>
              <w:rPr>
                <w:b/>
                <w:lang w:val="kk-KZ"/>
              </w:rPr>
            </w:pPr>
            <w:r w:rsidRPr="005E64C6">
              <w:rPr>
                <w:b/>
                <w:lang w:val="kk-KZ"/>
              </w:rPr>
              <w:t>Қазақстан Р.</w:t>
            </w:r>
          </w:p>
        </w:tc>
        <w:tc>
          <w:tcPr>
            <w:tcW w:w="2428" w:type="dxa"/>
            <w:shd w:val="clear" w:color="auto" w:fill="auto"/>
            <w:vAlign w:val="bottom"/>
          </w:tcPr>
          <w:p w:rsidR="0088275A" w:rsidRPr="005E64C6" w:rsidRDefault="0088275A" w:rsidP="00D20632">
            <w:pPr>
              <w:jc w:val="center"/>
              <w:rPr>
                <w:b/>
              </w:rPr>
            </w:pPr>
            <w:r w:rsidRPr="005E64C6">
              <w:rPr>
                <w:b/>
              </w:rPr>
              <w:t>16 544 107</w:t>
            </w:r>
          </w:p>
        </w:tc>
        <w:tc>
          <w:tcPr>
            <w:tcW w:w="2428" w:type="dxa"/>
            <w:shd w:val="clear" w:color="auto" w:fill="auto"/>
            <w:vAlign w:val="bottom"/>
          </w:tcPr>
          <w:p w:rsidR="0088275A" w:rsidRPr="005E64C6" w:rsidRDefault="0088275A" w:rsidP="00D20632">
            <w:pPr>
              <w:jc w:val="center"/>
              <w:rPr>
                <w:b/>
              </w:rPr>
            </w:pPr>
            <w:r w:rsidRPr="005E64C6">
              <w:rPr>
                <w:b/>
              </w:rPr>
              <w:t>100,0%</w:t>
            </w:r>
          </w:p>
        </w:tc>
        <w:tc>
          <w:tcPr>
            <w:tcW w:w="2322" w:type="dxa"/>
            <w:shd w:val="clear" w:color="auto" w:fill="auto"/>
            <w:vAlign w:val="bottom"/>
          </w:tcPr>
          <w:p w:rsidR="0088275A" w:rsidRPr="005E64C6" w:rsidRDefault="0088275A" w:rsidP="00D20632">
            <w:pPr>
              <w:jc w:val="center"/>
              <w:rPr>
                <w:b/>
              </w:rPr>
            </w:pPr>
            <w:r w:rsidRPr="005E64C6">
              <w:rPr>
                <w:b/>
              </w:rPr>
              <w:t>1</w:t>
            </w:r>
          </w:p>
        </w:tc>
      </w:tr>
    </w:tbl>
    <w:p w:rsidR="0088275A" w:rsidRDefault="0088275A" w:rsidP="0088275A">
      <w:pPr>
        <w:ind w:firstLine="709"/>
        <w:jc w:val="both"/>
        <w:rPr>
          <w:sz w:val="28"/>
          <w:szCs w:val="28"/>
        </w:rPr>
      </w:pPr>
    </w:p>
    <w:p w:rsidR="0086499E" w:rsidRPr="0086499E" w:rsidRDefault="0088275A" w:rsidP="0088275A">
      <w:pPr>
        <w:ind w:firstLine="709"/>
        <w:jc w:val="both"/>
        <w:rPr>
          <w:sz w:val="28"/>
          <w:szCs w:val="28"/>
          <w:highlight w:val="yellow"/>
          <w:lang w:val="kk-KZ"/>
        </w:rPr>
      </w:pPr>
      <w:r>
        <w:rPr>
          <w:sz w:val="28"/>
          <w:szCs w:val="28"/>
          <w:lang w:val="kk-KZ"/>
        </w:rPr>
        <w:t xml:space="preserve">Бүгінгі күні төлем </w:t>
      </w:r>
      <w:r>
        <w:rPr>
          <w:sz w:val="28"/>
          <w:szCs w:val="28"/>
        </w:rPr>
        <w:t>карточк</w:t>
      </w:r>
      <w:r>
        <w:rPr>
          <w:sz w:val="28"/>
          <w:szCs w:val="28"/>
          <w:lang w:val="kk-KZ"/>
        </w:rPr>
        <w:t>аларын</w:t>
      </w:r>
      <w:r>
        <w:rPr>
          <w:rStyle w:val="a4"/>
          <w:sz w:val="28"/>
          <w:szCs w:val="28"/>
        </w:rPr>
        <w:footnoteReference w:id="3"/>
      </w:r>
      <w:r>
        <w:rPr>
          <w:sz w:val="28"/>
          <w:szCs w:val="28"/>
          <w:lang w:val="kk-KZ"/>
        </w:rPr>
        <w:t xml:space="preserve"> пайдалана отырып қолма-қол ақшасыз төлемдер көлемінің қарқынды өсуі туралы айтуға болады</w:t>
      </w:r>
      <w:r>
        <w:rPr>
          <w:sz w:val="28"/>
          <w:szCs w:val="28"/>
        </w:rPr>
        <w:t xml:space="preserve">, </w:t>
      </w:r>
      <w:r>
        <w:rPr>
          <w:sz w:val="28"/>
          <w:szCs w:val="28"/>
          <w:lang w:val="kk-KZ"/>
        </w:rPr>
        <w:t xml:space="preserve">олардың саны және сомасы </w:t>
      </w:r>
      <w:r>
        <w:rPr>
          <w:sz w:val="28"/>
          <w:szCs w:val="28"/>
        </w:rPr>
        <w:t xml:space="preserve">2013 </w:t>
      </w:r>
      <w:r>
        <w:rPr>
          <w:sz w:val="28"/>
          <w:szCs w:val="28"/>
          <w:lang w:val="kk-KZ"/>
        </w:rPr>
        <w:t xml:space="preserve">жылы 2012 жылмен салыстырғанда тиісінше </w:t>
      </w:r>
      <w:r>
        <w:rPr>
          <w:sz w:val="28"/>
          <w:szCs w:val="28"/>
        </w:rPr>
        <w:t xml:space="preserve"> 31,8% </w:t>
      </w:r>
      <w:r>
        <w:rPr>
          <w:sz w:val="28"/>
          <w:szCs w:val="28"/>
          <w:lang w:val="kk-KZ"/>
        </w:rPr>
        <w:t xml:space="preserve">және </w:t>
      </w:r>
      <w:r>
        <w:rPr>
          <w:sz w:val="28"/>
          <w:szCs w:val="28"/>
        </w:rPr>
        <w:t xml:space="preserve">27,5% </w:t>
      </w:r>
      <w:r>
        <w:rPr>
          <w:sz w:val="28"/>
          <w:szCs w:val="28"/>
          <w:lang w:val="kk-KZ"/>
        </w:rPr>
        <w:t>ұлғайды</w:t>
      </w:r>
      <w:r>
        <w:rPr>
          <w:sz w:val="28"/>
          <w:szCs w:val="28"/>
        </w:rPr>
        <w:t xml:space="preserve">. </w:t>
      </w:r>
      <w:r>
        <w:rPr>
          <w:sz w:val="28"/>
          <w:szCs w:val="28"/>
          <w:lang w:val="kk-KZ"/>
        </w:rPr>
        <w:t xml:space="preserve">Қолма-қол ақшаны алу бойынша операциялар саны және сомасы тиісінше </w:t>
      </w:r>
      <w:r>
        <w:rPr>
          <w:sz w:val="28"/>
          <w:szCs w:val="28"/>
        </w:rPr>
        <w:t xml:space="preserve">9,9% </w:t>
      </w:r>
      <w:r>
        <w:rPr>
          <w:sz w:val="28"/>
          <w:szCs w:val="28"/>
          <w:lang w:val="kk-KZ"/>
        </w:rPr>
        <w:t>және</w:t>
      </w:r>
      <w:r>
        <w:rPr>
          <w:sz w:val="28"/>
          <w:szCs w:val="28"/>
        </w:rPr>
        <w:t xml:space="preserve"> 17,1% </w:t>
      </w:r>
      <w:r>
        <w:rPr>
          <w:sz w:val="28"/>
          <w:szCs w:val="28"/>
          <w:lang w:val="kk-KZ"/>
        </w:rPr>
        <w:t>ұлғайды</w:t>
      </w:r>
      <w:r>
        <w:rPr>
          <w:sz w:val="28"/>
          <w:szCs w:val="28"/>
        </w:rPr>
        <w:t xml:space="preserve">. </w:t>
      </w:r>
      <w:r>
        <w:rPr>
          <w:sz w:val="28"/>
          <w:szCs w:val="28"/>
          <w:lang w:val="kk-KZ"/>
        </w:rPr>
        <w:t xml:space="preserve">Бұл ретте қолма-қол ақшасыз төлемдердің үлесі көп емес </w:t>
      </w:r>
      <w:r>
        <w:rPr>
          <w:sz w:val="28"/>
          <w:szCs w:val="28"/>
        </w:rPr>
        <w:t xml:space="preserve">– </w:t>
      </w:r>
      <w:r>
        <w:rPr>
          <w:sz w:val="28"/>
          <w:szCs w:val="28"/>
          <w:lang w:val="kk-KZ"/>
        </w:rPr>
        <w:t xml:space="preserve">қазақстандық эмитенттердің төлем </w:t>
      </w:r>
      <w:r>
        <w:rPr>
          <w:sz w:val="28"/>
          <w:szCs w:val="28"/>
          <w:lang w:val="kk-KZ"/>
        </w:rPr>
        <w:lastRenderedPageBreak/>
        <w:t xml:space="preserve">карточкаларын пайдалана отырып транзакциялардың жалпы санынан </w:t>
      </w:r>
      <w:r>
        <w:rPr>
          <w:sz w:val="28"/>
          <w:szCs w:val="28"/>
        </w:rPr>
        <w:t xml:space="preserve">25,0% </w:t>
      </w:r>
      <w:r>
        <w:rPr>
          <w:sz w:val="28"/>
          <w:szCs w:val="28"/>
          <w:lang w:val="kk-KZ"/>
        </w:rPr>
        <w:t>және жалпы сомасынан</w:t>
      </w:r>
      <w:r>
        <w:rPr>
          <w:sz w:val="28"/>
          <w:szCs w:val="28"/>
        </w:rPr>
        <w:t xml:space="preserve"> 10,0% </w:t>
      </w:r>
      <w:r>
        <w:rPr>
          <w:sz w:val="28"/>
          <w:szCs w:val="28"/>
          <w:lang w:val="kk-KZ"/>
        </w:rPr>
        <w:t>деңгейде</w:t>
      </w:r>
      <w:r>
        <w:rPr>
          <w:sz w:val="28"/>
          <w:szCs w:val="28"/>
        </w:rPr>
        <w:t xml:space="preserve">. </w:t>
      </w:r>
      <w:r>
        <w:rPr>
          <w:sz w:val="28"/>
          <w:szCs w:val="28"/>
          <w:lang w:val="kk-KZ"/>
        </w:rPr>
        <w:t>Алайда</w:t>
      </w:r>
      <w:r>
        <w:rPr>
          <w:sz w:val="28"/>
          <w:szCs w:val="28"/>
        </w:rPr>
        <w:t xml:space="preserve">, </w:t>
      </w:r>
      <w:r>
        <w:rPr>
          <w:sz w:val="28"/>
          <w:szCs w:val="28"/>
          <w:lang w:val="kk-KZ"/>
        </w:rPr>
        <w:t xml:space="preserve">қолма-қол ақшасыз </w:t>
      </w:r>
      <w:r>
        <w:rPr>
          <w:sz w:val="28"/>
          <w:szCs w:val="28"/>
        </w:rPr>
        <w:t>транзакци</w:t>
      </w:r>
      <w:r>
        <w:rPr>
          <w:sz w:val="28"/>
          <w:szCs w:val="28"/>
          <w:lang w:val="kk-KZ"/>
        </w:rPr>
        <w:t>ялар санының ұлғаюының оң динамикасын көрсетуге болады</w:t>
      </w:r>
      <w:r>
        <w:rPr>
          <w:sz w:val="28"/>
          <w:szCs w:val="28"/>
        </w:rPr>
        <w:t xml:space="preserve">, </w:t>
      </w:r>
      <w:r>
        <w:rPr>
          <w:sz w:val="28"/>
          <w:szCs w:val="28"/>
          <w:lang w:val="kk-KZ"/>
        </w:rPr>
        <w:t xml:space="preserve">атап айтқанда </w:t>
      </w:r>
      <w:r>
        <w:rPr>
          <w:sz w:val="28"/>
          <w:szCs w:val="28"/>
        </w:rPr>
        <w:t xml:space="preserve">2012 </w:t>
      </w:r>
      <w:r>
        <w:rPr>
          <w:sz w:val="28"/>
          <w:szCs w:val="28"/>
          <w:lang w:val="kk-KZ"/>
        </w:rPr>
        <w:t xml:space="preserve">жылы олардың үлесі </w:t>
      </w:r>
      <w:r>
        <w:rPr>
          <w:sz w:val="28"/>
          <w:szCs w:val="28"/>
        </w:rPr>
        <w:t xml:space="preserve"> 21,8%, а</w:t>
      </w:r>
      <w:r>
        <w:rPr>
          <w:sz w:val="28"/>
          <w:szCs w:val="28"/>
          <w:lang w:val="kk-KZ"/>
        </w:rPr>
        <w:t xml:space="preserve">л </w:t>
      </w:r>
      <w:r>
        <w:rPr>
          <w:sz w:val="28"/>
          <w:szCs w:val="28"/>
        </w:rPr>
        <w:t xml:space="preserve"> 5 </w:t>
      </w:r>
      <w:r>
        <w:rPr>
          <w:sz w:val="28"/>
          <w:szCs w:val="28"/>
          <w:lang w:val="kk-KZ"/>
        </w:rPr>
        <w:t xml:space="preserve">жыл бұрын </w:t>
      </w:r>
      <w:r>
        <w:rPr>
          <w:sz w:val="28"/>
          <w:szCs w:val="28"/>
        </w:rPr>
        <w:t>17,3%</w:t>
      </w:r>
      <w:r>
        <w:rPr>
          <w:sz w:val="28"/>
          <w:szCs w:val="28"/>
          <w:lang w:val="kk-KZ"/>
        </w:rPr>
        <w:t xml:space="preserve"> болды</w:t>
      </w:r>
      <w:r>
        <w:rPr>
          <w:sz w:val="28"/>
          <w:szCs w:val="28"/>
        </w:rPr>
        <w:t>.</w:t>
      </w:r>
    </w:p>
    <w:p w:rsidR="0086499E" w:rsidRPr="0086499E" w:rsidRDefault="0086499E" w:rsidP="000A5789">
      <w:pPr>
        <w:ind w:firstLine="709"/>
        <w:jc w:val="both"/>
        <w:rPr>
          <w:sz w:val="28"/>
          <w:szCs w:val="28"/>
          <w:highlight w:val="yellow"/>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843"/>
        <w:gridCol w:w="1701"/>
        <w:gridCol w:w="1701"/>
      </w:tblGrid>
      <w:tr w:rsidR="0086499E" w:rsidRPr="0086499E" w:rsidTr="00D20632">
        <w:tc>
          <w:tcPr>
            <w:tcW w:w="9498" w:type="dxa"/>
            <w:gridSpan w:val="5"/>
            <w:shd w:val="clear" w:color="auto" w:fill="DAEEF3"/>
            <w:vAlign w:val="center"/>
          </w:tcPr>
          <w:p w:rsidR="0086499E" w:rsidRPr="0086499E" w:rsidRDefault="0086499E" w:rsidP="00D20632">
            <w:pPr>
              <w:jc w:val="center"/>
              <w:rPr>
                <w:b/>
                <w:lang w:val="kk-KZ"/>
              </w:rPr>
            </w:pPr>
            <w:r w:rsidRPr="0086499E">
              <w:rPr>
                <w:b/>
                <w:lang w:val="kk-KZ"/>
              </w:rPr>
              <w:t xml:space="preserve">Қазақстандық эмитенттердің төлем карточкаларын пайдалана отырып </w:t>
            </w:r>
          </w:p>
          <w:p w:rsidR="0086499E" w:rsidRPr="0086499E" w:rsidRDefault="0086499E" w:rsidP="00D20632">
            <w:pPr>
              <w:jc w:val="center"/>
              <w:rPr>
                <w:b/>
                <w:lang w:val="kk-KZ"/>
              </w:rPr>
            </w:pPr>
            <w:r w:rsidRPr="0086499E">
              <w:rPr>
                <w:b/>
                <w:lang w:val="kk-KZ"/>
              </w:rPr>
              <w:t>жүргізілген операциялар</w:t>
            </w:r>
          </w:p>
        </w:tc>
      </w:tr>
      <w:tr w:rsidR="0086499E" w:rsidRPr="0086499E" w:rsidTr="00D20632">
        <w:trPr>
          <w:trHeight w:val="138"/>
        </w:trPr>
        <w:tc>
          <w:tcPr>
            <w:tcW w:w="2552" w:type="dxa"/>
            <w:vMerge w:val="restart"/>
            <w:shd w:val="clear" w:color="auto" w:fill="DAEEF3"/>
          </w:tcPr>
          <w:p w:rsidR="0086499E" w:rsidRPr="0086499E" w:rsidRDefault="0086499E" w:rsidP="00D20632">
            <w:pPr>
              <w:rPr>
                <w:lang w:val="kk-KZ"/>
              </w:rPr>
            </w:pPr>
            <w:r w:rsidRPr="0086499E">
              <w:rPr>
                <w:lang w:val="kk-KZ"/>
              </w:rPr>
              <w:t>Кезең</w:t>
            </w:r>
          </w:p>
        </w:tc>
        <w:tc>
          <w:tcPr>
            <w:tcW w:w="3544" w:type="dxa"/>
            <w:gridSpan w:val="2"/>
            <w:shd w:val="clear" w:color="auto" w:fill="DAEEF3"/>
            <w:vAlign w:val="center"/>
          </w:tcPr>
          <w:p w:rsidR="0086499E" w:rsidRPr="0086499E" w:rsidRDefault="0086499E" w:rsidP="00D20632">
            <w:pPr>
              <w:jc w:val="center"/>
              <w:rPr>
                <w:lang w:val="kk-KZ"/>
              </w:rPr>
            </w:pPr>
            <w:r w:rsidRPr="0086499E">
              <w:rPr>
                <w:lang w:val="kk-KZ"/>
              </w:rPr>
              <w:t>2012 жылғы қаңтар-қараша</w:t>
            </w:r>
          </w:p>
        </w:tc>
        <w:tc>
          <w:tcPr>
            <w:tcW w:w="3402" w:type="dxa"/>
            <w:gridSpan w:val="2"/>
            <w:shd w:val="clear" w:color="auto" w:fill="DAEEF3"/>
            <w:vAlign w:val="center"/>
          </w:tcPr>
          <w:p w:rsidR="0086499E" w:rsidRPr="0086499E" w:rsidRDefault="0086499E" w:rsidP="00D20632">
            <w:pPr>
              <w:jc w:val="center"/>
              <w:rPr>
                <w:lang w:val="kk-KZ"/>
              </w:rPr>
            </w:pPr>
            <w:r w:rsidRPr="0086499E">
              <w:rPr>
                <w:lang w:val="kk-KZ"/>
              </w:rPr>
              <w:t>2013 жылғы қаңтар-қараша</w:t>
            </w:r>
          </w:p>
        </w:tc>
      </w:tr>
      <w:tr w:rsidR="0086499E" w:rsidRPr="0086499E" w:rsidTr="00D20632">
        <w:trPr>
          <w:trHeight w:val="138"/>
        </w:trPr>
        <w:tc>
          <w:tcPr>
            <w:tcW w:w="2552" w:type="dxa"/>
            <w:vMerge/>
            <w:tcBorders>
              <w:bottom w:val="single" w:sz="4" w:space="0" w:color="auto"/>
            </w:tcBorders>
            <w:shd w:val="clear" w:color="auto" w:fill="DAEEF3"/>
          </w:tcPr>
          <w:p w:rsidR="0086499E" w:rsidRPr="0086499E" w:rsidRDefault="0086499E" w:rsidP="00D20632">
            <w:pPr>
              <w:jc w:val="both"/>
              <w:rPr>
                <w:lang w:val="kk-KZ"/>
              </w:rPr>
            </w:pPr>
          </w:p>
        </w:tc>
        <w:tc>
          <w:tcPr>
            <w:tcW w:w="1701" w:type="dxa"/>
            <w:shd w:val="clear" w:color="auto" w:fill="DAEEF3"/>
            <w:vAlign w:val="center"/>
          </w:tcPr>
          <w:p w:rsidR="0086499E" w:rsidRPr="0086499E" w:rsidRDefault="0086499E" w:rsidP="00D20632">
            <w:pPr>
              <w:jc w:val="center"/>
              <w:rPr>
                <w:lang w:val="kk-KZ"/>
              </w:rPr>
            </w:pPr>
            <w:r w:rsidRPr="0086499E">
              <w:rPr>
                <w:lang w:val="kk-KZ"/>
              </w:rPr>
              <w:t>саны (мың транз.)</w:t>
            </w:r>
          </w:p>
        </w:tc>
        <w:tc>
          <w:tcPr>
            <w:tcW w:w="1843" w:type="dxa"/>
            <w:shd w:val="clear" w:color="auto" w:fill="DAEEF3"/>
            <w:vAlign w:val="center"/>
          </w:tcPr>
          <w:p w:rsidR="0086499E" w:rsidRPr="0086499E" w:rsidRDefault="0086499E" w:rsidP="00D20632">
            <w:pPr>
              <w:jc w:val="center"/>
              <w:rPr>
                <w:lang w:val="kk-KZ"/>
              </w:rPr>
            </w:pPr>
            <w:r w:rsidRPr="0086499E">
              <w:rPr>
                <w:lang w:val="kk-KZ"/>
              </w:rPr>
              <w:t>сомасы (млн. теңге)</w:t>
            </w:r>
          </w:p>
        </w:tc>
        <w:tc>
          <w:tcPr>
            <w:tcW w:w="1701" w:type="dxa"/>
            <w:shd w:val="clear" w:color="auto" w:fill="DAEEF3"/>
            <w:vAlign w:val="center"/>
          </w:tcPr>
          <w:p w:rsidR="0086499E" w:rsidRPr="0086499E" w:rsidRDefault="0086499E" w:rsidP="00D20632">
            <w:pPr>
              <w:jc w:val="center"/>
              <w:rPr>
                <w:lang w:val="kk-KZ"/>
              </w:rPr>
            </w:pPr>
            <w:r w:rsidRPr="0086499E">
              <w:rPr>
                <w:lang w:val="kk-KZ"/>
              </w:rPr>
              <w:t>саны (мың транз.)</w:t>
            </w:r>
          </w:p>
        </w:tc>
        <w:tc>
          <w:tcPr>
            <w:tcW w:w="1701" w:type="dxa"/>
            <w:shd w:val="clear" w:color="auto" w:fill="DAEEF3"/>
            <w:vAlign w:val="center"/>
          </w:tcPr>
          <w:p w:rsidR="0086499E" w:rsidRPr="0086499E" w:rsidRDefault="0086499E" w:rsidP="00D20632">
            <w:pPr>
              <w:jc w:val="center"/>
              <w:rPr>
                <w:lang w:val="kk-KZ"/>
              </w:rPr>
            </w:pPr>
            <w:r w:rsidRPr="0086499E">
              <w:rPr>
                <w:lang w:val="kk-KZ"/>
              </w:rPr>
              <w:t>сомасы (млн. теңге)</w:t>
            </w:r>
          </w:p>
        </w:tc>
      </w:tr>
      <w:tr w:rsidR="0086499E" w:rsidRPr="0086499E" w:rsidTr="00D20632">
        <w:tc>
          <w:tcPr>
            <w:tcW w:w="2552" w:type="dxa"/>
            <w:shd w:val="clear" w:color="auto" w:fill="DAEEF3"/>
          </w:tcPr>
          <w:p w:rsidR="0086499E" w:rsidRPr="0086499E" w:rsidRDefault="0086499E" w:rsidP="00D20632">
            <w:pPr>
              <w:jc w:val="both"/>
              <w:rPr>
                <w:lang w:val="kk-KZ"/>
              </w:rPr>
            </w:pPr>
            <w:r w:rsidRPr="0086499E">
              <w:rPr>
                <w:lang w:val="kk-KZ"/>
              </w:rPr>
              <w:t xml:space="preserve">Қолма-қол ақшасыз төлемдер </w:t>
            </w:r>
          </w:p>
        </w:tc>
        <w:tc>
          <w:tcPr>
            <w:tcW w:w="1701" w:type="dxa"/>
            <w:shd w:val="clear" w:color="auto" w:fill="auto"/>
            <w:vAlign w:val="center"/>
          </w:tcPr>
          <w:p w:rsidR="0086499E" w:rsidRPr="0086499E" w:rsidRDefault="0086499E" w:rsidP="00D20632">
            <w:pPr>
              <w:jc w:val="center"/>
              <w:rPr>
                <w:lang w:val="kk-KZ"/>
              </w:rPr>
            </w:pPr>
            <w:r w:rsidRPr="0086499E">
              <w:rPr>
                <w:lang w:val="kk-KZ"/>
              </w:rPr>
              <w:t>41 214,7</w:t>
            </w:r>
          </w:p>
        </w:tc>
        <w:tc>
          <w:tcPr>
            <w:tcW w:w="1843" w:type="dxa"/>
            <w:shd w:val="clear" w:color="auto" w:fill="auto"/>
            <w:vAlign w:val="center"/>
          </w:tcPr>
          <w:p w:rsidR="0086499E" w:rsidRPr="0086499E" w:rsidRDefault="0086499E" w:rsidP="00D20632">
            <w:pPr>
              <w:jc w:val="center"/>
              <w:rPr>
                <w:lang w:val="kk-KZ"/>
              </w:rPr>
            </w:pPr>
            <w:r w:rsidRPr="0086499E">
              <w:rPr>
                <w:lang w:val="kk-KZ"/>
              </w:rPr>
              <w:t>769 412,3</w:t>
            </w:r>
          </w:p>
        </w:tc>
        <w:tc>
          <w:tcPr>
            <w:tcW w:w="1701" w:type="dxa"/>
            <w:shd w:val="clear" w:color="auto" w:fill="auto"/>
            <w:vAlign w:val="center"/>
          </w:tcPr>
          <w:p w:rsidR="0086499E" w:rsidRPr="0086499E" w:rsidRDefault="0086499E" w:rsidP="00D20632">
            <w:pPr>
              <w:jc w:val="center"/>
              <w:rPr>
                <w:lang w:val="kk-KZ"/>
              </w:rPr>
            </w:pPr>
            <w:r w:rsidRPr="0086499E">
              <w:rPr>
                <w:lang w:val="kk-KZ"/>
              </w:rPr>
              <w:t>54 099,2</w:t>
            </w:r>
          </w:p>
        </w:tc>
        <w:tc>
          <w:tcPr>
            <w:tcW w:w="1701" w:type="dxa"/>
            <w:shd w:val="clear" w:color="auto" w:fill="auto"/>
            <w:vAlign w:val="center"/>
          </w:tcPr>
          <w:p w:rsidR="0086499E" w:rsidRPr="0086499E" w:rsidRDefault="0086499E" w:rsidP="00D20632">
            <w:pPr>
              <w:jc w:val="center"/>
              <w:rPr>
                <w:lang w:val="kk-KZ"/>
              </w:rPr>
            </w:pPr>
            <w:r w:rsidRPr="0086499E">
              <w:rPr>
                <w:lang w:val="kk-KZ"/>
              </w:rPr>
              <w:t>921 774,2</w:t>
            </w:r>
          </w:p>
        </w:tc>
      </w:tr>
      <w:tr w:rsidR="0086499E" w:rsidRPr="0086499E" w:rsidTr="00D20632">
        <w:tc>
          <w:tcPr>
            <w:tcW w:w="2552" w:type="dxa"/>
            <w:tcBorders>
              <w:bottom w:val="single" w:sz="4" w:space="0" w:color="auto"/>
            </w:tcBorders>
            <w:shd w:val="clear" w:color="auto" w:fill="DAEEF3"/>
          </w:tcPr>
          <w:p w:rsidR="0086499E" w:rsidRPr="0086499E" w:rsidRDefault="0086499E" w:rsidP="00D20632">
            <w:pPr>
              <w:jc w:val="both"/>
              <w:rPr>
                <w:lang w:val="kk-KZ"/>
              </w:rPr>
            </w:pPr>
            <w:r w:rsidRPr="0086499E">
              <w:rPr>
                <w:lang w:val="kk-KZ"/>
              </w:rPr>
              <w:t xml:space="preserve">Қолма-қол ақшаны беру </w:t>
            </w:r>
          </w:p>
        </w:tc>
        <w:tc>
          <w:tcPr>
            <w:tcW w:w="1701" w:type="dxa"/>
            <w:shd w:val="clear" w:color="auto" w:fill="auto"/>
            <w:vAlign w:val="center"/>
          </w:tcPr>
          <w:p w:rsidR="0086499E" w:rsidRPr="0086499E" w:rsidRDefault="0086499E" w:rsidP="00D20632">
            <w:pPr>
              <w:jc w:val="center"/>
              <w:rPr>
                <w:lang w:val="kk-KZ"/>
              </w:rPr>
            </w:pPr>
            <w:r w:rsidRPr="0086499E">
              <w:rPr>
                <w:lang w:val="kk-KZ"/>
              </w:rPr>
              <w:t>146 431,2</w:t>
            </w:r>
          </w:p>
        </w:tc>
        <w:tc>
          <w:tcPr>
            <w:tcW w:w="1843" w:type="dxa"/>
            <w:shd w:val="clear" w:color="auto" w:fill="auto"/>
            <w:vAlign w:val="center"/>
          </w:tcPr>
          <w:p w:rsidR="0086499E" w:rsidRPr="0086499E" w:rsidRDefault="0086499E" w:rsidP="00D20632">
            <w:pPr>
              <w:jc w:val="center"/>
              <w:rPr>
                <w:lang w:val="kk-KZ"/>
              </w:rPr>
            </w:pPr>
            <w:r w:rsidRPr="0086499E">
              <w:rPr>
                <w:lang w:val="kk-KZ"/>
              </w:rPr>
              <w:t>4 793 144,8</w:t>
            </w:r>
          </w:p>
        </w:tc>
        <w:tc>
          <w:tcPr>
            <w:tcW w:w="1701" w:type="dxa"/>
            <w:shd w:val="clear" w:color="auto" w:fill="auto"/>
            <w:vAlign w:val="center"/>
          </w:tcPr>
          <w:p w:rsidR="0086499E" w:rsidRPr="0086499E" w:rsidRDefault="0086499E" w:rsidP="00D20632">
            <w:pPr>
              <w:jc w:val="center"/>
              <w:rPr>
                <w:lang w:val="kk-KZ"/>
              </w:rPr>
            </w:pPr>
            <w:r w:rsidRPr="0086499E">
              <w:rPr>
                <w:lang w:val="kk-KZ"/>
              </w:rPr>
              <w:t>160 977,0</w:t>
            </w:r>
          </w:p>
        </w:tc>
        <w:tc>
          <w:tcPr>
            <w:tcW w:w="1701" w:type="dxa"/>
            <w:shd w:val="clear" w:color="auto" w:fill="auto"/>
            <w:vAlign w:val="center"/>
          </w:tcPr>
          <w:p w:rsidR="0086499E" w:rsidRPr="0086499E" w:rsidRDefault="0086499E" w:rsidP="00D20632">
            <w:pPr>
              <w:jc w:val="center"/>
              <w:rPr>
                <w:lang w:val="kk-KZ"/>
              </w:rPr>
            </w:pPr>
            <w:r w:rsidRPr="0086499E">
              <w:rPr>
                <w:lang w:val="kk-KZ"/>
              </w:rPr>
              <w:t>5 615 529,5</w:t>
            </w:r>
          </w:p>
        </w:tc>
      </w:tr>
      <w:tr w:rsidR="0086499E" w:rsidRPr="0086499E" w:rsidTr="00D20632">
        <w:tc>
          <w:tcPr>
            <w:tcW w:w="2552" w:type="dxa"/>
            <w:shd w:val="clear" w:color="auto" w:fill="DAEEF3"/>
          </w:tcPr>
          <w:p w:rsidR="0086499E" w:rsidRPr="0086499E" w:rsidRDefault="0086499E" w:rsidP="00D20632">
            <w:pPr>
              <w:jc w:val="both"/>
              <w:rPr>
                <w:b/>
                <w:lang w:val="kk-KZ"/>
              </w:rPr>
            </w:pPr>
            <w:r w:rsidRPr="0086499E">
              <w:rPr>
                <w:b/>
                <w:lang w:val="kk-KZ"/>
              </w:rPr>
              <w:t>Барлығы:</w:t>
            </w:r>
          </w:p>
        </w:tc>
        <w:tc>
          <w:tcPr>
            <w:tcW w:w="1701" w:type="dxa"/>
            <w:shd w:val="clear" w:color="auto" w:fill="auto"/>
            <w:vAlign w:val="center"/>
          </w:tcPr>
          <w:p w:rsidR="0086499E" w:rsidRPr="0086499E" w:rsidRDefault="0086499E" w:rsidP="00D20632">
            <w:pPr>
              <w:jc w:val="center"/>
              <w:rPr>
                <w:b/>
                <w:lang w:val="kk-KZ"/>
              </w:rPr>
            </w:pPr>
            <w:r w:rsidRPr="0086499E">
              <w:rPr>
                <w:b/>
                <w:lang w:val="kk-KZ"/>
              </w:rPr>
              <w:t>187 645,9</w:t>
            </w:r>
          </w:p>
        </w:tc>
        <w:tc>
          <w:tcPr>
            <w:tcW w:w="1843" w:type="dxa"/>
            <w:shd w:val="clear" w:color="auto" w:fill="auto"/>
            <w:vAlign w:val="center"/>
          </w:tcPr>
          <w:p w:rsidR="0086499E" w:rsidRPr="0086499E" w:rsidRDefault="0086499E" w:rsidP="00D20632">
            <w:pPr>
              <w:jc w:val="center"/>
              <w:rPr>
                <w:b/>
                <w:lang w:val="kk-KZ"/>
              </w:rPr>
            </w:pPr>
            <w:r w:rsidRPr="0086499E">
              <w:rPr>
                <w:b/>
                <w:lang w:val="kk-KZ"/>
              </w:rPr>
              <w:t>5 562 557,0</w:t>
            </w:r>
          </w:p>
        </w:tc>
        <w:tc>
          <w:tcPr>
            <w:tcW w:w="1701" w:type="dxa"/>
            <w:shd w:val="clear" w:color="auto" w:fill="auto"/>
            <w:vAlign w:val="center"/>
          </w:tcPr>
          <w:p w:rsidR="0086499E" w:rsidRPr="0086499E" w:rsidRDefault="0086499E" w:rsidP="00D20632">
            <w:pPr>
              <w:jc w:val="center"/>
              <w:rPr>
                <w:b/>
                <w:lang w:val="kk-KZ"/>
              </w:rPr>
            </w:pPr>
            <w:r w:rsidRPr="0086499E">
              <w:rPr>
                <w:b/>
                <w:lang w:val="kk-KZ"/>
              </w:rPr>
              <w:t>215 076,3</w:t>
            </w:r>
          </w:p>
        </w:tc>
        <w:tc>
          <w:tcPr>
            <w:tcW w:w="1701" w:type="dxa"/>
            <w:shd w:val="clear" w:color="auto" w:fill="auto"/>
            <w:vAlign w:val="center"/>
          </w:tcPr>
          <w:p w:rsidR="0086499E" w:rsidRPr="0086499E" w:rsidRDefault="0086499E" w:rsidP="00D20632">
            <w:pPr>
              <w:jc w:val="center"/>
              <w:rPr>
                <w:b/>
                <w:lang w:val="kk-KZ"/>
              </w:rPr>
            </w:pPr>
            <w:r w:rsidRPr="0086499E">
              <w:rPr>
                <w:b/>
                <w:lang w:val="kk-KZ"/>
              </w:rPr>
              <w:t>6 537 303,7</w:t>
            </w:r>
          </w:p>
        </w:tc>
      </w:tr>
    </w:tbl>
    <w:p w:rsidR="0086499E" w:rsidRPr="0086499E" w:rsidRDefault="0086499E" w:rsidP="0086499E">
      <w:pPr>
        <w:ind w:firstLine="709"/>
        <w:jc w:val="both"/>
        <w:rPr>
          <w:sz w:val="28"/>
          <w:szCs w:val="28"/>
          <w:lang w:val="kk-KZ"/>
        </w:rPr>
      </w:pPr>
      <w:r w:rsidRPr="0086499E">
        <w:rPr>
          <w:sz w:val="28"/>
          <w:szCs w:val="28"/>
          <w:lang w:val="kk-KZ"/>
        </w:rPr>
        <w:t>Қазақстанда төлем карточкаларын пайдалана отырып жасалатын төлемдердің жалпы құрылымына елеулі ықпалды кезкелген жеке банк көрсетуі мүмкін. Мәселен, ірі емес банк облыстардың біріндегі ірі кәсіпорынының қызметкерлері үшін қоғамдық тамақтану қызметтеріне төлем карточкаларын пайдалана отырып қолма-қол ақшасыз есеп айырысу бойынша жобаны іске қосқан. Осы жобаның арқасында облыс қаралатын кезеңде төлем карточкаларын пайдалана отырып қолма-қол ақшасыз төлемдер санының жалпы үлесінде Алматыдан кейін (39,6%) екінші орынға ие болды (12,7%), ал көптеген өңірлер сияқты транзакция сомасы бойынша 4,0%-дан аспайды.</w:t>
      </w:r>
    </w:p>
    <w:p w:rsidR="0086499E" w:rsidRPr="0086499E" w:rsidRDefault="0086499E" w:rsidP="0086499E">
      <w:pPr>
        <w:ind w:firstLine="709"/>
        <w:jc w:val="both"/>
        <w:rPr>
          <w:sz w:val="28"/>
          <w:szCs w:val="28"/>
          <w:lang w:val="kk-KZ"/>
        </w:rPr>
      </w:pPr>
      <w:r w:rsidRPr="0086499E">
        <w:rPr>
          <w:sz w:val="28"/>
          <w:szCs w:val="28"/>
          <w:lang w:val="kk-KZ"/>
        </w:rPr>
        <w:t>Сонымен қоса, төлем карточкаларын пайдалана отырып және оларды пайдаланусыз электрондық терминалдар мен қашықтықтан қол жетімдік жүйесі арқылы төлемдердің жалпы көлемі бойынша көшбасшы Алматы қ., Астана қ., Қарағанды және Шығыс Қазақстан облыстары.</w:t>
      </w:r>
    </w:p>
    <w:p w:rsidR="0086499E" w:rsidRPr="0086499E" w:rsidRDefault="0086499E" w:rsidP="0086499E">
      <w:pPr>
        <w:ind w:firstLine="709"/>
        <w:jc w:val="both"/>
        <w:rPr>
          <w:sz w:val="28"/>
          <w:szCs w:val="28"/>
          <w:lang w:val="kk-KZ"/>
        </w:rPr>
      </w:pPr>
    </w:p>
    <w:p w:rsidR="0086499E" w:rsidRPr="0086499E" w:rsidRDefault="0086499E" w:rsidP="0086499E">
      <w:pPr>
        <w:tabs>
          <w:tab w:val="num" w:pos="993"/>
        </w:tabs>
        <w:jc w:val="center"/>
        <w:rPr>
          <w:b/>
          <w:lang w:val="kk-KZ"/>
        </w:rPr>
      </w:pPr>
      <w:r w:rsidRPr="0086499E">
        <w:rPr>
          <w:b/>
          <w:lang w:val="kk-KZ"/>
        </w:rPr>
        <w:t xml:space="preserve">Транзакциялардың жалпы санындағы үлесі </w:t>
      </w:r>
    </w:p>
    <w:p w:rsidR="0086499E" w:rsidRPr="0086499E" w:rsidRDefault="00C56F6D" w:rsidP="0086499E">
      <w:pPr>
        <w:jc w:val="both"/>
        <w:rPr>
          <w:sz w:val="28"/>
          <w:szCs w:val="28"/>
          <w:lang w:val="kk-KZ"/>
        </w:rPr>
      </w:pPr>
      <w:r w:rsidRPr="0086499E">
        <w:rPr>
          <w:noProof/>
          <w:sz w:val="26"/>
          <w:szCs w:val="26"/>
        </w:rPr>
        <w:drawing>
          <wp:inline distT="0" distB="0" distL="0" distR="0">
            <wp:extent cx="6019800" cy="200025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499E" w:rsidRPr="0086499E" w:rsidRDefault="0086499E" w:rsidP="0086499E">
      <w:pPr>
        <w:tabs>
          <w:tab w:val="num" w:pos="993"/>
        </w:tabs>
        <w:jc w:val="center"/>
        <w:rPr>
          <w:b/>
          <w:lang w:val="kk-KZ"/>
        </w:rPr>
      </w:pPr>
      <w:r w:rsidRPr="0086499E">
        <w:rPr>
          <w:b/>
          <w:lang w:val="kk-KZ"/>
        </w:rPr>
        <w:t xml:space="preserve">Транзакциялардың жалпы көлеміндегі үлесі </w:t>
      </w:r>
    </w:p>
    <w:p w:rsidR="0086499E" w:rsidRPr="0086499E" w:rsidRDefault="0086499E" w:rsidP="0086499E">
      <w:pPr>
        <w:tabs>
          <w:tab w:val="num" w:pos="993"/>
        </w:tabs>
        <w:jc w:val="center"/>
        <w:rPr>
          <w:b/>
          <w:lang w:val="kk-KZ"/>
        </w:rPr>
      </w:pPr>
    </w:p>
    <w:p w:rsidR="0086499E" w:rsidRPr="0086499E" w:rsidRDefault="00C56F6D" w:rsidP="0086499E">
      <w:pPr>
        <w:jc w:val="both"/>
        <w:rPr>
          <w:sz w:val="28"/>
          <w:szCs w:val="28"/>
          <w:lang w:val="kk-KZ"/>
        </w:rPr>
      </w:pPr>
      <w:r w:rsidRPr="0086499E">
        <w:rPr>
          <w:noProof/>
          <w:sz w:val="26"/>
          <w:szCs w:val="26"/>
        </w:rPr>
        <w:lastRenderedPageBreak/>
        <w:drawing>
          <wp:inline distT="0" distB="0" distL="0" distR="0">
            <wp:extent cx="6019800" cy="20002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499E" w:rsidRPr="0086499E" w:rsidRDefault="0086499E" w:rsidP="0086499E">
      <w:pPr>
        <w:ind w:firstLine="709"/>
        <w:jc w:val="both"/>
        <w:rPr>
          <w:sz w:val="28"/>
          <w:szCs w:val="28"/>
          <w:lang w:val="kk-KZ"/>
        </w:rPr>
      </w:pPr>
      <w:r w:rsidRPr="0086499E">
        <w:rPr>
          <w:sz w:val="28"/>
          <w:szCs w:val="28"/>
          <w:lang w:val="kk-KZ"/>
        </w:rPr>
        <w:t>Қолма-қол ақшаны алу бойынша бір транзакцияның орташа сомасы 2012 жылмен салыстырғанда 2013 жылы 33-тен 35 мың теңгеге дейін ұлғайды, ал қолма-қол ақшасыз төлемдердің орташа сомасы 12 мың теңге деңгейінде өзгеріссіз қалды. Қолма-қол ақшаны алудың  орташа сомасы ұлғаюы өзіндік процесс, ол әрқашанда байқалады (бір жылда орташа сома 1-4 мың теңгеге ұлғаяды), бұл инфляциямен және еңбекақының тиісті өсімімен байланысты. Алайда, қолма-қол ақшасыз төлемдердің орташа сомасы өзгеріссіз қалуда, бұл бөлшек төлемдердің, оның ішінде банктік комиссиялардың біртіндеп төмендеуі арқасында саны өсуіне негізделген.</w:t>
      </w:r>
    </w:p>
    <w:sectPr w:rsidR="0086499E" w:rsidRPr="0086499E" w:rsidSect="0042074E">
      <w:footerReference w:type="even" r:id="rId11"/>
      <w:footerReference w:type="default" r:id="rId12"/>
      <w:pgSz w:w="11906" w:h="16838"/>
      <w:pgMar w:top="1134" w:right="992"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BE3" w:rsidRDefault="00A76BE3">
      <w:r>
        <w:separator/>
      </w:r>
    </w:p>
  </w:endnote>
  <w:endnote w:type="continuationSeparator" w:id="0">
    <w:p w:rsidR="00A76BE3" w:rsidRDefault="00A7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74E" w:rsidRDefault="0042074E" w:rsidP="0042074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2074E" w:rsidRDefault="0042074E" w:rsidP="00F560A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74E" w:rsidRDefault="0042074E" w:rsidP="00F25CD7">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C56F6D">
      <w:rPr>
        <w:rStyle w:val="af"/>
        <w:noProof/>
      </w:rPr>
      <w:t>2</w:t>
    </w:r>
    <w:r>
      <w:rPr>
        <w:rStyle w:val="af"/>
      </w:rPr>
      <w:fldChar w:fldCharType="end"/>
    </w:r>
  </w:p>
  <w:p w:rsidR="0042074E" w:rsidRDefault="0042074E" w:rsidP="00F560AB">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BE3" w:rsidRDefault="00A76BE3">
      <w:r>
        <w:separator/>
      </w:r>
    </w:p>
  </w:footnote>
  <w:footnote w:type="continuationSeparator" w:id="0">
    <w:p w:rsidR="00A76BE3" w:rsidRDefault="00A76BE3">
      <w:r>
        <w:continuationSeparator/>
      </w:r>
    </w:p>
  </w:footnote>
  <w:footnote w:id="1">
    <w:p w:rsidR="006C41CD" w:rsidRPr="008F2CBF" w:rsidRDefault="006C41CD" w:rsidP="006C41CD">
      <w:pPr>
        <w:jc w:val="both"/>
        <w:rPr>
          <w:color w:val="000000"/>
          <w:sz w:val="16"/>
          <w:szCs w:val="16"/>
        </w:rPr>
      </w:pPr>
      <w:r>
        <w:rPr>
          <w:rStyle w:val="a4"/>
        </w:rPr>
        <w:footnoteRef/>
      </w:r>
      <w:r>
        <w:t xml:space="preserve"> </w:t>
      </w:r>
      <w:r w:rsidRPr="008F2CBF">
        <w:rPr>
          <w:bCs/>
          <w:color w:val="000000"/>
          <w:sz w:val="16"/>
          <w:szCs w:val="16"/>
        </w:rPr>
        <w:t>Қазақстан Республикасыңың аумағында жүзеге асыру кезінде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 жекелеген қызмет түрлерін бекіту туралы</w:t>
      </w:r>
      <w:r w:rsidRPr="008F2CBF">
        <w:rPr>
          <w:bCs/>
          <w:color w:val="000000"/>
          <w:sz w:val="16"/>
          <w:szCs w:val="16"/>
        </w:rPr>
        <w:br/>
        <w:t xml:space="preserve">Қазақстан Республикасы Үкіметінің 2012 жылғы 29 желтоқсандағы № 1743 </w:t>
      </w:r>
      <w:r>
        <w:rPr>
          <w:bCs/>
          <w:color w:val="000000"/>
          <w:sz w:val="16"/>
          <w:szCs w:val="16"/>
          <w:lang w:val="kk-KZ"/>
        </w:rPr>
        <w:t>қ</w:t>
      </w:r>
      <w:r w:rsidRPr="008F2CBF">
        <w:rPr>
          <w:bCs/>
          <w:color w:val="000000"/>
          <w:sz w:val="16"/>
          <w:szCs w:val="16"/>
        </w:rPr>
        <w:t>аулысы</w:t>
      </w:r>
    </w:p>
    <w:p w:rsidR="006C41CD" w:rsidRPr="008F2CBF" w:rsidRDefault="006C41CD" w:rsidP="006C41CD">
      <w:pPr>
        <w:jc w:val="both"/>
        <w:rPr>
          <w:sz w:val="16"/>
          <w:szCs w:val="16"/>
        </w:rPr>
      </w:pPr>
    </w:p>
    <w:p w:rsidR="006C41CD" w:rsidRDefault="006C41CD" w:rsidP="006C41CD">
      <w:pPr>
        <w:jc w:val="both"/>
      </w:pPr>
    </w:p>
  </w:footnote>
  <w:footnote w:id="2">
    <w:p w:rsidR="0086499E" w:rsidRDefault="0086499E" w:rsidP="0086499E">
      <w:pPr>
        <w:pStyle w:val="a6"/>
      </w:pPr>
      <w:r>
        <w:rPr>
          <w:rStyle w:val="a4"/>
        </w:rPr>
        <w:footnoteRef/>
      </w:r>
      <w:r>
        <w:t xml:space="preserve"> </w:t>
      </w:r>
      <w:r>
        <w:rPr>
          <w:lang w:val="kk-KZ"/>
        </w:rPr>
        <w:t>Қазақстан аумағында және одан тыс жерлерде Қазақстан эмитенттерінің төлем карточкаларын пайдалана отырып жасалған операциялар</w:t>
      </w:r>
      <w:r>
        <w:t>.</w:t>
      </w:r>
    </w:p>
  </w:footnote>
  <w:footnote w:id="3">
    <w:p w:rsidR="0088275A" w:rsidRDefault="0088275A" w:rsidP="0088275A">
      <w:pPr>
        <w:pStyle w:val="a6"/>
        <w:jc w:val="both"/>
      </w:pPr>
      <w:r>
        <w:rPr>
          <w:rStyle w:val="a4"/>
        </w:rPr>
        <w:footnoteRef/>
      </w:r>
      <w:r>
        <w:t xml:space="preserve"> </w:t>
      </w:r>
      <w:r w:rsidRPr="00790E64">
        <w:rPr>
          <w:sz w:val="18"/>
          <w:szCs w:val="18"/>
          <w:lang w:val="kk-KZ"/>
        </w:rPr>
        <w:t xml:space="preserve">Кедендік төлемдерді есепке алмағанда төлем </w:t>
      </w:r>
      <w:r w:rsidRPr="00790E64">
        <w:rPr>
          <w:sz w:val="18"/>
          <w:szCs w:val="18"/>
        </w:rPr>
        <w:t>карточк</w:t>
      </w:r>
      <w:r w:rsidRPr="00790E64">
        <w:rPr>
          <w:sz w:val="18"/>
          <w:szCs w:val="18"/>
          <w:lang w:val="kk-KZ"/>
        </w:rPr>
        <w:t xml:space="preserve">аларын пайдалана отырып қолма-қол </w:t>
      </w:r>
      <w:r>
        <w:rPr>
          <w:sz w:val="18"/>
          <w:szCs w:val="18"/>
          <w:lang w:val="kk-KZ"/>
        </w:rPr>
        <w:t>ақшасыз</w:t>
      </w:r>
      <w:r w:rsidRPr="00790E64">
        <w:rPr>
          <w:sz w:val="18"/>
          <w:szCs w:val="18"/>
          <w:lang w:val="kk-KZ"/>
        </w:rPr>
        <w:t xml:space="preserve"> төлемдердің жалпы санынан олардың саны мен сомасының үлесі тиісінше </w:t>
      </w:r>
      <w:r w:rsidRPr="00790E64">
        <w:rPr>
          <w:sz w:val="18"/>
          <w:szCs w:val="18"/>
        </w:rPr>
        <w:t xml:space="preserve">0,7% </w:t>
      </w:r>
      <w:r w:rsidRPr="00790E64">
        <w:rPr>
          <w:sz w:val="18"/>
          <w:szCs w:val="18"/>
          <w:lang w:val="kk-KZ"/>
        </w:rPr>
        <w:t>және</w:t>
      </w:r>
      <w:r w:rsidRPr="00790E64">
        <w:rPr>
          <w:sz w:val="18"/>
          <w:szCs w:val="18"/>
        </w:rPr>
        <w:t xml:space="preserve"> 32,6%</w:t>
      </w:r>
      <w:r w:rsidRPr="00790E64">
        <w:rPr>
          <w:sz w:val="18"/>
          <w:szCs w:val="18"/>
          <w:lang w:val="kk-KZ"/>
        </w:rPr>
        <w:t xml:space="preserve"> болды</w:t>
      </w:r>
      <w:r w:rsidRPr="00790E6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47C6"/>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22984B5E"/>
    <w:multiLevelType w:val="hybridMultilevel"/>
    <w:tmpl w:val="11A675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501BFF"/>
    <w:multiLevelType w:val="hybridMultilevel"/>
    <w:tmpl w:val="437A1D2C"/>
    <w:lvl w:ilvl="0" w:tplc="39107CD4">
      <w:start w:val="1"/>
      <w:numFmt w:val="decimal"/>
      <w:lvlText w:val="%1)"/>
      <w:lvlJc w:val="left"/>
      <w:pPr>
        <w:tabs>
          <w:tab w:val="num" w:pos="542"/>
        </w:tabs>
        <w:ind w:left="542" w:hanging="450"/>
      </w:pPr>
      <w:rPr>
        <w:rFonts w:hint="default"/>
      </w:rPr>
    </w:lvl>
    <w:lvl w:ilvl="1" w:tplc="04190019" w:tentative="1">
      <w:start w:val="1"/>
      <w:numFmt w:val="lowerLetter"/>
      <w:lvlText w:val="%2."/>
      <w:lvlJc w:val="left"/>
      <w:pPr>
        <w:tabs>
          <w:tab w:val="num" w:pos="1172"/>
        </w:tabs>
        <w:ind w:left="1172" w:hanging="360"/>
      </w:pPr>
    </w:lvl>
    <w:lvl w:ilvl="2" w:tplc="0419001B" w:tentative="1">
      <w:start w:val="1"/>
      <w:numFmt w:val="lowerRoman"/>
      <w:lvlText w:val="%3."/>
      <w:lvlJc w:val="right"/>
      <w:pPr>
        <w:tabs>
          <w:tab w:val="num" w:pos="1892"/>
        </w:tabs>
        <w:ind w:left="1892" w:hanging="180"/>
      </w:pPr>
    </w:lvl>
    <w:lvl w:ilvl="3" w:tplc="0419000F" w:tentative="1">
      <w:start w:val="1"/>
      <w:numFmt w:val="decimal"/>
      <w:lvlText w:val="%4."/>
      <w:lvlJc w:val="left"/>
      <w:pPr>
        <w:tabs>
          <w:tab w:val="num" w:pos="2612"/>
        </w:tabs>
        <w:ind w:left="2612" w:hanging="360"/>
      </w:pPr>
    </w:lvl>
    <w:lvl w:ilvl="4" w:tplc="04190019" w:tentative="1">
      <w:start w:val="1"/>
      <w:numFmt w:val="lowerLetter"/>
      <w:lvlText w:val="%5."/>
      <w:lvlJc w:val="left"/>
      <w:pPr>
        <w:tabs>
          <w:tab w:val="num" w:pos="3332"/>
        </w:tabs>
        <w:ind w:left="3332" w:hanging="360"/>
      </w:pPr>
    </w:lvl>
    <w:lvl w:ilvl="5" w:tplc="0419001B" w:tentative="1">
      <w:start w:val="1"/>
      <w:numFmt w:val="lowerRoman"/>
      <w:lvlText w:val="%6."/>
      <w:lvlJc w:val="right"/>
      <w:pPr>
        <w:tabs>
          <w:tab w:val="num" w:pos="4052"/>
        </w:tabs>
        <w:ind w:left="4052" w:hanging="180"/>
      </w:pPr>
    </w:lvl>
    <w:lvl w:ilvl="6" w:tplc="0419000F" w:tentative="1">
      <w:start w:val="1"/>
      <w:numFmt w:val="decimal"/>
      <w:lvlText w:val="%7."/>
      <w:lvlJc w:val="left"/>
      <w:pPr>
        <w:tabs>
          <w:tab w:val="num" w:pos="4772"/>
        </w:tabs>
        <w:ind w:left="4772" w:hanging="360"/>
      </w:pPr>
    </w:lvl>
    <w:lvl w:ilvl="7" w:tplc="04190019" w:tentative="1">
      <w:start w:val="1"/>
      <w:numFmt w:val="lowerLetter"/>
      <w:lvlText w:val="%8."/>
      <w:lvlJc w:val="left"/>
      <w:pPr>
        <w:tabs>
          <w:tab w:val="num" w:pos="5492"/>
        </w:tabs>
        <w:ind w:left="5492" w:hanging="360"/>
      </w:pPr>
    </w:lvl>
    <w:lvl w:ilvl="8" w:tplc="0419001B" w:tentative="1">
      <w:start w:val="1"/>
      <w:numFmt w:val="lowerRoman"/>
      <w:lvlText w:val="%9."/>
      <w:lvlJc w:val="right"/>
      <w:pPr>
        <w:tabs>
          <w:tab w:val="num" w:pos="6212"/>
        </w:tabs>
        <w:ind w:left="6212" w:hanging="180"/>
      </w:pPr>
    </w:lvl>
  </w:abstractNum>
  <w:abstractNum w:abstractNumId="3" w15:restartNumberingAfterBreak="0">
    <w:nsid w:val="3D274A78"/>
    <w:multiLevelType w:val="hybridMultilevel"/>
    <w:tmpl w:val="3F38C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2545C8"/>
    <w:multiLevelType w:val="hybridMultilevel"/>
    <w:tmpl w:val="8A3EDDD6"/>
    <w:lvl w:ilvl="0" w:tplc="0419000D">
      <w:start w:val="1"/>
      <w:numFmt w:val="bullet"/>
      <w:lvlText w:val=""/>
      <w:lvlJc w:val="left"/>
      <w:pPr>
        <w:tabs>
          <w:tab w:val="num" w:pos="858"/>
        </w:tabs>
        <w:ind w:left="858" w:hanging="360"/>
      </w:pPr>
      <w:rPr>
        <w:rFonts w:ascii="Wingdings" w:hAnsi="Wingdings"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F6"/>
    <w:rsid w:val="0000156E"/>
    <w:rsid w:val="00005869"/>
    <w:rsid w:val="000102F0"/>
    <w:rsid w:val="00011B67"/>
    <w:rsid w:val="00013FED"/>
    <w:rsid w:val="0001551B"/>
    <w:rsid w:val="00015E36"/>
    <w:rsid w:val="000174B4"/>
    <w:rsid w:val="00017A7D"/>
    <w:rsid w:val="000215F6"/>
    <w:rsid w:val="000225AC"/>
    <w:rsid w:val="00023DBD"/>
    <w:rsid w:val="00025F97"/>
    <w:rsid w:val="000267C0"/>
    <w:rsid w:val="00027560"/>
    <w:rsid w:val="000308B9"/>
    <w:rsid w:val="00032012"/>
    <w:rsid w:val="000321C2"/>
    <w:rsid w:val="00033582"/>
    <w:rsid w:val="00035BE8"/>
    <w:rsid w:val="00037A8C"/>
    <w:rsid w:val="00043F3F"/>
    <w:rsid w:val="0004423E"/>
    <w:rsid w:val="00045EE2"/>
    <w:rsid w:val="00051160"/>
    <w:rsid w:val="00051E5C"/>
    <w:rsid w:val="00052FB6"/>
    <w:rsid w:val="00056657"/>
    <w:rsid w:val="00057259"/>
    <w:rsid w:val="00061D00"/>
    <w:rsid w:val="00062CCB"/>
    <w:rsid w:val="0006649E"/>
    <w:rsid w:val="00067DCF"/>
    <w:rsid w:val="0007065F"/>
    <w:rsid w:val="00076D89"/>
    <w:rsid w:val="00080403"/>
    <w:rsid w:val="000811A5"/>
    <w:rsid w:val="00081F1D"/>
    <w:rsid w:val="00085AF0"/>
    <w:rsid w:val="00087B03"/>
    <w:rsid w:val="00087C93"/>
    <w:rsid w:val="00091925"/>
    <w:rsid w:val="000927E6"/>
    <w:rsid w:val="000936B4"/>
    <w:rsid w:val="000937E1"/>
    <w:rsid w:val="0009436F"/>
    <w:rsid w:val="00096903"/>
    <w:rsid w:val="000A1CB3"/>
    <w:rsid w:val="000A3C37"/>
    <w:rsid w:val="000A5789"/>
    <w:rsid w:val="000A66AA"/>
    <w:rsid w:val="000A6C22"/>
    <w:rsid w:val="000A7C03"/>
    <w:rsid w:val="000B339A"/>
    <w:rsid w:val="000B35D1"/>
    <w:rsid w:val="000B389E"/>
    <w:rsid w:val="000B39AD"/>
    <w:rsid w:val="000B5741"/>
    <w:rsid w:val="000B57B4"/>
    <w:rsid w:val="000B5C6A"/>
    <w:rsid w:val="000B673D"/>
    <w:rsid w:val="000B6B9C"/>
    <w:rsid w:val="000B6BA4"/>
    <w:rsid w:val="000B6C0D"/>
    <w:rsid w:val="000C1154"/>
    <w:rsid w:val="000C2FC9"/>
    <w:rsid w:val="000C3BF6"/>
    <w:rsid w:val="000C49D1"/>
    <w:rsid w:val="000C77BA"/>
    <w:rsid w:val="000C7910"/>
    <w:rsid w:val="000C7A8D"/>
    <w:rsid w:val="000D0579"/>
    <w:rsid w:val="000D34AE"/>
    <w:rsid w:val="000D47A3"/>
    <w:rsid w:val="000D50D2"/>
    <w:rsid w:val="000D5CF1"/>
    <w:rsid w:val="000D6B32"/>
    <w:rsid w:val="000E00A6"/>
    <w:rsid w:val="000E134D"/>
    <w:rsid w:val="000E1983"/>
    <w:rsid w:val="000E2CE6"/>
    <w:rsid w:val="000E2FB5"/>
    <w:rsid w:val="000E6EA8"/>
    <w:rsid w:val="000F0463"/>
    <w:rsid w:val="000F158A"/>
    <w:rsid w:val="000F159D"/>
    <w:rsid w:val="000F2174"/>
    <w:rsid w:val="000F36CF"/>
    <w:rsid w:val="000F658A"/>
    <w:rsid w:val="000F706C"/>
    <w:rsid w:val="00100609"/>
    <w:rsid w:val="001008E0"/>
    <w:rsid w:val="00102788"/>
    <w:rsid w:val="00102E5A"/>
    <w:rsid w:val="00106788"/>
    <w:rsid w:val="00110F18"/>
    <w:rsid w:val="001113AD"/>
    <w:rsid w:val="00111FEF"/>
    <w:rsid w:val="00112B2B"/>
    <w:rsid w:val="0011335E"/>
    <w:rsid w:val="001148AE"/>
    <w:rsid w:val="00115603"/>
    <w:rsid w:val="00115F3D"/>
    <w:rsid w:val="0011620D"/>
    <w:rsid w:val="001170D2"/>
    <w:rsid w:val="00117956"/>
    <w:rsid w:val="00120F00"/>
    <w:rsid w:val="00121D8F"/>
    <w:rsid w:val="00122DEF"/>
    <w:rsid w:val="001251A8"/>
    <w:rsid w:val="00125534"/>
    <w:rsid w:val="001256DB"/>
    <w:rsid w:val="00125853"/>
    <w:rsid w:val="00125F47"/>
    <w:rsid w:val="00130B8B"/>
    <w:rsid w:val="00131E55"/>
    <w:rsid w:val="001369F2"/>
    <w:rsid w:val="00137475"/>
    <w:rsid w:val="001420A1"/>
    <w:rsid w:val="00146640"/>
    <w:rsid w:val="00146DEE"/>
    <w:rsid w:val="0014710C"/>
    <w:rsid w:val="00150415"/>
    <w:rsid w:val="0015429A"/>
    <w:rsid w:val="0015470A"/>
    <w:rsid w:val="0015510F"/>
    <w:rsid w:val="001600C0"/>
    <w:rsid w:val="00161111"/>
    <w:rsid w:val="00161E62"/>
    <w:rsid w:val="00166823"/>
    <w:rsid w:val="00170242"/>
    <w:rsid w:val="00174237"/>
    <w:rsid w:val="00174355"/>
    <w:rsid w:val="001758D3"/>
    <w:rsid w:val="001831CB"/>
    <w:rsid w:val="00184533"/>
    <w:rsid w:val="00187393"/>
    <w:rsid w:val="00192570"/>
    <w:rsid w:val="00193560"/>
    <w:rsid w:val="00193F4B"/>
    <w:rsid w:val="0019523A"/>
    <w:rsid w:val="00196BBE"/>
    <w:rsid w:val="00197A8A"/>
    <w:rsid w:val="001A432D"/>
    <w:rsid w:val="001A52E8"/>
    <w:rsid w:val="001A59A9"/>
    <w:rsid w:val="001A6CC5"/>
    <w:rsid w:val="001A76E6"/>
    <w:rsid w:val="001B107C"/>
    <w:rsid w:val="001B2216"/>
    <w:rsid w:val="001B38CA"/>
    <w:rsid w:val="001B3F53"/>
    <w:rsid w:val="001B4A50"/>
    <w:rsid w:val="001B625D"/>
    <w:rsid w:val="001B7B0F"/>
    <w:rsid w:val="001B7B87"/>
    <w:rsid w:val="001C075B"/>
    <w:rsid w:val="001C22A4"/>
    <w:rsid w:val="001C26A7"/>
    <w:rsid w:val="001C311E"/>
    <w:rsid w:val="001C384B"/>
    <w:rsid w:val="001D1274"/>
    <w:rsid w:val="001D40EF"/>
    <w:rsid w:val="001D664E"/>
    <w:rsid w:val="001E08E4"/>
    <w:rsid w:val="001E1B62"/>
    <w:rsid w:val="001E37A8"/>
    <w:rsid w:val="001E3967"/>
    <w:rsid w:val="001E3D33"/>
    <w:rsid w:val="001E5D4C"/>
    <w:rsid w:val="001F10B8"/>
    <w:rsid w:val="001F1919"/>
    <w:rsid w:val="001F53CE"/>
    <w:rsid w:val="001F550C"/>
    <w:rsid w:val="001F5D7C"/>
    <w:rsid w:val="001F6888"/>
    <w:rsid w:val="001F75F4"/>
    <w:rsid w:val="00202804"/>
    <w:rsid w:val="002034C8"/>
    <w:rsid w:val="00206E79"/>
    <w:rsid w:val="00211DD5"/>
    <w:rsid w:val="00213221"/>
    <w:rsid w:val="00213401"/>
    <w:rsid w:val="00215F05"/>
    <w:rsid w:val="002173C5"/>
    <w:rsid w:val="00217C10"/>
    <w:rsid w:val="00220B83"/>
    <w:rsid w:val="00223214"/>
    <w:rsid w:val="00223F6B"/>
    <w:rsid w:val="0022645F"/>
    <w:rsid w:val="00230496"/>
    <w:rsid w:val="00232CC3"/>
    <w:rsid w:val="0023363D"/>
    <w:rsid w:val="00236964"/>
    <w:rsid w:val="00236E65"/>
    <w:rsid w:val="002373DD"/>
    <w:rsid w:val="002422C2"/>
    <w:rsid w:val="00243D1F"/>
    <w:rsid w:val="00244E4F"/>
    <w:rsid w:val="002502F0"/>
    <w:rsid w:val="002518AF"/>
    <w:rsid w:val="002552D2"/>
    <w:rsid w:val="00260C21"/>
    <w:rsid w:val="00260F48"/>
    <w:rsid w:val="00262E95"/>
    <w:rsid w:val="0026382E"/>
    <w:rsid w:val="002638D6"/>
    <w:rsid w:val="00265456"/>
    <w:rsid w:val="00265EC2"/>
    <w:rsid w:val="0026623C"/>
    <w:rsid w:val="00266310"/>
    <w:rsid w:val="00271609"/>
    <w:rsid w:val="002745CA"/>
    <w:rsid w:val="002770D3"/>
    <w:rsid w:val="00280F01"/>
    <w:rsid w:val="00285FF6"/>
    <w:rsid w:val="002869BE"/>
    <w:rsid w:val="0028770D"/>
    <w:rsid w:val="00290852"/>
    <w:rsid w:val="00291E7C"/>
    <w:rsid w:val="00292868"/>
    <w:rsid w:val="00294B4C"/>
    <w:rsid w:val="002A259D"/>
    <w:rsid w:val="002A2ACF"/>
    <w:rsid w:val="002A4C24"/>
    <w:rsid w:val="002A4C43"/>
    <w:rsid w:val="002A4FA3"/>
    <w:rsid w:val="002A76ED"/>
    <w:rsid w:val="002B0C90"/>
    <w:rsid w:val="002B0D4F"/>
    <w:rsid w:val="002B29D8"/>
    <w:rsid w:val="002B2E79"/>
    <w:rsid w:val="002B4C20"/>
    <w:rsid w:val="002B5AD5"/>
    <w:rsid w:val="002B72A1"/>
    <w:rsid w:val="002B769C"/>
    <w:rsid w:val="002C098D"/>
    <w:rsid w:val="002C1253"/>
    <w:rsid w:val="002C18CB"/>
    <w:rsid w:val="002C1CAC"/>
    <w:rsid w:val="002C207E"/>
    <w:rsid w:val="002C3122"/>
    <w:rsid w:val="002C419E"/>
    <w:rsid w:val="002C66DB"/>
    <w:rsid w:val="002D1268"/>
    <w:rsid w:val="002D1EB3"/>
    <w:rsid w:val="002D2AD5"/>
    <w:rsid w:val="002D4012"/>
    <w:rsid w:val="002D4DBA"/>
    <w:rsid w:val="002D7019"/>
    <w:rsid w:val="002E34ED"/>
    <w:rsid w:val="002E40BB"/>
    <w:rsid w:val="002E5D2A"/>
    <w:rsid w:val="002F2404"/>
    <w:rsid w:val="002F390B"/>
    <w:rsid w:val="002F74D1"/>
    <w:rsid w:val="003011DC"/>
    <w:rsid w:val="003043F5"/>
    <w:rsid w:val="00305AC5"/>
    <w:rsid w:val="00305B64"/>
    <w:rsid w:val="00307765"/>
    <w:rsid w:val="00307C19"/>
    <w:rsid w:val="0031007F"/>
    <w:rsid w:val="00311C8B"/>
    <w:rsid w:val="003122CC"/>
    <w:rsid w:val="0031287D"/>
    <w:rsid w:val="00314035"/>
    <w:rsid w:val="003167FA"/>
    <w:rsid w:val="003168E0"/>
    <w:rsid w:val="00317A19"/>
    <w:rsid w:val="003228B2"/>
    <w:rsid w:val="00322B54"/>
    <w:rsid w:val="0032396F"/>
    <w:rsid w:val="00323E03"/>
    <w:rsid w:val="00327007"/>
    <w:rsid w:val="00327794"/>
    <w:rsid w:val="003320D8"/>
    <w:rsid w:val="00332193"/>
    <w:rsid w:val="00335062"/>
    <w:rsid w:val="0033570E"/>
    <w:rsid w:val="003360E7"/>
    <w:rsid w:val="00336B16"/>
    <w:rsid w:val="00337121"/>
    <w:rsid w:val="00337F9E"/>
    <w:rsid w:val="00340C50"/>
    <w:rsid w:val="00343D34"/>
    <w:rsid w:val="00345D08"/>
    <w:rsid w:val="00345E58"/>
    <w:rsid w:val="00346FFA"/>
    <w:rsid w:val="00350879"/>
    <w:rsid w:val="0035108B"/>
    <w:rsid w:val="0035371E"/>
    <w:rsid w:val="00353D95"/>
    <w:rsid w:val="0035532A"/>
    <w:rsid w:val="00355FD7"/>
    <w:rsid w:val="003620FB"/>
    <w:rsid w:val="00365E34"/>
    <w:rsid w:val="00367ACC"/>
    <w:rsid w:val="003702D1"/>
    <w:rsid w:val="003737A9"/>
    <w:rsid w:val="00373964"/>
    <w:rsid w:val="00375836"/>
    <w:rsid w:val="00375C01"/>
    <w:rsid w:val="00376F17"/>
    <w:rsid w:val="003770A3"/>
    <w:rsid w:val="0038020E"/>
    <w:rsid w:val="00381017"/>
    <w:rsid w:val="0038159D"/>
    <w:rsid w:val="00382350"/>
    <w:rsid w:val="003869E7"/>
    <w:rsid w:val="003875F5"/>
    <w:rsid w:val="0039086E"/>
    <w:rsid w:val="003940A9"/>
    <w:rsid w:val="00394BC7"/>
    <w:rsid w:val="003950D7"/>
    <w:rsid w:val="003A1840"/>
    <w:rsid w:val="003A1C90"/>
    <w:rsid w:val="003A1FEA"/>
    <w:rsid w:val="003A31AB"/>
    <w:rsid w:val="003A380A"/>
    <w:rsid w:val="003A4DE4"/>
    <w:rsid w:val="003A505D"/>
    <w:rsid w:val="003A5491"/>
    <w:rsid w:val="003A7419"/>
    <w:rsid w:val="003B1271"/>
    <w:rsid w:val="003B157A"/>
    <w:rsid w:val="003B16CF"/>
    <w:rsid w:val="003B670E"/>
    <w:rsid w:val="003B6E8A"/>
    <w:rsid w:val="003B7DD0"/>
    <w:rsid w:val="003C0DA3"/>
    <w:rsid w:val="003C420A"/>
    <w:rsid w:val="003C553A"/>
    <w:rsid w:val="003C5904"/>
    <w:rsid w:val="003C6AB9"/>
    <w:rsid w:val="003D41C5"/>
    <w:rsid w:val="003D4EBC"/>
    <w:rsid w:val="003D5866"/>
    <w:rsid w:val="003D5C5D"/>
    <w:rsid w:val="003D61DD"/>
    <w:rsid w:val="003D7677"/>
    <w:rsid w:val="003D7D5C"/>
    <w:rsid w:val="003E3393"/>
    <w:rsid w:val="003E504D"/>
    <w:rsid w:val="003E68EE"/>
    <w:rsid w:val="003E6F80"/>
    <w:rsid w:val="003F0E96"/>
    <w:rsid w:val="003F1C4D"/>
    <w:rsid w:val="003F2E6D"/>
    <w:rsid w:val="003F36F0"/>
    <w:rsid w:val="003F4A7D"/>
    <w:rsid w:val="003F718A"/>
    <w:rsid w:val="003F7DDC"/>
    <w:rsid w:val="00401CE2"/>
    <w:rsid w:val="004040FE"/>
    <w:rsid w:val="004112D2"/>
    <w:rsid w:val="00413EB8"/>
    <w:rsid w:val="004145A7"/>
    <w:rsid w:val="004148EF"/>
    <w:rsid w:val="00416234"/>
    <w:rsid w:val="00417C7D"/>
    <w:rsid w:val="0042074E"/>
    <w:rsid w:val="004223B0"/>
    <w:rsid w:val="0042241A"/>
    <w:rsid w:val="004263A3"/>
    <w:rsid w:val="0042764B"/>
    <w:rsid w:val="00430EE7"/>
    <w:rsid w:val="00431738"/>
    <w:rsid w:val="00431A91"/>
    <w:rsid w:val="00431C95"/>
    <w:rsid w:val="00433B7C"/>
    <w:rsid w:val="0043529B"/>
    <w:rsid w:val="00440536"/>
    <w:rsid w:val="00440D56"/>
    <w:rsid w:val="00442910"/>
    <w:rsid w:val="0045114F"/>
    <w:rsid w:val="00452E81"/>
    <w:rsid w:val="004533BD"/>
    <w:rsid w:val="00453659"/>
    <w:rsid w:val="00453A45"/>
    <w:rsid w:val="00454A3F"/>
    <w:rsid w:val="00456764"/>
    <w:rsid w:val="00456CB4"/>
    <w:rsid w:val="004602FE"/>
    <w:rsid w:val="0046159F"/>
    <w:rsid w:val="00462C87"/>
    <w:rsid w:val="004644B9"/>
    <w:rsid w:val="00464A31"/>
    <w:rsid w:val="0046541B"/>
    <w:rsid w:val="004658A2"/>
    <w:rsid w:val="00467182"/>
    <w:rsid w:val="00467655"/>
    <w:rsid w:val="004706E3"/>
    <w:rsid w:val="00471198"/>
    <w:rsid w:val="004745A1"/>
    <w:rsid w:val="00475811"/>
    <w:rsid w:val="00476C79"/>
    <w:rsid w:val="00476D52"/>
    <w:rsid w:val="0048099E"/>
    <w:rsid w:val="004817F6"/>
    <w:rsid w:val="004824AB"/>
    <w:rsid w:val="00485C94"/>
    <w:rsid w:val="0048637B"/>
    <w:rsid w:val="004864C4"/>
    <w:rsid w:val="00490614"/>
    <w:rsid w:val="0049209C"/>
    <w:rsid w:val="00493631"/>
    <w:rsid w:val="00495495"/>
    <w:rsid w:val="00495A85"/>
    <w:rsid w:val="0049706F"/>
    <w:rsid w:val="004A0A87"/>
    <w:rsid w:val="004A123F"/>
    <w:rsid w:val="004A15C4"/>
    <w:rsid w:val="004A182F"/>
    <w:rsid w:val="004A345E"/>
    <w:rsid w:val="004A49EA"/>
    <w:rsid w:val="004A797C"/>
    <w:rsid w:val="004B5B33"/>
    <w:rsid w:val="004B5B72"/>
    <w:rsid w:val="004B7120"/>
    <w:rsid w:val="004B715E"/>
    <w:rsid w:val="004C3592"/>
    <w:rsid w:val="004C5215"/>
    <w:rsid w:val="004C5846"/>
    <w:rsid w:val="004C7C11"/>
    <w:rsid w:val="004D0889"/>
    <w:rsid w:val="004D19E6"/>
    <w:rsid w:val="004D1B28"/>
    <w:rsid w:val="004D4BDC"/>
    <w:rsid w:val="004D61A0"/>
    <w:rsid w:val="004D6581"/>
    <w:rsid w:val="004D6DAC"/>
    <w:rsid w:val="004D7620"/>
    <w:rsid w:val="004E1D37"/>
    <w:rsid w:val="004E1E18"/>
    <w:rsid w:val="004E4623"/>
    <w:rsid w:val="004E4965"/>
    <w:rsid w:val="004E60AD"/>
    <w:rsid w:val="004E661B"/>
    <w:rsid w:val="004E6AFA"/>
    <w:rsid w:val="004E6D91"/>
    <w:rsid w:val="004E7EA4"/>
    <w:rsid w:val="004F0053"/>
    <w:rsid w:val="004F0455"/>
    <w:rsid w:val="004F182A"/>
    <w:rsid w:val="004F1B45"/>
    <w:rsid w:val="004F1C70"/>
    <w:rsid w:val="004F3216"/>
    <w:rsid w:val="004F3A5D"/>
    <w:rsid w:val="004F4260"/>
    <w:rsid w:val="004F4E3C"/>
    <w:rsid w:val="004F7AA1"/>
    <w:rsid w:val="005026B1"/>
    <w:rsid w:val="00503489"/>
    <w:rsid w:val="00503ACC"/>
    <w:rsid w:val="005063F5"/>
    <w:rsid w:val="00506B3A"/>
    <w:rsid w:val="00507564"/>
    <w:rsid w:val="005102F7"/>
    <w:rsid w:val="00510AE8"/>
    <w:rsid w:val="00511F32"/>
    <w:rsid w:val="0051319C"/>
    <w:rsid w:val="005152FA"/>
    <w:rsid w:val="0052084E"/>
    <w:rsid w:val="00521E24"/>
    <w:rsid w:val="00522551"/>
    <w:rsid w:val="00522940"/>
    <w:rsid w:val="00522FF4"/>
    <w:rsid w:val="00523ABD"/>
    <w:rsid w:val="005254E9"/>
    <w:rsid w:val="005258A9"/>
    <w:rsid w:val="00526E04"/>
    <w:rsid w:val="0053426D"/>
    <w:rsid w:val="00535848"/>
    <w:rsid w:val="00540119"/>
    <w:rsid w:val="0054090E"/>
    <w:rsid w:val="00540C06"/>
    <w:rsid w:val="00540DD9"/>
    <w:rsid w:val="00542156"/>
    <w:rsid w:val="00547965"/>
    <w:rsid w:val="00551D8C"/>
    <w:rsid w:val="00553E40"/>
    <w:rsid w:val="00556F47"/>
    <w:rsid w:val="0055783A"/>
    <w:rsid w:val="00557BFE"/>
    <w:rsid w:val="00560A1D"/>
    <w:rsid w:val="005619A5"/>
    <w:rsid w:val="00563186"/>
    <w:rsid w:val="005676A4"/>
    <w:rsid w:val="00571C39"/>
    <w:rsid w:val="00572140"/>
    <w:rsid w:val="00572D88"/>
    <w:rsid w:val="005741FE"/>
    <w:rsid w:val="0057783A"/>
    <w:rsid w:val="00580128"/>
    <w:rsid w:val="00581E0C"/>
    <w:rsid w:val="0059131C"/>
    <w:rsid w:val="00591DF9"/>
    <w:rsid w:val="00591FEF"/>
    <w:rsid w:val="0059216C"/>
    <w:rsid w:val="00592292"/>
    <w:rsid w:val="0059233B"/>
    <w:rsid w:val="005A1614"/>
    <w:rsid w:val="005A1D50"/>
    <w:rsid w:val="005A207D"/>
    <w:rsid w:val="005A31C4"/>
    <w:rsid w:val="005A7FF5"/>
    <w:rsid w:val="005B1A7C"/>
    <w:rsid w:val="005B2B34"/>
    <w:rsid w:val="005B2FD4"/>
    <w:rsid w:val="005B4EF1"/>
    <w:rsid w:val="005B5F38"/>
    <w:rsid w:val="005B661D"/>
    <w:rsid w:val="005C1190"/>
    <w:rsid w:val="005C224D"/>
    <w:rsid w:val="005C2D8A"/>
    <w:rsid w:val="005C31D1"/>
    <w:rsid w:val="005C3811"/>
    <w:rsid w:val="005C3E13"/>
    <w:rsid w:val="005C4192"/>
    <w:rsid w:val="005C69D6"/>
    <w:rsid w:val="005C6DAF"/>
    <w:rsid w:val="005C7A03"/>
    <w:rsid w:val="005D3FCC"/>
    <w:rsid w:val="005D6538"/>
    <w:rsid w:val="005D67E0"/>
    <w:rsid w:val="005E1CAC"/>
    <w:rsid w:val="005E1FB3"/>
    <w:rsid w:val="005E3996"/>
    <w:rsid w:val="005E4A7A"/>
    <w:rsid w:val="005E64C6"/>
    <w:rsid w:val="005F10D0"/>
    <w:rsid w:val="005F6CF7"/>
    <w:rsid w:val="00600B43"/>
    <w:rsid w:val="00606A7F"/>
    <w:rsid w:val="00607501"/>
    <w:rsid w:val="00610888"/>
    <w:rsid w:val="00610A06"/>
    <w:rsid w:val="006132BC"/>
    <w:rsid w:val="00613737"/>
    <w:rsid w:val="00613D1C"/>
    <w:rsid w:val="006140BD"/>
    <w:rsid w:val="006153D4"/>
    <w:rsid w:val="00615D08"/>
    <w:rsid w:val="00617056"/>
    <w:rsid w:val="00617DFB"/>
    <w:rsid w:val="006222EA"/>
    <w:rsid w:val="00622E50"/>
    <w:rsid w:val="006274B3"/>
    <w:rsid w:val="00630794"/>
    <w:rsid w:val="00630A71"/>
    <w:rsid w:val="00632260"/>
    <w:rsid w:val="00633433"/>
    <w:rsid w:val="00633CE7"/>
    <w:rsid w:val="00636852"/>
    <w:rsid w:val="00637541"/>
    <w:rsid w:val="006406D7"/>
    <w:rsid w:val="006428D1"/>
    <w:rsid w:val="0064494C"/>
    <w:rsid w:val="00651459"/>
    <w:rsid w:val="00652467"/>
    <w:rsid w:val="006536ED"/>
    <w:rsid w:val="006540A3"/>
    <w:rsid w:val="00654507"/>
    <w:rsid w:val="006559B0"/>
    <w:rsid w:val="006605E9"/>
    <w:rsid w:val="006649A1"/>
    <w:rsid w:val="00666908"/>
    <w:rsid w:val="0067032A"/>
    <w:rsid w:val="00670DC2"/>
    <w:rsid w:val="00672297"/>
    <w:rsid w:val="00672632"/>
    <w:rsid w:val="00672731"/>
    <w:rsid w:val="00672DA0"/>
    <w:rsid w:val="00673FF7"/>
    <w:rsid w:val="006740C4"/>
    <w:rsid w:val="006745B5"/>
    <w:rsid w:val="0067705F"/>
    <w:rsid w:val="006771E0"/>
    <w:rsid w:val="0068083B"/>
    <w:rsid w:val="006819E1"/>
    <w:rsid w:val="0068324E"/>
    <w:rsid w:val="00684257"/>
    <w:rsid w:val="00690CBD"/>
    <w:rsid w:val="0069501A"/>
    <w:rsid w:val="006967C1"/>
    <w:rsid w:val="006A23BD"/>
    <w:rsid w:val="006A26CE"/>
    <w:rsid w:val="006A4A63"/>
    <w:rsid w:val="006A54B8"/>
    <w:rsid w:val="006A5C3D"/>
    <w:rsid w:val="006A6B35"/>
    <w:rsid w:val="006B0677"/>
    <w:rsid w:val="006B0B9B"/>
    <w:rsid w:val="006B487D"/>
    <w:rsid w:val="006B49F3"/>
    <w:rsid w:val="006B52CE"/>
    <w:rsid w:val="006B557F"/>
    <w:rsid w:val="006C02CD"/>
    <w:rsid w:val="006C0E01"/>
    <w:rsid w:val="006C1897"/>
    <w:rsid w:val="006C41CD"/>
    <w:rsid w:val="006C595F"/>
    <w:rsid w:val="006C6F2D"/>
    <w:rsid w:val="006D0467"/>
    <w:rsid w:val="006D284C"/>
    <w:rsid w:val="006E05AE"/>
    <w:rsid w:val="006E0D13"/>
    <w:rsid w:val="006E13F2"/>
    <w:rsid w:val="006E18E8"/>
    <w:rsid w:val="006E26F7"/>
    <w:rsid w:val="006E3732"/>
    <w:rsid w:val="006E5273"/>
    <w:rsid w:val="006F1B04"/>
    <w:rsid w:val="006F1E8B"/>
    <w:rsid w:val="006F1F9B"/>
    <w:rsid w:val="006F28FF"/>
    <w:rsid w:val="006F2C82"/>
    <w:rsid w:val="006F3EF3"/>
    <w:rsid w:val="006F461D"/>
    <w:rsid w:val="006F7221"/>
    <w:rsid w:val="00702776"/>
    <w:rsid w:val="00702B19"/>
    <w:rsid w:val="007040BB"/>
    <w:rsid w:val="007061E3"/>
    <w:rsid w:val="00711FF2"/>
    <w:rsid w:val="00714681"/>
    <w:rsid w:val="0071583C"/>
    <w:rsid w:val="00716D9A"/>
    <w:rsid w:val="00720CB1"/>
    <w:rsid w:val="007216F7"/>
    <w:rsid w:val="00721A7E"/>
    <w:rsid w:val="007235A5"/>
    <w:rsid w:val="00727031"/>
    <w:rsid w:val="007275FA"/>
    <w:rsid w:val="0073454C"/>
    <w:rsid w:val="007357AD"/>
    <w:rsid w:val="00735902"/>
    <w:rsid w:val="00735B44"/>
    <w:rsid w:val="00735EA9"/>
    <w:rsid w:val="00745DB6"/>
    <w:rsid w:val="00746209"/>
    <w:rsid w:val="007464DE"/>
    <w:rsid w:val="00746DCC"/>
    <w:rsid w:val="0074729A"/>
    <w:rsid w:val="00750B95"/>
    <w:rsid w:val="0075312E"/>
    <w:rsid w:val="0075356D"/>
    <w:rsid w:val="007549F9"/>
    <w:rsid w:val="007563B8"/>
    <w:rsid w:val="00766DC6"/>
    <w:rsid w:val="00767ACF"/>
    <w:rsid w:val="00767D8F"/>
    <w:rsid w:val="00770423"/>
    <w:rsid w:val="0077111C"/>
    <w:rsid w:val="00774EAA"/>
    <w:rsid w:val="00777318"/>
    <w:rsid w:val="00780E95"/>
    <w:rsid w:val="00780FE8"/>
    <w:rsid w:val="00781A6A"/>
    <w:rsid w:val="00781CC3"/>
    <w:rsid w:val="0078229D"/>
    <w:rsid w:val="00782AB2"/>
    <w:rsid w:val="00785927"/>
    <w:rsid w:val="0078618F"/>
    <w:rsid w:val="00786B91"/>
    <w:rsid w:val="00790CDF"/>
    <w:rsid w:val="007914D2"/>
    <w:rsid w:val="007914F7"/>
    <w:rsid w:val="007931AE"/>
    <w:rsid w:val="00796232"/>
    <w:rsid w:val="007A056F"/>
    <w:rsid w:val="007A1006"/>
    <w:rsid w:val="007A2316"/>
    <w:rsid w:val="007A3CD1"/>
    <w:rsid w:val="007A3E89"/>
    <w:rsid w:val="007A6B60"/>
    <w:rsid w:val="007B0821"/>
    <w:rsid w:val="007B2F51"/>
    <w:rsid w:val="007B3AC4"/>
    <w:rsid w:val="007C0C64"/>
    <w:rsid w:val="007C22AB"/>
    <w:rsid w:val="007C3A9A"/>
    <w:rsid w:val="007C4B9F"/>
    <w:rsid w:val="007C658D"/>
    <w:rsid w:val="007C685E"/>
    <w:rsid w:val="007C6A15"/>
    <w:rsid w:val="007C713C"/>
    <w:rsid w:val="007D0756"/>
    <w:rsid w:val="007D1910"/>
    <w:rsid w:val="007D2097"/>
    <w:rsid w:val="007D2330"/>
    <w:rsid w:val="007D36AB"/>
    <w:rsid w:val="007D3C17"/>
    <w:rsid w:val="007D4FC5"/>
    <w:rsid w:val="007D6E37"/>
    <w:rsid w:val="007E35F3"/>
    <w:rsid w:val="007E3BFA"/>
    <w:rsid w:val="007E3F01"/>
    <w:rsid w:val="007E4CDE"/>
    <w:rsid w:val="007E5AE0"/>
    <w:rsid w:val="007E5E59"/>
    <w:rsid w:val="007E6B27"/>
    <w:rsid w:val="007E7867"/>
    <w:rsid w:val="007E7C0F"/>
    <w:rsid w:val="007E7E20"/>
    <w:rsid w:val="007E7FCB"/>
    <w:rsid w:val="007F1503"/>
    <w:rsid w:val="007F2153"/>
    <w:rsid w:val="007F277A"/>
    <w:rsid w:val="007F4C0B"/>
    <w:rsid w:val="007F5CEC"/>
    <w:rsid w:val="007F5E48"/>
    <w:rsid w:val="0080283F"/>
    <w:rsid w:val="00802F61"/>
    <w:rsid w:val="00803818"/>
    <w:rsid w:val="00805127"/>
    <w:rsid w:val="008068B9"/>
    <w:rsid w:val="008075B5"/>
    <w:rsid w:val="00811AF8"/>
    <w:rsid w:val="00812DB4"/>
    <w:rsid w:val="00813CA4"/>
    <w:rsid w:val="008167C8"/>
    <w:rsid w:val="00817AE0"/>
    <w:rsid w:val="008227EA"/>
    <w:rsid w:val="008230D5"/>
    <w:rsid w:val="0082383A"/>
    <w:rsid w:val="00825708"/>
    <w:rsid w:val="008262FC"/>
    <w:rsid w:val="008270C4"/>
    <w:rsid w:val="00827DCA"/>
    <w:rsid w:val="00830C76"/>
    <w:rsid w:val="00832978"/>
    <w:rsid w:val="00832F78"/>
    <w:rsid w:val="00833062"/>
    <w:rsid w:val="00833F3C"/>
    <w:rsid w:val="008341DD"/>
    <w:rsid w:val="008342BE"/>
    <w:rsid w:val="0083497B"/>
    <w:rsid w:val="00834A85"/>
    <w:rsid w:val="0083552A"/>
    <w:rsid w:val="00840119"/>
    <w:rsid w:val="00842A52"/>
    <w:rsid w:val="008433F2"/>
    <w:rsid w:val="00843E52"/>
    <w:rsid w:val="00844835"/>
    <w:rsid w:val="00846FBD"/>
    <w:rsid w:val="0085233F"/>
    <w:rsid w:val="008530C6"/>
    <w:rsid w:val="0085337C"/>
    <w:rsid w:val="008533D2"/>
    <w:rsid w:val="00860D95"/>
    <w:rsid w:val="0086499E"/>
    <w:rsid w:val="00866B48"/>
    <w:rsid w:val="00866F6C"/>
    <w:rsid w:val="008702FC"/>
    <w:rsid w:val="00872EBD"/>
    <w:rsid w:val="0087450F"/>
    <w:rsid w:val="0087483F"/>
    <w:rsid w:val="00874933"/>
    <w:rsid w:val="00877C34"/>
    <w:rsid w:val="008819AF"/>
    <w:rsid w:val="0088275A"/>
    <w:rsid w:val="008839C6"/>
    <w:rsid w:val="00883BF2"/>
    <w:rsid w:val="00883D77"/>
    <w:rsid w:val="0088460A"/>
    <w:rsid w:val="008865A4"/>
    <w:rsid w:val="0088769F"/>
    <w:rsid w:val="00892741"/>
    <w:rsid w:val="00895AA1"/>
    <w:rsid w:val="0089679E"/>
    <w:rsid w:val="00897C13"/>
    <w:rsid w:val="008A06D0"/>
    <w:rsid w:val="008A123A"/>
    <w:rsid w:val="008A19B9"/>
    <w:rsid w:val="008A2E7D"/>
    <w:rsid w:val="008A2EB8"/>
    <w:rsid w:val="008A3B21"/>
    <w:rsid w:val="008A42B1"/>
    <w:rsid w:val="008A5882"/>
    <w:rsid w:val="008B0445"/>
    <w:rsid w:val="008B0728"/>
    <w:rsid w:val="008B15BB"/>
    <w:rsid w:val="008B1B5A"/>
    <w:rsid w:val="008B2A77"/>
    <w:rsid w:val="008B43A9"/>
    <w:rsid w:val="008B4BED"/>
    <w:rsid w:val="008B70CE"/>
    <w:rsid w:val="008C10A9"/>
    <w:rsid w:val="008C3BF4"/>
    <w:rsid w:val="008C4997"/>
    <w:rsid w:val="008C4B2D"/>
    <w:rsid w:val="008C5EED"/>
    <w:rsid w:val="008C72F8"/>
    <w:rsid w:val="008C74F8"/>
    <w:rsid w:val="008C7550"/>
    <w:rsid w:val="008C7A1B"/>
    <w:rsid w:val="008D05DF"/>
    <w:rsid w:val="008D2425"/>
    <w:rsid w:val="008E3110"/>
    <w:rsid w:val="008E3C3D"/>
    <w:rsid w:val="008E4218"/>
    <w:rsid w:val="008E4C06"/>
    <w:rsid w:val="008E4D21"/>
    <w:rsid w:val="008E5968"/>
    <w:rsid w:val="008E6E64"/>
    <w:rsid w:val="008F0A75"/>
    <w:rsid w:val="008F1801"/>
    <w:rsid w:val="008F2E4D"/>
    <w:rsid w:val="008F370A"/>
    <w:rsid w:val="008F4376"/>
    <w:rsid w:val="008F7493"/>
    <w:rsid w:val="0090010B"/>
    <w:rsid w:val="009018F2"/>
    <w:rsid w:val="00902569"/>
    <w:rsid w:val="00904CFC"/>
    <w:rsid w:val="00907037"/>
    <w:rsid w:val="00907152"/>
    <w:rsid w:val="00910265"/>
    <w:rsid w:val="009113C4"/>
    <w:rsid w:val="00912A62"/>
    <w:rsid w:val="00916CF8"/>
    <w:rsid w:val="00917432"/>
    <w:rsid w:val="009204F3"/>
    <w:rsid w:val="009241C6"/>
    <w:rsid w:val="00926956"/>
    <w:rsid w:val="00926D7E"/>
    <w:rsid w:val="00926F48"/>
    <w:rsid w:val="009278BC"/>
    <w:rsid w:val="0093579F"/>
    <w:rsid w:val="0093656C"/>
    <w:rsid w:val="0093689C"/>
    <w:rsid w:val="009376B5"/>
    <w:rsid w:val="00937AA3"/>
    <w:rsid w:val="00942888"/>
    <w:rsid w:val="00942C11"/>
    <w:rsid w:val="00944539"/>
    <w:rsid w:val="00944A3A"/>
    <w:rsid w:val="009453BE"/>
    <w:rsid w:val="0095041A"/>
    <w:rsid w:val="0095212C"/>
    <w:rsid w:val="00952440"/>
    <w:rsid w:val="009535CB"/>
    <w:rsid w:val="00954280"/>
    <w:rsid w:val="00960828"/>
    <w:rsid w:val="00961901"/>
    <w:rsid w:val="009620E7"/>
    <w:rsid w:val="00962C31"/>
    <w:rsid w:val="009632AF"/>
    <w:rsid w:val="00963BB6"/>
    <w:rsid w:val="0096538D"/>
    <w:rsid w:val="0096563C"/>
    <w:rsid w:val="009659C1"/>
    <w:rsid w:val="00965E1E"/>
    <w:rsid w:val="00966720"/>
    <w:rsid w:val="009674A6"/>
    <w:rsid w:val="00970533"/>
    <w:rsid w:val="00970B20"/>
    <w:rsid w:val="00971B3A"/>
    <w:rsid w:val="00972F4C"/>
    <w:rsid w:val="009736BB"/>
    <w:rsid w:val="00973A76"/>
    <w:rsid w:val="00976121"/>
    <w:rsid w:val="00976831"/>
    <w:rsid w:val="00980E0A"/>
    <w:rsid w:val="009834EB"/>
    <w:rsid w:val="00984757"/>
    <w:rsid w:val="00986048"/>
    <w:rsid w:val="00986418"/>
    <w:rsid w:val="00986B7B"/>
    <w:rsid w:val="009877D7"/>
    <w:rsid w:val="00987918"/>
    <w:rsid w:val="00987F47"/>
    <w:rsid w:val="00990CF7"/>
    <w:rsid w:val="00992C0D"/>
    <w:rsid w:val="009933D0"/>
    <w:rsid w:val="009959A8"/>
    <w:rsid w:val="00995EBB"/>
    <w:rsid w:val="009A0421"/>
    <w:rsid w:val="009A0BDE"/>
    <w:rsid w:val="009A1731"/>
    <w:rsid w:val="009A1B9E"/>
    <w:rsid w:val="009A378C"/>
    <w:rsid w:val="009A5AB0"/>
    <w:rsid w:val="009B1040"/>
    <w:rsid w:val="009B1764"/>
    <w:rsid w:val="009B2229"/>
    <w:rsid w:val="009B2938"/>
    <w:rsid w:val="009B2DB3"/>
    <w:rsid w:val="009B307D"/>
    <w:rsid w:val="009B6BC1"/>
    <w:rsid w:val="009B7668"/>
    <w:rsid w:val="009B77A3"/>
    <w:rsid w:val="009C2736"/>
    <w:rsid w:val="009C4C68"/>
    <w:rsid w:val="009C6433"/>
    <w:rsid w:val="009C7077"/>
    <w:rsid w:val="009D33D8"/>
    <w:rsid w:val="009D4FC2"/>
    <w:rsid w:val="009D55FC"/>
    <w:rsid w:val="009D7059"/>
    <w:rsid w:val="009E0471"/>
    <w:rsid w:val="009E0FC6"/>
    <w:rsid w:val="009E1454"/>
    <w:rsid w:val="009E1A49"/>
    <w:rsid w:val="009E3CCF"/>
    <w:rsid w:val="009F0331"/>
    <w:rsid w:val="009F07AD"/>
    <w:rsid w:val="009F19DB"/>
    <w:rsid w:val="009F5EF1"/>
    <w:rsid w:val="009F66BC"/>
    <w:rsid w:val="009F670C"/>
    <w:rsid w:val="00A00A7F"/>
    <w:rsid w:val="00A02546"/>
    <w:rsid w:val="00A034CF"/>
    <w:rsid w:val="00A04D14"/>
    <w:rsid w:val="00A12EE1"/>
    <w:rsid w:val="00A14E96"/>
    <w:rsid w:val="00A171ED"/>
    <w:rsid w:val="00A17865"/>
    <w:rsid w:val="00A205CF"/>
    <w:rsid w:val="00A20862"/>
    <w:rsid w:val="00A2176E"/>
    <w:rsid w:val="00A221DF"/>
    <w:rsid w:val="00A24EA5"/>
    <w:rsid w:val="00A273DF"/>
    <w:rsid w:val="00A300B0"/>
    <w:rsid w:val="00A3055A"/>
    <w:rsid w:val="00A30934"/>
    <w:rsid w:val="00A314FA"/>
    <w:rsid w:val="00A31DF8"/>
    <w:rsid w:val="00A34122"/>
    <w:rsid w:val="00A360DA"/>
    <w:rsid w:val="00A36A0D"/>
    <w:rsid w:val="00A4552D"/>
    <w:rsid w:val="00A47242"/>
    <w:rsid w:val="00A476AC"/>
    <w:rsid w:val="00A5070A"/>
    <w:rsid w:val="00A5189D"/>
    <w:rsid w:val="00A528B5"/>
    <w:rsid w:val="00A5327E"/>
    <w:rsid w:val="00A560FE"/>
    <w:rsid w:val="00A57C3C"/>
    <w:rsid w:val="00A61557"/>
    <w:rsid w:val="00A61D76"/>
    <w:rsid w:val="00A63F62"/>
    <w:rsid w:val="00A64759"/>
    <w:rsid w:val="00A6588A"/>
    <w:rsid w:val="00A66007"/>
    <w:rsid w:val="00A66F60"/>
    <w:rsid w:val="00A67B1A"/>
    <w:rsid w:val="00A734F2"/>
    <w:rsid w:val="00A745A8"/>
    <w:rsid w:val="00A7516A"/>
    <w:rsid w:val="00A76BE3"/>
    <w:rsid w:val="00A81C00"/>
    <w:rsid w:val="00A82E1D"/>
    <w:rsid w:val="00A84DF5"/>
    <w:rsid w:val="00A8595C"/>
    <w:rsid w:val="00A90069"/>
    <w:rsid w:val="00A91978"/>
    <w:rsid w:val="00A9309E"/>
    <w:rsid w:val="00A9698F"/>
    <w:rsid w:val="00A97297"/>
    <w:rsid w:val="00AA0A5E"/>
    <w:rsid w:val="00AA0EC3"/>
    <w:rsid w:val="00AA0EEC"/>
    <w:rsid w:val="00AA1172"/>
    <w:rsid w:val="00AA11D8"/>
    <w:rsid w:val="00AA13C3"/>
    <w:rsid w:val="00AA1D3E"/>
    <w:rsid w:val="00AA1E7F"/>
    <w:rsid w:val="00AA2C09"/>
    <w:rsid w:val="00AA2F04"/>
    <w:rsid w:val="00AA53B0"/>
    <w:rsid w:val="00AA6665"/>
    <w:rsid w:val="00AA705E"/>
    <w:rsid w:val="00AB2134"/>
    <w:rsid w:val="00AB230D"/>
    <w:rsid w:val="00AB2635"/>
    <w:rsid w:val="00AB3E78"/>
    <w:rsid w:val="00AB4B8D"/>
    <w:rsid w:val="00AB6C3D"/>
    <w:rsid w:val="00AC0317"/>
    <w:rsid w:val="00AC053E"/>
    <w:rsid w:val="00AC1BFB"/>
    <w:rsid w:val="00AC1F76"/>
    <w:rsid w:val="00AC2CD1"/>
    <w:rsid w:val="00AC443E"/>
    <w:rsid w:val="00AC4B18"/>
    <w:rsid w:val="00AC4B3B"/>
    <w:rsid w:val="00AC51BF"/>
    <w:rsid w:val="00AC68CD"/>
    <w:rsid w:val="00AC6C8A"/>
    <w:rsid w:val="00AD1091"/>
    <w:rsid w:val="00AD12A8"/>
    <w:rsid w:val="00AD421C"/>
    <w:rsid w:val="00AD6F32"/>
    <w:rsid w:val="00AD7F84"/>
    <w:rsid w:val="00AE0566"/>
    <w:rsid w:val="00AE3E78"/>
    <w:rsid w:val="00AE69D9"/>
    <w:rsid w:val="00AE6E1F"/>
    <w:rsid w:val="00AF565E"/>
    <w:rsid w:val="00AF649D"/>
    <w:rsid w:val="00AF76E5"/>
    <w:rsid w:val="00B00869"/>
    <w:rsid w:val="00B00D86"/>
    <w:rsid w:val="00B04672"/>
    <w:rsid w:val="00B1052A"/>
    <w:rsid w:val="00B13BBB"/>
    <w:rsid w:val="00B1454D"/>
    <w:rsid w:val="00B146BA"/>
    <w:rsid w:val="00B14F02"/>
    <w:rsid w:val="00B157B2"/>
    <w:rsid w:val="00B17B18"/>
    <w:rsid w:val="00B2180C"/>
    <w:rsid w:val="00B21C42"/>
    <w:rsid w:val="00B223C8"/>
    <w:rsid w:val="00B22D05"/>
    <w:rsid w:val="00B24EFD"/>
    <w:rsid w:val="00B25CC8"/>
    <w:rsid w:val="00B26AA0"/>
    <w:rsid w:val="00B277F6"/>
    <w:rsid w:val="00B30031"/>
    <w:rsid w:val="00B31C40"/>
    <w:rsid w:val="00B341B2"/>
    <w:rsid w:val="00B34C52"/>
    <w:rsid w:val="00B3674F"/>
    <w:rsid w:val="00B40221"/>
    <w:rsid w:val="00B403B7"/>
    <w:rsid w:val="00B43744"/>
    <w:rsid w:val="00B44730"/>
    <w:rsid w:val="00B44C84"/>
    <w:rsid w:val="00B4689D"/>
    <w:rsid w:val="00B46E3A"/>
    <w:rsid w:val="00B52D91"/>
    <w:rsid w:val="00B52FB0"/>
    <w:rsid w:val="00B533E0"/>
    <w:rsid w:val="00B54B17"/>
    <w:rsid w:val="00B572E9"/>
    <w:rsid w:val="00B602B7"/>
    <w:rsid w:val="00B608D9"/>
    <w:rsid w:val="00B61397"/>
    <w:rsid w:val="00B62B16"/>
    <w:rsid w:val="00B6412D"/>
    <w:rsid w:val="00B67AFD"/>
    <w:rsid w:val="00B747D4"/>
    <w:rsid w:val="00B8125A"/>
    <w:rsid w:val="00B831DE"/>
    <w:rsid w:val="00B84D00"/>
    <w:rsid w:val="00B85552"/>
    <w:rsid w:val="00B90F37"/>
    <w:rsid w:val="00B9249F"/>
    <w:rsid w:val="00B93096"/>
    <w:rsid w:val="00B94E85"/>
    <w:rsid w:val="00B951EE"/>
    <w:rsid w:val="00B967E4"/>
    <w:rsid w:val="00B96F3A"/>
    <w:rsid w:val="00BA0446"/>
    <w:rsid w:val="00BA106F"/>
    <w:rsid w:val="00BA18C7"/>
    <w:rsid w:val="00BA7FC3"/>
    <w:rsid w:val="00BB13A0"/>
    <w:rsid w:val="00BB1DEF"/>
    <w:rsid w:val="00BB2597"/>
    <w:rsid w:val="00BB4DE6"/>
    <w:rsid w:val="00BB596C"/>
    <w:rsid w:val="00BB5BCA"/>
    <w:rsid w:val="00BB69A3"/>
    <w:rsid w:val="00BB6B4F"/>
    <w:rsid w:val="00BC176A"/>
    <w:rsid w:val="00BC1C32"/>
    <w:rsid w:val="00BC2773"/>
    <w:rsid w:val="00BC4431"/>
    <w:rsid w:val="00BC5963"/>
    <w:rsid w:val="00BD0726"/>
    <w:rsid w:val="00BD0B19"/>
    <w:rsid w:val="00BD10B3"/>
    <w:rsid w:val="00BD1733"/>
    <w:rsid w:val="00BD1BD3"/>
    <w:rsid w:val="00BD4D39"/>
    <w:rsid w:val="00BD63B7"/>
    <w:rsid w:val="00BD75A6"/>
    <w:rsid w:val="00BE025D"/>
    <w:rsid w:val="00BE04AF"/>
    <w:rsid w:val="00BE0584"/>
    <w:rsid w:val="00BE49FE"/>
    <w:rsid w:val="00BE4F3A"/>
    <w:rsid w:val="00BE5CD0"/>
    <w:rsid w:val="00BE60B0"/>
    <w:rsid w:val="00BE6C2D"/>
    <w:rsid w:val="00BE7236"/>
    <w:rsid w:val="00BF0A5E"/>
    <w:rsid w:val="00BF13AA"/>
    <w:rsid w:val="00BF1671"/>
    <w:rsid w:val="00BF1719"/>
    <w:rsid w:val="00BF277E"/>
    <w:rsid w:val="00BF5EA6"/>
    <w:rsid w:val="00BF79CE"/>
    <w:rsid w:val="00BF7B36"/>
    <w:rsid w:val="00BF7F08"/>
    <w:rsid w:val="00C00083"/>
    <w:rsid w:val="00C00427"/>
    <w:rsid w:val="00C00600"/>
    <w:rsid w:val="00C00B3C"/>
    <w:rsid w:val="00C02724"/>
    <w:rsid w:val="00C02DF9"/>
    <w:rsid w:val="00C03D43"/>
    <w:rsid w:val="00C04509"/>
    <w:rsid w:val="00C06F4D"/>
    <w:rsid w:val="00C07B02"/>
    <w:rsid w:val="00C119B3"/>
    <w:rsid w:val="00C13F42"/>
    <w:rsid w:val="00C142CA"/>
    <w:rsid w:val="00C150EB"/>
    <w:rsid w:val="00C15E4D"/>
    <w:rsid w:val="00C16394"/>
    <w:rsid w:val="00C16A83"/>
    <w:rsid w:val="00C16F96"/>
    <w:rsid w:val="00C206F5"/>
    <w:rsid w:val="00C207BA"/>
    <w:rsid w:val="00C2183D"/>
    <w:rsid w:val="00C2251E"/>
    <w:rsid w:val="00C23A50"/>
    <w:rsid w:val="00C23BBC"/>
    <w:rsid w:val="00C24DD8"/>
    <w:rsid w:val="00C250BD"/>
    <w:rsid w:val="00C261CE"/>
    <w:rsid w:val="00C27196"/>
    <w:rsid w:val="00C30776"/>
    <w:rsid w:val="00C34C87"/>
    <w:rsid w:val="00C37AD7"/>
    <w:rsid w:val="00C402CC"/>
    <w:rsid w:val="00C461FF"/>
    <w:rsid w:val="00C47211"/>
    <w:rsid w:val="00C47583"/>
    <w:rsid w:val="00C50F85"/>
    <w:rsid w:val="00C519C2"/>
    <w:rsid w:val="00C51AFC"/>
    <w:rsid w:val="00C5292E"/>
    <w:rsid w:val="00C540FD"/>
    <w:rsid w:val="00C56041"/>
    <w:rsid w:val="00C56A61"/>
    <w:rsid w:val="00C56F6D"/>
    <w:rsid w:val="00C57B33"/>
    <w:rsid w:val="00C604AB"/>
    <w:rsid w:val="00C60DBE"/>
    <w:rsid w:val="00C62224"/>
    <w:rsid w:val="00C629DA"/>
    <w:rsid w:val="00C640A0"/>
    <w:rsid w:val="00C6674C"/>
    <w:rsid w:val="00C67DE9"/>
    <w:rsid w:val="00C71EB8"/>
    <w:rsid w:val="00C7362B"/>
    <w:rsid w:val="00C73BBC"/>
    <w:rsid w:val="00C75688"/>
    <w:rsid w:val="00C75A3E"/>
    <w:rsid w:val="00C808F4"/>
    <w:rsid w:val="00C82631"/>
    <w:rsid w:val="00C83681"/>
    <w:rsid w:val="00C84618"/>
    <w:rsid w:val="00C85462"/>
    <w:rsid w:val="00C85A11"/>
    <w:rsid w:val="00C86064"/>
    <w:rsid w:val="00C862A8"/>
    <w:rsid w:val="00C90A62"/>
    <w:rsid w:val="00C92736"/>
    <w:rsid w:val="00C92ACF"/>
    <w:rsid w:val="00C92F17"/>
    <w:rsid w:val="00C957D8"/>
    <w:rsid w:val="00C95CD3"/>
    <w:rsid w:val="00C96B50"/>
    <w:rsid w:val="00CA1DB8"/>
    <w:rsid w:val="00CA2E9C"/>
    <w:rsid w:val="00CA54A3"/>
    <w:rsid w:val="00CA605A"/>
    <w:rsid w:val="00CA65E5"/>
    <w:rsid w:val="00CB1962"/>
    <w:rsid w:val="00CB2802"/>
    <w:rsid w:val="00CB3363"/>
    <w:rsid w:val="00CB3385"/>
    <w:rsid w:val="00CB5555"/>
    <w:rsid w:val="00CB5F48"/>
    <w:rsid w:val="00CC0CCD"/>
    <w:rsid w:val="00CC2D3A"/>
    <w:rsid w:val="00CC2F31"/>
    <w:rsid w:val="00CC33E9"/>
    <w:rsid w:val="00CC6B4D"/>
    <w:rsid w:val="00CD029D"/>
    <w:rsid w:val="00CD03A0"/>
    <w:rsid w:val="00CD452A"/>
    <w:rsid w:val="00CD4F24"/>
    <w:rsid w:val="00CD5831"/>
    <w:rsid w:val="00CD5F94"/>
    <w:rsid w:val="00CD6DA0"/>
    <w:rsid w:val="00CE006F"/>
    <w:rsid w:val="00CE041C"/>
    <w:rsid w:val="00CE0707"/>
    <w:rsid w:val="00CE0E9A"/>
    <w:rsid w:val="00CE48A4"/>
    <w:rsid w:val="00CE4D24"/>
    <w:rsid w:val="00CE5155"/>
    <w:rsid w:val="00CE73E5"/>
    <w:rsid w:val="00CE7A45"/>
    <w:rsid w:val="00CE7E8F"/>
    <w:rsid w:val="00CF3AA9"/>
    <w:rsid w:val="00CF3B79"/>
    <w:rsid w:val="00CF4356"/>
    <w:rsid w:val="00CF49F6"/>
    <w:rsid w:val="00CF5C99"/>
    <w:rsid w:val="00CF6AFD"/>
    <w:rsid w:val="00D00840"/>
    <w:rsid w:val="00D01469"/>
    <w:rsid w:val="00D0388C"/>
    <w:rsid w:val="00D03FF5"/>
    <w:rsid w:val="00D04292"/>
    <w:rsid w:val="00D042B0"/>
    <w:rsid w:val="00D059AC"/>
    <w:rsid w:val="00D05DE6"/>
    <w:rsid w:val="00D07261"/>
    <w:rsid w:val="00D07354"/>
    <w:rsid w:val="00D07F64"/>
    <w:rsid w:val="00D110C6"/>
    <w:rsid w:val="00D1261E"/>
    <w:rsid w:val="00D13817"/>
    <w:rsid w:val="00D1431A"/>
    <w:rsid w:val="00D1545E"/>
    <w:rsid w:val="00D20632"/>
    <w:rsid w:val="00D20DBE"/>
    <w:rsid w:val="00D222DD"/>
    <w:rsid w:val="00D225A5"/>
    <w:rsid w:val="00D24CA3"/>
    <w:rsid w:val="00D27700"/>
    <w:rsid w:val="00D27EF5"/>
    <w:rsid w:val="00D3021A"/>
    <w:rsid w:val="00D313BD"/>
    <w:rsid w:val="00D31739"/>
    <w:rsid w:val="00D3291A"/>
    <w:rsid w:val="00D3488B"/>
    <w:rsid w:val="00D36D56"/>
    <w:rsid w:val="00D37ABC"/>
    <w:rsid w:val="00D40A56"/>
    <w:rsid w:val="00D51072"/>
    <w:rsid w:val="00D520AF"/>
    <w:rsid w:val="00D527AF"/>
    <w:rsid w:val="00D52983"/>
    <w:rsid w:val="00D55909"/>
    <w:rsid w:val="00D57886"/>
    <w:rsid w:val="00D60B24"/>
    <w:rsid w:val="00D60BCC"/>
    <w:rsid w:val="00D60D14"/>
    <w:rsid w:val="00D61976"/>
    <w:rsid w:val="00D630E2"/>
    <w:rsid w:val="00D65F18"/>
    <w:rsid w:val="00D745AD"/>
    <w:rsid w:val="00D75747"/>
    <w:rsid w:val="00D75F48"/>
    <w:rsid w:val="00D76B17"/>
    <w:rsid w:val="00D8356C"/>
    <w:rsid w:val="00D86BCF"/>
    <w:rsid w:val="00D90E29"/>
    <w:rsid w:val="00D9541C"/>
    <w:rsid w:val="00D975FA"/>
    <w:rsid w:val="00DA26E6"/>
    <w:rsid w:val="00DA646E"/>
    <w:rsid w:val="00DA65DD"/>
    <w:rsid w:val="00DB0263"/>
    <w:rsid w:val="00DB172B"/>
    <w:rsid w:val="00DB2C2B"/>
    <w:rsid w:val="00DB2F63"/>
    <w:rsid w:val="00DB38C6"/>
    <w:rsid w:val="00DB4433"/>
    <w:rsid w:val="00DB5062"/>
    <w:rsid w:val="00DB7909"/>
    <w:rsid w:val="00DB7D7E"/>
    <w:rsid w:val="00DC066B"/>
    <w:rsid w:val="00DC0B5A"/>
    <w:rsid w:val="00DC27FB"/>
    <w:rsid w:val="00DC29E8"/>
    <w:rsid w:val="00DC5472"/>
    <w:rsid w:val="00DC5774"/>
    <w:rsid w:val="00DC7AAC"/>
    <w:rsid w:val="00DC7E0B"/>
    <w:rsid w:val="00DD75FC"/>
    <w:rsid w:val="00DE39D8"/>
    <w:rsid w:val="00DE61E0"/>
    <w:rsid w:val="00DF0EA9"/>
    <w:rsid w:val="00DF3C23"/>
    <w:rsid w:val="00DF3D7D"/>
    <w:rsid w:val="00DF3FEC"/>
    <w:rsid w:val="00DF52CE"/>
    <w:rsid w:val="00E00274"/>
    <w:rsid w:val="00E010C9"/>
    <w:rsid w:val="00E036F7"/>
    <w:rsid w:val="00E05443"/>
    <w:rsid w:val="00E06C19"/>
    <w:rsid w:val="00E12C51"/>
    <w:rsid w:val="00E13827"/>
    <w:rsid w:val="00E14514"/>
    <w:rsid w:val="00E14A98"/>
    <w:rsid w:val="00E14EC5"/>
    <w:rsid w:val="00E17C29"/>
    <w:rsid w:val="00E25B34"/>
    <w:rsid w:val="00E309AE"/>
    <w:rsid w:val="00E31714"/>
    <w:rsid w:val="00E338CE"/>
    <w:rsid w:val="00E347F8"/>
    <w:rsid w:val="00E4387E"/>
    <w:rsid w:val="00E44BA3"/>
    <w:rsid w:val="00E45510"/>
    <w:rsid w:val="00E46F62"/>
    <w:rsid w:val="00E51E59"/>
    <w:rsid w:val="00E534E7"/>
    <w:rsid w:val="00E56CF2"/>
    <w:rsid w:val="00E56F09"/>
    <w:rsid w:val="00E57479"/>
    <w:rsid w:val="00E57C2A"/>
    <w:rsid w:val="00E57C6A"/>
    <w:rsid w:val="00E57CB9"/>
    <w:rsid w:val="00E6178A"/>
    <w:rsid w:val="00E6201F"/>
    <w:rsid w:val="00E64D90"/>
    <w:rsid w:val="00E652A5"/>
    <w:rsid w:val="00E6586D"/>
    <w:rsid w:val="00E65E04"/>
    <w:rsid w:val="00E67C04"/>
    <w:rsid w:val="00E70625"/>
    <w:rsid w:val="00E70D61"/>
    <w:rsid w:val="00E718CC"/>
    <w:rsid w:val="00E726A5"/>
    <w:rsid w:val="00E73FFF"/>
    <w:rsid w:val="00E77254"/>
    <w:rsid w:val="00E80AAA"/>
    <w:rsid w:val="00E8101D"/>
    <w:rsid w:val="00E8139E"/>
    <w:rsid w:val="00E82605"/>
    <w:rsid w:val="00E85905"/>
    <w:rsid w:val="00E9172D"/>
    <w:rsid w:val="00E92454"/>
    <w:rsid w:val="00E928CF"/>
    <w:rsid w:val="00E92D22"/>
    <w:rsid w:val="00E938DE"/>
    <w:rsid w:val="00E94CA5"/>
    <w:rsid w:val="00E9538C"/>
    <w:rsid w:val="00EA017E"/>
    <w:rsid w:val="00EA22BB"/>
    <w:rsid w:val="00EA3C70"/>
    <w:rsid w:val="00EA3D35"/>
    <w:rsid w:val="00EA697B"/>
    <w:rsid w:val="00EB10A0"/>
    <w:rsid w:val="00EB4B2D"/>
    <w:rsid w:val="00EB59B1"/>
    <w:rsid w:val="00EC24E4"/>
    <w:rsid w:val="00EC450D"/>
    <w:rsid w:val="00EC56A5"/>
    <w:rsid w:val="00EC5E87"/>
    <w:rsid w:val="00EC5F89"/>
    <w:rsid w:val="00EC7283"/>
    <w:rsid w:val="00ED1792"/>
    <w:rsid w:val="00ED2959"/>
    <w:rsid w:val="00ED602D"/>
    <w:rsid w:val="00ED775E"/>
    <w:rsid w:val="00EE1E25"/>
    <w:rsid w:val="00EE240F"/>
    <w:rsid w:val="00EE4F0B"/>
    <w:rsid w:val="00EF02E1"/>
    <w:rsid w:val="00EF189F"/>
    <w:rsid w:val="00EF2A41"/>
    <w:rsid w:val="00EF65E2"/>
    <w:rsid w:val="00F0021E"/>
    <w:rsid w:val="00F02A5A"/>
    <w:rsid w:val="00F03FD1"/>
    <w:rsid w:val="00F04366"/>
    <w:rsid w:val="00F04D12"/>
    <w:rsid w:val="00F114CF"/>
    <w:rsid w:val="00F131F7"/>
    <w:rsid w:val="00F14535"/>
    <w:rsid w:val="00F175E6"/>
    <w:rsid w:val="00F177EB"/>
    <w:rsid w:val="00F17821"/>
    <w:rsid w:val="00F22521"/>
    <w:rsid w:val="00F2277E"/>
    <w:rsid w:val="00F23803"/>
    <w:rsid w:val="00F25CD7"/>
    <w:rsid w:val="00F275E9"/>
    <w:rsid w:val="00F300AB"/>
    <w:rsid w:val="00F33B16"/>
    <w:rsid w:val="00F35BCE"/>
    <w:rsid w:val="00F36214"/>
    <w:rsid w:val="00F36370"/>
    <w:rsid w:val="00F461F2"/>
    <w:rsid w:val="00F47613"/>
    <w:rsid w:val="00F47F9C"/>
    <w:rsid w:val="00F5090E"/>
    <w:rsid w:val="00F523DE"/>
    <w:rsid w:val="00F5262B"/>
    <w:rsid w:val="00F53DD7"/>
    <w:rsid w:val="00F53E19"/>
    <w:rsid w:val="00F53F6B"/>
    <w:rsid w:val="00F5473D"/>
    <w:rsid w:val="00F5529F"/>
    <w:rsid w:val="00F555AD"/>
    <w:rsid w:val="00F560AB"/>
    <w:rsid w:val="00F56B07"/>
    <w:rsid w:val="00F56D57"/>
    <w:rsid w:val="00F573A0"/>
    <w:rsid w:val="00F60D74"/>
    <w:rsid w:val="00F61E55"/>
    <w:rsid w:val="00F6373E"/>
    <w:rsid w:val="00F64241"/>
    <w:rsid w:val="00F6587E"/>
    <w:rsid w:val="00F659A8"/>
    <w:rsid w:val="00F65AD3"/>
    <w:rsid w:val="00F65EDB"/>
    <w:rsid w:val="00F66C04"/>
    <w:rsid w:val="00F67C67"/>
    <w:rsid w:val="00F70F19"/>
    <w:rsid w:val="00F7267A"/>
    <w:rsid w:val="00F76593"/>
    <w:rsid w:val="00F772BD"/>
    <w:rsid w:val="00F7778A"/>
    <w:rsid w:val="00F808AA"/>
    <w:rsid w:val="00F820EA"/>
    <w:rsid w:val="00F84C36"/>
    <w:rsid w:val="00F8718C"/>
    <w:rsid w:val="00F90E7F"/>
    <w:rsid w:val="00F9171D"/>
    <w:rsid w:val="00F91D16"/>
    <w:rsid w:val="00F91E5B"/>
    <w:rsid w:val="00F9569F"/>
    <w:rsid w:val="00F95A2B"/>
    <w:rsid w:val="00F95A51"/>
    <w:rsid w:val="00F95E11"/>
    <w:rsid w:val="00F97FDC"/>
    <w:rsid w:val="00FA018D"/>
    <w:rsid w:val="00FA1207"/>
    <w:rsid w:val="00FA14B2"/>
    <w:rsid w:val="00FA2052"/>
    <w:rsid w:val="00FA3676"/>
    <w:rsid w:val="00FA3C34"/>
    <w:rsid w:val="00FA4308"/>
    <w:rsid w:val="00FA4BC1"/>
    <w:rsid w:val="00FA4C59"/>
    <w:rsid w:val="00FA5598"/>
    <w:rsid w:val="00FA6849"/>
    <w:rsid w:val="00FA6B4D"/>
    <w:rsid w:val="00FA782A"/>
    <w:rsid w:val="00FB0834"/>
    <w:rsid w:val="00FB54D8"/>
    <w:rsid w:val="00FC01FA"/>
    <w:rsid w:val="00FC10EF"/>
    <w:rsid w:val="00FC3B50"/>
    <w:rsid w:val="00FC55C1"/>
    <w:rsid w:val="00FC639F"/>
    <w:rsid w:val="00FC6E49"/>
    <w:rsid w:val="00FC746E"/>
    <w:rsid w:val="00FC7F45"/>
    <w:rsid w:val="00FD2F42"/>
    <w:rsid w:val="00FD5930"/>
    <w:rsid w:val="00FE2766"/>
    <w:rsid w:val="00FE5F82"/>
    <w:rsid w:val="00FE7EFE"/>
    <w:rsid w:val="00FF02A1"/>
    <w:rsid w:val="00FF1002"/>
    <w:rsid w:val="00FF1621"/>
    <w:rsid w:val="00FF59B9"/>
    <w:rsid w:val="00FF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206D67-4E13-47C1-A92F-B721712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7F6"/>
    <w:rPr>
      <w:sz w:val="24"/>
      <w:szCs w:val="24"/>
    </w:rPr>
  </w:style>
  <w:style w:type="paragraph" w:styleId="1">
    <w:name w:val="heading 1"/>
    <w:basedOn w:val="a"/>
    <w:next w:val="a"/>
    <w:link w:val="10"/>
    <w:qFormat/>
    <w:rsid w:val="00D042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C29E8"/>
    <w:pPr>
      <w:keepNext/>
      <w:spacing w:before="240" w:after="60"/>
      <w:outlineLvl w:val="1"/>
    </w:pPr>
    <w:rPr>
      <w:rFonts w:ascii="Cambria" w:hAnsi="Cambria"/>
      <w:b/>
      <w:bCs/>
      <w:i/>
      <w:iCs/>
      <w:sz w:val="28"/>
      <w:szCs w:val="28"/>
    </w:rPr>
  </w:style>
  <w:style w:type="paragraph" w:styleId="6">
    <w:name w:val="heading 6"/>
    <w:basedOn w:val="a"/>
    <w:next w:val="a"/>
    <w:qFormat/>
    <w:rsid w:val="004817F6"/>
    <w:pPr>
      <w:keepNext/>
      <w:jc w:val="center"/>
      <w:outlineLvl w:val="5"/>
    </w:pPr>
    <w:rPr>
      <w:b/>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qFormat/>
    <w:rsid w:val="004817F6"/>
    <w:pPr>
      <w:jc w:val="center"/>
    </w:pPr>
    <w:rPr>
      <w:b/>
      <w:szCs w:val="20"/>
    </w:rPr>
  </w:style>
  <w:style w:type="character" w:styleId="a4">
    <w:name w:val="footnote reference"/>
    <w:semiHidden/>
    <w:rsid w:val="004817F6"/>
    <w:rPr>
      <w:vertAlign w:val="superscript"/>
    </w:rPr>
  </w:style>
  <w:style w:type="paragraph" w:styleId="a5">
    <w:name w:val="Body Text Indent"/>
    <w:basedOn w:val="a"/>
    <w:rsid w:val="004817F6"/>
    <w:pPr>
      <w:widowControl w:val="0"/>
      <w:jc w:val="both"/>
    </w:pPr>
    <w:rPr>
      <w:sz w:val="18"/>
      <w:szCs w:val="20"/>
    </w:rPr>
  </w:style>
  <w:style w:type="paragraph" w:styleId="a6">
    <w:name w:val="footnote text"/>
    <w:basedOn w:val="a"/>
    <w:link w:val="a7"/>
    <w:semiHidden/>
    <w:rsid w:val="004817F6"/>
    <w:rPr>
      <w:sz w:val="20"/>
      <w:szCs w:val="20"/>
    </w:rPr>
  </w:style>
  <w:style w:type="paragraph" w:styleId="a8">
    <w:name w:val="Body Text"/>
    <w:basedOn w:val="a"/>
    <w:rsid w:val="004817F6"/>
    <w:pPr>
      <w:jc w:val="both"/>
    </w:pPr>
    <w:rPr>
      <w:sz w:val="20"/>
      <w:szCs w:val="20"/>
    </w:rPr>
  </w:style>
  <w:style w:type="paragraph" w:customStyle="1" w:styleId="xl26">
    <w:name w:val="xl26"/>
    <w:basedOn w:val="a"/>
    <w:rsid w:val="004817F6"/>
    <w:pPr>
      <w:pBdr>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table" w:styleId="a9">
    <w:name w:val="Table Grid"/>
    <w:basedOn w:val="a1"/>
    <w:rsid w:val="0048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17F6"/>
    <w:pPr>
      <w:widowControl w:val="0"/>
      <w:autoSpaceDE w:val="0"/>
      <w:autoSpaceDN w:val="0"/>
    </w:pPr>
  </w:style>
  <w:style w:type="paragraph" w:customStyle="1" w:styleId="aa">
    <w:name w:val=" Знак"/>
    <w:basedOn w:val="a"/>
    <w:autoRedefine/>
    <w:rsid w:val="00866F6C"/>
    <w:pPr>
      <w:spacing w:after="160" w:line="240" w:lineRule="exact"/>
    </w:pPr>
    <w:rPr>
      <w:sz w:val="28"/>
      <w:szCs w:val="20"/>
      <w:lang w:val="en-US" w:eastAsia="en-US"/>
    </w:rPr>
  </w:style>
  <w:style w:type="character" w:customStyle="1" w:styleId="apple-converted-space">
    <w:name w:val="apple-converted-space"/>
    <w:basedOn w:val="a0"/>
    <w:rsid w:val="00271609"/>
  </w:style>
  <w:style w:type="character" w:styleId="ab">
    <w:name w:val="Hyperlink"/>
    <w:rsid w:val="00271609"/>
    <w:rPr>
      <w:color w:val="0000FF"/>
      <w:u w:val="single"/>
    </w:rPr>
  </w:style>
  <w:style w:type="character" w:customStyle="1" w:styleId="10">
    <w:name w:val="Заголовок 1 Знак"/>
    <w:link w:val="1"/>
    <w:rsid w:val="00D04292"/>
    <w:rPr>
      <w:rFonts w:ascii="Arial" w:hAnsi="Arial" w:cs="Arial"/>
      <w:b/>
      <w:bCs/>
      <w:kern w:val="32"/>
      <w:sz w:val="32"/>
      <w:szCs w:val="32"/>
      <w:lang w:val="ru-RU" w:eastAsia="ru-RU" w:bidi="ar-SA"/>
    </w:rPr>
  </w:style>
  <w:style w:type="character" w:customStyle="1" w:styleId="longtext">
    <w:name w:val="long_text"/>
    <w:basedOn w:val="a0"/>
    <w:rsid w:val="00D04292"/>
  </w:style>
  <w:style w:type="paragraph" w:customStyle="1" w:styleId="boe-rteelement-p">
    <w:name w:val="boe-rteelement-p"/>
    <w:basedOn w:val="a"/>
    <w:rsid w:val="00D04292"/>
    <w:pPr>
      <w:spacing w:before="100" w:beforeAutospacing="1" w:after="100" w:afterAutospacing="1"/>
    </w:pPr>
  </w:style>
  <w:style w:type="character" w:customStyle="1" w:styleId="hps">
    <w:name w:val="hps"/>
    <w:basedOn w:val="a0"/>
    <w:rsid w:val="00D04292"/>
  </w:style>
  <w:style w:type="character" w:customStyle="1" w:styleId="rvts524775">
    <w:name w:val="rvts5_24775"/>
    <w:rsid w:val="00D04292"/>
  </w:style>
  <w:style w:type="paragraph" w:styleId="ac">
    <w:name w:val="List Paragraph"/>
    <w:basedOn w:val="a"/>
    <w:qFormat/>
    <w:rsid w:val="00D04292"/>
    <w:pPr>
      <w:spacing w:after="200" w:line="276" w:lineRule="auto"/>
      <w:ind w:left="708"/>
    </w:pPr>
    <w:rPr>
      <w:rFonts w:eastAsia="Calibri"/>
      <w:szCs w:val="22"/>
      <w:lang w:eastAsia="en-US"/>
    </w:rPr>
  </w:style>
  <w:style w:type="paragraph" w:styleId="ad">
    <w:name w:val="footer"/>
    <w:basedOn w:val="a"/>
    <w:link w:val="ae"/>
    <w:uiPriority w:val="99"/>
    <w:rsid w:val="00F560AB"/>
    <w:pPr>
      <w:tabs>
        <w:tab w:val="center" w:pos="4677"/>
        <w:tab w:val="right" w:pos="9355"/>
      </w:tabs>
    </w:pPr>
  </w:style>
  <w:style w:type="character" w:styleId="af">
    <w:name w:val="page number"/>
    <w:basedOn w:val="a0"/>
    <w:rsid w:val="00F560AB"/>
  </w:style>
  <w:style w:type="paragraph" w:customStyle="1" w:styleId="12">
    <w:name w:val=" Знак Знак1 Знак Знак"/>
    <w:basedOn w:val="a"/>
    <w:autoRedefine/>
    <w:rsid w:val="002770D3"/>
    <w:pPr>
      <w:spacing w:after="160" w:line="240" w:lineRule="exact"/>
    </w:pPr>
    <w:rPr>
      <w:sz w:val="28"/>
      <w:szCs w:val="20"/>
      <w:lang w:val="en-US" w:eastAsia="en-US"/>
    </w:rPr>
  </w:style>
  <w:style w:type="paragraph" w:customStyle="1" w:styleId="13">
    <w:name w:val=" Знак Знак Знак1 Знак Знак Знак Знак Знак Знак"/>
    <w:basedOn w:val="a"/>
    <w:next w:val="2"/>
    <w:autoRedefine/>
    <w:rsid w:val="00DC29E8"/>
    <w:pPr>
      <w:spacing w:after="160"/>
      <w:ind w:firstLine="720"/>
      <w:jc w:val="both"/>
    </w:pPr>
    <w:rPr>
      <w:sz w:val="28"/>
      <w:szCs w:val="28"/>
      <w:lang w:val="en-US" w:eastAsia="en-US"/>
    </w:rPr>
  </w:style>
  <w:style w:type="character" w:customStyle="1" w:styleId="20">
    <w:name w:val="Заголовок 2 Знак"/>
    <w:link w:val="2"/>
    <w:semiHidden/>
    <w:rsid w:val="00DC29E8"/>
    <w:rPr>
      <w:rFonts w:ascii="Cambria" w:eastAsia="Times New Roman" w:hAnsi="Cambria" w:cs="Times New Roman"/>
      <w:b/>
      <w:bCs/>
      <w:i/>
      <w:iCs/>
      <w:sz w:val="28"/>
      <w:szCs w:val="28"/>
    </w:rPr>
  </w:style>
  <w:style w:type="paragraph" w:styleId="af0">
    <w:name w:val="header"/>
    <w:basedOn w:val="a"/>
    <w:link w:val="af1"/>
    <w:rsid w:val="00DC29E8"/>
    <w:pPr>
      <w:tabs>
        <w:tab w:val="center" w:pos="4677"/>
        <w:tab w:val="right" w:pos="9355"/>
      </w:tabs>
    </w:pPr>
  </w:style>
  <w:style w:type="character" w:customStyle="1" w:styleId="af1">
    <w:name w:val="Верхний колонтитул Знак"/>
    <w:link w:val="af0"/>
    <w:rsid w:val="00DC29E8"/>
    <w:rPr>
      <w:sz w:val="24"/>
      <w:szCs w:val="24"/>
    </w:rPr>
  </w:style>
  <w:style w:type="character" w:customStyle="1" w:styleId="ae">
    <w:name w:val="Нижний колонтитул Знак"/>
    <w:link w:val="ad"/>
    <w:uiPriority w:val="99"/>
    <w:rsid w:val="00DC29E8"/>
    <w:rPr>
      <w:sz w:val="24"/>
      <w:szCs w:val="24"/>
    </w:rPr>
  </w:style>
  <w:style w:type="paragraph" w:styleId="af2">
    <w:name w:val="Balloon Text"/>
    <w:basedOn w:val="a"/>
    <w:link w:val="af3"/>
    <w:rsid w:val="00375C01"/>
    <w:rPr>
      <w:rFonts w:ascii="Tahoma" w:hAnsi="Tahoma" w:cs="Tahoma"/>
      <w:sz w:val="16"/>
      <w:szCs w:val="16"/>
    </w:rPr>
  </w:style>
  <w:style w:type="character" w:customStyle="1" w:styleId="af3">
    <w:name w:val="Текст выноски Знак"/>
    <w:link w:val="af2"/>
    <w:rsid w:val="00375C01"/>
    <w:rPr>
      <w:rFonts w:ascii="Tahoma" w:hAnsi="Tahoma" w:cs="Tahoma"/>
      <w:sz w:val="16"/>
      <w:szCs w:val="16"/>
    </w:rPr>
  </w:style>
  <w:style w:type="character" w:customStyle="1" w:styleId="s1">
    <w:name w:val="s1"/>
    <w:rsid w:val="00B9249F"/>
    <w:rPr>
      <w:rFonts w:ascii="Times New Roman" w:hAnsi="Times New Roman" w:cs="Times New Roman" w:hint="default"/>
      <w:b/>
      <w:bCs/>
      <w:i w:val="0"/>
      <w:iCs w:val="0"/>
      <w:strike w:val="0"/>
      <w:dstrike w:val="0"/>
      <w:color w:val="000000"/>
      <w:sz w:val="28"/>
      <w:szCs w:val="28"/>
      <w:u w:val="none"/>
      <w:effect w:val="none"/>
    </w:rPr>
  </w:style>
  <w:style w:type="character" w:customStyle="1" w:styleId="a7">
    <w:name w:val="Текст сноски Знак"/>
    <w:link w:val="a6"/>
    <w:semiHidden/>
    <w:rsid w:val="00864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9524">
      <w:bodyDiv w:val="1"/>
      <w:marLeft w:val="0"/>
      <w:marRight w:val="0"/>
      <w:marTop w:val="0"/>
      <w:marBottom w:val="0"/>
      <w:divBdr>
        <w:top w:val="none" w:sz="0" w:space="0" w:color="auto"/>
        <w:left w:val="none" w:sz="0" w:space="0" w:color="auto"/>
        <w:bottom w:val="none" w:sz="0" w:space="0" w:color="auto"/>
        <w:right w:val="none" w:sz="0" w:space="0" w:color="auto"/>
      </w:divBdr>
    </w:div>
    <w:div w:id="93988343">
      <w:bodyDiv w:val="1"/>
      <w:marLeft w:val="0"/>
      <w:marRight w:val="0"/>
      <w:marTop w:val="0"/>
      <w:marBottom w:val="0"/>
      <w:divBdr>
        <w:top w:val="none" w:sz="0" w:space="0" w:color="auto"/>
        <w:left w:val="none" w:sz="0" w:space="0" w:color="auto"/>
        <w:bottom w:val="none" w:sz="0" w:space="0" w:color="auto"/>
        <w:right w:val="none" w:sz="0" w:space="0" w:color="auto"/>
      </w:divBdr>
    </w:div>
    <w:div w:id="340938064">
      <w:bodyDiv w:val="1"/>
      <w:marLeft w:val="0"/>
      <w:marRight w:val="0"/>
      <w:marTop w:val="0"/>
      <w:marBottom w:val="0"/>
      <w:divBdr>
        <w:top w:val="none" w:sz="0" w:space="0" w:color="auto"/>
        <w:left w:val="none" w:sz="0" w:space="0" w:color="auto"/>
        <w:bottom w:val="none" w:sz="0" w:space="0" w:color="auto"/>
        <w:right w:val="none" w:sz="0" w:space="0" w:color="auto"/>
      </w:divBdr>
    </w:div>
    <w:div w:id="427579427">
      <w:bodyDiv w:val="1"/>
      <w:marLeft w:val="0"/>
      <w:marRight w:val="0"/>
      <w:marTop w:val="0"/>
      <w:marBottom w:val="0"/>
      <w:divBdr>
        <w:top w:val="none" w:sz="0" w:space="0" w:color="auto"/>
        <w:left w:val="none" w:sz="0" w:space="0" w:color="auto"/>
        <w:bottom w:val="none" w:sz="0" w:space="0" w:color="auto"/>
        <w:right w:val="none" w:sz="0" w:space="0" w:color="auto"/>
      </w:divBdr>
    </w:div>
    <w:div w:id="442503636">
      <w:bodyDiv w:val="1"/>
      <w:marLeft w:val="0"/>
      <w:marRight w:val="0"/>
      <w:marTop w:val="0"/>
      <w:marBottom w:val="0"/>
      <w:divBdr>
        <w:top w:val="none" w:sz="0" w:space="0" w:color="auto"/>
        <w:left w:val="none" w:sz="0" w:space="0" w:color="auto"/>
        <w:bottom w:val="none" w:sz="0" w:space="0" w:color="auto"/>
        <w:right w:val="none" w:sz="0" w:space="0" w:color="auto"/>
      </w:divBdr>
    </w:div>
    <w:div w:id="493689776">
      <w:bodyDiv w:val="1"/>
      <w:marLeft w:val="0"/>
      <w:marRight w:val="0"/>
      <w:marTop w:val="0"/>
      <w:marBottom w:val="0"/>
      <w:divBdr>
        <w:top w:val="none" w:sz="0" w:space="0" w:color="auto"/>
        <w:left w:val="none" w:sz="0" w:space="0" w:color="auto"/>
        <w:bottom w:val="none" w:sz="0" w:space="0" w:color="auto"/>
        <w:right w:val="none" w:sz="0" w:space="0" w:color="auto"/>
      </w:divBdr>
    </w:div>
    <w:div w:id="599029294">
      <w:bodyDiv w:val="1"/>
      <w:marLeft w:val="0"/>
      <w:marRight w:val="0"/>
      <w:marTop w:val="0"/>
      <w:marBottom w:val="0"/>
      <w:divBdr>
        <w:top w:val="none" w:sz="0" w:space="0" w:color="auto"/>
        <w:left w:val="none" w:sz="0" w:space="0" w:color="auto"/>
        <w:bottom w:val="none" w:sz="0" w:space="0" w:color="auto"/>
        <w:right w:val="none" w:sz="0" w:space="0" w:color="auto"/>
      </w:divBdr>
    </w:div>
    <w:div w:id="659508509">
      <w:bodyDiv w:val="1"/>
      <w:marLeft w:val="0"/>
      <w:marRight w:val="0"/>
      <w:marTop w:val="0"/>
      <w:marBottom w:val="0"/>
      <w:divBdr>
        <w:top w:val="none" w:sz="0" w:space="0" w:color="auto"/>
        <w:left w:val="none" w:sz="0" w:space="0" w:color="auto"/>
        <w:bottom w:val="none" w:sz="0" w:space="0" w:color="auto"/>
        <w:right w:val="none" w:sz="0" w:space="0" w:color="auto"/>
      </w:divBdr>
    </w:div>
    <w:div w:id="664819529">
      <w:bodyDiv w:val="1"/>
      <w:marLeft w:val="0"/>
      <w:marRight w:val="0"/>
      <w:marTop w:val="0"/>
      <w:marBottom w:val="0"/>
      <w:divBdr>
        <w:top w:val="none" w:sz="0" w:space="0" w:color="auto"/>
        <w:left w:val="none" w:sz="0" w:space="0" w:color="auto"/>
        <w:bottom w:val="none" w:sz="0" w:space="0" w:color="auto"/>
        <w:right w:val="none" w:sz="0" w:space="0" w:color="auto"/>
      </w:divBdr>
    </w:div>
    <w:div w:id="674113724">
      <w:bodyDiv w:val="1"/>
      <w:marLeft w:val="0"/>
      <w:marRight w:val="0"/>
      <w:marTop w:val="0"/>
      <w:marBottom w:val="0"/>
      <w:divBdr>
        <w:top w:val="none" w:sz="0" w:space="0" w:color="auto"/>
        <w:left w:val="none" w:sz="0" w:space="0" w:color="auto"/>
        <w:bottom w:val="none" w:sz="0" w:space="0" w:color="auto"/>
        <w:right w:val="none" w:sz="0" w:space="0" w:color="auto"/>
      </w:divBdr>
    </w:div>
    <w:div w:id="676078112">
      <w:bodyDiv w:val="1"/>
      <w:marLeft w:val="0"/>
      <w:marRight w:val="0"/>
      <w:marTop w:val="0"/>
      <w:marBottom w:val="0"/>
      <w:divBdr>
        <w:top w:val="none" w:sz="0" w:space="0" w:color="auto"/>
        <w:left w:val="none" w:sz="0" w:space="0" w:color="auto"/>
        <w:bottom w:val="none" w:sz="0" w:space="0" w:color="auto"/>
        <w:right w:val="none" w:sz="0" w:space="0" w:color="auto"/>
      </w:divBdr>
    </w:div>
    <w:div w:id="740255156">
      <w:bodyDiv w:val="1"/>
      <w:marLeft w:val="0"/>
      <w:marRight w:val="0"/>
      <w:marTop w:val="0"/>
      <w:marBottom w:val="0"/>
      <w:divBdr>
        <w:top w:val="none" w:sz="0" w:space="0" w:color="auto"/>
        <w:left w:val="none" w:sz="0" w:space="0" w:color="auto"/>
        <w:bottom w:val="none" w:sz="0" w:space="0" w:color="auto"/>
        <w:right w:val="none" w:sz="0" w:space="0" w:color="auto"/>
      </w:divBdr>
    </w:div>
    <w:div w:id="775905186">
      <w:bodyDiv w:val="1"/>
      <w:marLeft w:val="0"/>
      <w:marRight w:val="0"/>
      <w:marTop w:val="0"/>
      <w:marBottom w:val="0"/>
      <w:divBdr>
        <w:top w:val="none" w:sz="0" w:space="0" w:color="auto"/>
        <w:left w:val="none" w:sz="0" w:space="0" w:color="auto"/>
        <w:bottom w:val="none" w:sz="0" w:space="0" w:color="auto"/>
        <w:right w:val="none" w:sz="0" w:space="0" w:color="auto"/>
      </w:divBdr>
    </w:div>
    <w:div w:id="802888924">
      <w:bodyDiv w:val="1"/>
      <w:marLeft w:val="0"/>
      <w:marRight w:val="0"/>
      <w:marTop w:val="0"/>
      <w:marBottom w:val="0"/>
      <w:divBdr>
        <w:top w:val="none" w:sz="0" w:space="0" w:color="auto"/>
        <w:left w:val="none" w:sz="0" w:space="0" w:color="auto"/>
        <w:bottom w:val="none" w:sz="0" w:space="0" w:color="auto"/>
        <w:right w:val="none" w:sz="0" w:space="0" w:color="auto"/>
      </w:divBdr>
    </w:div>
    <w:div w:id="943659305">
      <w:bodyDiv w:val="1"/>
      <w:marLeft w:val="0"/>
      <w:marRight w:val="0"/>
      <w:marTop w:val="0"/>
      <w:marBottom w:val="0"/>
      <w:divBdr>
        <w:top w:val="none" w:sz="0" w:space="0" w:color="auto"/>
        <w:left w:val="none" w:sz="0" w:space="0" w:color="auto"/>
        <w:bottom w:val="none" w:sz="0" w:space="0" w:color="auto"/>
        <w:right w:val="none" w:sz="0" w:space="0" w:color="auto"/>
      </w:divBdr>
    </w:div>
    <w:div w:id="979067734">
      <w:bodyDiv w:val="1"/>
      <w:marLeft w:val="0"/>
      <w:marRight w:val="0"/>
      <w:marTop w:val="0"/>
      <w:marBottom w:val="0"/>
      <w:divBdr>
        <w:top w:val="none" w:sz="0" w:space="0" w:color="auto"/>
        <w:left w:val="none" w:sz="0" w:space="0" w:color="auto"/>
        <w:bottom w:val="none" w:sz="0" w:space="0" w:color="auto"/>
        <w:right w:val="none" w:sz="0" w:space="0" w:color="auto"/>
      </w:divBdr>
    </w:div>
    <w:div w:id="1008017916">
      <w:bodyDiv w:val="1"/>
      <w:marLeft w:val="0"/>
      <w:marRight w:val="0"/>
      <w:marTop w:val="0"/>
      <w:marBottom w:val="0"/>
      <w:divBdr>
        <w:top w:val="none" w:sz="0" w:space="0" w:color="auto"/>
        <w:left w:val="none" w:sz="0" w:space="0" w:color="auto"/>
        <w:bottom w:val="none" w:sz="0" w:space="0" w:color="auto"/>
        <w:right w:val="none" w:sz="0" w:space="0" w:color="auto"/>
      </w:divBdr>
    </w:div>
    <w:div w:id="1051929848">
      <w:bodyDiv w:val="1"/>
      <w:marLeft w:val="0"/>
      <w:marRight w:val="0"/>
      <w:marTop w:val="0"/>
      <w:marBottom w:val="0"/>
      <w:divBdr>
        <w:top w:val="none" w:sz="0" w:space="0" w:color="auto"/>
        <w:left w:val="none" w:sz="0" w:space="0" w:color="auto"/>
        <w:bottom w:val="none" w:sz="0" w:space="0" w:color="auto"/>
        <w:right w:val="none" w:sz="0" w:space="0" w:color="auto"/>
      </w:divBdr>
    </w:div>
    <w:div w:id="1073234966">
      <w:bodyDiv w:val="1"/>
      <w:marLeft w:val="0"/>
      <w:marRight w:val="0"/>
      <w:marTop w:val="0"/>
      <w:marBottom w:val="0"/>
      <w:divBdr>
        <w:top w:val="none" w:sz="0" w:space="0" w:color="auto"/>
        <w:left w:val="none" w:sz="0" w:space="0" w:color="auto"/>
        <w:bottom w:val="none" w:sz="0" w:space="0" w:color="auto"/>
        <w:right w:val="none" w:sz="0" w:space="0" w:color="auto"/>
      </w:divBdr>
    </w:div>
    <w:div w:id="1076124355">
      <w:bodyDiv w:val="1"/>
      <w:marLeft w:val="0"/>
      <w:marRight w:val="0"/>
      <w:marTop w:val="0"/>
      <w:marBottom w:val="0"/>
      <w:divBdr>
        <w:top w:val="none" w:sz="0" w:space="0" w:color="auto"/>
        <w:left w:val="none" w:sz="0" w:space="0" w:color="auto"/>
        <w:bottom w:val="none" w:sz="0" w:space="0" w:color="auto"/>
        <w:right w:val="none" w:sz="0" w:space="0" w:color="auto"/>
      </w:divBdr>
    </w:div>
    <w:div w:id="1091203147">
      <w:bodyDiv w:val="1"/>
      <w:marLeft w:val="0"/>
      <w:marRight w:val="0"/>
      <w:marTop w:val="0"/>
      <w:marBottom w:val="0"/>
      <w:divBdr>
        <w:top w:val="none" w:sz="0" w:space="0" w:color="auto"/>
        <w:left w:val="none" w:sz="0" w:space="0" w:color="auto"/>
        <w:bottom w:val="none" w:sz="0" w:space="0" w:color="auto"/>
        <w:right w:val="none" w:sz="0" w:space="0" w:color="auto"/>
      </w:divBdr>
    </w:div>
    <w:div w:id="1188567540">
      <w:bodyDiv w:val="1"/>
      <w:marLeft w:val="0"/>
      <w:marRight w:val="0"/>
      <w:marTop w:val="0"/>
      <w:marBottom w:val="0"/>
      <w:divBdr>
        <w:top w:val="none" w:sz="0" w:space="0" w:color="auto"/>
        <w:left w:val="none" w:sz="0" w:space="0" w:color="auto"/>
        <w:bottom w:val="none" w:sz="0" w:space="0" w:color="auto"/>
        <w:right w:val="none" w:sz="0" w:space="0" w:color="auto"/>
      </w:divBdr>
    </w:div>
    <w:div w:id="1260717213">
      <w:bodyDiv w:val="1"/>
      <w:marLeft w:val="0"/>
      <w:marRight w:val="0"/>
      <w:marTop w:val="0"/>
      <w:marBottom w:val="0"/>
      <w:divBdr>
        <w:top w:val="none" w:sz="0" w:space="0" w:color="auto"/>
        <w:left w:val="none" w:sz="0" w:space="0" w:color="auto"/>
        <w:bottom w:val="none" w:sz="0" w:space="0" w:color="auto"/>
        <w:right w:val="none" w:sz="0" w:space="0" w:color="auto"/>
      </w:divBdr>
    </w:div>
    <w:div w:id="1307466004">
      <w:bodyDiv w:val="1"/>
      <w:marLeft w:val="0"/>
      <w:marRight w:val="0"/>
      <w:marTop w:val="0"/>
      <w:marBottom w:val="0"/>
      <w:divBdr>
        <w:top w:val="none" w:sz="0" w:space="0" w:color="auto"/>
        <w:left w:val="none" w:sz="0" w:space="0" w:color="auto"/>
        <w:bottom w:val="none" w:sz="0" w:space="0" w:color="auto"/>
        <w:right w:val="none" w:sz="0" w:space="0" w:color="auto"/>
      </w:divBdr>
    </w:div>
    <w:div w:id="1336416770">
      <w:bodyDiv w:val="1"/>
      <w:marLeft w:val="0"/>
      <w:marRight w:val="0"/>
      <w:marTop w:val="0"/>
      <w:marBottom w:val="0"/>
      <w:divBdr>
        <w:top w:val="none" w:sz="0" w:space="0" w:color="auto"/>
        <w:left w:val="none" w:sz="0" w:space="0" w:color="auto"/>
        <w:bottom w:val="none" w:sz="0" w:space="0" w:color="auto"/>
        <w:right w:val="none" w:sz="0" w:space="0" w:color="auto"/>
      </w:divBdr>
    </w:div>
    <w:div w:id="1353604065">
      <w:bodyDiv w:val="1"/>
      <w:marLeft w:val="0"/>
      <w:marRight w:val="0"/>
      <w:marTop w:val="0"/>
      <w:marBottom w:val="0"/>
      <w:divBdr>
        <w:top w:val="none" w:sz="0" w:space="0" w:color="auto"/>
        <w:left w:val="none" w:sz="0" w:space="0" w:color="auto"/>
        <w:bottom w:val="none" w:sz="0" w:space="0" w:color="auto"/>
        <w:right w:val="none" w:sz="0" w:space="0" w:color="auto"/>
      </w:divBdr>
    </w:div>
    <w:div w:id="1382436570">
      <w:bodyDiv w:val="1"/>
      <w:marLeft w:val="0"/>
      <w:marRight w:val="0"/>
      <w:marTop w:val="0"/>
      <w:marBottom w:val="0"/>
      <w:divBdr>
        <w:top w:val="none" w:sz="0" w:space="0" w:color="auto"/>
        <w:left w:val="none" w:sz="0" w:space="0" w:color="auto"/>
        <w:bottom w:val="none" w:sz="0" w:space="0" w:color="auto"/>
        <w:right w:val="none" w:sz="0" w:space="0" w:color="auto"/>
      </w:divBdr>
    </w:div>
    <w:div w:id="1402680582">
      <w:bodyDiv w:val="1"/>
      <w:marLeft w:val="0"/>
      <w:marRight w:val="0"/>
      <w:marTop w:val="0"/>
      <w:marBottom w:val="0"/>
      <w:divBdr>
        <w:top w:val="none" w:sz="0" w:space="0" w:color="auto"/>
        <w:left w:val="none" w:sz="0" w:space="0" w:color="auto"/>
        <w:bottom w:val="none" w:sz="0" w:space="0" w:color="auto"/>
        <w:right w:val="none" w:sz="0" w:space="0" w:color="auto"/>
      </w:divBdr>
    </w:div>
    <w:div w:id="1449155147">
      <w:bodyDiv w:val="1"/>
      <w:marLeft w:val="0"/>
      <w:marRight w:val="0"/>
      <w:marTop w:val="0"/>
      <w:marBottom w:val="0"/>
      <w:divBdr>
        <w:top w:val="none" w:sz="0" w:space="0" w:color="auto"/>
        <w:left w:val="none" w:sz="0" w:space="0" w:color="auto"/>
        <w:bottom w:val="none" w:sz="0" w:space="0" w:color="auto"/>
        <w:right w:val="none" w:sz="0" w:space="0" w:color="auto"/>
      </w:divBdr>
    </w:div>
    <w:div w:id="1493567727">
      <w:bodyDiv w:val="1"/>
      <w:marLeft w:val="0"/>
      <w:marRight w:val="0"/>
      <w:marTop w:val="0"/>
      <w:marBottom w:val="0"/>
      <w:divBdr>
        <w:top w:val="none" w:sz="0" w:space="0" w:color="auto"/>
        <w:left w:val="none" w:sz="0" w:space="0" w:color="auto"/>
        <w:bottom w:val="none" w:sz="0" w:space="0" w:color="auto"/>
        <w:right w:val="none" w:sz="0" w:space="0" w:color="auto"/>
      </w:divBdr>
    </w:div>
    <w:div w:id="1509253372">
      <w:bodyDiv w:val="1"/>
      <w:marLeft w:val="0"/>
      <w:marRight w:val="0"/>
      <w:marTop w:val="0"/>
      <w:marBottom w:val="0"/>
      <w:divBdr>
        <w:top w:val="none" w:sz="0" w:space="0" w:color="auto"/>
        <w:left w:val="none" w:sz="0" w:space="0" w:color="auto"/>
        <w:bottom w:val="none" w:sz="0" w:space="0" w:color="auto"/>
        <w:right w:val="none" w:sz="0" w:space="0" w:color="auto"/>
      </w:divBdr>
    </w:div>
    <w:div w:id="1519927850">
      <w:bodyDiv w:val="1"/>
      <w:marLeft w:val="0"/>
      <w:marRight w:val="0"/>
      <w:marTop w:val="0"/>
      <w:marBottom w:val="0"/>
      <w:divBdr>
        <w:top w:val="none" w:sz="0" w:space="0" w:color="auto"/>
        <w:left w:val="none" w:sz="0" w:space="0" w:color="auto"/>
        <w:bottom w:val="none" w:sz="0" w:space="0" w:color="auto"/>
        <w:right w:val="none" w:sz="0" w:space="0" w:color="auto"/>
      </w:divBdr>
    </w:div>
    <w:div w:id="1565991609">
      <w:bodyDiv w:val="1"/>
      <w:marLeft w:val="0"/>
      <w:marRight w:val="0"/>
      <w:marTop w:val="0"/>
      <w:marBottom w:val="0"/>
      <w:divBdr>
        <w:top w:val="none" w:sz="0" w:space="0" w:color="auto"/>
        <w:left w:val="none" w:sz="0" w:space="0" w:color="auto"/>
        <w:bottom w:val="none" w:sz="0" w:space="0" w:color="auto"/>
        <w:right w:val="none" w:sz="0" w:space="0" w:color="auto"/>
      </w:divBdr>
    </w:div>
    <w:div w:id="1569068771">
      <w:bodyDiv w:val="1"/>
      <w:marLeft w:val="0"/>
      <w:marRight w:val="0"/>
      <w:marTop w:val="0"/>
      <w:marBottom w:val="0"/>
      <w:divBdr>
        <w:top w:val="none" w:sz="0" w:space="0" w:color="auto"/>
        <w:left w:val="none" w:sz="0" w:space="0" w:color="auto"/>
        <w:bottom w:val="none" w:sz="0" w:space="0" w:color="auto"/>
        <w:right w:val="none" w:sz="0" w:space="0" w:color="auto"/>
      </w:divBdr>
    </w:div>
    <w:div w:id="1626690174">
      <w:bodyDiv w:val="1"/>
      <w:marLeft w:val="0"/>
      <w:marRight w:val="0"/>
      <w:marTop w:val="0"/>
      <w:marBottom w:val="0"/>
      <w:divBdr>
        <w:top w:val="none" w:sz="0" w:space="0" w:color="auto"/>
        <w:left w:val="none" w:sz="0" w:space="0" w:color="auto"/>
        <w:bottom w:val="none" w:sz="0" w:space="0" w:color="auto"/>
        <w:right w:val="none" w:sz="0" w:space="0" w:color="auto"/>
      </w:divBdr>
    </w:div>
    <w:div w:id="1645810288">
      <w:bodyDiv w:val="1"/>
      <w:marLeft w:val="0"/>
      <w:marRight w:val="0"/>
      <w:marTop w:val="0"/>
      <w:marBottom w:val="0"/>
      <w:divBdr>
        <w:top w:val="none" w:sz="0" w:space="0" w:color="auto"/>
        <w:left w:val="none" w:sz="0" w:space="0" w:color="auto"/>
        <w:bottom w:val="none" w:sz="0" w:space="0" w:color="auto"/>
        <w:right w:val="none" w:sz="0" w:space="0" w:color="auto"/>
      </w:divBdr>
    </w:div>
    <w:div w:id="1680305563">
      <w:bodyDiv w:val="1"/>
      <w:marLeft w:val="0"/>
      <w:marRight w:val="0"/>
      <w:marTop w:val="0"/>
      <w:marBottom w:val="0"/>
      <w:divBdr>
        <w:top w:val="none" w:sz="0" w:space="0" w:color="auto"/>
        <w:left w:val="none" w:sz="0" w:space="0" w:color="auto"/>
        <w:bottom w:val="none" w:sz="0" w:space="0" w:color="auto"/>
        <w:right w:val="none" w:sz="0" w:space="0" w:color="auto"/>
      </w:divBdr>
    </w:div>
    <w:div w:id="1722635832">
      <w:bodyDiv w:val="1"/>
      <w:marLeft w:val="0"/>
      <w:marRight w:val="0"/>
      <w:marTop w:val="0"/>
      <w:marBottom w:val="0"/>
      <w:divBdr>
        <w:top w:val="none" w:sz="0" w:space="0" w:color="auto"/>
        <w:left w:val="none" w:sz="0" w:space="0" w:color="auto"/>
        <w:bottom w:val="none" w:sz="0" w:space="0" w:color="auto"/>
        <w:right w:val="none" w:sz="0" w:space="0" w:color="auto"/>
      </w:divBdr>
    </w:div>
    <w:div w:id="1763644777">
      <w:bodyDiv w:val="1"/>
      <w:marLeft w:val="0"/>
      <w:marRight w:val="0"/>
      <w:marTop w:val="0"/>
      <w:marBottom w:val="0"/>
      <w:divBdr>
        <w:top w:val="none" w:sz="0" w:space="0" w:color="auto"/>
        <w:left w:val="none" w:sz="0" w:space="0" w:color="auto"/>
        <w:bottom w:val="none" w:sz="0" w:space="0" w:color="auto"/>
        <w:right w:val="none" w:sz="0" w:space="0" w:color="auto"/>
      </w:divBdr>
    </w:div>
    <w:div w:id="1797870795">
      <w:bodyDiv w:val="1"/>
      <w:marLeft w:val="0"/>
      <w:marRight w:val="0"/>
      <w:marTop w:val="0"/>
      <w:marBottom w:val="0"/>
      <w:divBdr>
        <w:top w:val="none" w:sz="0" w:space="0" w:color="auto"/>
        <w:left w:val="none" w:sz="0" w:space="0" w:color="auto"/>
        <w:bottom w:val="none" w:sz="0" w:space="0" w:color="auto"/>
        <w:right w:val="none" w:sz="0" w:space="0" w:color="auto"/>
      </w:divBdr>
    </w:div>
    <w:div w:id="1858034320">
      <w:bodyDiv w:val="1"/>
      <w:marLeft w:val="0"/>
      <w:marRight w:val="0"/>
      <w:marTop w:val="0"/>
      <w:marBottom w:val="0"/>
      <w:divBdr>
        <w:top w:val="none" w:sz="0" w:space="0" w:color="auto"/>
        <w:left w:val="none" w:sz="0" w:space="0" w:color="auto"/>
        <w:bottom w:val="none" w:sz="0" w:space="0" w:color="auto"/>
        <w:right w:val="none" w:sz="0" w:space="0" w:color="auto"/>
      </w:divBdr>
    </w:div>
    <w:div w:id="1884321041">
      <w:bodyDiv w:val="1"/>
      <w:marLeft w:val="0"/>
      <w:marRight w:val="0"/>
      <w:marTop w:val="0"/>
      <w:marBottom w:val="0"/>
      <w:divBdr>
        <w:top w:val="none" w:sz="0" w:space="0" w:color="auto"/>
        <w:left w:val="none" w:sz="0" w:space="0" w:color="auto"/>
        <w:bottom w:val="none" w:sz="0" w:space="0" w:color="auto"/>
        <w:right w:val="none" w:sz="0" w:space="0" w:color="auto"/>
      </w:divBdr>
    </w:div>
    <w:div w:id="1887181469">
      <w:bodyDiv w:val="1"/>
      <w:marLeft w:val="0"/>
      <w:marRight w:val="0"/>
      <w:marTop w:val="0"/>
      <w:marBottom w:val="0"/>
      <w:divBdr>
        <w:top w:val="none" w:sz="0" w:space="0" w:color="auto"/>
        <w:left w:val="none" w:sz="0" w:space="0" w:color="auto"/>
        <w:bottom w:val="none" w:sz="0" w:space="0" w:color="auto"/>
        <w:right w:val="none" w:sz="0" w:space="0" w:color="auto"/>
      </w:divBdr>
    </w:div>
    <w:div w:id="1936353339">
      <w:bodyDiv w:val="1"/>
      <w:marLeft w:val="0"/>
      <w:marRight w:val="0"/>
      <w:marTop w:val="0"/>
      <w:marBottom w:val="0"/>
      <w:divBdr>
        <w:top w:val="none" w:sz="0" w:space="0" w:color="auto"/>
        <w:left w:val="none" w:sz="0" w:space="0" w:color="auto"/>
        <w:bottom w:val="none" w:sz="0" w:space="0" w:color="auto"/>
        <w:right w:val="none" w:sz="0" w:space="0" w:color="auto"/>
      </w:divBdr>
    </w:div>
    <w:div w:id="1957829110">
      <w:bodyDiv w:val="1"/>
      <w:marLeft w:val="0"/>
      <w:marRight w:val="0"/>
      <w:marTop w:val="0"/>
      <w:marBottom w:val="0"/>
      <w:divBdr>
        <w:top w:val="none" w:sz="0" w:space="0" w:color="auto"/>
        <w:left w:val="none" w:sz="0" w:space="0" w:color="auto"/>
        <w:bottom w:val="none" w:sz="0" w:space="0" w:color="auto"/>
        <w:right w:val="none" w:sz="0" w:space="0" w:color="auto"/>
      </w:divBdr>
    </w:div>
    <w:div w:id="1967351590">
      <w:bodyDiv w:val="1"/>
      <w:marLeft w:val="0"/>
      <w:marRight w:val="0"/>
      <w:marTop w:val="0"/>
      <w:marBottom w:val="0"/>
      <w:divBdr>
        <w:top w:val="none" w:sz="0" w:space="0" w:color="auto"/>
        <w:left w:val="none" w:sz="0" w:space="0" w:color="auto"/>
        <w:bottom w:val="none" w:sz="0" w:space="0" w:color="auto"/>
        <w:right w:val="none" w:sz="0" w:space="0" w:color="auto"/>
      </w:divBdr>
    </w:div>
    <w:div w:id="2016689397">
      <w:bodyDiv w:val="1"/>
      <w:marLeft w:val="0"/>
      <w:marRight w:val="0"/>
      <w:marTop w:val="0"/>
      <w:marBottom w:val="0"/>
      <w:divBdr>
        <w:top w:val="none" w:sz="0" w:space="0" w:color="auto"/>
        <w:left w:val="none" w:sz="0" w:space="0" w:color="auto"/>
        <w:bottom w:val="none" w:sz="0" w:space="0" w:color="auto"/>
        <w:right w:val="none" w:sz="0" w:space="0" w:color="auto"/>
      </w:divBdr>
    </w:div>
    <w:div w:id="2037584541">
      <w:bodyDiv w:val="1"/>
      <w:marLeft w:val="0"/>
      <w:marRight w:val="0"/>
      <w:marTop w:val="0"/>
      <w:marBottom w:val="0"/>
      <w:divBdr>
        <w:top w:val="none" w:sz="0" w:space="0" w:color="auto"/>
        <w:left w:val="none" w:sz="0" w:space="0" w:color="auto"/>
        <w:bottom w:val="none" w:sz="0" w:space="0" w:color="auto"/>
        <w:right w:val="none" w:sz="0" w:space="0" w:color="auto"/>
      </w:divBdr>
    </w:div>
    <w:div w:id="20714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29096989966554"/>
          <c:y val="0.22368421052631579"/>
          <c:w val="0.72575250836120397"/>
          <c:h val="0.37719298245614036"/>
        </c:manualLayout>
      </c:layout>
      <c:pie3DChart>
        <c:varyColors val="1"/>
        <c:ser>
          <c:idx val="1"/>
          <c:order val="0"/>
          <c:tx>
            <c:strRef>
              <c:f>Sheet1!$B$1</c:f>
              <c:strCache>
                <c:ptCount val="1"/>
                <c:pt idx="0">
                  <c:v>2013 г.</c:v>
                </c:pt>
              </c:strCache>
            </c:strRef>
          </c:tx>
          <c:spPr>
            <a:ln w="12709">
              <a:solidFill>
                <a:srgbClr val="FF00FF"/>
              </a:solidFill>
              <a:prstDash val="solid"/>
            </a:ln>
          </c:spPr>
          <c:dPt>
            <c:idx val="0"/>
            <c:bubble3D val="0"/>
            <c:spPr>
              <a:solidFill>
                <a:srgbClr val="FF0000"/>
              </a:solidFill>
              <a:ln w="12709">
                <a:solidFill>
                  <a:srgbClr val="FF00FF"/>
                </a:solidFill>
                <a:prstDash val="solid"/>
              </a:ln>
            </c:spPr>
            <c:extLst>
              <c:ext xmlns:c16="http://schemas.microsoft.com/office/drawing/2014/chart" uri="{C3380CC4-5D6E-409C-BE32-E72D297353CC}">
                <c16:uniqueId val="{00000000-EB15-46C5-9071-D83BA8909835}"/>
              </c:ext>
            </c:extLst>
          </c:dPt>
          <c:dPt>
            <c:idx val="1"/>
            <c:bubble3D val="0"/>
            <c:spPr>
              <a:solidFill>
                <a:srgbClr val="FFFF00"/>
              </a:solidFill>
              <a:ln w="12709">
                <a:solidFill>
                  <a:srgbClr val="FF00FF"/>
                </a:solidFill>
                <a:prstDash val="solid"/>
              </a:ln>
            </c:spPr>
            <c:extLst>
              <c:ext xmlns:c16="http://schemas.microsoft.com/office/drawing/2014/chart" uri="{C3380CC4-5D6E-409C-BE32-E72D297353CC}">
                <c16:uniqueId val="{00000001-EB15-46C5-9071-D83BA8909835}"/>
              </c:ext>
            </c:extLst>
          </c:dPt>
          <c:dPt>
            <c:idx val="2"/>
            <c:bubble3D val="0"/>
            <c:spPr>
              <a:solidFill>
                <a:srgbClr val="339933"/>
              </a:solidFill>
              <a:ln w="12709">
                <a:solidFill>
                  <a:srgbClr val="FF00FF"/>
                </a:solidFill>
                <a:prstDash val="solid"/>
              </a:ln>
            </c:spPr>
            <c:extLst>
              <c:ext xmlns:c16="http://schemas.microsoft.com/office/drawing/2014/chart" uri="{C3380CC4-5D6E-409C-BE32-E72D297353CC}">
                <c16:uniqueId val="{00000002-EB15-46C5-9071-D83BA8909835}"/>
              </c:ext>
            </c:extLst>
          </c:dPt>
          <c:dPt>
            <c:idx val="3"/>
            <c:bubble3D val="0"/>
            <c:spPr>
              <a:solidFill>
                <a:srgbClr val="FF00FF"/>
              </a:solidFill>
              <a:ln w="12709">
                <a:solidFill>
                  <a:srgbClr val="FF00FF"/>
                </a:solidFill>
                <a:prstDash val="solid"/>
              </a:ln>
            </c:spPr>
            <c:extLst>
              <c:ext xmlns:c16="http://schemas.microsoft.com/office/drawing/2014/chart" uri="{C3380CC4-5D6E-409C-BE32-E72D297353CC}">
                <c16:uniqueId val="{00000003-EB15-46C5-9071-D83BA8909835}"/>
              </c:ext>
            </c:extLst>
          </c:dPt>
          <c:dPt>
            <c:idx val="4"/>
            <c:bubble3D val="0"/>
            <c:spPr>
              <a:solidFill>
                <a:srgbClr val="00FFFF"/>
              </a:solidFill>
              <a:ln w="12709">
                <a:solidFill>
                  <a:srgbClr val="FF00FF"/>
                </a:solidFill>
                <a:prstDash val="solid"/>
              </a:ln>
            </c:spPr>
            <c:extLst>
              <c:ext xmlns:c16="http://schemas.microsoft.com/office/drawing/2014/chart" uri="{C3380CC4-5D6E-409C-BE32-E72D297353CC}">
                <c16:uniqueId val="{00000004-EB15-46C5-9071-D83BA8909835}"/>
              </c:ext>
            </c:extLst>
          </c:dPt>
          <c:dPt>
            <c:idx val="5"/>
            <c:bubble3D val="0"/>
            <c:spPr>
              <a:solidFill>
                <a:srgbClr val="600080"/>
              </a:solidFill>
              <a:ln w="12709">
                <a:solidFill>
                  <a:srgbClr val="FF00FF"/>
                </a:solidFill>
                <a:prstDash val="solid"/>
              </a:ln>
            </c:spPr>
            <c:extLst>
              <c:ext xmlns:c16="http://schemas.microsoft.com/office/drawing/2014/chart" uri="{C3380CC4-5D6E-409C-BE32-E72D297353CC}">
                <c16:uniqueId val="{00000005-EB15-46C5-9071-D83BA8909835}"/>
              </c:ext>
            </c:extLst>
          </c:dPt>
          <c:dPt>
            <c:idx val="6"/>
            <c:bubble3D val="0"/>
            <c:spPr>
              <a:solidFill>
                <a:srgbClr val="A6CAF0"/>
              </a:solidFill>
              <a:ln w="12709">
                <a:solidFill>
                  <a:srgbClr val="FF00FF"/>
                </a:solidFill>
                <a:prstDash val="solid"/>
              </a:ln>
            </c:spPr>
            <c:extLst>
              <c:ext xmlns:c16="http://schemas.microsoft.com/office/drawing/2014/chart" uri="{C3380CC4-5D6E-409C-BE32-E72D297353CC}">
                <c16:uniqueId val="{00000006-EB15-46C5-9071-D83BA8909835}"/>
              </c:ext>
            </c:extLst>
          </c:dPt>
          <c:dPt>
            <c:idx val="7"/>
            <c:bubble3D val="0"/>
            <c:spPr>
              <a:solidFill>
                <a:srgbClr val="CC9CCC"/>
              </a:solidFill>
              <a:ln w="12709">
                <a:solidFill>
                  <a:srgbClr val="FF00FF"/>
                </a:solidFill>
                <a:prstDash val="solid"/>
              </a:ln>
            </c:spPr>
            <c:extLst>
              <c:ext xmlns:c16="http://schemas.microsoft.com/office/drawing/2014/chart" uri="{C3380CC4-5D6E-409C-BE32-E72D297353CC}">
                <c16:uniqueId val="{00000007-EB15-46C5-9071-D83BA8909835}"/>
              </c:ext>
            </c:extLst>
          </c:dPt>
          <c:dLbls>
            <c:dLbl>
              <c:idx val="0"/>
              <c:layout>
                <c:manualLayout>
                  <c:xMode val="edge"/>
                  <c:yMode val="edge"/>
                  <c:x val="0.79598662207357862"/>
                  <c:y val="0.15789473684210525"/>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B15-46C5-9071-D83BA8909835}"/>
                </c:ext>
              </c:extLst>
            </c:dLbl>
            <c:dLbl>
              <c:idx val="1"/>
              <c:layout>
                <c:manualLayout>
                  <c:xMode val="edge"/>
                  <c:yMode val="edge"/>
                  <c:x val="0.54849498327759194"/>
                  <c:y val="0.60964912280701755"/>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B15-46C5-9071-D83BA8909835}"/>
                </c:ext>
              </c:extLst>
            </c:dLbl>
            <c:dLbl>
              <c:idx val="2"/>
              <c:layout>
                <c:manualLayout>
                  <c:xMode val="edge"/>
                  <c:yMode val="edge"/>
                  <c:x val="8.0267558528428096E-2"/>
                  <c:y val="0.56578947368421051"/>
                </c:manualLayout>
              </c:layout>
              <c:tx>
                <c:rich>
                  <a:bodyPr/>
                  <a:lstStyle/>
                  <a:p>
                    <a:pPr>
                      <a:defRPr sz="1101" b="0" i="0" u="none" strike="noStrike" baseline="0">
                        <a:solidFill>
                          <a:srgbClr val="000000"/>
                        </a:solidFill>
                        <a:latin typeface="Times New Roman"/>
                        <a:ea typeface="Times New Roman"/>
                        <a:cs typeface="Times New Roman"/>
                      </a:defRPr>
                    </a:pPr>
                    <a:r>
                      <a:rPr lang="ru-RU"/>
                      <a:t>1,9%</a:t>
                    </a:r>
                  </a:p>
                </c:rich>
              </c:tx>
              <c:spPr>
                <a:noFill/>
                <a:ln w="254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15-46C5-9071-D83BA8909835}"/>
                </c:ext>
              </c:extLst>
            </c:dLbl>
            <c:dLbl>
              <c:idx val="3"/>
              <c:layout>
                <c:manualLayout>
                  <c:xMode val="edge"/>
                  <c:yMode val="edge"/>
                  <c:x val="1.3377926421404682E-2"/>
                  <c:y val="0.21929824561403508"/>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B15-46C5-9071-D83BA8909835}"/>
                </c:ext>
              </c:extLst>
            </c:dLbl>
            <c:dLbl>
              <c:idx val="4"/>
              <c:layout>
                <c:manualLayout>
                  <c:xMode val="edge"/>
                  <c:yMode val="edge"/>
                  <c:x val="0.29431438127090304"/>
                  <c:y val="7.4561403508771926E-2"/>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B15-46C5-9071-D83BA8909835}"/>
                </c:ext>
              </c:extLst>
            </c:dLbl>
            <c:dLbl>
              <c:idx val="5"/>
              <c:layout>
                <c:manualLayout>
                  <c:xMode val="edge"/>
                  <c:yMode val="edge"/>
                  <c:x val="0.53511705685618727"/>
                  <c:y val="7.0175438596491224E-2"/>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B15-46C5-9071-D83BA8909835}"/>
                </c:ext>
              </c:extLst>
            </c:dLbl>
            <c:dLbl>
              <c:idx val="6"/>
              <c:layout>
                <c:manualLayout>
                  <c:xMode val="edge"/>
                  <c:yMode val="edge"/>
                  <c:x val="0.39130434782608697"/>
                  <c:y val="0.15350877192982457"/>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B15-46C5-9071-D83BA8909835}"/>
                </c:ext>
              </c:extLst>
            </c:dLbl>
            <c:numFmt formatCode="0.0%" sourceLinked="0"/>
            <c:spPr>
              <a:noFill/>
              <a:ln w="25417">
                <a:noFill/>
              </a:ln>
            </c:spPr>
            <c:txPr>
              <a:bodyPr wrap="square" lIns="38100" tIns="19050" rIns="38100" bIns="19050" anchor="ctr">
                <a:spAutoFit/>
              </a:bodyPr>
              <a:lstStyle/>
              <a:p>
                <a:pPr>
                  <a:defRPr sz="1101"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банкомат</c:v>
                </c:pt>
                <c:pt idx="1">
                  <c:v>POS-терм.</c:v>
                </c:pt>
                <c:pt idx="2">
                  <c:v>банк.дүңгіршек</c:v>
                </c:pt>
                <c:pt idx="3">
                  <c:v>интернет</c:v>
                </c:pt>
                <c:pt idx="4">
                  <c:v>ұюлы телефон</c:v>
                </c:pt>
                <c:pt idx="5">
                  <c:v>басқа</c:v>
                </c:pt>
              </c:strCache>
            </c:strRef>
          </c:cat>
          <c:val>
            <c:numRef>
              <c:f>Sheet1!$B$2:$B$7</c:f>
              <c:numCache>
                <c:formatCode>#,##0</c:formatCode>
                <c:ptCount val="6"/>
                <c:pt idx="0">
                  <c:v>16743</c:v>
                </c:pt>
                <c:pt idx="1">
                  <c:v>23331</c:v>
                </c:pt>
                <c:pt idx="2">
                  <c:v>1059</c:v>
                </c:pt>
                <c:pt idx="3">
                  <c:v>13264</c:v>
                </c:pt>
                <c:pt idx="4" formatCode="General">
                  <c:v>627</c:v>
                </c:pt>
                <c:pt idx="5">
                  <c:v>1346</c:v>
                </c:pt>
              </c:numCache>
            </c:numRef>
          </c:val>
          <c:extLst>
            <c:ext xmlns:c16="http://schemas.microsoft.com/office/drawing/2014/chart" uri="{C3380CC4-5D6E-409C-BE32-E72D297353CC}">
              <c16:uniqueId val="{00000008-EB15-46C5-9071-D83BA8909835}"/>
            </c:ext>
          </c:extLst>
        </c:ser>
        <c:dLbls>
          <c:showLegendKey val="1"/>
          <c:showVal val="0"/>
          <c:showCatName val="0"/>
          <c:showSerName val="0"/>
          <c:showPercent val="1"/>
          <c:showBubbleSize val="0"/>
          <c:showLeaderLines val="1"/>
        </c:dLbls>
      </c:pie3DChart>
      <c:spPr>
        <a:noFill/>
        <a:ln w="25417">
          <a:noFill/>
        </a:ln>
      </c:spPr>
    </c:plotArea>
    <c:legend>
      <c:legendPos val="b"/>
      <c:layout>
        <c:manualLayout>
          <c:xMode val="edge"/>
          <c:yMode val="edge"/>
          <c:x val="3.678929765886288E-2"/>
          <c:y val="0.81140350877192979"/>
          <c:w val="0.94648829431438131"/>
          <c:h val="0.19298245614035087"/>
        </c:manualLayout>
      </c:layout>
      <c:overlay val="0"/>
      <c:spPr>
        <a:noFill/>
        <a:ln w="3177">
          <a:solidFill>
            <a:srgbClr val="000000"/>
          </a:solidFill>
          <a:prstDash val="solid"/>
        </a:ln>
      </c:spPr>
      <c:txPr>
        <a:bodyPr/>
        <a:lstStyle/>
        <a:p>
          <a:pPr>
            <a:defRPr sz="826"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29096989966554"/>
          <c:y val="0.22368421052631579"/>
          <c:w val="0.72575250836120397"/>
          <c:h val="0.37719298245614036"/>
        </c:manualLayout>
      </c:layout>
      <c:pie3DChart>
        <c:varyColors val="1"/>
        <c:ser>
          <c:idx val="1"/>
          <c:order val="0"/>
          <c:tx>
            <c:strRef>
              <c:f>Sheet1!$B$1</c:f>
              <c:strCache>
                <c:ptCount val="1"/>
                <c:pt idx="0">
                  <c:v>2013 г.</c:v>
                </c:pt>
              </c:strCache>
            </c:strRef>
          </c:tx>
          <c:spPr>
            <a:ln w="12709">
              <a:solidFill>
                <a:srgbClr val="FF00FF"/>
              </a:solidFill>
              <a:prstDash val="solid"/>
            </a:ln>
          </c:spPr>
          <c:dPt>
            <c:idx val="0"/>
            <c:bubble3D val="0"/>
            <c:spPr>
              <a:solidFill>
                <a:srgbClr val="FF0000"/>
              </a:solidFill>
              <a:ln w="12709">
                <a:solidFill>
                  <a:srgbClr val="FF00FF"/>
                </a:solidFill>
                <a:prstDash val="solid"/>
              </a:ln>
            </c:spPr>
            <c:extLst>
              <c:ext xmlns:c16="http://schemas.microsoft.com/office/drawing/2014/chart" uri="{C3380CC4-5D6E-409C-BE32-E72D297353CC}">
                <c16:uniqueId val="{00000000-054B-4D80-9DF2-F38844D2C614}"/>
              </c:ext>
            </c:extLst>
          </c:dPt>
          <c:dPt>
            <c:idx val="1"/>
            <c:bubble3D val="0"/>
            <c:spPr>
              <a:solidFill>
                <a:srgbClr val="FFFF00"/>
              </a:solidFill>
              <a:ln w="12709">
                <a:solidFill>
                  <a:srgbClr val="FF00FF"/>
                </a:solidFill>
                <a:prstDash val="solid"/>
              </a:ln>
            </c:spPr>
            <c:extLst>
              <c:ext xmlns:c16="http://schemas.microsoft.com/office/drawing/2014/chart" uri="{C3380CC4-5D6E-409C-BE32-E72D297353CC}">
                <c16:uniqueId val="{00000001-054B-4D80-9DF2-F38844D2C614}"/>
              </c:ext>
            </c:extLst>
          </c:dPt>
          <c:dPt>
            <c:idx val="2"/>
            <c:bubble3D val="0"/>
            <c:spPr>
              <a:solidFill>
                <a:srgbClr val="339933"/>
              </a:solidFill>
              <a:ln w="12709">
                <a:solidFill>
                  <a:srgbClr val="FF00FF"/>
                </a:solidFill>
                <a:prstDash val="solid"/>
              </a:ln>
            </c:spPr>
            <c:extLst>
              <c:ext xmlns:c16="http://schemas.microsoft.com/office/drawing/2014/chart" uri="{C3380CC4-5D6E-409C-BE32-E72D297353CC}">
                <c16:uniqueId val="{00000002-054B-4D80-9DF2-F38844D2C614}"/>
              </c:ext>
            </c:extLst>
          </c:dPt>
          <c:dPt>
            <c:idx val="3"/>
            <c:bubble3D val="0"/>
            <c:spPr>
              <a:solidFill>
                <a:srgbClr val="FF00FF"/>
              </a:solidFill>
              <a:ln w="12709">
                <a:solidFill>
                  <a:srgbClr val="FF00FF"/>
                </a:solidFill>
                <a:prstDash val="solid"/>
              </a:ln>
            </c:spPr>
            <c:extLst>
              <c:ext xmlns:c16="http://schemas.microsoft.com/office/drawing/2014/chart" uri="{C3380CC4-5D6E-409C-BE32-E72D297353CC}">
                <c16:uniqueId val="{00000003-054B-4D80-9DF2-F38844D2C614}"/>
              </c:ext>
            </c:extLst>
          </c:dPt>
          <c:dPt>
            <c:idx val="4"/>
            <c:bubble3D val="0"/>
            <c:spPr>
              <a:solidFill>
                <a:srgbClr val="00FFFF"/>
              </a:solidFill>
              <a:ln w="12709">
                <a:solidFill>
                  <a:srgbClr val="FF00FF"/>
                </a:solidFill>
                <a:prstDash val="solid"/>
              </a:ln>
            </c:spPr>
            <c:extLst>
              <c:ext xmlns:c16="http://schemas.microsoft.com/office/drawing/2014/chart" uri="{C3380CC4-5D6E-409C-BE32-E72D297353CC}">
                <c16:uniqueId val="{00000004-054B-4D80-9DF2-F38844D2C614}"/>
              </c:ext>
            </c:extLst>
          </c:dPt>
          <c:dPt>
            <c:idx val="5"/>
            <c:bubble3D val="0"/>
            <c:spPr>
              <a:solidFill>
                <a:srgbClr val="600080"/>
              </a:solidFill>
              <a:ln w="12709">
                <a:solidFill>
                  <a:srgbClr val="FF00FF"/>
                </a:solidFill>
                <a:prstDash val="solid"/>
              </a:ln>
            </c:spPr>
            <c:extLst>
              <c:ext xmlns:c16="http://schemas.microsoft.com/office/drawing/2014/chart" uri="{C3380CC4-5D6E-409C-BE32-E72D297353CC}">
                <c16:uniqueId val="{00000007-054B-4D80-9DF2-F38844D2C614}"/>
              </c:ext>
            </c:extLst>
          </c:dPt>
          <c:dPt>
            <c:idx val="6"/>
            <c:bubble3D val="0"/>
            <c:spPr>
              <a:solidFill>
                <a:srgbClr val="A6CAF0"/>
              </a:solidFill>
              <a:ln w="12709">
                <a:solidFill>
                  <a:srgbClr val="FF00FF"/>
                </a:solidFill>
                <a:prstDash val="solid"/>
              </a:ln>
            </c:spPr>
            <c:extLst>
              <c:ext xmlns:c16="http://schemas.microsoft.com/office/drawing/2014/chart" uri="{C3380CC4-5D6E-409C-BE32-E72D297353CC}">
                <c16:uniqueId val="{00000006-054B-4D80-9DF2-F38844D2C614}"/>
              </c:ext>
            </c:extLst>
          </c:dPt>
          <c:dPt>
            <c:idx val="7"/>
            <c:bubble3D val="0"/>
            <c:spPr>
              <a:solidFill>
                <a:srgbClr val="CC9CCC"/>
              </a:solidFill>
              <a:ln w="12709">
                <a:solidFill>
                  <a:srgbClr val="FF00FF"/>
                </a:solidFill>
                <a:prstDash val="solid"/>
              </a:ln>
            </c:spPr>
            <c:extLst>
              <c:ext xmlns:c16="http://schemas.microsoft.com/office/drawing/2014/chart" uri="{C3380CC4-5D6E-409C-BE32-E72D297353CC}">
                <c16:uniqueId val="{00000005-054B-4D80-9DF2-F38844D2C614}"/>
              </c:ext>
            </c:extLst>
          </c:dPt>
          <c:dLbls>
            <c:dLbl>
              <c:idx val="0"/>
              <c:layout>
                <c:manualLayout>
                  <c:xMode val="edge"/>
                  <c:yMode val="edge"/>
                  <c:x val="0.59866220735785958"/>
                  <c:y val="0.59649122807017541"/>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54B-4D80-9DF2-F38844D2C614}"/>
                </c:ext>
              </c:extLst>
            </c:dLbl>
            <c:dLbl>
              <c:idx val="1"/>
              <c:layout>
                <c:manualLayout>
                  <c:xMode val="edge"/>
                  <c:yMode val="edge"/>
                  <c:x val="5.016722408026756E-2"/>
                  <c:y val="0.19298245614035087"/>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4B-4D80-9DF2-F38844D2C614}"/>
                </c:ext>
              </c:extLst>
            </c:dLbl>
            <c:dLbl>
              <c:idx val="2"/>
              <c:layout>
                <c:manualLayout>
                  <c:xMode val="edge"/>
                  <c:yMode val="edge"/>
                  <c:x val="0.17725752508361203"/>
                  <c:y val="0.12280701754385964"/>
                </c:manualLayout>
              </c:layout>
              <c:numFmt formatCode="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54B-4D80-9DF2-F38844D2C614}"/>
                </c:ext>
              </c:extLst>
            </c:dLbl>
            <c:dLbl>
              <c:idx val="3"/>
              <c:layout>
                <c:manualLayout>
                  <c:xMode val="edge"/>
                  <c:yMode val="edge"/>
                  <c:x val="0.68896321070234112"/>
                  <c:y val="9.6491228070175433E-2"/>
                </c:manualLayout>
              </c:layout>
              <c:tx>
                <c:rich>
                  <a:bodyPr/>
                  <a:lstStyle/>
                  <a:p>
                    <a:pPr>
                      <a:defRPr sz="1101" b="0" i="0" u="none" strike="noStrike" baseline="0">
                        <a:solidFill>
                          <a:srgbClr val="000000"/>
                        </a:solidFill>
                        <a:latin typeface="Times New Roman"/>
                        <a:ea typeface="Times New Roman"/>
                        <a:cs typeface="Times New Roman"/>
                      </a:defRPr>
                    </a:pPr>
                    <a:r>
                      <a:rPr lang="ru-RU"/>
                      <a:t>0,1%</a:t>
                    </a:r>
                  </a:p>
                </c:rich>
              </c:tx>
              <c:spPr>
                <a:noFill/>
                <a:ln w="25417">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4B-4D80-9DF2-F38844D2C614}"/>
                </c:ext>
              </c:extLst>
            </c:dLbl>
            <c:dLbl>
              <c:idx val="4"/>
              <c:layout>
                <c:manualLayout>
                  <c:xMode val="edge"/>
                  <c:yMode val="edge"/>
                  <c:x val="0.39130434782608697"/>
                  <c:y val="2.6315789473684209E-2"/>
                </c:manualLayout>
              </c:layout>
              <c:numFmt formatCode="0.00%" sourceLinked="0"/>
              <c:spPr>
                <a:noFill/>
                <a:ln w="25417">
                  <a:noFill/>
                </a:ln>
              </c:spPr>
              <c:txPr>
                <a:bodyPr/>
                <a:lstStyle/>
                <a:p>
                  <a:pPr>
                    <a:defRPr sz="1101"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54B-4D80-9DF2-F38844D2C614}"/>
                </c:ext>
              </c:extLst>
            </c:dLbl>
            <c:numFmt formatCode="0.0%" sourceLinked="0"/>
            <c:spPr>
              <a:noFill/>
              <a:ln w="25417">
                <a:noFill/>
              </a:ln>
            </c:spPr>
            <c:txPr>
              <a:bodyPr wrap="square" lIns="38100" tIns="19050" rIns="38100" bIns="19050" anchor="ctr">
                <a:spAutoFit/>
              </a:bodyPr>
              <a:lstStyle/>
              <a:p>
                <a:pPr>
                  <a:defRPr sz="1101"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банкомат</c:v>
                </c:pt>
                <c:pt idx="1">
                  <c:v>POS-терм.</c:v>
                </c:pt>
                <c:pt idx="2">
                  <c:v>банк.дүңгіршек</c:v>
                </c:pt>
                <c:pt idx="3">
                  <c:v>жылдам төлеу терм.</c:v>
                </c:pt>
                <c:pt idx="4">
                  <c:v>басқа</c:v>
                </c:pt>
              </c:strCache>
            </c:strRef>
          </c:cat>
          <c:val>
            <c:numRef>
              <c:f>Sheet1!$B$2:$B$6</c:f>
              <c:numCache>
                <c:formatCode>#,##0</c:formatCode>
                <c:ptCount val="5"/>
                <c:pt idx="0">
                  <c:v>157195</c:v>
                </c:pt>
                <c:pt idx="1">
                  <c:v>3529</c:v>
                </c:pt>
                <c:pt idx="2">
                  <c:v>21652</c:v>
                </c:pt>
                <c:pt idx="3" formatCode="General">
                  <c:v>268</c:v>
                </c:pt>
                <c:pt idx="4" formatCode="General">
                  <c:v>43</c:v>
                </c:pt>
              </c:numCache>
            </c:numRef>
          </c:val>
          <c:extLst>
            <c:ext xmlns:c16="http://schemas.microsoft.com/office/drawing/2014/chart" uri="{C3380CC4-5D6E-409C-BE32-E72D297353CC}">
              <c16:uniqueId val="{00000008-054B-4D80-9DF2-F38844D2C614}"/>
            </c:ext>
          </c:extLst>
        </c:ser>
        <c:dLbls>
          <c:showLegendKey val="1"/>
          <c:showVal val="0"/>
          <c:showCatName val="0"/>
          <c:showSerName val="0"/>
          <c:showPercent val="1"/>
          <c:showBubbleSize val="0"/>
          <c:showLeaderLines val="1"/>
        </c:dLbls>
      </c:pie3DChart>
      <c:spPr>
        <a:noFill/>
        <a:ln w="25417">
          <a:noFill/>
        </a:ln>
      </c:spPr>
    </c:plotArea>
    <c:legend>
      <c:legendPos val="b"/>
      <c:layout>
        <c:manualLayout>
          <c:xMode val="edge"/>
          <c:yMode val="edge"/>
          <c:x val="3.678929765886288E-2"/>
          <c:y val="0.81140350877192979"/>
          <c:w val="0.94648829431438131"/>
          <c:h val="0.19298245614035087"/>
        </c:manualLayout>
      </c:layout>
      <c:overlay val="0"/>
      <c:spPr>
        <a:noFill/>
        <a:ln w="3177">
          <a:solidFill>
            <a:srgbClr val="000000"/>
          </a:solidFill>
          <a:prstDash val="solid"/>
        </a:ln>
      </c:spPr>
      <c:txPr>
        <a:bodyPr/>
        <a:lstStyle/>
        <a:p>
          <a:pPr>
            <a:defRPr sz="826"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596774193548387"/>
          <c:y val="0.33"/>
          <c:w val="0.40322580645161288"/>
          <c:h val="0.5"/>
        </c:manualLayout>
      </c:layout>
      <c:pie3DChart>
        <c:varyColors val="1"/>
        <c:ser>
          <c:idx val="0"/>
          <c:order val="0"/>
          <c:tx>
            <c:strRef>
              <c:f>Sheet1!$B$1</c:f>
              <c:strCache>
                <c:ptCount val="1"/>
                <c:pt idx="0">
                  <c:v> Количество карточек в обращении (тыс. ед.)</c:v>
                </c:pt>
              </c:strCache>
            </c:strRef>
          </c:tx>
          <c:spPr>
            <a:solidFill>
              <a:srgbClr val="9999FF"/>
            </a:solidFill>
            <a:ln w="12699">
              <a:solidFill>
                <a:srgbClr val="000000"/>
              </a:solidFill>
              <a:prstDash val="solid"/>
            </a:ln>
          </c:spPr>
          <c:dPt>
            <c:idx val="0"/>
            <c:bubble3D val="0"/>
            <c:extLst>
              <c:ext xmlns:c16="http://schemas.microsoft.com/office/drawing/2014/chart" uri="{C3380CC4-5D6E-409C-BE32-E72D297353CC}">
                <c16:uniqueId val="{00000000-B831-4D65-90BE-0C00C7018090}"/>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1-B831-4D65-90BE-0C00C7018090}"/>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2-B831-4D65-90BE-0C00C7018090}"/>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3-B831-4D65-90BE-0C00C7018090}"/>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4-B831-4D65-90BE-0C00C7018090}"/>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05-B831-4D65-90BE-0C00C7018090}"/>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06-B831-4D65-90BE-0C00C7018090}"/>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07-B831-4D65-90BE-0C00C7018090}"/>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08-B831-4D65-90BE-0C00C7018090}"/>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09-B831-4D65-90BE-0C00C7018090}"/>
              </c:ext>
            </c:extLst>
          </c:dPt>
          <c:dPt>
            <c:idx val="10"/>
            <c:bubble3D val="0"/>
            <c:spPr>
              <a:solidFill>
                <a:srgbClr val="FFFF00"/>
              </a:solidFill>
              <a:ln w="12699">
                <a:solidFill>
                  <a:srgbClr val="000000"/>
                </a:solidFill>
                <a:prstDash val="solid"/>
              </a:ln>
            </c:spPr>
            <c:extLst>
              <c:ext xmlns:c16="http://schemas.microsoft.com/office/drawing/2014/chart" uri="{C3380CC4-5D6E-409C-BE32-E72D297353CC}">
                <c16:uniqueId val="{0000000A-B831-4D65-90BE-0C00C7018090}"/>
              </c:ext>
            </c:extLst>
          </c:dPt>
          <c:dPt>
            <c:idx val="11"/>
            <c:bubble3D val="0"/>
            <c:spPr>
              <a:solidFill>
                <a:srgbClr val="00FFFF"/>
              </a:solidFill>
              <a:ln w="12699">
                <a:solidFill>
                  <a:srgbClr val="000000"/>
                </a:solidFill>
                <a:prstDash val="solid"/>
              </a:ln>
            </c:spPr>
            <c:extLst>
              <c:ext xmlns:c16="http://schemas.microsoft.com/office/drawing/2014/chart" uri="{C3380CC4-5D6E-409C-BE32-E72D297353CC}">
                <c16:uniqueId val="{0000000B-B831-4D65-90BE-0C00C7018090}"/>
              </c:ext>
            </c:extLst>
          </c:dPt>
          <c:dPt>
            <c:idx val="12"/>
            <c:bubble3D val="0"/>
            <c:spPr>
              <a:solidFill>
                <a:srgbClr val="800080"/>
              </a:solidFill>
              <a:ln w="12699">
                <a:solidFill>
                  <a:srgbClr val="000000"/>
                </a:solidFill>
                <a:prstDash val="solid"/>
              </a:ln>
            </c:spPr>
            <c:extLst>
              <c:ext xmlns:c16="http://schemas.microsoft.com/office/drawing/2014/chart" uri="{C3380CC4-5D6E-409C-BE32-E72D297353CC}">
                <c16:uniqueId val="{0000000C-B831-4D65-90BE-0C00C7018090}"/>
              </c:ext>
            </c:extLst>
          </c:dPt>
          <c:dPt>
            <c:idx val="13"/>
            <c:bubble3D val="0"/>
            <c:spPr>
              <a:solidFill>
                <a:srgbClr val="800000"/>
              </a:solidFill>
              <a:ln w="12699">
                <a:solidFill>
                  <a:srgbClr val="000000"/>
                </a:solidFill>
                <a:prstDash val="solid"/>
              </a:ln>
            </c:spPr>
            <c:extLst>
              <c:ext xmlns:c16="http://schemas.microsoft.com/office/drawing/2014/chart" uri="{C3380CC4-5D6E-409C-BE32-E72D297353CC}">
                <c16:uniqueId val="{0000000D-B831-4D65-90BE-0C00C7018090}"/>
              </c:ext>
            </c:extLst>
          </c:dPt>
          <c:dPt>
            <c:idx val="14"/>
            <c:bubble3D val="0"/>
            <c:spPr>
              <a:solidFill>
                <a:srgbClr val="008080"/>
              </a:solidFill>
              <a:ln w="12699">
                <a:solidFill>
                  <a:srgbClr val="000000"/>
                </a:solidFill>
                <a:prstDash val="solid"/>
              </a:ln>
            </c:spPr>
            <c:extLst>
              <c:ext xmlns:c16="http://schemas.microsoft.com/office/drawing/2014/chart" uri="{C3380CC4-5D6E-409C-BE32-E72D297353CC}">
                <c16:uniqueId val="{0000000E-B831-4D65-90BE-0C00C7018090}"/>
              </c:ext>
            </c:extLst>
          </c:dPt>
          <c:dPt>
            <c:idx val="15"/>
            <c:bubble3D val="0"/>
            <c:spPr>
              <a:solidFill>
                <a:srgbClr val="0000FF"/>
              </a:solidFill>
              <a:ln w="12699">
                <a:solidFill>
                  <a:srgbClr val="000000"/>
                </a:solidFill>
                <a:prstDash val="solid"/>
              </a:ln>
            </c:spPr>
            <c:extLst>
              <c:ext xmlns:c16="http://schemas.microsoft.com/office/drawing/2014/chart" uri="{C3380CC4-5D6E-409C-BE32-E72D297353CC}">
                <c16:uniqueId val="{0000000F-B831-4D65-90BE-0C00C7018090}"/>
              </c:ext>
            </c:extLst>
          </c:dPt>
          <c:dLbls>
            <c:dLbl>
              <c:idx val="0"/>
              <c:layout>
                <c:manualLayout>
                  <c:xMode val="edge"/>
                  <c:yMode val="edge"/>
                  <c:x val="0.34193548387096773"/>
                  <c:y val="0.1950000000000000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831-4D65-90BE-0C00C7018090}"/>
                </c:ext>
              </c:extLst>
            </c:dLbl>
            <c:dLbl>
              <c:idx val="1"/>
              <c:layout>
                <c:manualLayout>
                  <c:xMode val="edge"/>
                  <c:yMode val="edge"/>
                  <c:x val="0.40806451612903227"/>
                  <c:y val="0.1749999999999999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831-4D65-90BE-0C00C7018090}"/>
                </c:ext>
              </c:extLst>
            </c:dLbl>
            <c:dLbl>
              <c:idx val="2"/>
              <c:layout>
                <c:manualLayout>
                  <c:xMode val="edge"/>
                  <c:yMode val="edge"/>
                  <c:x val="0.46612903225806451"/>
                  <c:y val="0.2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831-4D65-90BE-0C00C7018090}"/>
                </c:ext>
              </c:extLst>
            </c:dLbl>
            <c:dLbl>
              <c:idx val="3"/>
              <c:layout>
                <c:manualLayout>
                  <c:xMode val="edge"/>
                  <c:yMode val="edge"/>
                  <c:x val="0.51774193548387093"/>
                  <c:y val="0.2750000000000000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831-4D65-90BE-0C00C7018090}"/>
                </c:ext>
              </c:extLst>
            </c:dLbl>
            <c:dLbl>
              <c:idx val="4"/>
              <c:layout>
                <c:manualLayout>
                  <c:xMode val="edge"/>
                  <c:yMode val="edge"/>
                  <c:x val="0.5693548387096774"/>
                  <c:y val="0.38"/>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831-4D65-90BE-0C00C7018090}"/>
                </c:ext>
              </c:extLst>
            </c:dLbl>
            <c:dLbl>
              <c:idx val="5"/>
              <c:layout>
                <c:manualLayout>
                  <c:xMode val="edge"/>
                  <c:yMode val="edge"/>
                  <c:x val="0.5741935483870968"/>
                  <c:y val="0.54"/>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831-4D65-90BE-0C00C7018090}"/>
                </c:ext>
              </c:extLst>
            </c:dLbl>
            <c:dLbl>
              <c:idx val="6"/>
              <c:layout>
                <c:manualLayout>
                  <c:xMode val="edge"/>
                  <c:yMode val="edge"/>
                  <c:x val="0.5741935483870968"/>
                  <c:y val="0.6850000000000000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831-4D65-90BE-0C00C7018090}"/>
                </c:ext>
              </c:extLst>
            </c:dLbl>
            <c:dLbl>
              <c:idx val="7"/>
              <c:layout>
                <c:manualLayout>
                  <c:xMode val="edge"/>
                  <c:yMode val="edge"/>
                  <c:x val="0.51451612903225807"/>
                  <c:y val="0.7349999999999999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831-4D65-90BE-0C00C7018090}"/>
                </c:ext>
              </c:extLst>
            </c:dLbl>
            <c:dLbl>
              <c:idx val="9"/>
              <c:layout>
                <c:manualLayout>
                  <c:xMode val="edge"/>
                  <c:yMode val="edge"/>
                  <c:x val="0.38064516129032255"/>
                  <c:y val="0.82499999999999996"/>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831-4D65-90BE-0C00C7018090}"/>
                </c:ext>
              </c:extLst>
            </c:dLbl>
            <c:dLbl>
              <c:idx val="10"/>
              <c:layout>
                <c:manualLayout>
                  <c:xMode val="edge"/>
                  <c:yMode val="edge"/>
                  <c:x val="0.30806451612903224"/>
                  <c:y val="0.82499999999999996"/>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B831-4D65-90BE-0C00C7018090}"/>
                </c:ext>
              </c:extLst>
            </c:dLbl>
            <c:dLbl>
              <c:idx val="11"/>
              <c:layout>
                <c:manualLayout>
                  <c:xMode val="edge"/>
                  <c:yMode val="edge"/>
                  <c:x val="0.23548387096774193"/>
                  <c:y val="0.8050000000000000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831-4D65-90BE-0C00C7018090}"/>
                </c:ext>
              </c:extLst>
            </c:dLbl>
            <c:dLbl>
              <c:idx val="12"/>
              <c:layout>
                <c:manualLayout>
                  <c:xMode val="edge"/>
                  <c:yMode val="edge"/>
                  <c:x val="0.15483870967741936"/>
                  <c:y val="0.78500000000000003"/>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B831-4D65-90BE-0C00C7018090}"/>
                </c:ext>
              </c:extLst>
            </c:dLbl>
            <c:dLbl>
              <c:idx val="13"/>
              <c:layout>
                <c:manualLayout>
                  <c:xMode val="edge"/>
                  <c:yMode val="edge"/>
                  <c:x val="0.11451612903225807"/>
                  <c:y val="0.72499999999999998"/>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831-4D65-90BE-0C00C7018090}"/>
                </c:ext>
              </c:extLst>
            </c:dLbl>
            <c:dLbl>
              <c:idx val="14"/>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extLst>
                <c:ext xmlns:c16="http://schemas.microsoft.com/office/drawing/2014/chart" uri="{C3380CC4-5D6E-409C-BE32-E72D297353CC}">
                  <c16:uniqueId val="{0000000E-B831-4D65-90BE-0C00C7018090}"/>
                </c:ext>
              </c:extLst>
            </c:dLbl>
            <c:dLbl>
              <c:idx val="15"/>
              <c:layout>
                <c:manualLayout>
                  <c:xMode val="edge"/>
                  <c:yMode val="edge"/>
                  <c:x val="0.24838709677419354"/>
                  <c:y val="0.2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831-4D65-90BE-0C00C7018090}"/>
                </c:ext>
              </c:extLst>
            </c:dLbl>
            <c:numFmt formatCode="0.0%" sourceLinked="0"/>
            <c:spPr>
              <a:noFill/>
              <a:ln w="25398">
                <a:noFill/>
              </a:ln>
            </c:spPr>
            <c:txPr>
              <a:bodyPr wrap="square" lIns="38100" tIns="19050" rIns="38100" bIns="19050" anchor="ctr">
                <a:spAutoFit/>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Sheet1!$A$2:$A$17</c:f>
              <c:strCache>
                <c:ptCount val="16"/>
                <c:pt idx="0">
                  <c:v>Ақмола                  </c:v>
                </c:pt>
                <c:pt idx="1">
                  <c:v>Ақтөбе</c:v>
                </c:pt>
                <c:pt idx="2">
                  <c:v>Алматы                 </c:v>
                </c:pt>
                <c:pt idx="3">
                  <c:v>Атырау                 </c:v>
                </c:pt>
                <c:pt idx="4">
                  <c:v>Шығыс Қазақстан  </c:v>
                </c:pt>
                <c:pt idx="5">
                  <c:v>Жамбыл</c:v>
                </c:pt>
                <c:pt idx="6">
                  <c:v>Батыс Қазақстан      </c:v>
                </c:pt>
                <c:pt idx="7">
                  <c:v>Қарағанды             </c:v>
                </c:pt>
                <c:pt idx="8">
                  <c:v>Қостанай                </c:v>
                </c:pt>
                <c:pt idx="9">
                  <c:v>Қызылорда           </c:v>
                </c:pt>
                <c:pt idx="10">
                  <c:v>Маңғыстау                 </c:v>
                </c:pt>
                <c:pt idx="11">
                  <c:v>Павлодар                </c:v>
                </c:pt>
                <c:pt idx="12">
                  <c:v>Солтүстік Қазақстан      </c:v>
                </c:pt>
                <c:pt idx="13">
                  <c:v>Оңтүстік Қазақстан      </c:v>
                </c:pt>
                <c:pt idx="14">
                  <c:v>Алматы қ.                    </c:v>
                </c:pt>
                <c:pt idx="15">
                  <c:v>Астана  қ.                   </c:v>
                </c:pt>
              </c:strCache>
            </c:strRef>
          </c:cat>
          <c:val>
            <c:numRef>
              <c:f>Sheet1!$B$2:$B$17</c:f>
              <c:numCache>
                <c:formatCode>General</c:formatCode>
                <c:ptCount val="16"/>
                <c:pt idx="0">
                  <c:v>5.3</c:v>
                </c:pt>
                <c:pt idx="1">
                  <c:v>9.1999999999999993</c:v>
                </c:pt>
                <c:pt idx="2">
                  <c:v>7.1</c:v>
                </c:pt>
                <c:pt idx="3">
                  <c:v>8.4</c:v>
                </c:pt>
                <c:pt idx="4">
                  <c:v>13.7</c:v>
                </c:pt>
                <c:pt idx="5">
                  <c:v>7.6</c:v>
                </c:pt>
                <c:pt idx="6">
                  <c:v>6.4</c:v>
                </c:pt>
                <c:pt idx="7">
                  <c:v>15.2</c:v>
                </c:pt>
                <c:pt idx="8">
                  <c:v>11.9</c:v>
                </c:pt>
                <c:pt idx="9">
                  <c:v>6.2</c:v>
                </c:pt>
                <c:pt idx="10">
                  <c:v>8.1999999999999993</c:v>
                </c:pt>
                <c:pt idx="11">
                  <c:v>8.5</c:v>
                </c:pt>
                <c:pt idx="12">
                  <c:v>4.5</c:v>
                </c:pt>
                <c:pt idx="13">
                  <c:v>11.7</c:v>
                </c:pt>
                <c:pt idx="14">
                  <c:v>41.9</c:v>
                </c:pt>
                <c:pt idx="15">
                  <c:v>19</c:v>
                </c:pt>
              </c:numCache>
            </c:numRef>
          </c:val>
          <c:extLst>
            <c:ext xmlns:c16="http://schemas.microsoft.com/office/drawing/2014/chart" uri="{C3380CC4-5D6E-409C-BE32-E72D297353CC}">
              <c16:uniqueId val="{00000010-B831-4D65-90BE-0C00C7018090}"/>
            </c:ext>
          </c:extLst>
        </c:ser>
        <c:dLbls>
          <c:showLegendKey val="0"/>
          <c:showVal val="0"/>
          <c:showCatName val="0"/>
          <c:showSerName val="0"/>
          <c:showPercent val="1"/>
          <c:showBubbleSize val="0"/>
          <c:showLeaderLines val="1"/>
        </c:dLbls>
      </c:pie3DChart>
      <c:spPr>
        <a:noFill/>
        <a:ln w="25398">
          <a:noFill/>
        </a:ln>
      </c:spPr>
    </c:plotArea>
    <c:legend>
      <c:legendPos val="r"/>
      <c:layout>
        <c:manualLayout>
          <c:xMode val="edge"/>
          <c:yMode val="edge"/>
          <c:x val="0.70161290322580649"/>
          <c:y val="4.4999999999999998E-2"/>
          <c:w val="0.29838709677419356"/>
          <c:h val="0.92"/>
        </c:manualLayout>
      </c:layout>
      <c:overlay val="0"/>
      <c:spPr>
        <a:noFill/>
        <a:ln w="3175">
          <a:solidFill>
            <a:srgbClr val="000000"/>
          </a:solidFill>
          <a:prstDash val="solid"/>
        </a:ln>
      </c:spPr>
      <c:txPr>
        <a:bodyPr/>
        <a:lstStyle/>
        <a:p>
          <a:pPr>
            <a:defRPr sz="80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7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596774193548387"/>
          <c:y val="0.33"/>
          <c:w val="0.40322580645161288"/>
          <c:h val="0.5"/>
        </c:manualLayout>
      </c:layout>
      <c:pie3DChart>
        <c:varyColors val="1"/>
        <c:ser>
          <c:idx val="0"/>
          <c:order val="0"/>
          <c:tx>
            <c:strRef>
              <c:f>Sheet1!$B$1</c:f>
              <c:strCache>
                <c:ptCount val="1"/>
                <c:pt idx="0">
                  <c:v> Количество карточек в обращении (тыс. ед.)</c:v>
                </c:pt>
              </c:strCache>
            </c:strRef>
          </c:tx>
          <c:spPr>
            <a:solidFill>
              <a:srgbClr val="9999FF"/>
            </a:solidFill>
            <a:ln w="12699">
              <a:solidFill>
                <a:srgbClr val="000000"/>
              </a:solidFill>
              <a:prstDash val="solid"/>
            </a:ln>
          </c:spPr>
          <c:dPt>
            <c:idx val="0"/>
            <c:bubble3D val="0"/>
            <c:extLst>
              <c:ext xmlns:c16="http://schemas.microsoft.com/office/drawing/2014/chart" uri="{C3380CC4-5D6E-409C-BE32-E72D297353CC}">
                <c16:uniqueId val="{00000000-62F1-4637-9C5B-0E6CF5DA54AA}"/>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1-62F1-4637-9C5B-0E6CF5DA54AA}"/>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2-62F1-4637-9C5B-0E6CF5DA54AA}"/>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3-62F1-4637-9C5B-0E6CF5DA54AA}"/>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4-62F1-4637-9C5B-0E6CF5DA54AA}"/>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05-62F1-4637-9C5B-0E6CF5DA54AA}"/>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06-62F1-4637-9C5B-0E6CF5DA54AA}"/>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07-62F1-4637-9C5B-0E6CF5DA54AA}"/>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08-62F1-4637-9C5B-0E6CF5DA54AA}"/>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09-62F1-4637-9C5B-0E6CF5DA54AA}"/>
              </c:ext>
            </c:extLst>
          </c:dPt>
          <c:dPt>
            <c:idx val="10"/>
            <c:bubble3D val="0"/>
            <c:spPr>
              <a:solidFill>
                <a:srgbClr val="FFFF00"/>
              </a:solidFill>
              <a:ln w="12699">
                <a:solidFill>
                  <a:srgbClr val="000000"/>
                </a:solidFill>
                <a:prstDash val="solid"/>
              </a:ln>
            </c:spPr>
            <c:extLst>
              <c:ext xmlns:c16="http://schemas.microsoft.com/office/drawing/2014/chart" uri="{C3380CC4-5D6E-409C-BE32-E72D297353CC}">
                <c16:uniqueId val="{0000000A-62F1-4637-9C5B-0E6CF5DA54AA}"/>
              </c:ext>
            </c:extLst>
          </c:dPt>
          <c:dPt>
            <c:idx val="11"/>
            <c:bubble3D val="0"/>
            <c:spPr>
              <a:solidFill>
                <a:srgbClr val="00FFFF"/>
              </a:solidFill>
              <a:ln w="12699">
                <a:solidFill>
                  <a:srgbClr val="000000"/>
                </a:solidFill>
                <a:prstDash val="solid"/>
              </a:ln>
            </c:spPr>
            <c:extLst>
              <c:ext xmlns:c16="http://schemas.microsoft.com/office/drawing/2014/chart" uri="{C3380CC4-5D6E-409C-BE32-E72D297353CC}">
                <c16:uniqueId val="{0000000B-62F1-4637-9C5B-0E6CF5DA54AA}"/>
              </c:ext>
            </c:extLst>
          </c:dPt>
          <c:dPt>
            <c:idx val="12"/>
            <c:bubble3D val="0"/>
            <c:spPr>
              <a:solidFill>
                <a:srgbClr val="800080"/>
              </a:solidFill>
              <a:ln w="12699">
                <a:solidFill>
                  <a:srgbClr val="000000"/>
                </a:solidFill>
                <a:prstDash val="solid"/>
              </a:ln>
            </c:spPr>
            <c:extLst>
              <c:ext xmlns:c16="http://schemas.microsoft.com/office/drawing/2014/chart" uri="{C3380CC4-5D6E-409C-BE32-E72D297353CC}">
                <c16:uniqueId val="{0000000C-62F1-4637-9C5B-0E6CF5DA54AA}"/>
              </c:ext>
            </c:extLst>
          </c:dPt>
          <c:dPt>
            <c:idx val="13"/>
            <c:bubble3D val="0"/>
            <c:spPr>
              <a:solidFill>
                <a:srgbClr val="800000"/>
              </a:solidFill>
              <a:ln w="12699">
                <a:solidFill>
                  <a:srgbClr val="000000"/>
                </a:solidFill>
                <a:prstDash val="solid"/>
              </a:ln>
            </c:spPr>
            <c:extLst>
              <c:ext xmlns:c16="http://schemas.microsoft.com/office/drawing/2014/chart" uri="{C3380CC4-5D6E-409C-BE32-E72D297353CC}">
                <c16:uniqueId val="{0000000D-62F1-4637-9C5B-0E6CF5DA54AA}"/>
              </c:ext>
            </c:extLst>
          </c:dPt>
          <c:dPt>
            <c:idx val="14"/>
            <c:bubble3D val="0"/>
            <c:spPr>
              <a:solidFill>
                <a:srgbClr val="008080"/>
              </a:solidFill>
              <a:ln w="12699">
                <a:solidFill>
                  <a:srgbClr val="000000"/>
                </a:solidFill>
                <a:prstDash val="solid"/>
              </a:ln>
            </c:spPr>
            <c:extLst>
              <c:ext xmlns:c16="http://schemas.microsoft.com/office/drawing/2014/chart" uri="{C3380CC4-5D6E-409C-BE32-E72D297353CC}">
                <c16:uniqueId val="{0000000E-62F1-4637-9C5B-0E6CF5DA54AA}"/>
              </c:ext>
            </c:extLst>
          </c:dPt>
          <c:dPt>
            <c:idx val="15"/>
            <c:bubble3D val="0"/>
            <c:spPr>
              <a:solidFill>
                <a:srgbClr val="0000FF"/>
              </a:solidFill>
              <a:ln w="12699">
                <a:solidFill>
                  <a:srgbClr val="000000"/>
                </a:solidFill>
                <a:prstDash val="solid"/>
              </a:ln>
            </c:spPr>
            <c:extLst>
              <c:ext xmlns:c16="http://schemas.microsoft.com/office/drawing/2014/chart" uri="{C3380CC4-5D6E-409C-BE32-E72D297353CC}">
                <c16:uniqueId val="{0000000F-62F1-4637-9C5B-0E6CF5DA54AA}"/>
              </c:ext>
            </c:extLst>
          </c:dPt>
          <c:dLbls>
            <c:dLbl>
              <c:idx val="0"/>
              <c:layout>
                <c:manualLayout>
                  <c:xMode val="edge"/>
                  <c:yMode val="edge"/>
                  <c:x val="0.33709677419354839"/>
                  <c:y val="0.1950000000000000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2F1-4637-9C5B-0E6CF5DA54AA}"/>
                </c:ext>
              </c:extLst>
            </c:dLbl>
            <c:dLbl>
              <c:idx val="1"/>
              <c:layout>
                <c:manualLayout>
                  <c:xMode val="edge"/>
                  <c:yMode val="edge"/>
                  <c:x val="0.41451612903225804"/>
                  <c:y val="0.21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2F1-4637-9C5B-0E6CF5DA54AA}"/>
                </c:ext>
              </c:extLst>
            </c:dLbl>
            <c:dLbl>
              <c:idx val="2"/>
              <c:layout>
                <c:manualLayout>
                  <c:xMode val="edge"/>
                  <c:yMode val="edge"/>
                  <c:x val="0.4790322580645161"/>
                  <c:y val="0.2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2F1-4637-9C5B-0E6CF5DA54AA}"/>
                </c:ext>
              </c:extLst>
            </c:dLbl>
            <c:dLbl>
              <c:idx val="3"/>
              <c:layout>
                <c:manualLayout>
                  <c:xMode val="edge"/>
                  <c:yMode val="edge"/>
                  <c:x val="0.53870967741935483"/>
                  <c:y val="0.29499999999999998"/>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2F1-4637-9C5B-0E6CF5DA54AA}"/>
                </c:ext>
              </c:extLst>
            </c:dLbl>
            <c:dLbl>
              <c:idx val="4"/>
              <c:layout>
                <c:manualLayout>
                  <c:xMode val="edge"/>
                  <c:yMode val="edge"/>
                  <c:x val="0.5693548387096774"/>
                  <c:y val="0.3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2F1-4637-9C5B-0E6CF5DA54AA}"/>
                </c:ext>
              </c:extLst>
            </c:dLbl>
            <c:dLbl>
              <c:idx val="5"/>
              <c:layout>
                <c:manualLayout>
                  <c:xMode val="edge"/>
                  <c:yMode val="edge"/>
                  <c:x val="0.59516129032258069"/>
                  <c:y val="0.59"/>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2F1-4637-9C5B-0E6CF5DA54AA}"/>
                </c:ext>
              </c:extLst>
            </c:dLbl>
            <c:dLbl>
              <c:idx val="6"/>
              <c:layout>
                <c:manualLayout>
                  <c:xMode val="edge"/>
                  <c:yMode val="edge"/>
                  <c:x val="0.58709677419354833"/>
                  <c:y val="0.67500000000000004"/>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2F1-4637-9C5B-0E6CF5DA54AA}"/>
                </c:ext>
              </c:extLst>
            </c:dLbl>
            <c:dLbl>
              <c:idx val="7"/>
              <c:layout>
                <c:manualLayout>
                  <c:xMode val="edge"/>
                  <c:yMode val="edge"/>
                  <c:x val="0.51451612903225807"/>
                  <c:y val="0.74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2F1-4637-9C5B-0E6CF5DA54AA}"/>
                </c:ext>
              </c:extLst>
            </c:dLbl>
            <c:dLbl>
              <c:idx val="9"/>
              <c:layout>
                <c:manualLayout>
                  <c:xMode val="edge"/>
                  <c:yMode val="edge"/>
                  <c:x val="0.38709677419354838"/>
                  <c:y val="0.81"/>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2F1-4637-9C5B-0E6CF5DA54AA}"/>
                </c:ext>
              </c:extLst>
            </c:dLbl>
            <c:dLbl>
              <c:idx val="10"/>
              <c:layout>
                <c:manualLayout>
                  <c:xMode val="edge"/>
                  <c:yMode val="edge"/>
                  <c:x val="0.32741935483870965"/>
                  <c:y val="0.82"/>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62F1-4637-9C5B-0E6CF5DA54AA}"/>
                </c:ext>
              </c:extLst>
            </c:dLbl>
            <c:dLbl>
              <c:idx val="11"/>
              <c:layout>
                <c:manualLayout>
                  <c:xMode val="edge"/>
                  <c:yMode val="edge"/>
                  <c:x val="0.25806451612903225"/>
                  <c:y val="0.81499999999999995"/>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2F1-4637-9C5B-0E6CF5DA54AA}"/>
                </c:ext>
              </c:extLst>
            </c:dLbl>
            <c:dLbl>
              <c:idx val="12"/>
              <c:layout>
                <c:manualLayout>
                  <c:xMode val="edge"/>
                  <c:yMode val="edge"/>
                  <c:x val="0.19516129032258064"/>
                  <c:y val="0.78500000000000003"/>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62F1-4637-9C5B-0E6CF5DA54AA}"/>
                </c:ext>
              </c:extLst>
            </c:dLbl>
            <c:dLbl>
              <c:idx val="13"/>
              <c:layout>
                <c:manualLayout>
                  <c:xMode val="edge"/>
                  <c:yMode val="edge"/>
                  <c:x val="0.13548387096774195"/>
                  <c:y val="0.71499999999999997"/>
                </c:manualLayout>
              </c:layout>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2F1-4637-9C5B-0E6CF5DA54AA}"/>
                </c:ext>
              </c:extLst>
            </c:dLbl>
            <c:dLbl>
              <c:idx val="14"/>
              <c:numFmt formatCode="0.0%" sourceLinked="0"/>
              <c:spPr>
                <a:noFill/>
                <a:ln w="25398">
                  <a:noFill/>
                </a:ln>
              </c:spPr>
              <c:txPr>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extLst>
                <c:ext xmlns:c16="http://schemas.microsoft.com/office/drawing/2014/chart" uri="{C3380CC4-5D6E-409C-BE32-E72D297353CC}">
                  <c16:uniqueId val="{0000000E-62F1-4637-9C5B-0E6CF5DA54AA}"/>
                </c:ext>
              </c:extLst>
            </c:dLbl>
            <c:numFmt formatCode="0.0%" sourceLinked="0"/>
            <c:spPr>
              <a:noFill/>
              <a:ln w="25398">
                <a:noFill/>
              </a:ln>
            </c:spPr>
            <c:txPr>
              <a:bodyPr wrap="square" lIns="38100" tIns="19050" rIns="38100" bIns="19050" anchor="ctr">
                <a:spAutoFit/>
              </a:bodyPr>
              <a:lstStyle/>
              <a:p>
                <a:pPr>
                  <a:defRPr sz="87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Sheet1!$A$2:$A$17</c:f>
              <c:strCache>
                <c:ptCount val="16"/>
                <c:pt idx="0">
                  <c:v>Ақмола               </c:v>
                </c:pt>
                <c:pt idx="1">
                  <c:v>Ақтөбе</c:v>
                </c:pt>
                <c:pt idx="2">
                  <c:v>Алматы                </c:v>
                </c:pt>
                <c:pt idx="3">
                  <c:v>Атырау                 </c:v>
                </c:pt>
                <c:pt idx="4">
                  <c:v>Шығыс Қазақстан  </c:v>
                </c:pt>
                <c:pt idx="5">
                  <c:v>Жамбыл</c:v>
                </c:pt>
                <c:pt idx="6">
                  <c:v>Батыс Қазақстан     </c:v>
                </c:pt>
                <c:pt idx="7">
                  <c:v>Қарағанды              </c:v>
                </c:pt>
                <c:pt idx="8">
                  <c:v>Қостанай                </c:v>
                </c:pt>
                <c:pt idx="9">
                  <c:v>Қызылорда           </c:v>
                </c:pt>
                <c:pt idx="10">
                  <c:v>Маңғыстау               </c:v>
                </c:pt>
                <c:pt idx="11">
                  <c:v>Павлодар                </c:v>
                </c:pt>
                <c:pt idx="12">
                  <c:v>Солтүстік Қазақстан       </c:v>
                </c:pt>
                <c:pt idx="13">
                  <c:v>Оңтүстік Қазақстан        </c:v>
                </c:pt>
                <c:pt idx="14">
                  <c:v>Алматы қ.                    </c:v>
                </c:pt>
                <c:pt idx="15">
                  <c:v>Астана  қ.                   </c:v>
                </c:pt>
              </c:strCache>
            </c:strRef>
          </c:cat>
          <c:val>
            <c:numRef>
              <c:f>Sheet1!$B$2:$B$17</c:f>
              <c:numCache>
                <c:formatCode>General</c:formatCode>
                <c:ptCount val="16"/>
                <c:pt idx="0">
                  <c:v>158.6</c:v>
                </c:pt>
                <c:pt idx="1">
                  <c:v>290.5</c:v>
                </c:pt>
                <c:pt idx="2">
                  <c:v>255.6</c:v>
                </c:pt>
                <c:pt idx="3">
                  <c:v>294.5</c:v>
                </c:pt>
                <c:pt idx="4">
                  <c:v>392</c:v>
                </c:pt>
                <c:pt idx="5">
                  <c:v>230.7</c:v>
                </c:pt>
                <c:pt idx="6">
                  <c:v>188.4</c:v>
                </c:pt>
                <c:pt idx="7">
                  <c:v>450.4</c:v>
                </c:pt>
                <c:pt idx="8">
                  <c:v>219.6</c:v>
                </c:pt>
                <c:pt idx="9">
                  <c:v>198.5</c:v>
                </c:pt>
                <c:pt idx="10">
                  <c:v>335.6</c:v>
                </c:pt>
                <c:pt idx="11">
                  <c:v>258.3</c:v>
                </c:pt>
                <c:pt idx="12">
                  <c:v>119</c:v>
                </c:pt>
                <c:pt idx="13">
                  <c:v>392.7</c:v>
                </c:pt>
                <c:pt idx="14" formatCode="#,##0.00">
                  <c:v>1276.7</c:v>
                </c:pt>
                <c:pt idx="15">
                  <c:v>590.9</c:v>
                </c:pt>
              </c:numCache>
            </c:numRef>
          </c:val>
          <c:extLst>
            <c:ext xmlns:c16="http://schemas.microsoft.com/office/drawing/2014/chart" uri="{C3380CC4-5D6E-409C-BE32-E72D297353CC}">
              <c16:uniqueId val="{00000010-62F1-4637-9C5B-0E6CF5DA54AA}"/>
            </c:ext>
          </c:extLst>
        </c:ser>
        <c:dLbls>
          <c:showLegendKey val="0"/>
          <c:showVal val="0"/>
          <c:showCatName val="0"/>
          <c:showSerName val="0"/>
          <c:showPercent val="1"/>
          <c:showBubbleSize val="0"/>
          <c:showLeaderLines val="1"/>
        </c:dLbls>
      </c:pie3DChart>
      <c:spPr>
        <a:noFill/>
        <a:ln w="25398">
          <a:noFill/>
        </a:ln>
      </c:spPr>
    </c:plotArea>
    <c:legend>
      <c:legendPos val="r"/>
      <c:layout>
        <c:manualLayout>
          <c:xMode val="edge"/>
          <c:yMode val="edge"/>
          <c:x val="0.70161290322580649"/>
          <c:y val="4.4999999999999998E-2"/>
          <c:w val="0.29838709677419356"/>
          <c:h val="0.92"/>
        </c:manualLayout>
      </c:layout>
      <c:overlay val="0"/>
      <c:spPr>
        <a:noFill/>
        <a:ln w="3175">
          <a:solidFill>
            <a:srgbClr val="000000"/>
          </a:solidFill>
          <a:prstDash val="solid"/>
        </a:ln>
      </c:spPr>
      <c:txPr>
        <a:bodyPr/>
        <a:lstStyle/>
        <a:p>
          <a:pPr>
            <a:defRPr sz="80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7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2030</Words>
  <Characters>11572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ПЛАТЕЖНЫЕ СИСТЕМЫ КАЗАХСТАНА</vt:lpstr>
    </vt:vector>
  </TitlesOfParts>
  <Company>Microsoft</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ПЛАТЕЖНЫЕ СИСТЕМЫ КАЗАХСТАНА</dc:title>
  <dc:subject/>
  <dc:creator>Raiymbek_Zh</dc:creator>
  <cp:keywords/>
  <cp:lastModifiedBy>Владимир Мушегов</cp:lastModifiedBy>
  <cp:revision>2</cp:revision>
  <cp:lastPrinted>2013-12-30T08:53:00Z</cp:lastPrinted>
  <dcterms:created xsi:type="dcterms:W3CDTF">2019-11-14T10:36:00Z</dcterms:created>
  <dcterms:modified xsi:type="dcterms:W3CDTF">2019-11-14T10:36:00Z</dcterms:modified>
</cp:coreProperties>
</file>