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E3" w:rsidRPr="00886DE3" w:rsidRDefault="00886DE3" w:rsidP="00886DE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86DE3">
        <w:rPr>
          <w:b/>
          <w:sz w:val="32"/>
          <w:szCs w:val="32"/>
        </w:rPr>
        <w:t>АНАЛИЗ РАЗВИТИЯ РЫНКА СИСТЕМ МЕЖДУНАРОДНЫХ ДЕНЕЖНЫХ ПЕРЕВОДОВ И ИСПОЛЬЗОВАНИЯ ПЛАТЕЖНЫХ ИНСТРУМЕНТОВ ЗА  10 МЕСЯЦЕВ 2013 ГОДА</w:t>
      </w:r>
    </w:p>
    <w:p w:rsidR="00886DE3" w:rsidRDefault="00886DE3" w:rsidP="007F7456"/>
    <w:p w:rsidR="00F4172B" w:rsidRPr="00201A99" w:rsidRDefault="00552473" w:rsidP="00886DE3">
      <w:pPr>
        <w:jc w:val="center"/>
        <w:rPr>
          <w:b/>
          <w:sz w:val="28"/>
          <w:szCs w:val="28"/>
        </w:rPr>
      </w:pPr>
      <w:r w:rsidRPr="00201A99">
        <w:rPr>
          <w:b/>
          <w:sz w:val="28"/>
          <w:szCs w:val="28"/>
        </w:rPr>
        <w:t>I. РЫНОК СИСТЕМ МЕЖДУНАРОДНЫХ</w:t>
      </w:r>
    </w:p>
    <w:p w:rsidR="00125DAE" w:rsidRPr="00201A99" w:rsidRDefault="00552473" w:rsidP="00886DE3">
      <w:pPr>
        <w:tabs>
          <w:tab w:val="num" w:pos="0"/>
        </w:tabs>
        <w:jc w:val="center"/>
        <w:rPr>
          <w:b/>
          <w:sz w:val="28"/>
          <w:szCs w:val="28"/>
        </w:rPr>
      </w:pPr>
      <w:r w:rsidRPr="00201A99">
        <w:rPr>
          <w:b/>
          <w:sz w:val="28"/>
          <w:szCs w:val="28"/>
        </w:rPr>
        <w:t>ДЕНЕЖНЫХ ПЕРЕВОДОВ</w:t>
      </w:r>
    </w:p>
    <w:p w:rsidR="00FB2237" w:rsidRDefault="00FB2237" w:rsidP="00EC7B7F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FB2237" w:rsidRDefault="00EC7B7F" w:rsidP="00FB2237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01A99">
        <w:rPr>
          <w:sz w:val="28"/>
          <w:szCs w:val="28"/>
        </w:rPr>
        <w:t>бъем переводов денег, отправленных через системы международных денежных переводов (</w:t>
      </w:r>
      <w:r w:rsidR="001F2683">
        <w:rPr>
          <w:sz w:val="28"/>
          <w:szCs w:val="28"/>
        </w:rPr>
        <w:t>далее - С</w:t>
      </w:r>
      <w:r w:rsidRPr="00201A99">
        <w:rPr>
          <w:sz w:val="28"/>
          <w:szCs w:val="28"/>
        </w:rPr>
        <w:t>ДП), за 10 месяцев 2013 года составил 1 889,4 тыс. транзакций на сумму 228,2 млрд. тенге, что превышает показатели аналогичного периода прошлого года на 0,9% по количеству и 12,4% по объемам платежей.</w:t>
      </w:r>
      <w:r w:rsidR="00FB2237" w:rsidRPr="00FB2237">
        <w:rPr>
          <w:sz w:val="28"/>
          <w:szCs w:val="28"/>
        </w:rPr>
        <w:t xml:space="preserve"> </w:t>
      </w:r>
      <w:r w:rsidR="00FB2237" w:rsidRPr="00201A99">
        <w:rPr>
          <w:sz w:val="28"/>
          <w:szCs w:val="28"/>
        </w:rPr>
        <w:t xml:space="preserve">При этом банками Казахстана и АО «Казпочта»  представляются своим клиентам услуги по переводам денег через </w:t>
      </w:r>
      <w:r w:rsidR="00FB2237">
        <w:rPr>
          <w:sz w:val="28"/>
          <w:szCs w:val="28"/>
        </w:rPr>
        <w:t xml:space="preserve">такие </w:t>
      </w:r>
      <w:r w:rsidR="00FB2237" w:rsidRPr="00201A99">
        <w:rPr>
          <w:sz w:val="28"/>
          <w:szCs w:val="28"/>
        </w:rPr>
        <w:t xml:space="preserve"> системы</w:t>
      </w:r>
      <w:r w:rsidR="00FB2237">
        <w:rPr>
          <w:sz w:val="28"/>
          <w:szCs w:val="28"/>
        </w:rPr>
        <w:t>, как</w:t>
      </w:r>
      <w:r w:rsidR="00FB2237" w:rsidRPr="00201A99">
        <w:rPr>
          <w:sz w:val="28"/>
          <w:szCs w:val="28"/>
        </w:rPr>
        <w:t xml:space="preserve"> Western Union, Faster, Contact, Золотая корона, Быстрая Почта, Блиц, Unistream, Анелик, Система Всемирного почтового союза, Лидер, MoneyGram, Coinstar Money Transfer, Migom, IntelExpress и другие системы. </w:t>
      </w:r>
    </w:p>
    <w:p w:rsidR="00FB2237" w:rsidRPr="00F10668" w:rsidRDefault="00FB2237" w:rsidP="00FB2237">
      <w:pPr>
        <w:jc w:val="center"/>
      </w:pPr>
      <w:r w:rsidRPr="00F10668">
        <w:rPr>
          <w:b/>
        </w:rPr>
        <w:t xml:space="preserve">Динамика изменения объема переводов денег, отправленных через  </w:t>
      </w:r>
      <w:r w:rsidR="00F10668">
        <w:rPr>
          <w:b/>
        </w:rPr>
        <w:t>СДП</w:t>
      </w:r>
    </w:p>
    <w:p w:rsidR="00FB2237" w:rsidRPr="00F23793" w:rsidRDefault="0078505F" w:rsidP="00FB2237">
      <w:pPr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115050" cy="21907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494D" w:rsidRDefault="00872DED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7B7F">
        <w:rPr>
          <w:sz w:val="28"/>
          <w:szCs w:val="28"/>
        </w:rPr>
        <w:t xml:space="preserve"> настоящее время банками Казахстана и АО «Казпочта» услуги по переводам денег представляются как для физических, так и для юридических лиц.</w:t>
      </w:r>
      <w:r w:rsidR="00C6494D">
        <w:rPr>
          <w:sz w:val="28"/>
          <w:szCs w:val="28"/>
        </w:rPr>
        <w:t xml:space="preserve"> </w:t>
      </w:r>
    </w:p>
    <w:p w:rsidR="00C6494D" w:rsidRDefault="00FB2237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доля </w:t>
      </w:r>
      <w:r w:rsidR="003E0597">
        <w:rPr>
          <w:sz w:val="28"/>
          <w:szCs w:val="28"/>
        </w:rPr>
        <w:t xml:space="preserve">переводов денег </w:t>
      </w:r>
      <w:r>
        <w:rPr>
          <w:sz w:val="28"/>
          <w:szCs w:val="28"/>
        </w:rPr>
        <w:t>приходится на физических лиц. Так, за 10 месяцев 2013 года физическими лицами</w:t>
      </w:r>
      <w:r>
        <w:rPr>
          <w:rStyle w:val="aa"/>
        </w:rPr>
        <w:footnoteReference w:id="1"/>
      </w:r>
      <w:r>
        <w:rPr>
          <w:sz w:val="28"/>
          <w:szCs w:val="28"/>
        </w:rPr>
        <w:t xml:space="preserve"> посредством </w:t>
      </w:r>
      <w:r w:rsidR="001F2683">
        <w:rPr>
          <w:sz w:val="28"/>
          <w:szCs w:val="28"/>
        </w:rPr>
        <w:t>СДП</w:t>
      </w:r>
      <w:r>
        <w:rPr>
          <w:sz w:val="28"/>
          <w:szCs w:val="28"/>
        </w:rPr>
        <w:t xml:space="preserve"> </w:t>
      </w:r>
      <w:r w:rsidR="003E0597">
        <w:rPr>
          <w:sz w:val="28"/>
          <w:szCs w:val="28"/>
        </w:rPr>
        <w:t xml:space="preserve">проведено 1 791,1 тыс. переводов на сумму 213,6 млрд. тенге, </w:t>
      </w:r>
      <w:r w:rsidR="003E0597" w:rsidRPr="00872DED">
        <w:rPr>
          <w:sz w:val="28"/>
          <w:szCs w:val="28"/>
          <w:u w:val="single"/>
        </w:rPr>
        <w:t>что составляет 94,8% от общего количества переводов и 93,6% от общего объема переводов денег</w:t>
      </w:r>
      <w:r w:rsidR="003E0597">
        <w:rPr>
          <w:sz w:val="28"/>
          <w:szCs w:val="28"/>
        </w:rPr>
        <w:t xml:space="preserve"> с использованием систем международных денежных переводов.  В основном это безвозмездные переводы в пользу иных физических лиц – 1 654,5 тыс. переводов на сумму 195,3 млрд. </w:t>
      </w:r>
      <w:r w:rsidR="00FE6955">
        <w:rPr>
          <w:sz w:val="28"/>
          <w:szCs w:val="28"/>
        </w:rPr>
        <w:t xml:space="preserve">тенге (92,4% от общего количества и 91,4% от общего </w:t>
      </w:r>
      <w:r w:rsidR="00FE6955">
        <w:rPr>
          <w:sz w:val="28"/>
          <w:szCs w:val="28"/>
        </w:rPr>
        <w:lastRenderedPageBreak/>
        <w:t xml:space="preserve">объема переводов физических лиц). </w:t>
      </w:r>
      <w:r w:rsidR="00872DED">
        <w:rPr>
          <w:sz w:val="28"/>
          <w:szCs w:val="28"/>
        </w:rPr>
        <w:t xml:space="preserve">Юридическими лицами через </w:t>
      </w:r>
      <w:r w:rsidR="001F2683">
        <w:rPr>
          <w:sz w:val="28"/>
          <w:szCs w:val="28"/>
        </w:rPr>
        <w:t>СДП</w:t>
      </w:r>
      <w:r w:rsidR="00872DED">
        <w:rPr>
          <w:sz w:val="28"/>
          <w:szCs w:val="28"/>
        </w:rPr>
        <w:t xml:space="preserve"> также проводятся специфические переводы (на образование, на лечение, благотворительная помощь) – 75,6% от общего объема переводов данных лиц (11,1 млрд. тенге), а также осуществляется пополнение своих счетов – 13,7% (2,0 млрд. тенге).</w:t>
      </w:r>
    </w:p>
    <w:p w:rsidR="00872DED" w:rsidRDefault="00872DED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1F2683">
        <w:rPr>
          <w:sz w:val="28"/>
          <w:szCs w:val="28"/>
        </w:rPr>
        <w:t>СДП</w:t>
      </w:r>
      <w:r>
        <w:rPr>
          <w:sz w:val="28"/>
          <w:szCs w:val="28"/>
        </w:rPr>
        <w:t xml:space="preserve"> используются населением Казахстана как для проведения переводов на территории страны, так и для отправки/получения переводов денег за рубеж/из-за рубежа.</w:t>
      </w:r>
    </w:p>
    <w:p w:rsidR="008B2785" w:rsidRDefault="008B2785" w:rsidP="008B2785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пе</w:t>
      </w:r>
      <w:r w:rsidR="00605235">
        <w:rPr>
          <w:sz w:val="28"/>
          <w:szCs w:val="28"/>
        </w:rPr>
        <w:t xml:space="preserve">реводов денег, проведенных </w:t>
      </w:r>
      <w:r>
        <w:rPr>
          <w:sz w:val="28"/>
          <w:szCs w:val="28"/>
        </w:rPr>
        <w:t xml:space="preserve">на территории Казахстана, составляет </w:t>
      </w:r>
      <w:r w:rsidRPr="00201A99">
        <w:rPr>
          <w:sz w:val="28"/>
          <w:szCs w:val="28"/>
        </w:rPr>
        <w:t>22,1% от общего количества и 13,8% от общей</w:t>
      </w:r>
      <w:r>
        <w:rPr>
          <w:sz w:val="28"/>
          <w:szCs w:val="28"/>
        </w:rPr>
        <w:t xml:space="preserve"> суммы переводов денег, </w:t>
      </w:r>
      <w:r w:rsidR="00605235">
        <w:rPr>
          <w:sz w:val="28"/>
          <w:szCs w:val="28"/>
        </w:rPr>
        <w:t>отправленных</w:t>
      </w:r>
      <w:r>
        <w:rPr>
          <w:sz w:val="28"/>
          <w:szCs w:val="28"/>
        </w:rPr>
        <w:t xml:space="preserve"> посредством </w:t>
      </w:r>
      <w:r w:rsidR="00605235">
        <w:rPr>
          <w:sz w:val="28"/>
          <w:szCs w:val="28"/>
        </w:rPr>
        <w:t>СДП</w:t>
      </w:r>
      <w:r>
        <w:rPr>
          <w:sz w:val="28"/>
          <w:szCs w:val="28"/>
        </w:rPr>
        <w:t xml:space="preserve">. Доля переводов денег, отправленных за рубеж, составляет 77,9% и 86,2% соответственно, что характеризуется их активным использованием для проведения </w:t>
      </w:r>
      <w:r w:rsidRPr="00201A99">
        <w:rPr>
          <w:sz w:val="28"/>
          <w:szCs w:val="28"/>
        </w:rPr>
        <w:t>трансграничных платежей</w:t>
      </w:r>
      <w:r w:rsidR="00605235">
        <w:rPr>
          <w:sz w:val="28"/>
          <w:szCs w:val="28"/>
        </w:rPr>
        <w:t xml:space="preserve"> в качестве</w:t>
      </w:r>
      <w:r w:rsidRPr="00201A99">
        <w:rPr>
          <w:sz w:val="28"/>
          <w:szCs w:val="28"/>
        </w:rPr>
        <w:t xml:space="preserve"> аналог</w:t>
      </w:r>
      <w:r w:rsidR="00605235">
        <w:rPr>
          <w:sz w:val="28"/>
          <w:szCs w:val="28"/>
        </w:rPr>
        <w:t>а</w:t>
      </w:r>
      <w:r w:rsidRPr="00201A99">
        <w:rPr>
          <w:sz w:val="28"/>
          <w:szCs w:val="28"/>
        </w:rPr>
        <w:t xml:space="preserve"> услугам банков по проведению платежей через счета, открытые на основании корреспондентских отношений с банками-нерезидентами.</w:t>
      </w:r>
      <w:r>
        <w:rPr>
          <w:sz w:val="28"/>
          <w:szCs w:val="28"/>
        </w:rPr>
        <w:t xml:space="preserve"> </w:t>
      </w:r>
    </w:p>
    <w:p w:rsidR="00605235" w:rsidRDefault="00605235" w:rsidP="00605235">
      <w:pPr>
        <w:tabs>
          <w:tab w:val="num" w:pos="993"/>
        </w:tabs>
        <w:ind w:firstLine="709"/>
        <w:rPr>
          <w:sz w:val="28"/>
          <w:szCs w:val="28"/>
        </w:rPr>
      </w:pPr>
    </w:p>
    <w:p w:rsidR="00156684" w:rsidRDefault="00156684" w:rsidP="00605235">
      <w:pPr>
        <w:tabs>
          <w:tab w:val="num" w:pos="993"/>
        </w:tabs>
        <w:ind w:firstLine="709"/>
        <w:rPr>
          <w:b/>
          <w:sz w:val="28"/>
          <w:szCs w:val="28"/>
        </w:rPr>
      </w:pPr>
      <w:r w:rsidRPr="008B2785">
        <w:rPr>
          <w:b/>
          <w:sz w:val="28"/>
          <w:szCs w:val="28"/>
        </w:rPr>
        <w:t xml:space="preserve">ТРАНСГРАНИЧНЫЕ ПЕРЕВОДЫ ДЕНЕГ </w:t>
      </w:r>
    </w:p>
    <w:p w:rsidR="00605235" w:rsidRDefault="00605235" w:rsidP="00156684">
      <w:pPr>
        <w:tabs>
          <w:tab w:val="num" w:pos="993"/>
        </w:tabs>
        <w:ind w:firstLine="709"/>
        <w:jc w:val="center"/>
        <w:rPr>
          <w:b/>
          <w:sz w:val="28"/>
          <w:szCs w:val="28"/>
        </w:rPr>
      </w:pPr>
    </w:p>
    <w:p w:rsidR="00147052" w:rsidRPr="002B22B6" w:rsidRDefault="00C33B70" w:rsidP="00147052">
      <w:pPr>
        <w:tabs>
          <w:tab w:val="num" w:pos="993"/>
        </w:tabs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ПЕРЕВОДЫ ДЕНЕГ, </w:t>
      </w:r>
      <w:r w:rsidR="00156684" w:rsidRPr="002B22B6">
        <w:rPr>
          <w:b/>
          <w:i/>
          <w:sz w:val="28"/>
          <w:szCs w:val="28"/>
          <w:u w:val="single"/>
        </w:rPr>
        <w:t xml:space="preserve">ОТПРАВЛЕННЫЕ ЗА РУБЕЖ </w:t>
      </w:r>
    </w:p>
    <w:p w:rsidR="008B2785" w:rsidRDefault="008B2785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201A99">
        <w:rPr>
          <w:sz w:val="28"/>
          <w:szCs w:val="28"/>
        </w:rPr>
        <w:t xml:space="preserve">За 10 месяцев 2013 года за рубеж посредством </w:t>
      </w:r>
      <w:r w:rsidR="001F2683">
        <w:rPr>
          <w:sz w:val="28"/>
          <w:szCs w:val="28"/>
        </w:rPr>
        <w:t>СДП</w:t>
      </w:r>
      <w:r w:rsidRPr="00201A99">
        <w:rPr>
          <w:sz w:val="28"/>
          <w:szCs w:val="28"/>
        </w:rPr>
        <w:t xml:space="preserve"> было отправлено 1 472,2 тыс. транзакций на сумму 196,8 млрд. тенге</w:t>
      </w:r>
      <w:r w:rsidR="00F10668">
        <w:rPr>
          <w:sz w:val="28"/>
          <w:szCs w:val="28"/>
        </w:rPr>
        <w:t>. В целом динамика изменения объемов платежей устойчивая с небольшим ростом за 10 месяцев 2013 года по сравнению с аналогичным периодом прошлого года п</w:t>
      </w:r>
      <w:r w:rsidRPr="00201A99">
        <w:rPr>
          <w:sz w:val="28"/>
          <w:szCs w:val="28"/>
        </w:rPr>
        <w:t xml:space="preserve">о количеству </w:t>
      </w:r>
      <w:r w:rsidR="00F10668">
        <w:rPr>
          <w:sz w:val="28"/>
          <w:szCs w:val="28"/>
        </w:rPr>
        <w:t xml:space="preserve">на </w:t>
      </w:r>
      <w:r w:rsidRPr="00201A99">
        <w:rPr>
          <w:sz w:val="28"/>
          <w:szCs w:val="28"/>
        </w:rPr>
        <w:t>13,1% и по сумму</w:t>
      </w:r>
      <w:r w:rsidR="00F10668">
        <w:rPr>
          <w:sz w:val="28"/>
          <w:szCs w:val="28"/>
        </w:rPr>
        <w:t xml:space="preserve"> переводов</w:t>
      </w:r>
      <w:r w:rsidRPr="00201A99">
        <w:rPr>
          <w:sz w:val="28"/>
          <w:szCs w:val="28"/>
        </w:rPr>
        <w:t xml:space="preserve"> </w:t>
      </w:r>
      <w:r w:rsidR="00F10668">
        <w:rPr>
          <w:sz w:val="28"/>
          <w:szCs w:val="28"/>
        </w:rPr>
        <w:t xml:space="preserve">– на </w:t>
      </w:r>
      <w:r w:rsidRPr="00201A99">
        <w:rPr>
          <w:sz w:val="28"/>
          <w:szCs w:val="28"/>
        </w:rPr>
        <w:t xml:space="preserve">17,8%. </w:t>
      </w:r>
      <w:r w:rsidR="00B52C73">
        <w:rPr>
          <w:sz w:val="28"/>
          <w:szCs w:val="28"/>
        </w:rPr>
        <w:t xml:space="preserve">Средняя сумма одного перевода составила за указанный период 133,7 </w:t>
      </w:r>
      <w:r w:rsidR="0058174A">
        <w:rPr>
          <w:sz w:val="28"/>
          <w:szCs w:val="28"/>
        </w:rPr>
        <w:t>тыс. тенге</w:t>
      </w:r>
      <w:r w:rsidR="00B52C73">
        <w:rPr>
          <w:sz w:val="28"/>
          <w:szCs w:val="28"/>
        </w:rPr>
        <w:t>, увеличившись по сравнению с аналогичным периодом прошлого года на 5,3 тыс. тенге.</w:t>
      </w:r>
    </w:p>
    <w:p w:rsidR="00605235" w:rsidRDefault="00F10668" w:rsidP="00F10668">
      <w:pPr>
        <w:tabs>
          <w:tab w:val="num" w:pos="993"/>
        </w:tabs>
        <w:jc w:val="center"/>
        <w:rPr>
          <w:b/>
        </w:rPr>
      </w:pPr>
      <w:r w:rsidRPr="00F10668">
        <w:rPr>
          <w:b/>
        </w:rPr>
        <w:t>Динамика изменения потоков переводов денег</w:t>
      </w:r>
      <w:r w:rsidR="00927B2D">
        <w:rPr>
          <w:b/>
        </w:rPr>
        <w:t>, отправленных</w:t>
      </w:r>
      <w:r w:rsidRPr="00F10668">
        <w:rPr>
          <w:b/>
        </w:rPr>
        <w:t xml:space="preserve"> через СДП </w:t>
      </w:r>
    </w:p>
    <w:p w:rsidR="00F10668" w:rsidRPr="00F10668" w:rsidRDefault="00F10668" w:rsidP="00F10668">
      <w:pPr>
        <w:tabs>
          <w:tab w:val="num" w:pos="993"/>
        </w:tabs>
        <w:jc w:val="center"/>
        <w:rPr>
          <w:b/>
        </w:rPr>
      </w:pPr>
      <w:r w:rsidRPr="00F10668">
        <w:rPr>
          <w:b/>
        </w:rPr>
        <w:t>в 2012, 2013 годах</w:t>
      </w:r>
    </w:p>
    <w:p w:rsidR="00156684" w:rsidRDefault="0078505F" w:rsidP="00156684">
      <w:pPr>
        <w:tabs>
          <w:tab w:val="num" w:pos="993"/>
        </w:tabs>
        <w:ind w:firstLine="142"/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276975" cy="21907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10668">
        <w:rPr>
          <w:sz w:val="28"/>
          <w:szCs w:val="28"/>
        </w:rPr>
        <w:tab/>
        <w:t>При этом р</w:t>
      </w:r>
      <w:r w:rsidR="00EE3BE5">
        <w:rPr>
          <w:sz w:val="28"/>
          <w:szCs w:val="28"/>
        </w:rPr>
        <w:t xml:space="preserve">ост объемов отправленных за рубеж </w:t>
      </w:r>
      <w:r w:rsidR="00605235">
        <w:rPr>
          <w:sz w:val="28"/>
          <w:szCs w:val="28"/>
        </w:rPr>
        <w:t xml:space="preserve">переводов денег </w:t>
      </w:r>
      <w:r w:rsidR="001F2683">
        <w:rPr>
          <w:sz w:val="28"/>
          <w:szCs w:val="28"/>
        </w:rPr>
        <w:t xml:space="preserve">посредством СДП </w:t>
      </w:r>
      <w:r w:rsidR="00EE3BE5">
        <w:rPr>
          <w:sz w:val="28"/>
          <w:szCs w:val="28"/>
        </w:rPr>
        <w:t>вызван</w:t>
      </w:r>
      <w:r w:rsidR="00F10668">
        <w:rPr>
          <w:sz w:val="28"/>
          <w:szCs w:val="28"/>
        </w:rPr>
        <w:t xml:space="preserve"> в основном увеличение</w:t>
      </w:r>
      <w:r w:rsidR="00F67013">
        <w:rPr>
          <w:sz w:val="28"/>
          <w:szCs w:val="28"/>
        </w:rPr>
        <w:t>м</w:t>
      </w:r>
      <w:r w:rsidR="00F10668">
        <w:rPr>
          <w:sz w:val="28"/>
          <w:szCs w:val="28"/>
        </w:rPr>
        <w:t xml:space="preserve"> </w:t>
      </w:r>
      <w:r w:rsidR="00605235">
        <w:rPr>
          <w:sz w:val="28"/>
          <w:szCs w:val="28"/>
        </w:rPr>
        <w:t>объемов</w:t>
      </w:r>
      <w:r w:rsidR="00F10668">
        <w:rPr>
          <w:sz w:val="28"/>
          <w:szCs w:val="28"/>
        </w:rPr>
        <w:t xml:space="preserve"> </w:t>
      </w:r>
      <w:r w:rsidR="00EE3BE5">
        <w:rPr>
          <w:sz w:val="28"/>
          <w:szCs w:val="28"/>
        </w:rPr>
        <w:t>безвозмездных переводов</w:t>
      </w:r>
      <w:r w:rsidR="00EF6866">
        <w:rPr>
          <w:rStyle w:val="aa"/>
          <w:sz w:val="28"/>
          <w:szCs w:val="28"/>
        </w:rPr>
        <w:footnoteReference w:id="2"/>
      </w:r>
      <w:r w:rsidR="00EE3BE5">
        <w:rPr>
          <w:sz w:val="28"/>
          <w:szCs w:val="28"/>
        </w:rPr>
        <w:t xml:space="preserve"> на 30,3 млрд. тенге (19,0%). </w:t>
      </w:r>
    </w:p>
    <w:p w:rsidR="00886DE3" w:rsidRDefault="00886DE3" w:rsidP="00156684">
      <w:pPr>
        <w:tabs>
          <w:tab w:val="num" w:pos="993"/>
        </w:tabs>
        <w:ind w:firstLine="709"/>
        <w:jc w:val="both"/>
        <w:rPr>
          <w:b/>
          <w:i/>
          <w:sz w:val="28"/>
          <w:szCs w:val="28"/>
        </w:rPr>
      </w:pPr>
    </w:p>
    <w:p w:rsidR="00156684" w:rsidRPr="00156684" w:rsidRDefault="00156684" w:rsidP="00156684">
      <w:pPr>
        <w:tabs>
          <w:tab w:val="num" w:pos="993"/>
        </w:tabs>
        <w:ind w:firstLine="709"/>
        <w:jc w:val="both"/>
        <w:rPr>
          <w:b/>
          <w:i/>
          <w:sz w:val="28"/>
          <w:szCs w:val="28"/>
        </w:rPr>
      </w:pPr>
      <w:r w:rsidRPr="00156684">
        <w:rPr>
          <w:b/>
          <w:i/>
          <w:sz w:val="28"/>
          <w:szCs w:val="28"/>
        </w:rPr>
        <w:lastRenderedPageBreak/>
        <w:t>В разрезе видов платежей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962"/>
        <w:gridCol w:w="1843"/>
        <w:gridCol w:w="1559"/>
        <w:gridCol w:w="1559"/>
      </w:tblGrid>
      <w:tr w:rsidR="00147052" w:rsidRPr="00F10668" w:rsidTr="00F10668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b/>
                <w:bCs/>
                <w:sz w:val="22"/>
                <w:szCs w:val="22"/>
              </w:rPr>
            </w:pPr>
            <w:r w:rsidRPr="00F10668">
              <w:rPr>
                <w:b/>
                <w:bCs/>
                <w:sz w:val="22"/>
                <w:szCs w:val="22"/>
              </w:rPr>
              <w:t>Назначение платежа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/>
            <w:noWrap/>
            <w:vAlign w:val="center"/>
          </w:tcPr>
          <w:p w:rsidR="00147052" w:rsidRPr="00B22392" w:rsidRDefault="00147052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Отправленные за рубеж</w:t>
            </w:r>
            <w:r w:rsidR="00B22392">
              <w:rPr>
                <w:b/>
                <w:sz w:val="22"/>
                <w:szCs w:val="22"/>
                <w:lang w:val="kk-KZ"/>
              </w:rPr>
              <w:t xml:space="preserve"> </w:t>
            </w:r>
            <w:r w:rsidR="00B22392" w:rsidRPr="00B22392">
              <w:rPr>
                <w:b/>
                <w:sz w:val="22"/>
                <w:szCs w:val="22"/>
              </w:rPr>
              <w:t>(</w:t>
            </w:r>
            <w:r w:rsidR="00B22392">
              <w:rPr>
                <w:b/>
                <w:sz w:val="22"/>
                <w:szCs w:val="22"/>
              </w:rPr>
              <w:t>млн. тенге)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10 мес.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10 мес. 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i/>
                <w:sz w:val="22"/>
                <w:szCs w:val="22"/>
              </w:rPr>
            </w:pPr>
            <w:r w:rsidRPr="00F10668">
              <w:rPr>
                <w:b/>
                <w:i/>
                <w:sz w:val="22"/>
                <w:szCs w:val="22"/>
              </w:rPr>
              <w:t>Изм.,</w:t>
            </w:r>
          </w:p>
          <w:p w:rsidR="00147052" w:rsidRPr="00F10668" w:rsidRDefault="00147052" w:rsidP="00F10668">
            <w:pPr>
              <w:jc w:val="center"/>
              <w:rPr>
                <w:b/>
                <w:i/>
                <w:sz w:val="22"/>
                <w:szCs w:val="22"/>
              </w:rPr>
            </w:pPr>
            <w:r w:rsidRPr="00F10668">
              <w:rPr>
                <w:b/>
                <w:i/>
                <w:sz w:val="22"/>
                <w:szCs w:val="22"/>
              </w:rPr>
              <w:t>в %, раз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Специфические переводы,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160 148,3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191 158,2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19,4%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052" w:rsidRPr="00F10668" w:rsidRDefault="00147052" w:rsidP="00F10668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переводы на лечение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в 5,5 раз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052" w:rsidRPr="00F10668" w:rsidRDefault="00147052" w:rsidP="00F10668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переводы на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в 4 раза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052" w:rsidRPr="00F10668" w:rsidRDefault="00147052" w:rsidP="00F10668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прочие безвозмездные переводы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159 266,0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189 574,0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19,0%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052" w:rsidRPr="00F10668" w:rsidRDefault="00147052" w:rsidP="00F10668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прочие специфические переводы</w:t>
            </w:r>
            <w:r w:rsidRPr="00F10668">
              <w:rPr>
                <w:rStyle w:val="aa"/>
                <w:i/>
                <w:sz w:val="22"/>
                <w:szCs w:val="22"/>
              </w:rPr>
              <w:footnoteReference w:id="3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739,2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1 258,0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70,2%</w:t>
            </w:r>
          </w:p>
        </w:tc>
      </w:tr>
      <w:tr w:rsidR="00147052" w:rsidRPr="00F10668" w:rsidTr="00F10668">
        <w:trPr>
          <w:trHeight w:val="1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Операции с ин.валютой  и драг.металлами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1 091,2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477,6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-56,2%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Депозиты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5 390,1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4 938,5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-8,4%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Займы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13,2%</w:t>
            </w:r>
          </w:p>
        </w:tc>
      </w:tr>
      <w:tr w:rsidR="00147052" w:rsidRPr="00F10668" w:rsidTr="00F10668">
        <w:trPr>
          <w:trHeight w:val="3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ЦБ, векселя и депозитные сертификаты нерезидентов 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100,0%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Товары и нематериальные активы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9,1%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327,9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-55,8%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052" w:rsidRPr="00F10668" w:rsidRDefault="00147052" w:rsidP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Прочие платежи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94,5%</w:t>
            </w:r>
          </w:p>
        </w:tc>
      </w:tr>
      <w:tr w:rsidR="00147052" w:rsidRPr="00F10668" w:rsidTr="00F10668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147052" w:rsidRPr="00F10668" w:rsidRDefault="00147052" w:rsidP="00F10668">
            <w:pPr>
              <w:rPr>
                <w:b/>
                <w:bCs/>
                <w:sz w:val="22"/>
                <w:szCs w:val="22"/>
              </w:rPr>
            </w:pPr>
            <w:r w:rsidRPr="00F1066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b/>
                <w:bCs/>
                <w:sz w:val="22"/>
                <w:szCs w:val="22"/>
              </w:rPr>
            </w:pPr>
            <w:r w:rsidRPr="00F10668">
              <w:rPr>
                <w:b/>
                <w:bCs/>
                <w:sz w:val="22"/>
                <w:szCs w:val="22"/>
              </w:rPr>
              <w:t>166 992,4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b/>
                <w:bCs/>
                <w:sz w:val="22"/>
                <w:szCs w:val="22"/>
              </w:rPr>
            </w:pPr>
            <w:r w:rsidRPr="00F10668">
              <w:rPr>
                <w:b/>
                <w:bCs/>
                <w:sz w:val="22"/>
                <w:szCs w:val="22"/>
              </w:rPr>
              <w:t>196 761,8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147052" w:rsidRPr="00F10668" w:rsidRDefault="00147052" w:rsidP="00F1066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F10668">
              <w:rPr>
                <w:b/>
                <w:bCs/>
                <w:i/>
                <w:sz w:val="22"/>
                <w:szCs w:val="22"/>
              </w:rPr>
              <w:t>17,8%</w:t>
            </w:r>
          </w:p>
        </w:tc>
      </w:tr>
    </w:tbl>
    <w:p w:rsidR="001F2683" w:rsidRDefault="00D11009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="001F2683">
        <w:rPr>
          <w:sz w:val="28"/>
          <w:szCs w:val="28"/>
        </w:rPr>
        <w:t>СДП используются для проведения безвозмездных переводов</w:t>
      </w:r>
      <w:r>
        <w:rPr>
          <w:sz w:val="28"/>
          <w:szCs w:val="28"/>
        </w:rPr>
        <w:t xml:space="preserve"> (</w:t>
      </w:r>
      <w:r w:rsidR="00D343B4">
        <w:rPr>
          <w:sz w:val="28"/>
          <w:szCs w:val="28"/>
        </w:rPr>
        <w:t xml:space="preserve">189,6 млрд. тенге или </w:t>
      </w:r>
      <w:r>
        <w:rPr>
          <w:sz w:val="28"/>
          <w:szCs w:val="28"/>
        </w:rPr>
        <w:t xml:space="preserve">96,3% от общего объема отправленных за рубеж переводов денег), </w:t>
      </w:r>
      <w:r w:rsidR="001F2683">
        <w:rPr>
          <w:sz w:val="28"/>
          <w:szCs w:val="28"/>
        </w:rPr>
        <w:t xml:space="preserve">что характеризуется спецификой их деятельности. </w:t>
      </w:r>
      <w:r w:rsidR="00D343B4">
        <w:rPr>
          <w:sz w:val="28"/>
          <w:szCs w:val="28"/>
        </w:rPr>
        <w:t xml:space="preserve">Кроме того, 2,5% от общего объема отправленных переводов </w:t>
      </w:r>
      <w:r w:rsidR="001F2683">
        <w:rPr>
          <w:sz w:val="28"/>
          <w:szCs w:val="28"/>
        </w:rPr>
        <w:t>через СДП п</w:t>
      </w:r>
      <w:r w:rsidR="00D343B4">
        <w:rPr>
          <w:sz w:val="28"/>
          <w:szCs w:val="28"/>
        </w:rPr>
        <w:t xml:space="preserve">риходится на </w:t>
      </w:r>
      <w:r w:rsidR="001F2683">
        <w:rPr>
          <w:sz w:val="28"/>
          <w:szCs w:val="28"/>
        </w:rPr>
        <w:t>переводы по операциям с депозитами (пополнение собственных счетов</w:t>
      </w:r>
      <w:r w:rsidR="00D343B4">
        <w:rPr>
          <w:sz w:val="28"/>
          <w:szCs w:val="28"/>
        </w:rPr>
        <w:t>, переводы денег с депозитных счетов</w:t>
      </w:r>
      <w:r w:rsidR="001F2683">
        <w:rPr>
          <w:sz w:val="28"/>
          <w:szCs w:val="28"/>
        </w:rPr>
        <w:t>). Однако, через СДП также направляются платежи за товары и услуги, доля которых составила за 10 месяцев 2013 года 0,1% от общего объема отправленных</w:t>
      </w:r>
      <w:r w:rsidR="00605235">
        <w:rPr>
          <w:sz w:val="28"/>
          <w:szCs w:val="28"/>
        </w:rPr>
        <w:t xml:space="preserve"> за рубеж</w:t>
      </w:r>
      <w:r w:rsidR="001F2683">
        <w:rPr>
          <w:sz w:val="28"/>
          <w:szCs w:val="28"/>
        </w:rPr>
        <w:t xml:space="preserve"> переводов, </w:t>
      </w:r>
      <w:r w:rsidR="00605235">
        <w:rPr>
          <w:sz w:val="28"/>
          <w:szCs w:val="28"/>
        </w:rPr>
        <w:t xml:space="preserve">а также </w:t>
      </w:r>
      <w:r w:rsidR="001F2683">
        <w:rPr>
          <w:sz w:val="28"/>
          <w:szCs w:val="28"/>
        </w:rPr>
        <w:t>платежи по операциям с иностранной валютой и драгоценными металлами, доля которых составила 0,2% соответственно</w:t>
      </w:r>
      <w:r w:rsidR="00D343B4">
        <w:rPr>
          <w:sz w:val="28"/>
          <w:szCs w:val="28"/>
        </w:rPr>
        <w:t xml:space="preserve"> и прочие платежи</w:t>
      </w:r>
      <w:r w:rsidR="001F2683">
        <w:rPr>
          <w:sz w:val="28"/>
          <w:szCs w:val="28"/>
        </w:rPr>
        <w:t>.</w:t>
      </w:r>
    </w:p>
    <w:p w:rsidR="00EF6866" w:rsidRDefault="00EF6866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EF6866">
        <w:rPr>
          <w:b/>
          <w:sz w:val="28"/>
          <w:szCs w:val="28"/>
        </w:rPr>
        <w:t>Безвозмездные переводы</w:t>
      </w:r>
      <w:r>
        <w:rPr>
          <w:sz w:val="28"/>
          <w:szCs w:val="28"/>
        </w:rPr>
        <w:t xml:space="preserve"> были направлены в основном в пользу резидентов таких стран, как Российская Федерация, Узбекистан</w:t>
      </w:r>
      <w:r w:rsidR="00897504">
        <w:rPr>
          <w:sz w:val="28"/>
          <w:szCs w:val="28"/>
        </w:rPr>
        <w:t>, Китай, Кыргызстан.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F6866" w:rsidRPr="00665566" w:rsidTr="007611ED">
        <w:trPr>
          <w:trHeight w:val="4031"/>
        </w:trPr>
        <w:tc>
          <w:tcPr>
            <w:tcW w:w="4927" w:type="dxa"/>
            <w:shd w:val="clear" w:color="auto" w:fill="auto"/>
          </w:tcPr>
          <w:p w:rsidR="00EF6866" w:rsidRPr="00665566" w:rsidRDefault="00EF6866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количества отправленных безвозмездных  переводов</w:t>
            </w:r>
          </w:p>
          <w:p w:rsidR="00EF6866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2266950"/>
                  <wp:effectExtent l="0" t="0" r="0" b="0"/>
                  <wp:docPr id="3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EF6866" w:rsidRPr="00665566" w:rsidRDefault="00EF6866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отправленных безвозмездных переводов</w:t>
            </w:r>
          </w:p>
          <w:p w:rsidR="00EF6866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2266950"/>
                  <wp:effectExtent l="0" t="0" r="0" b="0"/>
                  <wp:docPr id="4" name="Объект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F6866" w:rsidRDefault="00EF6866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97504" w:rsidRPr="00665566" w:rsidTr="00665566">
        <w:tc>
          <w:tcPr>
            <w:tcW w:w="3284" w:type="dxa"/>
            <w:shd w:val="clear" w:color="auto" w:fill="EAF1DD"/>
          </w:tcPr>
          <w:p w:rsidR="00897504" w:rsidRPr="00665566" w:rsidRDefault="00897504" w:rsidP="00665566">
            <w:pPr>
              <w:tabs>
                <w:tab w:val="num" w:pos="993"/>
              </w:tabs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lastRenderedPageBreak/>
              <w:t>Наименование страны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897504" w:rsidRPr="00665566" w:rsidRDefault="00897504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Кол-во (тыс. транзакций)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897504" w:rsidRPr="00665566" w:rsidRDefault="00897504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Сумма (млн. тенге)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701,9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82 973,1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Узбекистан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285,3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33 037,9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Китай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34,1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19 047,2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Кыргызстан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122,5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11 933,5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Украина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48,1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5 817,1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Азербайджан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28,6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5 311,3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Турция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23,6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4 660,1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Армения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14,2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2 827,5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Таджикистан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23,5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2 219,0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Германия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13,5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2 042,2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Грузия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14,7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1 750,1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897504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Беларусь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11,1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1 508,0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  <w:vAlign w:val="bottom"/>
          </w:tcPr>
          <w:p w:rsidR="00897504" w:rsidRPr="00665566" w:rsidRDefault="00761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ОАЭ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4,4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1 312,8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auto"/>
          </w:tcPr>
          <w:p w:rsidR="00897504" w:rsidRPr="00665566" w:rsidRDefault="007611ED" w:rsidP="006655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США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7,1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1 121,9</w:t>
            </w:r>
          </w:p>
        </w:tc>
      </w:tr>
      <w:tr w:rsidR="00897504" w:rsidRPr="00665566" w:rsidTr="00665566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897504" w:rsidRPr="00665566" w:rsidRDefault="00897504" w:rsidP="00665566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Прочие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94,8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504" w:rsidRPr="00665566" w:rsidRDefault="00897504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14 012,3</w:t>
            </w:r>
          </w:p>
        </w:tc>
      </w:tr>
      <w:tr w:rsidR="00897504" w:rsidRPr="00665566" w:rsidTr="00665566">
        <w:tc>
          <w:tcPr>
            <w:tcW w:w="3284" w:type="dxa"/>
            <w:shd w:val="clear" w:color="auto" w:fill="EAF1DD"/>
          </w:tcPr>
          <w:p w:rsidR="00897504" w:rsidRPr="00665566" w:rsidRDefault="00897504" w:rsidP="00665566">
            <w:pPr>
              <w:tabs>
                <w:tab w:val="num" w:pos="993"/>
              </w:tabs>
              <w:jc w:val="both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897504" w:rsidRPr="00665566" w:rsidRDefault="00897504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1 427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897504" w:rsidRPr="00665566" w:rsidRDefault="00897504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189 573,97</w:t>
            </w:r>
          </w:p>
        </w:tc>
      </w:tr>
    </w:tbl>
    <w:p w:rsidR="00D343B4" w:rsidRDefault="00147052" w:rsidP="00F10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для отправки безвозмездных переводов </w:t>
      </w:r>
      <w:r w:rsidR="00D343B4">
        <w:rPr>
          <w:sz w:val="28"/>
          <w:szCs w:val="28"/>
        </w:rPr>
        <w:t xml:space="preserve">были применены практически все действующие на территории Казахстана СДП. </w:t>
      </w:r>
      <w:r w:rsidR="00F10668" w:rsidRPr="00D07617">
        <w:rPr>
          <w:sz w:val="28"/>
          <w:szCs w:val="28"/>
        </w:rPr>
        <w:t xml:space="preserve">При отправке </w:t>
      </w:r>
      <w:r w:rsidR="00F10668">
        <w:rPr>
          <w:sz w:val="28"/>
          <w:szCs w:val="28"/>
        </w:rPr>
        <w:t xml:space="preserve">указанных </w:t>
      </w:r>
      <w:r w:rsidR="00F10668" w:rsidRPr="00D07617">
        <w:rPr>
          <w:sz w:val="28"/>
          <w:szCs w:val="28"/>
        </w:rPr>
        <w:t xml:space="preserve">переводов денег за рубеж  </w:t>
      </w:r>
      <w:r w:rsidR="00F10668">
        <w:rPr>
          <w:sz w:val="28"/>
          <w:szCs w:val="28"/>
        </w:rPr>
        <w:t>наибольшее предпочтение было отдано использованию таких систем,</w:t>
      </w:r>
      <w:r w:rsidR="00F10668" w:rsidRPr="00D07617">
        <w:rPr>
          <w:sz w:val="28"/>
          <w:szCs w:val="28"/>
        </w:rPr>
        <w:t xml:space="preserve"> как Золотая корона (доля от общего количества и объема </w:t>
      </w:r>
      <w:r w:rsidR="00F10668">
        <w:rPr>
          <w:sz w:val="28"/>
          <w:szCs w:val="28"/>
        </w:rPr>
        <w:t>безвозмездных переводов денег – 40,0</w:t>
      </w:r>
      <w:r w:rsidR="00F10668" w:rsidRPr="00D07617">
        <w:rPr>
          <w:sz w:val="28"/>
          <w:szCs w:val="28"/>
        </w:rPr>
        <w:t xml:space="preserve">% и </w:t>
      </w:r>
      <w:r w:rsidR="00F10668">
        <w:rPr>
          <w:sz w:val="28"/>
          <w:szCs w:val="28"/>
        </w:rPr>
        <w:t>36,0</w:t>
      </w:r>
      <w:r w:rsidR="00F10668" w:rsidRPr="00D07617">
        <w:rPr>
          <w:sz w:val="28"/>
          <w:szCs w:val="28"/>
        </w:rPr>
        <w:t>% соответственно), Western Union (</w:t>
      </w:r>
      <w:r w:rsidR="00F10668">
        <w:rPr>
          <w:sz w:val="28"/>
          <w:szCs w:val="28"/>
        </w:rPr>
        <w:t>15,2</w:t>
      </w:r>
      <w:r w:rsidR="00F10668" w:rsidRPr="00D07617">
        <w:rPr>
          <w:sz w:val="28"/>
          <w:szCs w:val="28"/>
        </w:rPr>
        <w:t xml:space="preserve">% и </w:t>
      </w:r>
      <w:r w:rsidR="00F10668">
        <w:rPr>
          <w:sz w:val="28"/>
          <w:szCs w:val="28"/>
        </w:rPr>
        <w:t>18,1</w:t>
      </w:r>
      <w:r w:rsidR="00F10668" w:rsidRPr="00D07617">
        <w:rPr>
          <w:sz w:val="28"/>
          <w:szCs w:val="28"/>
        </w:rPr>
        <w:t>%), Contact (</w:t>
      </w:r>
      <w:r w:rsidR="00F10668">
        <w:rPr>
          <w:sz w:val="28"/>
          <w:szCs w:val="28"/>
        </w:rPr>
        <w:t>13,5</w:t>
      </w:r>
      <w:r w:rsidR="00F10668" w:rsidRPr="00D07617">
        <w:rPr>
          <w:sz w:val="28"/>
          <w:szCs w:val="28"/>
        </w:rPr>
        <w:t xml:space="preserve">% и </w:t>
      </w:r>
      <w:r w:rsidR="00F10668">
        <w:rPr>
          <w:sz w:val="28"/>
          <w:szCs w:val="28"/>
        </w:rPr>
        <w:t>14,5</w:t>
      </w:r>
      <w:r w:rsidR="00F10668" w:rsidRPr="00D07617">
        <w:rPr>
          <w:sz w:val="28"/>
          <w:szCs w:val="28"/>
        </w:rPr>
        <w:t>%), Юнистрим (</w:t>
      </w:r>
      <w:r w:rsidR="00F10668">
        <w:rPr>
          <w:sz w:val="28"/>
          <w:szCs w:val="28"/>
        </w:rPr>
        <w:t>10,1</w:t>
      </w:r>
      <w:r w:rsidR="00F10668" w:rsidRPr="00D07617">
        <w:rPr>
          <w:sz w:val="28"/>
          <w:szCs w:val="28"/>
        </w:rPr>
        <w:t xml:space="preserve">% и </w:t>
      </w:r>
      <w:r w:rsidR="00F10668">
        <w:rPr>
          <w:sz w:val="28"/>
          <w:szCs w:val="28"/>
        </w:rPr>
        <w:t>11,5</w:t>
      </w:r>
      <w:r w:rsidR="00F10668" w:rsidRPr="00D07617">
        <w:rPr>
          <w:sz w:val="28"/>
          <w:szCs w:val="28"/>
        </w:rPr>
        <w:t>%).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1701"/>
        <w:gridCol w:w="1417"/>
        <w:gridCol w:w="1843"/>
        <w:gridCol w:w="1559"/>
      </w:tblGrid>
      <w:tr w:rsidR="00147052" w:rsidRPr="00F10668" w:rsidTr="00F10668">
        <w:trPr>
          <w:trHeight w:val="255"/>
        </w:trPr>
        <w:tc>
          <w:tcPr>
            <w:tcW w:w="3276" w:type="dxa"/>
            <w:shd w:val="clear" w:color="auto" w:fill="EAF1DD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ab/>
            </w:r>
            <w:r w:rsidRPr="00F10668">
              <w:rPr>
                <w:b/>
                <w:sz w:val="22"/>
                <w:szCs w:val="22"/>
              </w:rPr>
              <w:t>Система</w:t>
            </w:r>
          </w:p>
        </w:tc>
        <w:tc>
          <w:tcPr>
            <w:tcW w:w="1701" w:type="dxa"/>
            <w:shd w:val="clear" w:color="auto" w:fill="EAF1DD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Кол-во (тыс. транзакций)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i/>
                <w:sz w:val="22"/>
                <w:szCs w:val="22"/>
              </w:rPr>
            </w:pPr>
            <w:r w:rsidRPr="00F10668">
              <w:rPr>
                <w:b/>
                <w:i/>
                <w:sz w:val="22"/>
                <w:szCs w:val="22"/>
              </w:rPr>
              <w:t>Доля от общего кол-ва, в %</w:t>
            </w:r>
          </w:p>
        </w:tc>
        <w:tc>
          <w:tcPr>
            <w:tcW w:w="1843" w:type="dxa"/>
            <w:shd w:val="clear" w:color="auto" w:fill="EAF1DD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Сумма (млн. тенге)</w:t>
            </w:r>
          </w:p>
        </w:tc>
        <w:tc>
          <w:tcPr>
            <w:tcW w:w="1559" w:type="dxa"/>
            <w:shd w:val="clear" w:color="auto" w:fill="EAF1DD"/>
            <w:noWrap/>
            <w:vAlign w:val="center"/>
            <w:hideMark/>
          </w:tcPr>
          <w:p w:rsidR="00147052" w:rsidRPr="00F10668" w:rsidRDefault="00147052" w:rsidP="00F10668">
            <w:pPr>
              <w:jc w:val="center"/>
              <w:rPr>
                <w:b/>
                <w:i/>
                <w:sz w:val="22"/>
                <w:szCs w:val="22"/>
              </w:rPr>
            </w:pPr>
            <w:r w:rsidRPr="00F10668">
              <w:rPr>
                <w:b/>
                <w:i/>
                <w:sz w:val="22"/>
                <w:szCs w:val="22"/>
              </w:rPr>
              <w:t>Доля от общей  суммы, в 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Золотая корона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570,4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40,0%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68 228,8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36,0%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Western Union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217,3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15,2%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34 384,9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18,1%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Contact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192,3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13,5%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27 559,4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14,5%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Юнистрим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144,5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10,1%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21 739,3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11,5%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Блиц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97,5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6,8%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10 960,7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5,8%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Быстрая почта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30,4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2,1%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6 432,6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3,4%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Faster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59,4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4,2%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5 930,4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3,1%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Анелик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0,6%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4 383,3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2,3%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Лидер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14,4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1,0%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4 006,9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2,1%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MoneyGram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16,7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1,2%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2 732,8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1,4%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Система Всемирного почтового союза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67,1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4,7%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2 681,5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1,4%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Почтовые международные переводы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7,2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0,5%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291,3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0,2%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InterBanking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0,02%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155,3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0,1%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InterExpress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0,02%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47,9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0,03%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Система Киберплат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0,03%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35,9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0,02%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Восточный Экспресс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0,004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0,0003%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2,9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0,002%</w:t>
            </w:r>
          </w:p>
        </w:tc>
      </w:tr>
      <w:tr w:rsidR="00F10668" w:rsidRPr="00F10668" w:rsidTr="00F10668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F10668" w:rsidRPr="00F10668" w:rsidRDefault="00F10668">
            <w:pPr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Общий итог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1 427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b/>
                <w:i/>
                <w:sz w:val="22"/>
                <w:szCs w:val="22"/>
              </w:rPr>
            </w:pPr>
            <w:r w:rsidRPr="00F10668">
              <w:rPr>
                <w:b/>
                <w:i/>
                <w:sz w:val="22"/>
                <w:szCs w:val="22"/>
              </w:rPr>
              <w:t>100,0%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b/>
                <w:sz w:val="22"/>
                <w:szCs w:val="22"/>
              </w:rPr>
            </w:pPr>
            <w:r w:rsidRPr="00F10668">
              <w:rPr>
                <w:b/>
                <w:sz w:val="22"/>
                <w:szCs w:val="22"/>
              </w:rPr>
              <w:t>189 573,97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0668" w:rsidRPr="00F10668" w:rsidRDefault="00F10668" w:rsidP="00F10668">
            <w:pPr>
              <w:jc w:val="center"/>
              <w:rPr>
                <w:b/>
                <w:i/>
                <w:sz w:val="22"/>
                <w:szCs w:val="22"/>
              </w:rPr>
            </w:pPr>
            <w:r w:rsidRPr="00F10668">
              <w:rPr>
                <w:b/>
                <w:i/>
                <w:sz w:val="22"/>
                <w:szCs w:val="22"/>
              </w:rPr>
              <w:t>100,0%</w:t>
            </w:r>
          </w:p>
        </w:tc>
      </w:tr>
    </w:tbl>
    <w:p w:rsidR="00F10668" w:rsidRDefault="00F10668" w:rsidP="00F10668">
      <w:pPr>
        <w:ind w:firstLine="709"/>
        <w:jc w:val="both"/>
        <w:rPr>
          <w:sz w:val="28"/>
          <w:szCs w:val="28"/>
        </w:rPr>
      </w:pPr>
      <w:r w:rsidRPr="001D6BAE">
        <w:rPr>
          <w:sz w:val="28"/>
          <w:szCs w:val="28"/>
        </w:rPr>
        <w:t xml:space="preserve">Золотая Корона – это межбанковская платежная система, объединяющая более </w:t>
      </w:r>
      <w:r>
        <w:rPr>
          <w:sz w:val="28"/>
          <w:szCs w:val="28"/>
        </w:rPr>
        <w:t>220</w:t>
      </w:r>
      <w:r w:rsidRPr="001D6BAE">
        <w:rPr>
          <w:sz w:val="28"/>
          <w:szCs w:val="28"/>
        </w:rPr>
        <w:t xml:space="preserve"> банков по всей России и СНГ</w:t>
      </w:r>
      <w:r>
        <w:rPr>
          <w:sz w:val="28"/>
          <w:szCs w:val="28"/>
        </w:rPr>
        <w:t xml:space="preserve">, </w:t>
      </w:r>
      <w:r w:rsidRPr="001D6BAE">
        <w:rPr>
          <w:sz w:val="28"/>
          <w:szCs w:val="28"/>
        </w:rPr>
        <w:t>40 тыс. пунктов обслуживания, расположенных в странах: Абхазия, Азербайджан, Беларусь, Грузия, Казахстан, Киргизия, Молдова, Россия, Таджикистан, Узбекистан и Украина</w:t>
      </w:r>
      <w:r>
        <w:rPr>
          <w:sz w:val="28"/>
          <w:szCs w:val="28"/>
        </w:rPr>
        <w:t xml:space="preserve">. Тарифы составляют в зависимости от страны и суммы перевода от 0,5% до 1,5%. </w:t>
      </w:r>
      <w:r w:rsidRPr="001D6BAE">
        <w:rPr>
          <w:sz w:val="28"/>
          <w:szCs w:val="28"/>
        </w:rPr>
        <w:t xml:space="preserve"> </w:t>
      </w:r>
      <w:r w:rsidRPr="001D6BAE">
        <w:rPr>
          <w:sz w:val="28"/>
          <w:szCs w:val="28"/>
        </w:rPr>
        <w:lastRenderedPageBreak/>
        <w:t>Данная система позволяет делать переводы денег со счета в банке через Интернет и банкоматы (при наличии карты), а также наличными без открытия банковского счета через оператора и в пунктах приема в режиме самообслуживания. Предусмотрена возможность узнать статус/состояние перевода через Интернет, а также SMS-уведомление о статусе перевода.</w:t>
      </w:r>
      <w:r>
        <w:rPr>
          <w:sz w:val="28"/>
          <w:szCs w:val="28"/>
        </w:rPr>
        <w:t xml:space="preserve"> </w:t>
      </w:r>
      <w:r w:rsidRPr="001D6BAE">
        <w:rPr>
          <w:sz w:val="28"/>
          <w:szCs w:val="28"/>
        </w:rPr>
        <w:t xml:space="preserve">При постоянных переводах клиентам Золотой Короны предлагается получить Карту отправителя для удобства и быстроты перевода. Карту можно использовать в офисе банка и устройствах самообслуживания с функцией приема наличных. </w:t>
      </w:r>
    </w:p>
    <w:p w:rsidR="00F10668" w:rsidRDefault="00F10668" w:rsidP="00F10668">
      <w:pPr>
        <w:ind w:firstLine="709"/>
        <w:jc w:val="both"/>
        <w:rPr>
          <w:sz w:val="28"/>
          <w:szCs w:val="28"/>
        </w:rPr>
      </w:pPr>
      <w:r w:rsidRPr="001D6BAE">
        <w:rPr>
          <w:sz w:val="28"/>
          <w:szCs w:val="28"/>
        </w:rPr>
        <w:t xml:space="preserve">CONTACT — первая российская система </w:t>
      </w:r>
      <w:hyperlink r:id="rId12" w:tooltip="Денежные переводы" w:history="1">
        <w:r w:rsidRPr="001D6BAE">
          <w:rPr>
            <w:sz w:val="28"/>
            <w:szCs w:val="28"/>
          </w:rPr>
          <w:t>денежных переводов</w:t>
        </w:r>
      </w:hyperlink>
      <w:r w:rsidRPr="001D6BAE">
        <w:rPr>
          <w:sz w:val="28"/>
          <w:szCs w:val="28"/>
        </w:rPr>
        <w:t xml:space="preserve"> и </w:t>
      </w:r>
      <w:hyperlink r:id="rId13" w:tooltip="Платёж" w:history="1">
        <w:r w:rsidRPr="001D6BAE">
          <w:rPr>
            <w:sz w:val="28"/>
            <w:szCs w:val="28"/>
          </w:rPr>
          <w:t>платежей</w:t>
        </w:r>
      </w:hyperlink>
      <w:r w:rsidRPr="001D6BAE">
        <w:rPr>
          <w:sz w:val="28"/>
          <w:szCs w:val="28"/>
        </w:rPr>
        <w:t>. Основана в 1999 году АКБ "РУССЛАВБАНК" (ЗАО). Позволяет переводить денежные средства в трех валютах: российские рубли, доллары США, евро</w:t>
      </w:r>
      <w:r>
        <w:rPr>
          <w:sz w:val="28"/>
          <w:szCs w:val="28"/>
        </w:rPr>
        <w:t xml:space="preserve">. </w:t>
      </w:r>
      <w:r w:rsidRPr="001D6BAE">
        <w:rPr>
          <w:sz w:val="28"/>
          <w:szCs w:val="28"/>
        </w:rPr>
        <w:t>Система объединяет 550 банков России, 270 иностранных банков и компаний в 100 странах. Система предоставляет возможность платежей за услуги связи, туристические и страховые услуги, погашение кредитов и пополнение банковских счетов, оплаты интернет-сервисов, ж/д и авиабилетов и др.</w:t>
      </w:r>
      <w:r>
        <w:rPr>
          <w:sz w:val="28"/>
          <w:szCs w:val="28"/>
        </w:rPr>
        <w:t xml:space="preserve"> Тарифы в указанной системе составляют до 2% от суммы перевода.</w:t>
      </w:r>
    </w:p>
    <w:p w:rsidR="00F10668" w:rsidRPr="001D6BAE" w:rsidRDefault="00F10668" w:rsidP="00F10668">
      <w:pPr>
        <w:ind w:firstLine="709"/>
        <w:jc w:val="both"/>
        <w:rPr>
          <w:sz w:val="28"/>
          <w:szCs w:val="28"/>
        </w:rPr>
      </w:pPr>
      <w:r w:rsidRPr="001D6BAE">
        <w:rPr>
          <w:sz w:val="28"/>
          <w:szCs w:val="28"/>
        </w:rPr>
        <w:t>Юнистрим – это система денежных переводов по всему миру, в более 95 странах, без открытия банковского счета. Кроме денежных переводов в системе возможно прямое зачисление денег в электронные платежные системы, такие как Яндекс деньги, Webmoney и другие. Стоимость переводов в системе Юнистрим – от 0,5%, что является довольно низким тарифом. Однако тарифы могут быть в несколько раз выше, в зависимости от страны перевода.</w:t>
      </w:r>
      <w:r w:rsidRPr="001D6BAE">
        <w:rPr>
          <w:sz w:val="28"/>
          <w:szCs w:val="28"/>
        </w:rPr>
        <w:br/>
        <w:t>Юнистрим также предлагает отправку денежных переводов по России и СНГ через терминалы QIWI, а также с помощью мобильного телефона.</w:t>
      </w:r>
    </w:p>
    <w:p w:rsidR="00147052" w:rsidRPr="007611ED" w:rsidRDefault="00147052" w:rsidP="00C6494D">
      <w:pPr>
        <w:tabs>
          <w:tab w:val="num" w:pos="993"/>
        </w:tabs>
        <w:ind w:firstLine="709"/>
        <w:jc w:val="both"/>
      </w:pPr>
    </w:p>
    <w:p w:rsidR="00D343B4" w:rsidRDefault="00011D1E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011D1E">
        <w:rPr>
          <w:b/>
          <w:sz w:val="28"/>
          <w:szCs w:val="28"/>
        </w:rPr>
        <w:t>Переводы по операциям с депозитами</w:t>
      </w:r>
      <w:r>
        <w:rPr>
          <w:sz w:val="28"/>
          <w:szCs w:val="28"/>
        </w:rPr>
        <w:t xml:space="preserve"> проводились как физическими лицами, так и юридическими лицами (доля соответственно составляет 57,1% и 42,9%</w:t>
      </w:r>
      <w:r w:rsidR="00605235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). При этом </w:t>
      </w:r>
      <w:r w:rsidR="00605235">
        <w:rPr>
          <w:sz w:val="28"/>
          <w:szCs w:val="28"/>
        </w:rPr>
        <w:t xml:space="preserve">основную часть занимают </w:t>
      </w:r>
      <w:r>
        <w:rPr>
          <w:sz w:val="28"/>
          <w:szCs w:val="28"/>
        </w:rPr>
        <w:t>операции по размещению собственных средств в банках-нерезидентах (4,3 млрд. тенге или 87,6% от общего объема переводов по операциям с депозитами), также значительна доля снятия (переводов) денег со счетов, открытых в банках Казахстана в банки-нерезиденты (11,7% соответственно).</w:t>
      </w:r>
    </w:p>
    <w:p w:rsidR="00011D1E" w:rsidRDefault="00011D1E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Переводы по операциям с депозитами в основном были направлены в Россию и Узбекистан.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11D1E" w:rsidRPr="00665566" w:rsidTr="00665566">
        <w:tc>
          <w:tcPr>
            <w:tcW w:w="4927" w:type="dxa"/>
            <w:shd w:val="clear" w:color="auto" w:fill="auto"/>
          </w:tcPr>
          <w:p w:rsidR="00011D1E" w:rsidRPr="00665566" w:rsidRDefault="00011D1E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количества отправленных безвозмездных  переводов</w:t>
            </w:r>
          </w:p>
          <w:p w:rsidR="00011D1E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1790700"/>
                  <wp:effectExtent l="0" t="0" r="0" b="0"/>
                  <wp:docPr id="5" name="Объект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011D1E" w:rsidRPr="00665566" w:rsidRDefault="00011D1E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отправленных безвозмездных переводов</w:t>
            </w:r>
          </w:p>
          <w:p w:rsidR="00011D1E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1800225"/>
                  <wp:effectExtent l="0" t="0" r="0" b="0"/>
                  <wp:docPr id="6" name="Объект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011D1E" w:rsidRDefault="00586138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этом были использованы такие СДП, как </w:t>
      </w:r>
      <w:r w:rsidRPr="00586138">
        <w:rPr>
          <w:sz w:val="28"/>
          <w:szCs w:val="28"/>
        </w:rPr>
        <w:t>Быстрая почта</w:t>
      </w:r>
      <w:r>
        <w:rPr>
          <w:sz w:val="28"/>
          <w:szCs w:val="28"/>
        </w:rPr>
        <w:t xml:space="preserve">, </w:t>
      </w:r>
      <w:r w:rsidRPr="00586138">
        <w:rPr>
          <w:sz w:val="28"/>
          <w:szCs w:val="28"/>
        </w:rPr>
        <w:t>Contact</w:t>
      </w:r>
      <w:r>
        <w:rPr>
          <w:sz w:val="28"/>
          <w:szCs w:val="28"/>
        </w:rPr>
        <w:t xml:space="preserve">, </w:t>
      </w:r>
      <w:r w:rsidRPr="00586138">
        <w:rPr>
          <w:sz w:val="28"/>
          <w:szCs w:val="28"/>
        </w:rPr>
        <w:t>Western Union</w:t>
      </w:r>
      <w:r>
        <w:rPr>
          <w:sz w:val="28"/>
          <w:szCs w:val="28"/>
        </w:rPr>
        <w:t xml:space="preserve">, </w:t>
      </w:r>
      <w:r w:rsidRPr="00586138">
        <w:rPr>
          <w:sz w:val="28"/>
          <w:szCs w:val="28"/>
        </w:rPr>
        <w:t>Блиц</w:t>
      </w:r>
      <w:r>
        <w:rPr>
          <w:sz w:val="28"/>
          <w:szCs w:val="28"/>
        </w:rPr>
        <w:t xml:space="preserve">, </w:t>
      </w:r>
      <w:r w:rsidRPr="00586138">
        <w:rPr>
          <w:sz w:val="28"/>
          <w:szCs w:val="28"/>
        </w:rPr>
        <w:t>InterBanking</w:t>
      </w:r>
      <w:r>
        <w:rPr>
          <w:sz w:val="28"/>
          <w:szCs w:val="28"/>
        </w:rPr>
        <w:t xml:space="preserve">, </w:t>
      </w:r>
      <w:r w:rsidRPr="00586138">
        <w:rPr>
          <w:sz w:val="28"/>
          <w:szCs w:val="28"/>
        </w:rPr>
        <w:t>Юнистрим</w:t>
      </w:r>
      <w:r>
        <w:rPr>
          <w:sz w:val="28"/>
          <w:szCs w:val="28"/>
        </w:rPr>
        <w:t xml:space="preserve"> и </w:t>
      </w:r>
      <w:r w:rsidRPr="00586138">
        <w:rPr>
          <w:sz w:val="28"/>
          <w:szCs w:val="28"/>
        </w:rPr>
        <w:t>Лидер</w:t>
      </w:r>
      <w:r>
        <w:rPr>
          <w:sz w:val="28"/>
          <w:szCs w:val="28"/>
        </w:rPr>
        <w:t>.</w:t>
      </w:r>
    </w:p>
    <w:p w:rsidR="00011D1E" w:rsidRDefault="0078505F" w:rsidP="00586138">
      <w:pPr>
        <w:tabs>
          <w:tab w:val="num" w:pos="993"/>
        </w:tabs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276975" cy="180022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56684" w:rsidRDefault="00605235" w:rsidP="00586138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</w:t>
      </w:r>
      <w:r w:rsidR="00156684">
        <w:rPr>
          <w:sz w:val="28"/>
          <w:szCs w:val="28"/>
        </w:rPr>
        <w:t xml:space="preserve"> доля </w:t>
      </w:r>
      <w:r w:rsidR="00156684" w:rsidRPr="00156684">
        <w:rPr>
          <w:b/>
          <w:sz w:val="28"/>
          <w:szCs w:val="28"/>
        </w:rPr>
        <w:t>платежей за товары и услуги</w:t>
      </w:r>
      <w:r w:rsidR="00156684">
        <w:rPr>
          <w:sz w:val="28"/>
          <w:szCs w:val="28"/>
        </w:rPr>
        <w:t xml:space="preserve"> приходится на платежи по прочим услугам - 97,7 млн. тенге или 55,3% от общего объема </w:t>
      </w:r>
      <w:r>
        <w:rPr>
          <w:sz w:val="28"/>
          <w:szCs w:val="28"/>
        </w:rPr>
        <w:t>данных платежей</w:t>
      </w:r>
      <w:r w:rsidR="001566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на </w:t>
      </w:r>
      <w:r w:rsidR="00156684">
        <w:rPr>
          <w:sz w:val="28"/>
          <w:szCs w:val="28"/>
        </w:rPr>
        <w:t>платежи за товары (машины</w:t>
      </w:r>
      <w:r>
        <w:rPr>
          <w:sz w:val="28"/>
          <w:szCs w:val="28"/>
        </w:rPr>
        <w:t xml:space="preserve">, </w:t>
      </w:r>
      <w:r w:rsidR="00156684">
        <w:rPr>
          <w:sz w:val="28"/>
          <w:szCs w:val="28"/>
        </w:rPr>
        <w:t>оборудование и так далее) – 30,7 млн. тенге или 17,4%, платежи за финансовые услуги – 10,3 млн. тенге или 5,8%.</w:t>
      </w: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86138" w:rsidRPr="00665566" w:rsidTr="00665566">
        <w:tc>
          <w:tcPr>
            <w:tcW w:w="4927" w:type="dxa"/>
            <w:shd w:val="clear" w:color="auto" w:fill="auto"/>
          </w:tcPr>
          <w:p w:rsidR="00156684" w:rsidRPr="00665566" w:rsidRDefault="00605235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sz w:val="28"/>
                <w:szCs w:val="28"/>
              </w:rPr>
              <w:t>Платежи за товары и услуги посредством СДП</w:t>
            </w:r>
            <w:r w:rsidR="00156684" w:rsidRPr="00665566">
              <w:rPr>
                <w:sz w:val="28"/>
                <w:szCs w:val="28"/>
              </w:rPr>
              <w:t xml:space="preserve"> направлялись в основном в Россию, Узбекистан, Индию, Китай, Украину, Германию, США.</w:t>
            </w:r>
            <w:r w:rsidRPr="00665566">
              <w:rPr>
                <w:sz w:val="28"/>
                <w:szCs w:val="28"/>
              </w:rPr>
              <w:t xml:space="preserve"> </w:t>
            </w:r>
            <w:r w:rsidR="00156684" w:rsidRPr="00665566">
              <w:rPr>
                <w:sz w:val="28"/>
                <w:szCs w:val="28"/>
              </w:rPr>
              <w:t>При этом были использованы такие СДП, как Contact, Western Union, Юнистрим, InterBanking, Быстрая почта, Блиц, и Лидер.</w:t>
            </w:r>
          </w:p>
          <w:p w:rsidR="00156684" w:rsidRPr="00665566" w:rsidRDefault="00156684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586138" w:rsidRPr="00665566" w:rsidRDefault="00586138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отправленных безвозмездных переводов</w:t>
            </w:r>
          </w:p>
          <w:p w:rsidR="00586138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1905000"/>
                  <wp:effectExtent l="0" t="0" r="0" b="0"/>
                  <wp:docPr id="8" name="Объект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586138" w:rsidRDefault="0078505F" w:rsidP="00586138">
      <w:pPr>
        <w:tabs>
          <w:tab w:val="num" w:pos="993"/>
        </w:tabs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276975" cy="17526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11009" w:rsidRPr="00156684" w:rsidRDefault="00156684" w:rsidP="00C6494D">
      <w:pPr>
        <w:tabs>
          <w:tab w:val="num" w:pos="993"/>
        </w:tabs>
        <w:ind w:firstLine="709"/>
        <w:jc w:val="both"/>
        <w:rPr>
          <w:b/>
          <w:i/>
          <w:sz w:val="28"/>
          <w:szCs w:val="28"/>
        </w:rPr>
      </w:pPr>
      <w:r w:rsidRPr="00156684">
        <w:rPr>
          <w:b/>
          <w:i/>
          <w:sz w:val="28"/>
          <w:szCs w:val="28"/>
        </w:rPr>
        <w:t>В разрез</w:t>
      </w:r>
      <w:r w:rsidR="007611ED">
        <w:rPr>
          <w:b/>
          <w:i/>
          <w:sz w:val="28"/>
          <w:szCs w:val="28"/>
        </w:rPr>
        <w:t>е</w:t>
      </w:r>
      <w:r w:rsidRPr="00156684">
        <w:rPr>
          <w:b/>
          <w:i/>
          <w:sz w:val="28"/>
          <w:szCs w:val="28"/>
        </w:rPr>
        <w:t xml:space="preserve"> валют</w:t>
      </w:r>
      <w:r w:rsidR="00D11009" w:rsidRPr="00156684">
        <w:rPr>
          <w:b/>
          <w:i/>
          <w:sz w:val="28"/>
          <w:szCs w:val="28"/>
        </w:rPr>
        <w:t xml:space="preserve"> </w:t>
      </w:r>
    </w:p>
    <w:p w:rsidR="006104FC" w:rsidRDefault="00156684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104FC">
        <w:rPr>
          <w:sz w:val="28"/>
          <w:szCs w:val="28"/>
        </w:rPr>
        <w:t xml:space="preserve">сновная доля отправленных переводов через </w:t>
      </w:r>
      <w:r w:rsidR="00605235">
        <w:rPr>
          <w:sz w:val="28"/>
          <w:szCs w:val="28"/>
        </w:rPr>
        <w:t>СДП</w:t>
      </w:r>
      <w:r w:rsidR="006104FC">
        <w:rPr>
          <w:sz w:val="28"/>
          <w:szCs w:val="28"/>
        </w:rPr>
        <w:t xml:space="preserve">  </w:t>
      </w:r>
      <w:r w:rsidR="00605235">
        <w:rPr>
          <w:sz w:val="28"/>
          <w:szCs w:val="28"/>
        </w:rPr>
        <w:t xml:space="preserve">была осуществлена </w:t>
      </w:r>
      <w:r w:rsidR="006104FC">
        <w:rPr>
          <w:sz w:val="28"/>
          <w:szCs w:val="28"/>
        </w:rPr>
        <w:t xml:space="preserve"> в долларах США, доля которых составила по количеству 62,8% и по сумме 73,8%.</w:t>
      </w:r>
    </w:p>
    <w:p w:rsidR="00156684" w:rsidRDefault="00156684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156684" w:rsidRDefault="00156684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156684" w:rsidRDefault="00156684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156684" w:rsidRDefault="00156684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156684" w:rsidRDefault="00156684" w:rsidP="00C6494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898"/>
      </w:tblGrid>
      <w:tr w:rsidR="006104FC" w:rsidRPr="00665566" w:rsidTr="00665566">
        <w:tc>
          <w:tcPr>
            <w:tcW w:w="4927" w:type="dxa"/>
            <w:shd w:val="clear" w:color="auto" w:fill="auto"/>
          </w:tcPr>
          <w:p w:rsidR="006104FC" w:rsidRPr="00665566" w:rsidRDefault="006104FC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количества отправленных переводов</w:t>
            </w:r>
          </w:p>
          <w:p w:rsidR="006104FC" w:rsidRPr="00927B2D" w:rsidRDefault="006104FC" w:rsidP="00665566">
            <w:pPr>
              <w:tabs>
                <w:tab w:val="num" w:pos="993"/>
              </w:tabs>
              <w:jc w:val="both"/>
            </w:pPr>
          </w:p>
          <w:p w:rsidR="006104FC" w:rsidRPr="00927B2D" w:rsidRDefault="0078505F" w:rsidP="00665566">
            <w:pPr>
              <w:tabs>
                <w:tab w:val="num" w:pos="993"/>
              </w:tabs>
              <w:jc w:val="both"/>
            </w:pPr>
            <w:r w:rsidRPr="00927B2D">
              <w:rPr>
                <w:noProof/>
              </w:rPr>
              <w:drawing>
                <wp:inline distT="0" distB="0" distL="0" distR="0">
                  <wp:extent cx="3009900" cy="1952625"/>
                  <wp:effectExtent l="0" t="0" r="0" b="0"/>
                  <wp:docPr id="10" name="Объект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6104FC" w:rsidRPr="00665566" w:rsidRDefault="006104FC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отправленных переводов</w:t>
            </w:r>
          </w:p>
          <w:p w:rsidR="006104FC" w:rsidRPr="00665566" w:rsidRDefault="006104FC" w:rsidP="00665566">
            <w:pPr>
              <w:tabs>
                <w:tab w:val="num" w:pos="993"/>
              </w:tabs>
              <w:jc w:val="center"/>
              <w:rPr>
                <w:b/>
              </w:rPr>
            </w:pPr>
          </w:p>
          <w:p w:rsidR="006104FC" w:rsidRPr="00927B2D" w:rsidRDefault="0078505F" w:rsidP="00665566">
            <w:pPr>
              <w:tabs>
                <w:tab w:val="num" w:pos="993"/>
              </w:tabs>
              <w:jc w:val="both"/>
            </w:pPr>
            <w:r w:rsidRPr="00927B2D">
              <w:rPr>
                <w:noProof/>
              </w:rPr>
              <w:drawing>
                <wp:inline distT="0" distB="0" distL="0" distR="0">
                  <wp:extent cx="2933700" cy="1905000"/>
                  <wp:effectExtent l="0" t="0" r="0" b="0"/>
                  <wp:docPr id="11" name="Объект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667456" w:rsidRDefault="00667456" w:rsidP="006104F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значительна доля российских рублей, что характеризуется тем, что около половины всего объема</w:t>
      </w:r>
      <w:r w:rsidR="00605235">
        <w:rPr>
          <w:sz w:val="28"/>
          <w:szCs w:val="28"/>
        </w:rPr>
        <w:t xml:space="preserve"> переводов, проведенных через С</w:t>
      </w:r>
      <w:r>
        <w:rPr>
          <w:sz w:val="28"/>
          <w:szCs w:val="28"/>
        </w:rPr>
        <w:t>ДП, направляется из Казахстана в Российскую Федерацию (48,8% от общего количества и 43,5% от общего объема отправленных за рубеж переводов).</w:t>
      </w:r>
    </w:p>
    <w:p w:rsidR="002B22B6" w:rsidRDefault="00667456" w:rsidP="006104FC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</w:t>
      </w:r>
      <w:r w:rsidR="006104FC">
        <w:rPr>
          <w:sz w:val="28"/>
          <w:szCs w:val="28"/>
        </w:rPr>
        <w:t>ледует отметить рост доли</w:t>
      </w:r>
      <w:r w:rsidR="002B22B6">
        <w:rPr>
          <w:sz w:val="28"/>
          <w:szCs w:val="28"/>
        </w:rPr>
        <w:t xml:space="preserve"> тенге </w:t>
      </w:r>
      <w:r w:rsidR="006104FC" w:rsidRPr="00603895">
        <w:rPr>
          <w:sz w:val="28"/>
          <w:szCs w:val="28"/>
        </w:rPr>
        <w:t xml:space="preserve">в общем объеме отправленных переводов на </w:t>
      </w:r>
      <w:r w:rsidR="00A85082">
        <w:rPr>
          <w:sz w:val="28"/>
          <w:szCs w:val="28"/>
        </w:rPr>
        <w:t>0,5</w:t>
      </w:r>
      <w:r w:rsidR="006104FC" w:rsidRPr="00603895">
        <w:rPr>
          <w:sz w:val="28"/>
          <w:szCs w:val="28"/>
        </w:rPr>
        <w:t xml:space="preserve"> </w:t>
      </w:r>
      <w:r w:rsidR="002B22B6">
        <w:rPr>
          <w:sz w:val="28"/>
          <w:szCs w:val="28"/>
        </w:rPr>
        <w:t>процентных пункта</w:t>
      </w:r>
      <w:r w:rsidR="006104FC" w:rsidRPr="00603895">
        <w:rPr>
          <w:sz w:val="28"/>
          <w:szCs w:val="28"/>
        </w:rPr>
        <w:t xml:space="preserve"> (за 10 месяцев 2013 года доля составила </w:t>
      </w:r>
      <w:r w:rsidR="00A85082">
        <w:rPr>
          <w:sz w:val="28"/>
          <w:szCs w:val="28"/>
        </w:rPr>
        <w:t>3,3</w:t>
      </w:r>
      <w:r w:rsidR="006104FC" w:rsidRPr="00603895">
        <w:rPr>
          <w:sz w:val="28"/>
          <w:szCs w:val="28"/>
        </w:rPr>
        <w:t>%, за 10 месяцев 2</w:t>
      </w:r>
      <w:r w:rsidR="002B22B6">
        <w:rPr>
          <w:sz w:val="28"/>
          <w:szCs w:val="28"/>
        </w:rPr>
        <w:t>012 года составляла всего 2,7%)</w:t>
      </w:r>
      <w:r w:rsidR="006104FC" w:rsidRPr="00603895">
        <w:rPr>
          <w:sz w:val="28"/>
          <w:szCs w:val="28"/>
        </w:rPr>
        <w:t>.</w:t>
      </w:r>
      <w:r w:rsidR="002B22B6">
        <w:rPr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2B22B6" w:rsidRPr="00665566" w:rsidTr="00665566">
        <w:tc>
          <w:tcPr>
            <w:tcW w:w="4219" w:type="dxa"/>
            <w:shd w:val="clear" w:color="auto" w:fill="auto"/>
          </w:tcPr>
          <w:p w:rsidR="002B22B6" w:rsidRPr="00665566" w:rsidRDefault="002B22B6" w:rsidP="00665566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665566">
              <w:rPr>
                <w:sz w:val="28"/>
                <w:szCs w:val="28"/>
              </w:rPr>
              <w:t>Рост доли тенге был вызван ростом объемов безвозмездных переводов</w:t>
            </w:r>
            <w:r w:rsidR="00371D91">
              <w:rPr>
                <w:sz w:val="28"/>
                <w:szCs w:val="28"/>
              </w:rPr>
              <w:t xml:space="preserve"> в тенге</w:t>
            </w:r>
            <w:r w:rsidRPr="00665566">
              <w:rPr>
                <w:sz w:val="28"/>
                <w:szCs w:val="28"/>
              </w:rPr>
              <w:t xml:space="preserve"> (за исключением переводов на лечение и образование) физических лиц на 51,2% (с 3,7 млрд. тенге до 5,7 млрд.  тенге). При этом основная доля данных переводов была направлена физическими лицами в пользу резидентов таких стран, как Российская Федерация, Кыргызстан, Германия, Узбекистан и Китай.</w:t>
            </w:r>
            <w:r w:rsidR="00D11009" w:rsidRPr="00665566">
              <w:rPr>
                <w:sz w:val="28"/>
                <w:szCs w:val="28"/>
              </w:rPr>
              <w:t xml:space="preserve"> Для отправки безвозмездных переводов денег физическими лицами в тенге были задействованы такие системы, как Western Union, Faster и Юнистрим.</w:t>
            </w:r>
          </w:p>
          <w:p w:rsidR="002B22B6" w:rsidRPr="00665566" w:rsidRDefault="002B22B6" w:rsidP="00665566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684" w:rsidRPr="00665566" w:rsidRDefault="00156684" w:rsidP="00665566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2B22B6" w:rsidRPr="00665566" w:rsidRDefault="002B22B6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безвозмездных переводов физических лиц</w:t>
            </w:r>
            <w:r w:rsidR="00D11009" w:rsidRPr="00665566">
              <w:rPr>
                <w:b/>
              </w:rPr>
              <w:t xml:space="preserve"> в разрезе стран</w:t>
            </w:r>
          </w:p>
          <w:p w:rsidR="00D11009" w:rsidRPr="00665566" w:rsidRDefault="0078505F" w:rsidP="0066556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3248025" cy="1362075"/>
                  <wp:effectExtent l="0" t="0" r="0" b="0"/>
                  <wp:docPr id="12" name="Объект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D11009" w:rsidRPr="00665566" w:rsidRDefault="00D11009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безвозмездных переводов физических лиц в разрезе систем</w:t>
            </w:r>
          </w:p>
          <w:p w:rsidR="002B22B6" w:rsidRPr="00665566" w:rsidRDefault="0078505F" w:rsidP="00665566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3190875" cy="1581150"/>
                  <wp:effectExtent l="0" t="0" r="0" b="0"/>
                  <wp:docPr id="13" name="Объект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:rsidR="002B22B6" w:rsidRDefault="002B22B6" w:rsidP="006104FC">
      <w:pPr>
        <w:spacing w:line="228" w:lineRule="auto"/>
        <w:ind w:firstLine="709"/>
        <w:jc w:val="both"/>
        <w:rPr>
          <w:sz w:val="28"/>
          <w:szCs w:val="28"/>
        </w:rPr>
      </w:pPr>
    </w:p>
    <w:p w:rsidR="00667456" w:rsidRDefault="00667456" w:rsidP="00927B2D">
      <w:pPr>
        <w:tabs>
          <w:tab w:val="num" w:pos="993"/>
        </w:tabs>
        <w:ind w:firstLine="709"/>
        <w:jc w:val="both"/>
        <w:rPr>
          <w:b/>
          <w:i/>
          <w:sz w:val="28"/>
          <w:szCs w:val="28"/>
          <w:u w:val="single"/>
        </w:rPr>
      </w:pPr>
    </w:p>
    <w:p w:rsidR="00667456" w:rsidRDefault="00667456" w:rsidP="00927B2D">
      <w:pPr>
        <w:tabs>
          <w:tab w:val="num" w:pos="993"/>
        </w:tabs>
        <w:ind w:firstLine="709"/>
        <w:jc w:val="both"/>
        <w:rPr>
          <w:b/>
          <w:i/>
          <w:sz w:val="28"/>
          <w:szCs w:val="28"/>
          <w:u w:val="single"/>
        </w:rPr>
      </w:pPr>
    </w:p>
    <w:p w:rsidR="00927B2D" w:rsidRPr="002B22B6" w:rsidRDefault="00C33B70" w:rsidP="00927B2D">
      <w:pPr>
        <w:tabs>
          <w:tab w:val="num" w:pos="993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2B22B6">
        <w:rPr>
          <w:b/>
          <w:i/>
          <w:sz w:val="28"/>
          <w:szCs w:val="28"/>
          <w:u w:val="single"/>
        </w:rPr>
        <w:lastRenderedPageBreak/>
        <w:t>ПЕРЕВОДЫ ДЕНЕГ</w:t>
      </w:r>
      <w:r>
        <w:rPr>
          <w:b/>
          <w:i/>
          <w:sz w:val="28"/>
          <w:szCs w:val="28"/>
          <w:u w:val="single"/>
        </w:rPr>
        <w:t xml:space="preserve">, </w:t>
      </w:r>
      <w:r w:rsidR="00927B2D">
        <w:rPr>
          <w:b/>
          <w:i/>
          <w:sz w:val="28"/>
          <w:szCs w:val="28"/>
          <w:u w:val="single"/>
        </w:rPr>
        <w:t>ПОЛУЧЕННЫЕ</w:t>
      </w:r>
      <w:r w:rsidR="00927B2D" w:rsidRPr="002B22B6">
        <w:rPr>
          <w:b/>
          <w:i/>
          <w:sz w:val="28"/>
          <w:szCs w:val="28"/>
          <w:u w:val="single"/>
        </w:rPr>
        <w:t xml:space="preserve"> </w:t>
      </w:r>
      <w:r w:rsidR="00927B2D">
        <w:rPr>
          <w:b/>
          <w:i/>
          <w:sz w:val="28"/>
          <w:szCs w:val="28"/>
          <w:u w:val="single"/>
        </w:rPr>
        <w:t>ИЗ-</w:t>
      </w:r>
      <w:r w:rsidR="00927B2D" w:rsidRPr="002B22B6">
        <w:rPr>
          <w:b/>
          <w:i/>
          <w:sz w:val="28"/>
          <w:szCs w:val="28"/>
          <w:u w:val="single"/>
        </w:rPr>
        <w:t>ЗА РУБЕЖ</w:t>
      </w:r>
      <w:r w:rsidR="00927B2D">
        <w:rPr>
          <w:b/>
          <w:i/>
          <w:sz w:val="28"/>
          <w:szCs w:val="28"/>
          <w:u w:val="single"/>
        </w:rPr>
        <w:t>А</w:t>
      </w:r>
      <w:r w:rsidR="00927B2D" w:rsidRPr="002B22B6">
        <w:rPr>
          <w:b/>
          <w:i/>
          <w:sz w:val="28"/>
          <w:szCs w:val="28"/>
          <w:u w:val="single"/>
        </w:rPr>
        <w:t xml:space="preserve"> </w:t>
      </w:r>
    </w:p>
    <w:p w:rsidR="00605235" w:rsidRDefault="00927B2D" w:rsidP="00605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01A99">
        <w:rPr>
          <w:sz w:val="28"/>
          <w:szCs w:val="28"/>
        </w:rPr>
        <w:t xml:space="preserve"> Казахстан</w:t>
      </w:r>
      <w:r>
        <w:rPr>
          <w:sz w:val="28"/>
          <w:szCs w:val="28"/>
        </w:rPr>
        <w:t xml:space="preserve"> из-за рубежа </w:t>
      </w:r>
      <w:r w:rsidR="00605235" w:rsidRPr="00201A99">
        <w:rPr>
          <w:sz w:val="28"/>
          <w:szCs w:val="28"/>
        </w:rPr>
        <w:t xml:space="preserve">посредством </w:t>
      </w:r>
      <w:r w:rsidR="00605235">
        <w:rPr>
          <w:sz w:val="28"/>
          <w:szCs w:val="28"/>
        </w:rPr>
        <w:t xml:space="preserve">СДП </w:t>
      </w:r>
      <w:r>
        <w:rPr>
          <w:sz w:val="28"/>
          <w:szCs w:val="28"/>
        </w:rPr>
        <w:t>было п</w:t>
      </w:r>
      <w:r w:rsidRPr="00201A99">
        <w:rPr>
          <w:sz w:val="28"/>
          <w:szCs w:val="28"/>
        </w:rPr>
        <w:t>олучено 686,4 тыс. транзакций на сумму 74,2 млрд. тенге (рост по сравнению с аналогичным периодом прошлого года составил по количеству 10,9% и по сумме 17,6%).</w:t>
      </w:r>
      <w:r>
        <w:rPr>
          <w:sz w:val="28"/>
          <w:szCs w:val="28"/>
        </w:rPr>
        <w:t xml:space="preserve"> </w:t>
      </w:r>
      <w:r w:rsidR="00B86C2F">
        <w:rPr>
          <w:sz w:val="28"/>
          <w:szCs w:val="28"/>
        </w:rPr>
        <w:t>Доля полученных через С</w:t>
      </w:r>
      <w:r w:rsidR="00605235">
        <w:rPr>
          <w:sz w:val="28"/>
          <w:szCs w:val="28"/>
        </w:rPr>
        <w:t>ДП переводов денег из-за рубежа составляет всего 0,</w:t>
      </w:r>
      <w:r w:rsidR="003D32F8">
        <w:rPr>
          <w:sz w:val="28"/>
          <w:szCs w:val="28"/>
        </w:rPr>
        <w:t>3</w:t>
      </w:r>
      <w:r w:rsidR="00605235">
        <w:rPr>
          <w:sz w:val="28"/>
          <w:szCs w:val="28"/>
        </w:rPr>
        <w:t>% от объема ВВП страны, что положительно характеризует отсутствие зависимости экономики от интенсивности поступающих международных денежных переводов.</w:t>
      </w:r>
    </w:p>
    <w:p w:rsidR="00927B2D" w:rsidRDefault="00927B2D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сумма одного полученного перевода </w:t>
      </w:r>
      <w:r w:rsidR="00605235">
        <w:rPr>
          <w:sz w:val="28"/>
          <w:szCs w:val="28"/>
        </w:rPr>
        <w:t>составила за 10 месяцев 2013 года</w:t>
      </w:r>
      <w:r>
        <w:rPr>
          <w:sz w:val="28"/>
          <w:szCs w:val="28"/>
        </w:rPr>
        <w:t xml:space="preserve"> 108,1 тыс. тенге, что на 25,5 тыс. тенге меньше аналогичной суммы одного отправленного перевода. </w:t>
      </w:r>
    </w:p>
    <w:p w:rsidR="005E3D63" w:rsidRDefault="00927B2D" w:rsidP="00927B2D">
      <w:pPr>
        <w:tabs>
          <w:tab w:val="num" w:pos="993"/>
        </w:tabs>
        <w:jc w:val="center"/>
        <w:rPr>
          <w:b/>
        </w:rPr>
      </w:pPr>
      <w:r w:rsidRPr="00F10668">
        <w:rPr>
          <w:b/>
        </w:rPr>
        <w:t>Динамика изменения потоков переводов денег</w:t>
      </w:r>
      <w:r>
        <w:rPr>
          <w:b/>
        </w:rPr>
        <w:t>, полученных</w:t>
      </w:r>
      <w:r w:rsidRPr="00F10668">
        <w:rPr>
          <w:b/>
        </w:rPr>
        <w:t xml:space="preserve"> через СДП </w:t>
      </w:r>
    </w:p>
    <w:p w:rsidR="00927B2D" w:rsidRPr="00F10668" w:rsidRDefault="00927B2D" w:rsidP="00927B2D">
      <w:pPr>
        <w:tabs>
          <w:tab w:val="num" w:pos="993"/>
        </w:tabs>
        <w:jc w:val="center"/>
        <w:rPr>
          <w:b/>
        </w:rPr>
      </w:pPr>
      <w:r w:rsidRPr="00F10668">
        <w:rPr>
          <w:b/>
        </w:rPr>
        <w:t>в 2012, 2013 годах</w:t>
      </w:r>
    </w:p>
    <w:p w:rsidR="00927B2D" w:rsidRDefault="0078505F" w:rsidP="00B85C1D">
      <w:pPr>
        <w:tabs>
          <w:tab w:val="num" w:pos="993"/>
        </w:tabs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162675" cy="2190750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927B2D">
        <w:rPr>
          <w:sz w:val="28"/>
          <w:szCs w:val="28"/>
        </w:rPr>
        <w:tab/>
        <w:t xml:space="preserve">Рост объемов полученных </w:t>
      </w:r>
      <w:r w:rsidR="005E3D63">
        <w:rPr>
          <w:sz w:val="28"/>
          <w:szCs w:val="28"/>
        </w:rPr>
        <w:t xml:space="preserve">посредством СДП </w:t>
      </w:r>
      <w:r w:rsidR="00927B2D">
        <w:rPr>
          <w:sz w:val="28"/>
          <w:szCs w:val="28"/>
        </w:rPr>
        <w:t>из-за рубежа переводов</w:t>
      </w:r>
      <w:r w:rsidR="005E3D63">
        <w:rPr>
          <w:sz w:val="28"/>
          <w:szCs w:val="28"/>
        </w:rPr>
        <w:t xml:space="preserve"> денег </w:t>
      </w:r>
      <w:r w:rsidR="00480B97">
        <w:rPr>
          <w:sz w:val="28"/>
          <w:szCs w:val="28"/>
        </w:rPr>
        <w:t xml:space="preserve">также </w:t>
      </w:r>
      <w:r w:rsidR="005E3D63">
        <w:rPr>
          <w:sz w:val="28"/>
          <w:szCs w:val="28"/>
        </w:rPr>
        <w:t xml:space="preserve">связан с </w:t>
      </w:r>
      <w:r w:rsidR="00927B2D">
        <w:rPr>
          <w:sz w:val="28"/>
          <w:szCs w:val="28"/>
        </w:rPr>
        <w:t>увеличением суммы безвозмездных переводов</w:t>
      </w:r>
      <w:r w:rsidR="00927B2D">
        <w:rPr>
          <w:rStyle w:val="aa"/>
          <w:sz w:val="28"/>
          <w:szCs w:val="28"/>
        </w:rPr>
        <w:footnoteReference w:id="4"/>
      </w:r>
      <w:r w:rsidR="00927B2D">
        <w:rPr>
          <w:sz w:val="28"/>
          <w:szCs w:val="28"/>
        </w:rPr>
        <w:t xml:space="preserve"> на </w:t>
      </w:r>
      <w:r w:rsidR="00480B97">
        <w:rPr>
          <w:sz w:val="28"/>
          <w:szCs w:val="28"/>
        </w:rPr>
        <w:t>11,3</w:t>
      </w:r>
      <w:r w:rsidR="00927B2D">
        <w:rPr>
          <w:sz w:val="28"/>
          <w:szCs w:val="28"/>
        </w:rPr>
        <w:t xml:space="preserve"> млрд. тенге (</w:t>
      </w:r>
      <w:r w:rsidR="00480B97">
        <w:rPr>
          <w:sz w:val="28"/>
          <w:szCs w:val="28"/>
        </w:rPr>
        <w:t>18,2</w:t>
      </w:r>
      <w:r w:rsidR="00927B2D">
        <w:rPr>
          <w:sz w:val="28"/>
          <w:szCs w:val="28"/>
        </w:rPr>
        <w:t xml:space="preserve">%). </w:t>
      </w:r>
    </w:p>
    <w:p w:rsidR="00927B2D" w:rsidRPr="00156684" w:rsidRDefault="00927B2D" w:rsidP="00927B2D">
      <w:pPr>
        <w:tabs>
          <w:tab w:val="num" w:pos="993"/>
        </w:tabs>
        <w:ind w:firstLine="709"/>
        <w:jc w:val="both"/>
        <w:rPr>
          <w:b/>
          <w:i/>
          <w:sz w:val="28"/>
          <w:szCs w:val="28"/>
        </w:rPr>
      </w:pPr>
      <w:r w:rsidRPr="00156684">
        <w:rPr>
          <w:b/>
          <w:i/>
          <w:sz w:val="28"/>
          <w:szCs w:val="28"/>
        </w:rPr>
        <w:t>В разрезе видов платежей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962"/>
        <w:gridCol w:w="1843"/>
        <w:gridCol w:w="1559"/>
        <w:gridCol w:w="1559"/>
      </w:tblGrid>
      <w:tr w:rsidR="00927B2D" w:rsidRPr="00F10668" w:rsidTr="006340AB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927B2D" w:rsidRPr="00F10668" w:rsidRDefault="00927B2D" w:rsidP="006340AB">
            <w:pPr>
              <w:jc w:val="center"/>
              <w:rPr>
                <w:b/>
                <w:bCs/>
                <w:sz w:val="22"/>
                <w:szCs w:val="22"/>
              </w:rPr>
            </w:pPr>
            <w:r w:rsidRPr="00F10668">
              <w:rPr>
                <w:b/>
                <w:bCs/>
                <w:sz w:val="22"/>
                <w:szCs w:val="22"/>
              </w:rPr>
              <w:t>Назначение платежа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b/>
              </w:rPr>
            </w:pPr>
            <w:r w:rsidRPr="00EE3BE5">
              <w:rPr>
                <w:b/>
              </w:rPr>
              <w:t>Полученные из-за рубежа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927B2D" w:rsidRPr="00F10668" w:rsidRDefault="00927B2D" w:rsidP="006340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927B2D" w:rsidRPr="00EE3BE5" w:rsidRDefault="00927B2D" w:rsidP="006340AB">
            <w:pPr>
              <w:jc w:val="center"/>
              <w:rPr>
                <w:b/>
              </w:rPr>
            </w:pPr>
            <w:r w:rsidRPr="00EE3BE5">
              <w:rPr>
                <w:b/>
              </w:rPr>
              <w:t>10 мес.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927B2D" w:rsidRPr="00EE3BE5" w:rsidRDefault="00927B2D" w:rsidP="006340AB">
            <w:pPr>
              <w:jc w:val="center"/>
              <w:rPr>
                <w:b/>
              </w:rPr>
            </w:pPr>
            <w:r w:rsidRPr="00EE3BE5">
              <w:rPr>
                <w:b/>
              </w:rPr>
              <w:t>10 мес. 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927B2D" w:rsidRPr="00EE3BE5" w:rsidRDefault="00927B2D" w:rsidP="006340AB">
            <w:pPr>
              <w:jc w:val="center"/>
              <w:rPr>
                <w:b/>
                <w:i/>
              </w:rPr>
            </w:pPr>
            <w:r w:rsidRPr="00EE3BE5">
              <w:rPr>
                <w:b/>
                <w:i/>
              </w:rPr>
              <w:t>Изм.,</w:t>
            </w:r>
          </w:p>
          <w:p w:rsidR="00927B2D" w:rsidRPr="00EE3BE5" w:rsidRDefault="00927B2D" w:rsidP="006340AB">
            <w:pPr>
              <w:jc w:val="center"/>
              <w:rPr>
                <w:b/>
                <w:i/>
              </w:rPr>
            </w:pPr>
            <w:r w:rsidRPr="00EE3BE5">
              <w:rPr>
                <w:b/>
                <w:i/>
              </w:rPr>
              <w:t>в 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Специфические переводы,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62 556,1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73 695,8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17,8%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B2D" w:rsidRPr="00F10668" w:rsidRDefault="00927B2D" w:rsidP="006340AB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переводы на лечение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в 21,5 раз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B2D" w:rsidRPr="00F10668" w:rsidRDefault="00927B2D" w:rsidP="006340AB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переводы на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в 6,9 раз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B2D" w:rsidRPr="00F10668" w:rsidRDefault="00927B2D" w:rsidP="006340AB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прочие безвозмездные переводы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62 018,1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73 279,5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18,2%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B2D" w:rsidRPr="00F10668" w:rsidRDefault="00927B2D" w:rsidP="006340AB">
            <w:pPr>
              <w:rPr>
                <w:i/>
                <w:sz w:val="22"/>
                <w:szCs w:val="22"/>
              </w:rPr>
            </w:pPr>
            <w:r w:rsidRPr="00F10668">
              <w:rPr>
                <w:i/>
                <w:sz w:val="22"/>
                <w:szCs w:val="22"/>
              </w:rPr>
              <w:t>прочие специфические переводы</w:t>
            </w:r>
            <w:r w:rsidRPr="00F10668">
              <w:rPr>
                <w:rStyle w:val="aa"/>
                <w:i/>
                <w:sz w:val="22"/>
                <w:szCs w:val="22"/>
              </w:rPr>
              <w:footnoteReference w:id="5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в 2,3 раза</w:t>
            </w:r>
          </w:p>
        </w:tc>
      </w:tr>
      <w:tr w:rsidR="00927B2D" w:rsidRPr="00F10668" w:rsidTr="006340AB">
        <w:trPr>
          <w:trHeight w:val="1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Операции с ин.валютой  и драг.металлами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-66,1%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Депозиты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513,6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483,6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-5,8%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Займы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в 3,7 раза</w:t>
            </w:r>
          </w:p>
        </w:tc>
      </w:tr>
      <w:tr w:rsidR="00927B2D" w:rsidRPr="00F10668" w:rsidTr="006340AB">
        <w:trPr>
          <w:trHeight w:val="3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ЦБ, векселя и депозитные сертификаты нерезидентов 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-100%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Товары и нематериальные активы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-94,7%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в 5,3 раза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2D" w:rsidRPr="00F10668" w:rsidRDefault="00927B2D" w:rsidP="006340AB">
            <w:pPr>
              <w:rPr>
                <w:sz w:val="22"/>
                <w:szCs w:val="22"/>
              </w:rPr>
            </w:pPr>
            <w:r w:rsidRPr="00F10668">
              <w:rPr>
                <w:sz w:val="22"/>
                <w:szCs w:val="22"/>
              </w:rPr>
              <w:t>Прочие платежи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sz w:val="22"/>
                <w:szCs w:val="22"/>
              </w:rPr>
            </w:pPr>
            <w:r w:rsidRPr="00EE3BE5">
              <w:rPr>
                <w:sz w:val="22"/>
                <w:szCs w:val="22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i/>
                <w:sz w:val="22"/>
                <w:szCs w:val="22"/>
              </w:rPr>
            </w:pPr>
            <w:r w:rsidRPr="00EE3BE5">
              <w:rPr>
                <w:i/>
                <w:sz w:val="22"/>
                <w:szCs w:val="22"/>
              </w:rPr>
              <w:t>-18,1%</w:t>
            </w:r>
          </w:p>
        </w:tc>
      </w:tr>
      <w:tr w:rsidR="00927B2D" w:rsidRPr="00F10668" w:rsidTr="006340AB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927B2D" w:rsidRPr="00F10668" w:rsidRDefault="00927B2D" w:rsidP="006340AB">
            <w:pPr>
              <w:rPr>
                <w:b/>
                <w:bCs/>
                <w:sz w:val="22"/>
                <w:szCs w:val="22"/>
              </w:rPr>
            </w:pPr>
            <w:r w:rsidRPr="00F1066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b/>
                <w:bCs/>
                <w:sz w:val="22"/>
                <w:szCs w:val="22"/>
              </w:rPr>
            </w:pPr>
            <w:r w:rsidRPr="00EE3BE5">
              <w:rPr>
                <w:b/>
                <w:bCs/>
                <w:sz w:val="22"/>
                <w:szCs w:val="22"/>
              </w:rPr>
              <w:t>63 107,5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b/>
                <w:bCs/>
                <w:sz w:val="22"/>
                <w:szCs w:val="22"/>
              </w:rPr>
            </w:pPr>
            <w:r w:rsidRPr="00EE3BE5">
              <w:rPr>
                <w:b/>
                <w:bCs/>
                <w:sz w:val="22"/>
                <w:szCs w:val="22"/>
              </w:rPr>
              <w:t>74 212,8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927B2D" w:rsidRPr="00EE3BE5" w:rsidRDefault="00927B2D" w:rsidP="006340A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E3BE5">
              <w:rPr>
                <w:b/>
                <w:bCs/>
                <w:i/>
                <w:sz w:val="22"/>
                <w:szCs w:val="22"/>
              </w:rPr>
              <w:t>17,6%</w:t>
            </w:r>
          </w:p>
        </w:tc>
      </w:tr>
    </w:tbl>
    <w:p w:rsidR="00480B97" w:rsidRDefault="00480B97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Казахстан посредством СДП также в основном переводились безвозмездные переводы (98,7% от общего объема полученных банками Казахстана переводов денег). 0,7% приходится на операции с депозитам</w:t>
      </w:r>
      <w:r w:rsidR="00B65411">
        <w:rPr>
          <w:sz w:val="28"/>
          <w:szCs w:val="28"/>
        </w:rPr>
        <w:t>и</w:t>
      </w:r>
      <w:r>
        <w:rPr>
          <w:sz w:val="28"/>
          <w:szCs w:val="28"/>
        </w:rPr>
        <w:t>, доля иных переводов незначительна и составляет всего 0,2% от общего объема полученных из-за рубежа переводов денег.</w:t>
      </w:r>
    </w:p>
    <w:p w:rsidR="00480B97" w:rsidRDefault="00480B97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поток </w:t>
      </w:r>
      <w:r w:rsidRPr="00480B97">
        <w:rPr>
          <w:b/>
          <w:sz w:val="28"/>
          <w:szCs w:val="28"/>
        </w:rPr>
        <w:t>безвозмездных переводов</w:t>
      </w:r>
      <w:r>
        <w:rPr>
          <w:sz w:val="28"/>
          <w:szCs w:val="28"/>
        </w:rPr>
        <w:t xml:space="preserve"> был получен банками Казахстана от резидентов таких стран, как Россия, Узбекистан, Германия, Кыргызстан, Таджикистан, США и Турция.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27B2D" w:rsidRPr="00665566" w:rsidTr="00665566">
        <w:tc>
          <w:tcPr>
            <w:tcW w:w="4927" w:type="dxa"/>
            <w:shd w:val="clear" w:color="auto" w:fill="auto"/>
          </w:tcPr>
          <w:p w:rsidR="00927B2D" w:rsidRPr="00665566" w:rsidRDefault="00927B2D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 xml:space="preserve">Доля от общего количества </w:t>
            </w:r>
            <w:r w:rsidR="00B65411" w:rsidRPr="00665566">
              <w:rPr>
                <w:b/>
              </w:rPr>
              <w:t>полученных</w:t>
            </w:r>
            <w:r w:rsidRPr="00665566">
              <w:rPr>
                <w:b/>
              </w:rPr>
              <w:t xml:space="preserve"> безвозмездных  переводов</w:t>
            </w:r>
          </w:p>
          <w:p w:rsidR="00927B2D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1905000"/>
                  <wp:effectExtent l="0" t="0" r="0" b="0"/>
                  <wp:docPr id="15" name="Объект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927B2D" w:rsidRPr="00665566" w:rsidRDefault="00B65411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полученных</w:t>
            </w:r>
            <w:r w:rsidR="00927B2D" w:rsidRPr="00665566">
              <w:rPr>
                <w:b/>
              </w:rPr>
              <w:t xml:space="preserve"> безвозмездных переводов</w:t>
            </w:r>
          </w:p>
          <w:p w:rsidR="00927B2D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1905000"/>
                  <wp:effectExtent l="0" t="0" r="0" b="0"/>
                  <wp:docPr id="16" name="Объект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</w:tbl>
    <w:p w:rsidR="00927B2D" w:rsidRDefault="00927B2D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27B2D" w:rsidRPr="00665566" w:rsidTr="00665566">
        <w:tc>
          <w:tcPr>
            <w:tcW w:w="3284" w:type="dxa"/>
            <w:shd w:val="clear" w:color="auto" w:fill="EAF1DD"/>
          </w:tcPr>
          <w:p w:rsidR="00927B2D" w:rsidRPr="00665566" w:rsidRDefault="00927B2D" w:rsidP="00665566">
            <w:pPr>
              <w:tabs>
                <w:tab w:val="num" w:pos="993"/>
              </w:tabs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Наименование страны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927B2D" w:rsidRPr="00665566" w:rsidRDefault="00927B2D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Кол-во (тыс. транзакций)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927B2D" w:rsidRPr="00665566" w:rsidRDefault="00927B2D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Сумма (млн. тенге)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460,5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45 406,6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Узбекистан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22,5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4 938,3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Германия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37,3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2 482,8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Кыргызстан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9,7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1 975,1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Таджикистан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4,7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1 868,6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Соединенные Штаты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17,6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1 492,1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Турция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10,2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1 406,9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Китай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2,8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993,8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Украина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11,4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857,5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Азербайджан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4,4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692,6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Объединенные Арабские Эмираты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5,8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618,2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auto"/>
            <w:vAlign w:val="bottom"/>
          </w:tcPr>
          <w:p w:rsidR="00B65411" w:rsidRPr="00665566" w:rsidRDefault="00B65411">
            <w:pPr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Корея, Республика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3,1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429,1</w:t>
            </w:r>
          </w:p>
        </w:tc>
      </w:tr>
      <w:tr w:rsidR="00B65411" w:rsidRPr="00665566" w:rsidTr="00665566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B65411" w:rsidRPr="00665566" w:rsidRDefault="00B65411" w:rsidP="00665566">
            <w:pPr>
              <w:tabs>
                <w:tab w:val="num" w:pos="993"/>
              </w:tabs>
              <w:jc w:val="both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Прочие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92,2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5411" w:rsidRPr="00665566" w:rsidRDefault="00B65411" w:rsidP="00665566">
            <w:pPr>
              <w:jc w:val="center"/>
              <w:rPr>
                <w:sz w:val="22"/>
                <w:szCs w:val="22"/>
              </w:rPr>
            </w:pPr>
            <w:r w:rsidRPr="00665566">
              <w:rPr>
                <w:sz w:val="22"/>
                <w:szCs w:val="22"/>
              </w:rPr>
              <w:t>10 117,8</w:t>
            </w:r>
          </w:p>
        </w:tc>
      </w:tr>
      <w:tr w:rsidR="00B65411" w:rsidRPr="00665566" w:rsidTr="00665566">
        <w:tc>
          <w:tcPr>
            <w:tcW w:w="3284" w:type="dxa"/>
            <w:shd w:val="clear" w:color="auto" w:fill="EAF1DD"/>
          </w:tcPr>
          <w:p w:rsidR="00B65411" w:rsidRPr="00665566" w:rsidRDefault="00B65411" w:rsidP="00665566">
            <w:pPr>
              <w:tabs>
                <w:tab w:val="num" w:pos="993"/>
              </w:tabs>
              <w:jc w:val="both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B65411" w:rsidRPr="00665566" w:rsidRDefault="00B65411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682,2</w:t>
            </w:r>
          </w:p>
        </w:tc>
        <w:tc>
          <w:tcPr>
            <w:tcW w:w="3285" w:type="dxa"/>
            <w:shd w:val="clear" w:color="auto" w:fill="EAF1DD"/>
            <w:vAlign w:val="bottom"/>
          </w:tcPr>
          <w:p w:rsidR="00B65411" w:rsidRPr="00665566" w:rsidRDefault="00B65411" w:rsidP="00665566">
            <w:pPr>
              <w:jc w:val="center"/>
              <w:rPr>
                <w:b/>
                <w:sz w:val="22"/>
                <w:szCs w:val="22"/>
              </w:rPr>
            </w:pPr>
            <w:r w:rsidRPr="00665566">
              <w:rPr>
                <w:b/>
                <w:sz w:val="22"/>
                <w:szCs w:val="22"/>
              </w:rPr>
              <w:t>73 279,5</w:t>
            </w:r>
          </w:p>
        </w:tc>
      </w:tr>
    </w:tbl>
    <w:p w:rsidR="00927B2D" w:rsidRDefault="00B65411" w:rsidP="00B65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Казахстан из-за рубежа безвозмездные переводы денег были получены в основном через такие системы, как Золотая корона (</w:t>
      </w:r>
      <w:r w:rsidR="00927B2D" w:rsidRPr="00D07617">
        <w:rPr>
          <w:sz w:val="28"/>
          <w:szCs w:val="28"/>
        </w:rPr>
        <w:t xml:space="preserve">доля от общего количества и объема </w:t>
      </w:r>
      <w:r w:rsidR="00927B2D">
        <w:rPr>
          <w:sz w:val="28"/>
          <w:szCs w:val="28"/>
        </w:rPr>
        <w:t xml:space="preserve">безвозмездных переводов денег – </w:t>
      </w:r>
      <w:r>
        <w:rPr>
          <w:sz w:val="28"/>
          <w:szCs w:val="28"/>
        </w:rPr>
        <w:t>38,5</w:t>
      </w:r>
      <w:r w:rsidR="00927B2D" w:rsidRPr="00D07617">
        <w:rPr>
          <w:sz w:val="28"/>
          <w:szCs w:val="28"/>
        </w:rPr>
        <w:t xml:space="preserve">% и </w:t>
      </w:r>
      <w:r>
        <w:rPr>
          <w:sz w:val="28"/>
          <w:szCs w:val="28"/>
        </w:rPr>
        <w:t>42,2</w:t>
      </w:r>
      <w:r w:rsidR="00927B2D" w:rsidRPr="00D07617">
        <w:rPr>
          <w:sz w:val="28"/>
          <w:szCs w:val="28"/>
        </w:rPr>
        <w:t>% соответственно), Western Union (</w:t>
      </w:r>
      <w:r>
        <w:rPr>
          <w:sz w:val="28"/>
          <w:szCs w:val="28"/>
        </w:rPr>
        <w:t>22,4</w:t>
      </w:r>
      <w:r w:rsidR="00927B2D" w:rsidRPr="00D07617">
        <w:rPr>
          <w:sz w:val="28"/>
          <w:szCs w:val="28"/>
        </w:rPr>
        <w:t xml:space="preserve">% и </w:t>
      </w:r>
      <w:r>
        <w:rPr>
          <w:sz w:val="28"/>
          <w:szCs w:val="28"/>
        </w:rPr>
        <w:t>22,1</w:t>
      </w:r>
      <w:r w:rsidR="00927B2D" w:rsidRPr="00D07617">
        <w:rPr>
          <w:sz w:val="28"/>
          <w:szCs w:val="28"/>
        </w:rPr>
        <w:t>%), Юнистрим (</w:t>
      </w:r>
      <w:r>
        <w:rPr>
          <w:sz w:val="28"/>
          <w:szCs w:val="28"/>
        </w:rPr>
        <w:t>5,5</w:t>
      </w:r>
      <w:r w:rsidR="00927B2D" w:rsidRPr="00D07617">
        <w:rPr>
          <w:sz w:val="28"/>
          <w:szCs w:val="28"/>
        </w:rPr>
        <w:t xml:space="preserve">% и </w:t>
      </w:r>
      <w:r>
        <w:rPr>
          <w:sz w:val="28"/>
          <w:szCs w:val="28"/>
        </w:rPr>
        <w:t>11,9</w:t>
      </w:r>
      <w:r w:rsidR="00927B2D" w:rsidRPr="00D07617">
        <w:rPr>
          <w:sz w:val="28"/>
          <w:szCs w:val="28"/>
        </w:rPr>
        <w:t>%).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1701"/>
        <w:gridCol w:w="1417"/>
        <w:gridCol w:w="1843"/>
        <w:gridCol w:w="1559"/>
      </w:tblGrid>
      <w:tr w:rsidR="00927B2D" w:rsidRPr="00B65411" w:rsidTr="006340AB">
        <w:trPr>
          <w:trHeight w:val="255"/>
        </w:trPr>
        <w:tc>
          <w:tcPr>
            <w:tcW w:w="3276" w:type="dxa"/>
            <w:shd w:val="clear" w:color="auto" w:fill="EAF1DD"/>
            <w:noWrap/>
            <w:vAlign w:val="center"/>
            <w:hideMark/>
          </w:tcPr>
          <w:p w:rsidR="00927B2D" w:rsidRPr="00B65411" w:rsidRDefault="00927B2D" w:rsidP="006340AB">
            <w:pPr>
              <w:jc w:val="center"/>
              <w:rPr>
                <w:b/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ab/>
            </w:r>
            <w:r w:rsidRPr="00B65411">
              <w:rPr>
                <w:b/>
                <w:sz w:val="22"/>
                <w:szCs w:val="22"/>
              </w:rPr>
              <w:t>Система</w:t>
            </w:r>
          </w:p>
        </w:tc>
        <w:tc>
          <w:tcPr>
            <w:tcW w:w="1701" w:type="dxa"/>
            <w:shd w:val="clear" w:color="auto" w:fill="EAF1DD"/>
            <w:noWrap/>
            <w:vAlign w:val="center"/>
            <w:hideMark/>
          </w:tcPr>
          <w:p w:rsidR="00927B2D" w:rsidRPr="00B65411" w:rsidRDefault="00927B2D" w:rsidP="006340AB">
            <w:pPr>
              <w:jc w:val="center"/>
              <w:rPr>
                <w:b/>
                <w:sz w:val="22"/>
                <w:szCs w:val="22"/>
              </w:rPr>
            </w:pPr>
            <w:r w:rsidRPr="00B65411">
              <w:rPr>
                <w:b/>
                <w:sz w:val="22"/>
                <w:szCs w:val="22"/>
              </w:rPr>
              <w:t>Кол-во (тыс. транзакций)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27B2D" w:rsidRPr="00B65411" w:rsidRDefault="00927B2D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B65411">
              <w:rPr>
                <w:b/>
                <w:i/>
                <w:sz w:val="22"/>
                <w:szCs w:val="22"/>
              </w:rPr>
              <w:t>Доля от общего кол-ва, в %</w:t>
            </w:r>
          </w:p>
        </w:tc>
        <w:tc>
          <w:tcPr>
            <w:tcW w:w="1843" w:type="dxa"/>
            <w:shd w:val="clear" w:color="auto" w:fill="EAF1DD"/>
            <w:noWrap/>
            <w:vAlign w:val="center"/>
            <w:hideMark/>
          </w:tcPr>
          <w:p w:rsidR="00927B2D" w:rsidRPr="00B65411" w:rsidRDefault="00927B2D" w:rsidP="006340AB">
            <w:pPr>
              <w:jc w:val="center"/>
              <w:rPr>
                <w:b/>
                <w:sz w:val="22"/>
                <w:szCs w:val="22"/>
              </w:rPr>
            </w:pPr>
            <w:r w:rsidRPr="00B65411">
              <w:rPr>
                <w:b/>
                <w:sz w:val="22"/>
                <w:szCs w:val="22"/>
              </w:rPr>
              <w:t>Сумма (млн. тенге)</w:t>
            </w:r>
          </w:p>
        </w:tc>
        <w:tc>
          <w:tcPr>
            <w:tcW w:w="1559" w:type="dxa"/>
            <w:shd w:val="clear" w:color="auto" w:fill="EAF1DD"/>
            <w:noWrap/>
            <w:vAlign w:val="center"/>
            <w:hideMark/>
          </w:tcPr>
          <w:p w:rsidR="00927B2D" w:rsidRPr="00B65411" w:rsidRDefault="00927B2D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B65411">
              <w:rPr>
                <w:b/>
                <w:i/>
                <w:sz w:val="22"/>
                <w:szCs w:val="22"/>
              </w:rPr>
              <w:t>Доля от общей  суммы, в %</w:t>
            </w:r>
          </w:p>
        </w:tc>
      </w:tr>
      <w:tr w:rsidR="00B65411" w:rsidRPr="00B65411" w:rsidTr="006340AB">
        <w:trPr>
          <w:trHeight w:val="171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Золотая корона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262,8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38,5%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30 916,5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42,2%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Western Union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152,7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22,4%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16 181,5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22,1%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Юнистрим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37,4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5,5%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8 723,8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11,9%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Блиц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30,9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4,5%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3 415,0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4,7%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Система Всемирного почтового союза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126,4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18,5%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3 229,1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4,4%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lastRenderedPageBreak/>
              <w:t>Contact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32,9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4,8%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2 837,7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3,9%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Лидер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0,6%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2 729,8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3,7%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Анелик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4,4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0,6%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1 916,4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2,6%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MoneyGram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18,4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2,7%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1 899,6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2,6%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Быстрая почта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2,2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0,3%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536,4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0,7%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Faster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5,8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0,8%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442,7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0,6%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Coinstar Money Transfer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0,3%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260,8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0,4%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Система Киберплат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0,2%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175,8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0,2%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Почтовые международные переводы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0,1%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0,01%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InterExpress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0,01%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0,01%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Быстрые денежные переводы без открытия банковского счета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0,001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0,0001%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sz w:val="22"/>
                <w:szCs w:val="22"/>
              </w:rPr>
            </w:pPr>
            <w:r w:rsidRPr="00B65411">
              <w:rPr>
                <w:sz w:val="22"/>
                <w:szCs w:val="22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i/>
                <w:sz w:val="22"/>
                <w:szCs w:val="22"/>
              </w:rPr>
            </w:pPr>
            <w:r w:rsidRPr="00B65411">
              <w:rPr>
                <w:i/>
                <w:sz w:val="22"/>
                <w:szCs w:val="22"/>
              </w:rPr>
              <w:t>0,0001%</w:t>
            </w:r>
          </w:p>
        </w:tc>
      </w:tr>
      <w:tr w:rsidR="00B65411" w:rsidRPr="00B65411" w:rsidTr="006340AB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B65411" w:rsidRPr="00B65411" w:rsidRDefault="00B65411">
            <w:pPr>
              <w:rPr>
                <w:b/>
                <w:sz w:val="22"/>
                <w:szCs w:val="22"/>
              </w:rPr>
            </w:pPr>
            <w:r w:rsidRPr="00B65411">
              <w:rPr>
                <w:b/>
                <w:sz w:val="22"/>
                <w:szCs w:val="22"/>
              </w:rPr>
              <w:t>Общий итог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b/>
                <w:sz w:val="22"/>
                <w:szCs w:val="22"/>
              </w:rPr>
            </w:pPr>
            <w:r w:rsidRPr="00B65411">
              <w:rPr>
                <w:b/>
                <w:sz w:val="22"/>
                <w:szCs w:val="22"/>
              </w:rPr>
              <w:t>682,2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b/>
                <w:i/>
                <w:sz w:val="22"/>
                <w:szCs w:val="22"/>
              </w:rPr>
            </w:pPr>
            <w:r w:rsidRPr="00B65411">
              <w:rPr>
                <w:b/>
                <w:i/>
                <w:sz w:val="22"/>
                <w:szCs w:val="22"/>
              </w:rPr>
              <w:t>100,0%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b/>
                <w:sz w:val="22"/>
                <w:szCs w:val="22"/>
              </w:rPr>
            </w:pPr>
            <w:r w:rsidRPr="00B65411">
              <w:rPr>
                <w:b/>
                <w:sz w:val="22"/>
                <w:szCs w:val="22"/>
              </w:rPr>
              <w:t>73 279,5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65411" w:rsidRPr="00B65411" w:rsidRDefault="00B65411" w:rsidP="00B65411">
            <w:pPr>
              <w:jc w:val="center"/>
              <w:rPr>
                <w:b/>
                <w:i/>
                <w:sz w:val="22"/>
                <w:szCs w:val="22"/>
              </w:rPr>
            </w:pPr>
            <w:r w:rsidRPr="00B65411">
              <w:rPr>
                <w:b/>
                <w:i/>
                <w:sz w:val="22"/>
                <w:szCs w:val="22"/>
              </w:rPr>
              <w:t>100,0%</w:t>
            </w:r>
          </w:p>
        </w:tc>
      </w:tr>
    </w:tbl>
    <w:p w:rsidR="00927B2D" w:rsidRDefault="00927B2D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927B2D" w:rsidRDefault="005E3D63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Операции</w:t>
      </w:r>
      <w:r w:rsidR="00FB59C4">
        <w:rPr>
          <w:sz w:val="28"/>
          <w:szCs w:val="28"/>
        </w:rPr>
        <w:t xml:space="preserve"> по снятию денег с депозитов, размещенных за рубежом, и их переводу в казахстанские банки </w:t>
      </w:r>
      <w:r>
        <w:rPr>
          <w:sz w:val="28"/>
          <w:szCs w:val="28"/>
        </w:rPr>
        <w:t xml:space="preserve"> составили </w:t>
      </w:r>
      <w:r w:rsidR="00FB59C4">
        <w:rPr>
          <w:sz w:val="28"/>
          <w:szCs w:val="28"/>
        </w:rPr>
        <w:t xml:space="preserve">92,6% от общего объема </w:t>
      </w:r>
      <w:r w:rsidR="00FB59C4" w:rsidRPr="005E3D63">
        <w:rPr>
          <w:b/>
          <w:sz w:val="28"/>
          <w:szCs w:val="28"/>
        </w:rPr>
        <w:t>поступлений по операциям с депозитами</w:t>
      </w:r>
      <w:r w:rsidR="00927B2D" w:rsidRPr="00B65411">
        <w:rPr>
          <w:sz w:val="28"/>
          <w:szCs w:val="28"/>
        </w:rPr>
        <w:t>.</w:t>
      </w:r>
      <w:r w:rsidR="00FB59C4">
        <w:rPr>
          <w:sz w:val="28"/>
          <w:szCs w:val="28"/>
        </w:rPr>
        <w:t xml:space="preserve"> При этом </w:t>
      </w:r>
      <w:r>
        <w:rPr>
          <w:sz w:val="28"/>
          <w:szCs w:val="28"/>
        </w:rPr>
        <w:t>данные переводы денег</w:t>
      </w:r>
      <w:r w:rsidR="00927B2D">
        <w:rPr>
          <w:sz w:val="28"/>
          <w:szCs w:val="28"/>
        </w:rPr>
        <w:t xml:space="preserve"> в основном были </w:t>
      </w:r>
      <w:r w:rsidR="00FB59C4">
        <w:rPr>
          <w:sz w:val="28"/>
          <w:szCs w:val="28"/>
        </w:rPr>
        <w:t>получены из России</w:t>
      </w:r>
      <w:r w:rsidR="00927B2D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27B2D" w:rsidRPr="00665566" w:rsidTr="00665566">
        <w:tc>
          <w:tcPr>
            <w:tcW w:w="4927" w:type="dxa"/>
            <w:shd w:val="clear" w:color="auto" w:fill="auto"/>
          </w:tcPr>
          <w:p w:rsidR="00927B2D" w:rsidRPr="00665566" w:rsidRDefault="00927B2D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количества отправленных безвозмездных  переводов</w:t>
            </w:r>
          </w:p>
          <w:p w:rsidR="00927B2D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1905000"/>
                  <wp:effectExtent l="0" t="0" r="0" b="0"/>
                  <wp:docPr id="17" name="Объект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927B2D" w:rsidRPr="00665566" w:rsidRDefault="00927B2D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отправленных безвозмездных переводов</w:t>
            </w:r>
          </w:p>
          <w:p w:rsidR="00927B2D" w:rsidRPr="00665566" w:rsidRDefault="0078505F" w:rsidP="00665566">
            <w:pPr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665566"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1905000"/>
                  <wp:effectExtent l="0" t="0" r="0" b="0"/>
                  <wp:docPr id="18" name="Объект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:rsidR="00927B2D" w:rsidRDefault="005E3D63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операций</w:t>
      </w:r>
      <w:r w:rsidR="00927B2D">
        <w:rPr>
          <w:sz w:val="28"/>
          <w:szCs w:val="28"/>
        </w:rPr>
        <w:t xml:space="preserve"> были использованы такие СДП, как </w:t>
      </w:r>
      <w:r w:rsidR="00667456" w:rsidRPr="00586138">
        <w:rPr>
          <w:sz w:val="28"/>
          <w:szCs w:val="28"/>
        </w:rPr>
        <w:t>Блиц</w:t>
      </w:r>
      <w:r w:rsidR="00667456">
        <w:rPr>
          <w:sz w:val="28"/>
          <w:szCs w:val="28"/>
        </w:rPr>
        <w:t xml:space="preserve">, </w:t>
      </w:r>
      <w:r w:rsidR="00667456" w:rsidRPr="00586138">
        <w:rPr>
          <w:sz w:val="28"/>
          <w:szCs w:val="28"/>
        </w:rPr>
        <w:t>Western Union</w:t>
      </w:r>
      <w:r w:rsidR="00667456">
        <w:rPr>
          <w:sz w:val="28"/>
          <w:szCs w:val="28"/>
        </w:rPr>
        <w:t xml:space="preserve">, </w:t>
      </w:r>
      <w:r w:rsidR="00667456" w:rsidRPr="00586138">
        <w:rPr>
          <w:sz w:val="28"/>
          <w:szCs w:val="28"/>
        </w:rPr>
        <w:t>Юнистрим</w:t>
      </w:r>
      <w:r w:rsidR="00667456">
        <w:rPr>
          <w:sz w:val="28"/>
          <w:szCs w:val="28"/>
        </w:rPr>
        <w:t xml:space="preserve">, </w:t>
      </w:r>
      <w:r w:rsidR="00667456" w:rsidRPr="00586138">
        <w:rPr>
          <w:sz w:val="28"/>
          <w:szCs w:val="28"/>
        </w:rPr>
        <w:t>Contact</w:t>
      </w:r>
      <w:r w:rsidR="00667456">
        <w:rPr>
          <w:sz w:val="28"/>
          <w:szCs w:val="28"/>
        </w:rPr>
        <w:t xml:space="preserve">, </w:t>
      </w:r>
      <w:r w:rsidR="00927B2D" w:rsidRPr="00586138">
        <w:rPr>
          <w:sz w:val="28"/>
          <w:szCs w:val="28"/>
        </w:rPr>
        <w:t>Быстрая почта</w:t>
      </w:r>
      <w:r w:rsidR="00927B2D">
        <w:rPr>
          <w:sz w:val="28"/>
          <w:szCs w:val="28"/>
        </w:rPr>
        <w:t xml:space="preserve">, </w:t>
      </w:r>
      <w:r w:rsidR="00667456" w:rsidRPr="00667456">
        <w:rPr>
          <w:sz w:val="28"/>
          <w:szCs w:val="28"/>
        </w:rPr>
        <w:t>Coinstar Money Transfer</w:t>
      </w:r>
      <w:r w:rsidR="00927B2D">
        <w:rPr>
          <w:sz w:val="28"/>
          <w:szCs w:val="28"/>
        </w:rPr>
        <w:t xml:space="preserve"> и </w:t>
      </w:r>
      <w:r w:rsidR="00927B2D" w:rsidRPr="00586138">
        <w:rPr>
          <w:sz w:val="28"/>
          <w:szCs w:val="28"/>
        </w:rPr>
        <w:t>Лидер</w:t>
      </w:r>
      <w:r w:rsidR="00927B2D">
        <w:rPr>
          <w:sz w:val="28"/>
          <w:szCs w:val="28"/>
        </w:rPr>
        <w:t>.</w:t>
      </w:r>
    </w:p>
    <w:p w:rsidR="00927B2D" w:rsidRDefault="0078505F" w:rsidP="00667456">
      <w:pPr>
        <w:tabs>
          <w:tab w:val="num" w:pos="993"/>
        </w:tabs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276975" cy="1800225"/>
            <wp:effectExtent l="0" t="0" r="0" b="0"/>
            <wp:docPr id="19" name="Объект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27B2D" w:rsidRPr="00156684" w:rsidRDefault="00927B2D" w:rsidP="00927B2D">
      <w:pPr>
        <w:tabs>
          <w:tab w:val="num" w:pos="993"/>
        </w:tabs>
        <w:ind w:firstLine="709"/>
        <w:jc w:val="both"/>
        <w:rPr>
          <w:b/>
          <w:i/>
          <w:sz w:val="28"/>
          <w:szCs w:val="28"/>
        </w:rPr>
      </w:pPr>
      <w:r w:rsidRPr="00156684">
        <w:rPr>
          <w:b/>
          <w:i/>
          <w:sz w:val="28"/>
          <w:szCs w:val="28"/>
        </w:rPr>
        <w:t xml:space="preserve">В разрез валют </w:t>
      </w:r>
    </w:p>
    <w:p w:rsidR="008563AE" w:rsidRDefault="00927B2D" w:rsidP="00927B2D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доля </w:t>
      </w:r>
      <w:r w:rsidR="008563AE">
        <w:rPr>
          <w:sz w:val="28"/>
          <w:szCs w:val="28"/>
        </w:rPr>
        <w:t>полученных из-за рубежа переводов</w:t>
      </w:r>
      <w:r>
        <w:rPr>
          <w:sz w:val="28"/>
          <w:szCs w:val="28"/>
        </w:rPr>
        <w:t xml:space="preserve"> </w:t>
      </w:r>
      <w:r w:rsidR="005E3D63">
        <w:rPr>
          <w:sz w:val="28"/>
          <w:szCs w:val="28"/>
        </w:rPr>
        <w:t xml:space="preserve">денег </w:t>
      </w:r>
      <w:r>
        <w:rPr>
          <w:sz w:val="28"/>
          <w:szCs w:val="28"/>
        </w:rPr>
        <w:t xml:space="preserve">через </w:t>
      </w:r>
      <w:r w:rsidR="005E3D63">
        <w:rPr>
          <w:sz w:val="28"/>
          <w:szCs w:val="28"/>
        </w:rPr>
        <w:t>СДП</w:t>
      </w:r>
      <w:r>
        <w:rPr>
          <w:sz w:val="28"/>
          <w:szCs w:val="28"/>
        </w:rPr>
        <w:t xml:space="preserve">  проводилась в долларах США</w:t>
      </w:r>
      <w:r w:rsidR="008563AE">
        <w:rPr>
          <w:sz w:val="28"/>
          <w:szCs w:val="28"/>
        </w:rPr>
        <w:t xml:space="preserve"> (41,4% от общего количества и 61,0% от общей суммы полученных переводов) и российских рублях</w:t>
      </w:r>
      <w:r w:rsidR="005E3D63">
        <w:rPr>
          <w:sz w:val="28"/>
          <w:szCs w:val="28"/>
        </w:rPr>
        <w:t xml:space="preserve"> (52,4% и 34,3% </w:t>
      </w:r>
      <w:r w:rsidR="005E3D63">
        <w:rPr>
          <w:sz w:val="28"/>
          <w:szCs w:val="28"/>
        </w:rPr>
        <w:lastRenderedPageBreak/>
        <w:t>соответственно) в виду того, что из Российской Федерации в Казахстан поступает 62,1% от общего объема входящих переводов денег через СМДП.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898"/>
      </w:tblGrid>
      <w:tr w:rsidR="00927B2D" w:rsidRPr="00665566" w:rsidTr="00665566">
        <w:tc>
          <w:tcPr>
            <w:tcW w:w="4956" w:type="dxa"/>
            <w:shd w:val="clear" w:color="auto" w:fill="auto"/>
          </w:tcPr>
          <w:p w:rsidR="00927B2D" w:rsidRPr="00665566" w:rsidRDefault="00927B2D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количества отправленных переводов</w:t>
            </w:r>
          </w:p>
          <w:p w:rsidR="00927B2D" w:rsidRPr="00667456" w:rsidRDefault="00927B2D" w:rsidP="00665566">
            <w:pPr>
              <w:tabs>
                <w:tab w:val="num" w:pos="993"/>
              </w:tabs>
              <w:jc w:val="both"/>
            </w:pPr>
          </w:p>
          <w:p w:rsidR="00927B2D" w:rsidRPr="00667456" w:rsidRDefault="0078505F" w:rsidP="00665566">
            <w:pPr>
              <w:tabs>
                <w:tab w:val="num" w:pos="993"/>
              </w:tabs>
              <w:jc w:val="both"/>
            </w:pPr>
            <w:r w:rsidRPr="00667456">
              <w:rPr>
                <w:noProof/>
              </w:rPr>
              <w:drawing>
                <wp:inline distT="0" distB="0" distL="0" distR="0">
                  <wp:extent cx="3009900" cy="1952625"/>
                  <wp:effectExtent l="0" t="0" r="0" b="0"/>
                  <wp:docPr id="20" name="Объект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4898" w:type="dxa"/>
            <w:shd w:val="clear" w:color="auto" w:fill="auto"/>
          </w:tcPr>
          <w:p w:rsidR="00927B2D" w:rsidRPr="00665566" w:rsidRDefault="00927B2D" w:rsidP="00665566">
            <w:pPr>
              <w:tabs>
                <w:tab w:val="num" w:pos="993"/>
              </w:tabs>
              <w:jc w:val="center"/>
              <w:rPr>
                <w:b/>
              </w:rPr>
            </w:pPr>
            <w:r w:rsidRPr="00665566">
              <w:rPr>
                <w:b/>
              </w:rPr>
              <w:t>Доля от общего объема отправленных переводов</w:t>
            </w:r>
          </w:p>
          <w:p w:rsidR="00927B2D" w:rsidRPr="00665566" w:rsidRDefault="00927B2D" w:rsidP="00665566">
            <w:pPr>
              <w:tabs>
                <w:tab w:val="num" w:pos="993"/>
              </w:tabs>
              <w:jc w:val="center"/>
              <w:rPr>
                <w:b/>
              </w:rPr>
            </w:pPr>
          </w:p>
          <w:p w:rsidR="00927B2D" w:rsidRPr="00667456" w:rsidRDefault="0078505F" w:rsidP="00665566">
            <w:pPr>
              <w:tabs>
                <w:tab w:val="num" w:pos="993"/>
              </w:tabs>
              <w:jc w:val="both"/>
            </w:pPr>
            <w:r w:rsidRPr="00667456">
              <w:rPr>
                <w:noProof/>
              </w:rPr>
              <w:drawing>
                <wp:inline distT="0" distB="0" distL="0" distR="0">
                  <wp:extent cx="2933700" cy="1905000"/>
                  <wp:effectExtent l="0" t="0" r="0" b="0"/>
                  <wp:docPr id="21" name="Объект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:rsidR="00B85C1D" w:rsidRDefault="00B85C1D" w:rsidP="0058174A">
      <w:pPr>
        <w:tabs>
          <w:tab w:val="left" w:pos="2280"/>
          <w:tab w:val="left" w:pos="6135"/>
        </w:tabs>
        <w:spacing w:line="228" w:lineRule="auto"/>
        <w:ind w:firstLine="709"/>
        <w:jc w:val="both"/>
        <w:rPr>
          <w:sz w:val="28"/>
          <w:szCs w:val="28"/>
        </w:rPr>
      </w:pPr>
    </w:p>
    <w:p w:rsidR="00B85C1D" w:rsidRDefault="00B85C1D" w:rsidP="0058174A">
      <w:pPr>
        <w:tabs>
          <w:tab w:val="left" w:pos="2280"/>
          <w:tab w:val="left" w:pos="6135"/>
        </w:tabs>
        <w:spacing w:line="228" w:lineRule="auto"/>
        <w:ind w:firstLine="709"/>
        <w:jc w:val="both"/>
        <w:rPr>
          <w:sz w:val="28"/>
          <w:szCs w:val="28"/>
        </w:rPr>
      </w:pPr>
    </w:p>
    <w:p w:rsidR="002B22B6" w:rsidRDefault="0058174A" w:rsidP="0058174A">
      <w:pPr>
        <w:tabs>
          <w:tab w:val="left" w:pos="2280"/>
          <w:tab w:val="left" w:pos="6135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174A" w:rsidRPr="002B22B6" w:rsidRDefault="00C33B70" w:rsidP="0058174A">
      <w:pPr>
        <w:tabs>
          <w:tab w:val="num" w:pos="993"/>
        </w:tabs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ПЕРЕВОДЫ </w:t>
      </w:r>
      <w:r w:rsidR="0058174A">
        <w:rPr>
          <w:b/>
          <w:i/>
          <w:sz w:val="28"/>
          <w:szCs w:val="28"/>
          <w:u w:val="single"/>
        </w:rPr>
        <w:t>НА ТЕРРИТОРИИ КАЗАХСТАНА</w:t>
      </w:r>
    </w:p>
    <w:p w:rsidR="00560749" w:rsidRDefault="0058174A" w:rsidP="00F4172B">
      <w:pPr>
        <w:ind w:firstLine="709"/>
        <w:jc w:val="both"/>
        <w:rPr>
          <w:sz w:val="28"/>
          <w:szCs w:val="28"/>
        </w:rPr>
      </w:pPr>
      <w:r w:rsidRPr="0058174A">
        <w:rPr>
          <w:sz w:val="28"/>
          <w:szCs w:val="28"/>
        </w:rPr>
        <w:t>Н</w:t>
      </w:r>
      <w:r w:rsidR="00F4172B" w:rsidRPr="00201A99">
        <w:rPr>
          <w:sz w:val="28"/>
          <w:szCs w:val="28"/>
        </w:rPr>
        <w:t xml:space="preserve">а территории Казахстана </w:t>
      </w:r>
      <w:r w:rsidR="00560749" w:rsidRPr="00201A99">
        <w:rPr>
          <w:sz w:val="28"/>
          <w:szCs w:val="28"/>
        </w:rPr>
        <w:t xml:space="preserve">за </w:t>
      </w:r>
      <w:r w:rsidR="00661B0C" w:rsidRPr="00201A99">
        <w:rPr>
          <w:sz w:val="28"/>
          <w:szCs w:val="28"/>
        </w:rPr>
        <w:t>10</w:t>
      </w:r>
      <w:r w:rsidR="00560749" w:rsidRPr="00201A99">
        <w:rPr>
          <w:sz w:val="28"/>
          <w:szCs w:val="28"/>
        </w:rPr>
        <w:t xml:space="preserve"> месяцев 2013 года </w:t>
      </w:r>
      <w:r w:rsidR="00F4172B" w:rsidRPr="00201A99">
        <w:rPr>
          <w:sz w:val="28"/>
          <w:szCs w:val="28"/>
        </w:rPr>
        <w:t xml:space="preserve">было проведено </w:t>
      </w:r>
      <w:r w:rsidR="00560749" w:rsidRPr="00201A99">
        <w:rPr>
          <w:sz w:val="28"/>
          <w:szCs w:val="28"/>
        </w:rPr>
        <w:t xml:space="preserve">417,2 </w:t>
      </w:r>
      <w:r w:rsidR="00F4172B" w:rsidRPr="00201A99">
        <w:rPr>
          <w:sz w:val="28"/>
          <w:szCs w:val="28"/>
        </w:rPr>
        <w:t xml:space="preserve">тыс. транзакций на сумму </w:t>
      </w:r>
      <w:r w:rsidR="00560749" w:rsidRPr="00201A99">
        <w:rPr>
          <w:sz w:val="28"/>
          <w:szCs w:val="28"/>
        </w:rPr>
        <w:t>31,5</w:t>
      </w:r>
      <w:r w:rsidR="00F4172B" w:rsidRPr="00201A99">
        <w:rPr>
          <w:sz w:val="28"/>
          <w:szCs w:val="28"/>
        </w:rPr>
        <w:t xml:space="preserve"> млрд. тенге. </w:t>
      </w:r>
      <w:r w:rsidR="00EC1AFA" w:rsidRPr="00201A99">
        <w:rPr>
          <w:sz w:val="28"/>
          <w:szCs w:val="28"/>
        </w:rPr>
        <w:t>Н</w:t>
      </w:r>
      <w:r w:rsidR="00D97F67" w:rsidRPr="00201A99">
        <w:rPr>
          <w:sz w:val="28"/>
          <w:szCs w:val="28"/>
        </w:rPr>
        <w:t>ез</w:t>
      </w:r>
      <w:r w:rsidR="00EC1AFA" w:rsidRPr="00201A99">
        <w:rPr>
          <w:sz w:val="28"/>
          <w:szCs w:val="28"/>
        </w:rPr>
        <w:t>начительная доля платежей, проведенны</w:t>
      </w:r>
      <w:r w:rsidR="00D97F67" w:rsidRPr="00201A99">
        <w:rPr>
          <w:sz w:val="28"/>
          <w:szCs w:val="28"/>
        </w:rPr>
        <w:t xml:space="preserve">х посредством </w:t>
      </w:r>
      <w:r w:rsidR="00EC1AFA" w:rsidRPr="00201A99">
        <w:rPr>
          <w:sz w:val="28"/>
          <w:szCs w:val="28"/>
        </w:rPr>
        <w:t>СМДП на территории Казахстана (1,4% от количества платежей и 0,02% от суммы платежей, проведенных через национальные платежные системы</w:t>
      </w:r>
      <w:r w:rsidR="00060439" w:rsidRPr="00201A99">
        <w:rPr>
          <w:sz w:val="28"/>
          <w:szCs w:val="28"/>
        </w:rPr>
        <w:t xml:space="preserve"> Казахстана</w:t>
      </w:r>
      <w:r w:rsidR="00EC1AFA" w:rsidRPr="00201A99">
        <w:rPr>
          <w:sz w:val="28"/>
          <w:szCs w:val="28"/>
        </w:rPr>
        <w:t xml:space="preserve">), </w:t>
      </w:r>
      <w:r w:rsidR="000A1542" w:rsidRPr="00201A99">
        <w:rPr>
          <w:sz w:val="28"/>
          <w:szCs w:val="28"/>
        </w:rPr>
        <w:t xml:space="preserve">характеризуется наличием в стране национальной платежной системы – Межбанковской системы переводов денег, которая обеспечивает обработку платежей в тенге в режиме реального времени. Также для проведения внутристрановых платежей </w:t>
      </w:r>
      <w:r w:rsidR="00DC103F" w:rsidRPr="00201A99">
        <w:rPr>
          <w:sz w:val="28"/>
          <w:szCs w:val="28"/>
        </w:rPr>
        <w:t xml:space="preserve">могут использоваться  </w:t>
      </w:r>
      <w:r w:rsidR="008579B6" w:rsidRPr="00201A99">
        <w:rPr>
          <w:sz w:val="28"/>
          <w:szCs w:val="28"/>
        </w:rPr>
        <w:t>внутрибанковские системы, которые также представляют услуги ускоренных переводов от отправителя получателю</w:t>
      </w:r>
      <w:r w:rsidR="00060439" w:rsidRPr="00201A99">
        <w:rPr>
          <w:sz w:val="28"/>
          <w:szCs w:val="28"/>
        </w:rPr>
        <w:t xml:space="preserve"> через филиалы и отделения одного банка</w:t>
      </w:r>
      <w:r w:rsidR="008579B6" w:rsidRPr="00201A99">
        <w:rPr>
          <w:sz w:val="28"/>
          <w:szCs w:val="28"/>
        </w:rPr>
        <w:t>.</w:t>
      </w:r>
    </w:p>
    <w:p w:rsidR="005E3D63" w:rsidRDefault="0058174A" w:rsidP="0058174A">
      <w:pPr>
        <w:tabs>
          <w:tab w:val="num" w:pos="993"/>
        </w:tabs>
        <w:jc w:val="center"/>
        <w:rPr>
          <w:b/>
        </w:rPr>
      </w:pPr>
      <w:r w:rsidRPr="00F10668">
        <w:rPr>
          <w:b/>
        </w:rPr>
        <w:t>Динамика изменения потоков переводов денег</w:t>
      </w:r>
      <w:r>
        <w:rPr>
          <w:b/>
        </w:rPr>
        <w:t xml:space="preserve">, </w:t>
      </w:r>
      <w:r w:rsidR="00241101">
        <w:rPr>
          <w:b/>
        </w:rPr>
        <w:t>проведенн</w:t>
      </w:r>
      <w:r w:rsidR="005E3D63">
        <w:rPr>
          <w:b/>
        </w:rPr>
        <w:t>ых</w:t>
      </w:r>
      <w:r w:rsidR="00241101">
        <w:rPr>
          <w:b/>
        </w:rPr>
        <w:t xml:space="preserve"> по</w:t>
      </w:r>
      <w:r w:rsidRPr="00F10668">
        <w:rPr>
          <w:b/>
        </w:rPr>
        <w:t xml:space="preserve"> СДП</w:t>
      </w:r>
      <w:r w:rsidR="00241101">
        <w:rPr>
          <w:b/>
        </w:rPr>
        <w:t xml:space="preserve"> </w:t>
      </w:r>
    </w:p>
    <w:p w:rsidR="0058174A" w:rsidRPr="00F10668" w:rsidRDefault="00241101" w:rsidP="0058174A">
      <w:pPr>
        <w:tabs>
          <w:tab w:val="num" w:pos="993"/>
        </w:tabs>
        <w:jc w:val="center"/>
        <w:rPr>
          <w:b/>
        </w:rPr>
      </w:pPr>
      <w:r>
        <w:rPr>
          <w:b/>
        </w:rPr>
        <w:t>на территории Казахстана</w:t>
      </w:r>
      <w:r w:rsidR="0058174A" w:rsidRPr="00F10668">
        <w:rPr>
          <w:b/>
        </w:rPr>
        <w:t xml:space="preserve"> в 2012, 2013 годах</w:t>
      </w:r>
    </w:p>
    <w:p w:rsidR="0058174A" w:rsidRPr="00201A99" w:rsidRDefault="0078505F" w:rsidP="00B85C1D">
      <w:pPr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276975" cy="2190750"/>
            <wp:effectExtent l="0" t="0" r="0" b="0"/>
            <wp:docPr id="22" name="Объект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C65CE" w:rsidRDefault="0058174A" w:rsidP="00DC65CE">
      <w:pPr>
        <w:ind w:firstLine="708"/>
        <w:jc w:val="both"/>
      </w:pPr>
      <w:r>
        <w:rPr>
          <w:sz w:val="28"/>
          <w:szCs w:val="28"/>
        </w:rPr>
        <w:t>Средняя сумма одного перевода, прове</w:t>
      </w:r>
      <w:r w:rsidR="00241101">
        <w:rPr>
          <w:sz w:val="28"/>
          <w:szCs w:val="28"/>
        </w:rPr>
        <w:t>денного на территории Казахстана</w:t>
      </w:r>
      <w:r>
        <w:rPr>
          <w:sz w:val="28"/>
          <w:szCs w:val="28"/>
        </w:rPr>
        <w:t xml:space="preserve"> с использованием СДП, составила за 10 месяцев 2013 года 75,5 тыс. тенге, </w:t>
      </w:r>
      <w:r>
        <w:rPr>
          <w:sz w:val="28"/>
          <w:szCs w:val="28"/>
        </w:rPr>
        <w:lastRenderedPageBreak/>
        <w:t>увеличившись по сравнению с аналогичным периодом прошлого года на 12,2 тыс. тенге</w:t>
      </w:r>
      <w:r>
        <w:t>.</w:t>
      </w:r>
    </w:p>
    <w:p w:rsidR="00DC65CE" w:rsidRPr="00DC65CE" w:rsidRDefault="00DC65CE" w:rsidP="00DC65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объем переводов денег, проведенных через СДП на территории Казахстана за 10 месяцев 2013 года, снизился по сравне</w:t>
      </w:r>
      <w:r w:rsidR="00004D28">
        <w:rPr>
          <w:sz w:val="28"/>
          <w:szCs w:val="28"/>
        </w:rPr>
        <w:t>н</w:t>
      </w:r>
      <w:r>
        <w:rPr>
          <w:sz w:val="28"/>
          <w:szCs w:val="28"/>
        </w:rPr>
        <w:t xml:space="preserve">ию с показателем аналогичного периода </w:t>
      </w:r>
      <w:r w:rsidR="005E3D63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 на 12,9%, что </w:t>
      </w:r>
      <w:r w:rsidR="005E3D63">
        <w:rPr>
          <w:sz w:val="28"/>
          <w:szCs w:val="28"/>
        </w:rPr>
        <w:t>вызвано</w:t>
      </w:r>
      <w:r>
        <w:rPr>
          <w:sz w:val="28"/>
          <w:szCs w:val="28"/>
        </w:rPr>
        <w:t xml:space="preserve"> снижением </w:t>
      </w:r>
      <w:r w:rsidR="00004D28">
        <w:rPr>
          <w:sz w:val="28"/>
          <w:szCs w:val="28"/>
        </w:rPr>
        <w:t>объема прочих безвозмездных переводов на 4,8 млрд. тенге (13,3%).</w:t>
      </w:r>
      <w:r w:rsidR="006340AB">
        <w:rPr>
          <w:sz w:val="28"/>
          <w:szCs w:val="28"/>
        </w:rPr>
        <w:t xml:space="preserve"> </w:t>
      </w:r>
    </w:p>
    <w:p w:rsidR="00241101" w:rsidRDefault="00241101" w:rsidP="00004D28">
      <w:pPr>
        <w:tabs>
          <w:tab w:val="center" w:pos="5173"/>
        </w:tabs>
        <w:ind w:firstLine="708"/>
        <w:jc w:val="both"/>
        <w:rPr>
          <w:b/>
          <w:i/>
          <w:sz w:val="28"/>
          <w:szCs w:val="28"/>
        </w:rPr>
      </w:pPr>
      <w:r w:rsidRPr="00156684">
        <w:rPr>
          <w:b/>
          <w:i/>
          <w:sz w:val="28"/>
          <w:szCs w:val="28"/>
        </w:rPr>
        <w:t>В разрезе видов платежей</w:t>
      </w:r>
      <w:r w:rsidR="00004D28">
        <w:rPr>
          <w:b/>
          <w:i/>
          <w:sz w:val="28"/>
          <w:szCs w:val="28"/>
        </w:rPr>
        <w:tab/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962"/>
        <w:gridCol w:w="1843"/>
        <w:gridCol w:w="1559"/>
        <w:gridCol w:w="1559"/>
      </w:tblGrid>
      <w:tr w:rsidR="00004D28" w:rsidRPr="00004D28" w:rsidTr="00004D28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04D28" w:rsidRPr="00004D28" w:rsidRDefault="00004D28" w:rsidP="006340A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04D28" w:rsidRPr="00004D28" w:rsidRDefault="00004D28" w:rsidP="006340AB">
            <w:pPr>
              <w:jc w:val="center"/>
              <w:rPr>
                <w:b/>
                <w:bCs/>
                <w:sz w:val="22"/>
                <w:szCs w:val="22"/>
              </w:rPr>
            </w:pPr>
            <w:r w:rsidRPr="00004D28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6E3BC"/>
            <w:noWrap/>
            <w:vAlign w:val="center"/>
            <w:hideMark/>
          </w:tcPr>
          <w:p w:rsidR="00004D28" w:rsidRPr="00004D28" w:rsidRDefault="00004D28" w:rsidP="006340AB">
            <w:pPr>
              <w:jc w:val="center"/>
              <w:rPr>
                <w:b/>
                <w:sz w:val="22"/>
                <w:szCs w:val="22"/>
              </w:rPr>
            </w:pPr>
            <w:r w:rsidRPr="00004D28">
              <w:rPr>
                <w:b/>
                <w:sz w:val="22"/>
                <w:szCs w:val="22"/>
              </w:rPr>
              <w:t>На территории РК</w:t>
            </w:r>
          </w:p>
        </w:tc>
      </w:tr>
      <w:tr w:rsidR="00004D28" w:rsidRPr="00004D28" w:rsidTr="00004D28">
        <w:trPr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004D28" w:rsidRPr="00004D28" w:rsidRDefault="00004D28" w:rsidP="006340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/>
            <w:noWrap/>
            <w:vAlign w:val="center"/>
          </w:tcPr>
          <w:p w:rsidR="00004D28" w:rsidRPr="00004D28" w:rsidRDefault="00004D28" w:rsidP="006340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4D28" w:rsidRPr="00004D28" w:rsidTr="00004D28">
        <w:trPr>
          <w:trHeight w:val="255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04D28" w:rsidRPr="00004D28" w:rsidRDefault="00004D28" w:rsidP="006340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04D28" w:rsidRPr="00004D28" w:rsidRDefault="00004D28" w:rsidP="006340AB">
            <w:pPr>
              <w:jc w:val="center"/>
              <w:rPr>
                <w:b/>
                <w:sz w:val="22"/>
                <w:szCs w:val="22"/>
              </w:rPr>
            </w:pPr>
            <w:r w:rsidRPr="00004D28">
              <w:rPr>
                <w:b/>
                <w:sz w:val="22"/>
                <w:szCs w:val="22"/>
              </w:rPr>
              <w:t>10 мес. 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04D28" w:rsidRPr="00004D28" w:rsidRDefault="00004D28" w:rsidP="006340AB">
            <w:pPr>
              <w:jc w:val="center"/>
              <w:rPr>
                <w:b/>
                <w:sz w:val="22"/>
                <w:szCs w:val="22"/>
              </w:rPr>
            </w:pPr>
            <w:r w:rsidRPr="00004D28">
              <w:rPr>
                <w:b/>
                <w:sz w:val="22"/>
                <w:szCs w:val="22"/>
              </w:rPr>
              <w:t>10 мес. 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004D28" w:rsidRPr="00004D28" w:rsidRDefault="00004D28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004D28">
              <w:rPr>
                <w:b/>
                <w:i/>
                <w:sz w:val="22"/>
                <w:szCs w:val="22"/>
              </w:rPr>
              <w:t>Изм.,</w:t>
            </w:r>
          </w:p>
          <w:p w:rsidR="00004D28" w:rsidRPr="00004D28" w:rsidRDefault="00004D28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004D28">
              <w:rPr>
                <w:b/>
                <w:i/>
                <w:sz w:val="22"/>
                <w:szCs w:val="22"/>
              </w:rPr>
              <w:t>в %</w:t>
            </w:r>
            <w:r>
              <w:rPr>
                <w:b/>
                <w:i/>
                <w:sz w:val="22"/>
                <w:szCs w:val="22"/>
              </w:rPr>
              <w:t>/в раз</w:t>
            </w:r>
          </w:p>
        </w:tc>
      </w:tr>
      <w:tr w:rsidR="00004D28" w:rsidRPr="00004D2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D28" w:rsidRPr="00004D28" w:rsidRDefault="00004D28" w:rsidP="006340AB">
            <w:pPr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Специфические переводы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35 911,7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31 135,6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-13,3%</w:t>
            </w:r>
          </w:p>
        </w:tc>
      </w:tr>
      <w:tr w:rsidR="00004D28" w:rsidRPr="00004D28" w:rsidTr="00004D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28" w:rsidRPr="00004D28" w:rsidRDefault="00004D28" w:rsidP="006340AB">
            <w:pPr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переводы на лечение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3,1 раза</w:t>
            </w:r>
          </w:p>
        </w:tc>
      </w:tr>
      <w:tr w:rsidR="00004D28" w:rsidRPr="00004D28" w:rsidTr="00004D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28" w:rsidRPr="00004D28" w:rsidRDefault="00004D28" w:rsidP="006340AB">
            <w:pPr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переводы на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49,9 раз</w:t>
            </w:r>
          </w:p>
        </w:tc>
      </w:tr>
      <w:tr w:rsidR="00004D28" w:rsidRPr="00004D28" w:rsidTr="00004D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28" w:rsidRPr="00004D28" w:rsidRDefault="00004D28" w:rsidP="006340AB">
            <w:pPr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прочие безвозмездные переводы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35 848,7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31 083,5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-13,3%</w:t>
            </w:r>
          </w:p>
        </w:tc>
      </w:tr>
      <w:tr w:rsidR="00004D28" w:rsidRPr="00004D28" w:rsidTr="00004D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D28" w:rsidRPr="00004D28" w:rsidRDefault="00004D28" w:rsidP="006340AB">
            <w:pPr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прочие специфические переводы</w:t>
            </w:r>
            <w:r w:rsidRPr="00004D28">
              <w:rPr>
                <w:rStyle w:val="aa"/>
                <w:i/>
                <w:sz w:val="22"/>
                <w:szCs w:val="22"/>
              </w:rPr>
              <w:footnoteReference w:id="6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-31,8%</w:t>
            </w:r>
          </w:p>
        </w:tc>
      </w:tr>
      <w:tr w:rsidR="00004D28" w:rsidRPr="00004D28" w:rsidTr="006340AB">
        <w:trPr>
          <w:trHeight w:val="3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D28" w:rsidRPr="00004D28" w:rsidRDefault="00004D28" w:rsidP="006340AB">
            <w:pPr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Операции с ин.валютой  и драг.металлами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-61,2%</w:t>
            </w:r>
          </w:p>
        </w:tc>
      </w:tr>
      <w:tr w:rsidR="00004D28" w:rsidRPr="00004D2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D28" w:rsidRPr="00004D28" w:rsidRDefault="00004D28" w:rsidP="006340AB">
            <w:pPr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Депозиты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296,0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62,2%</w:t>
            </w:r>
          </w:p>
        </w:tc>
      </w:tr>
      <w:tr w:rsidR="00004D28" w:rsidRPr="00004D2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D28" w:rsidRPr="00004D28" w:rsidRDefault="00004D28" w:rsidP="006340AB">
            <w:pPr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Товары и нематериальные активы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 w:rsidR="00004D28" w:rsidRPr="00004D2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D28" w:rsidRPr="00004D28" w:rsidRDefault="00004D28" w:rsidP="006340AB">
            <w:pPr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2,6 раз</w:t>
            </w:r>
          </w:p>
        </w:tc>
      </w:tr>
      <w:tr w:rsidR="00004D28" w:rsidRPr="00004D28" w:rsidTr="006340AB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D28" w:rsidRPr="00004D28" w:rsidRDefault="00004D28" w:rsidP="006340AB">
            <w:pPr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Прочие платежи**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sz w:val="22"/>
                <w:szCs w:val="22"/>
              </w:rPr>
            </w:pPr>
            <w:r w:rsidRPr="00004D28"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-11,9%</w:t>
            </w:r>
          </w:p>
        </w:tc>
      </w:tr>
      <w:tr w:rsidR="00004D28" w:rsidRPr="00004D28" w:rsidTr="006340AB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  <w:hideMark/>
          </w:tcPr>
          <w:p w:rsidR="00004D28" w:rsidRPr="00004D28" w:rsidRDefault="00004D28" w:rsidP="006340AB">
            <w:pPr>
              <w:rPr>
                <w:b/>
                <w:bCs/>
                <w:sz w:val="22"/>
                <w:szCs w:val="22"/>
              </w:rPr>
            </w:pPr>
            <w:r w:rsidRPr="00004D2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b/>
                <w:bCs/>
                <w:sz w:val="22"/>
                <w:szCs w:val="22"/>
              </w:rPr>
            </w:pPr>
            <w:r w:rsidRPr="00004D28">
              <w:rPr>
                <w:b/>
                <w:bCs/>
                <w:sz w:val="22"/>
                <w:szCs w:val="22"/>
              </w:rPr>
              <w:t>36 139,6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004D28" w:rsidRPr="00004D28" w:rsidRDefault="00004D28" w:rsidP="00004D28">
            <w:pPr>
              <w:jc w:val="center"/>
              <w:rPr>
                <w:b/>
                <w:bCs/>
                <w:sz w:val="22"/>
                <w:szCs w:val="22"/>
              </w:rPr>
            </w:pPr>
            <w:r w:rsidRPr="00004D28">
              <w:rPr>
                <w:b/>
                <w:bCs/>
                <w:sz w:val="22"/>
                <w:szCs w:val="22"/>
              </w:rPr>
              <w:t>31 483,0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004D28" w:rsidRPr="00004D28" w:rsidRDefault="00004D28" w:rsidP="00004D28">
            <w:pPr>
              <w:jc w:val="center"/>
              <w:rPr>
                <w:i/>
                <w:sz w:val="22"/>
                <w:szCs w:val="22"/>
              </w:rPr>
            </w:pPr>
            <w:r w:rsidRPr="00004D28">
              <w:rPr>
                <w:i/>
                <w:sz w:val="22"/>
                <w:szCs w:val="22"/>
              </w:rPr>
              <w:t>-12,9%</w:t>
            </w:r>
          </w:p>
        </w:tc>
      </w:tr>
    </w:tbl>
    <w:p w:rsidR="006340AB" w:rsidRDefault="005E3D63" w:rsidP="006340AB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="006340AB">
        <w:rPr>
          <w:sz w:val="28"/>
          <w:szCs w:val="28"/>
        </w:rPr>
        <w:t xml:space="preserve">98,7% переводов денег, проведенных по Казахстану через СДП, приходится на безвозмездные переводы, 0,9% приходится на операции с депозитами. </w:t>
      </w:r>
    </w:p>
    <w:p w:rsidR="006340AB" w:rsidRDefault="006340AB" w:rsidP="006340AB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по Казахстану переводы денег осуществлялись посредством следующих СДП: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3276"/>
        <w:gridCol w:w="1134"/>
        <w:gridCol w:w="567"/>
        <w:gridCol w:w="1417"/>
        <w:gridCol w:w="1843"/>
        <w:gridCol w:w="1559"/>
        <w:gridCol w:w="425"/>
      </w:tblGrid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EAF1DD"/>
            <w:noWrap/>
            <w:vAlign w:val="center"/>
            <w:hideMark/>
          </w:tcPr>
          <w:p w:rsidR="006340AB" w:rsidRPr="006340AB" w:rsidRDefault="006340AB" w:rsidP="006340AB">
            <w:pPr>
              <w:jc w:val="center"/>
              <w:rPr>
                <w:b/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ab/>
            </w:r>
            <w:r w:rsidRPr="006340AB">
              <w:rPr>
                <w:b/>
                <w:sz w:val="22"/>
                <w:szCs w:val="22"/>
              </w:rPr>
              <w:t>Система</w:t>
            </w:r>
          </w:p>
        </w:tc>
        <w:tc>
          <w:tcPr>
            <w:tcW w:w="1701" w:type="dxa"/>
            <w:gridSpan w:val="2"/>
            <w:shd w:val="clear" w:color="auto" w:fill="EAF1DD"/>
            <w:noWrap/>
            <w:vAlign w:val="center"/>
            <w:hideMark/>
          </w:tcPr>
          <w:p w:rsidR="006340AB" w:rsidRPr="006340AB" w:rsidRDefault="006340AB" w:rsidP="006340AB">
            <w:pPr>
              <w:jc w:val="center"/>
              <w:rPr>
                <w:b/>
                <w:sz w:val="22"/>
                <w:szCs w:val="22"/>
              </w:rPr>
            </w:pPr>
            <w:r w:rsidRPr="006340AB">
              <w:rPr>
                <w:b/>
                <w:sz w:val="22"/>
                <w:szCs w:val="22"/>
              </w:rPr>
              <w:t>Кол-во (тыс. транзакций)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6340AB" w:rsidRPr="006340AB" w:rsidRDefault="006340AB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6340AB">
              <w:rPr>
                <w:b/>
                <w:i/>
                <w:sz w:val="22"/>
                <w:szCs w:val="22"/>
              </w:rPr>
              <w:t>Доля от общего кол-ва, в %</w:t>
            </w:r>
          </w:p>
        </w:tc>
        <w:tc>
          <w:tcPr>
            <w:tcW w:w="1843" w:type="dxa"/>
            <w:shd w:val="clear" w:color="auto" w:fill="EAF1DD"/>
            <w:noWrap/>
            <w:vAlign w:val="center"/>
            <w:hideMark/>
          </w:tcPr>
          <w:p w:rsidR="006340AB" w:rsidRPr="006340AB" w:rsidRDefault="006340AB" w:rsidP="006340AB">
            <w:pPr>
              <w:jc w:val="center"/>
              <w:rPr>
                <w:b/>
                <w:sz w:val="22"/>
                <w:szCs w:val="22"/>
              </w:rPr>
            </w:pPr>
            <w:r w:rsidRPr="006340AB">
              <w:rPr>
                <w:b/>
                <w:sz w:val="22"/>
                <w:szCs w:val="22"/>
              </w:rPr>
              <w:t>Сумма (млн. тенге)</w:t>
            </w:r>
          </w:p>
        </w:tc>
        <w:tc>
          <w:tcPr>
            <w:tcW w:w="1559" w:type="dxa"/>
            <w:shd w:val="clear" w:color="auto" w:fill="EAF1DD"/>
            <w:noWrap/>
            <w:vAlign w:val="center"/>
            <w:hideMark/>
          </w:tcPr>
          <w:p w:rsidR="006340AB" w:rsidRPr="006340AB" w:rsidRDefault="006340AB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6340AB">
              <w:rPr>
                <w:b/>
                <w:i/>
                <w:sz w:val="22"/>
                <w:szCs w:val="22"/>
              </w:rPr>
              <w:t>Доля от общей  суммы, в 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171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Faster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39,8%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11 776,4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37,4%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Восточный Экспресс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3,6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0,9%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6 302,0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20,0%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Western Union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49,6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11,9%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6 061,4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19,3%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Блиц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24,3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5,8%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2 899,3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9,2%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Почтовые переводы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166,3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39,9%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2 233,3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7,1%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Быстрая почта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0,7%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1 062,9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3,4%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Юнистрим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0,4%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411,9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1,3%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Contact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1,5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0,4%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378,1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1,2%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Лидер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0,1%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179,8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0,6%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Анелик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0,8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0,2%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137,1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0,4%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Coinstar Money Transfer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0,0</w:t>
            </w:r>
            <w:r>
              <w:rPr>
                <w:i/>
                <w:sz w:val="22"/>
                <w:szCs w:val="22"/>
              </w:rPr>
              <w:t>3</w:t>
            </w:r>
            <w:r w:rsidRPr="006340AB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0,1%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594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Быстрые денежные переводы без открытия банковского счета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0,0</w:t>
            </w:r>
            <w:r>
              <w:rPr>
                <w:i/>
                <w:sz w:val="22"/>
                <w:szCs w:val="22"/>
              </w:rPr>
              <w:t>3</w:t>
            </w:r>
            <w:r w:rsidRPr="006340AB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0,1%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Золотая корона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0,0</w:t>
            </w:r>
            <w:r>
              <w:rPr>
                <w:i/>
                <w:sz w:val="22"/>
                <w:szCs w:val="22"/>
              </w:rPr>
              <w:t>03</w:t>
            </w:r>
            <w:r w:rsidRPr="006340AB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sz w:val="22"/>
                <w:szCs w:val="22"/>
              </w:rPr>
            </w:pPr>
            <w:r w:rsidRPr="006340AB">
              <w:rPr>
                <w:sz w:val="22"/>
                <w:szCs w:val="22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i/>
                <w:sz w:val="22"/>
                <w:szCs w:val="22"/>
              </w:rPr>
            </w:pPr>
            <w:r w:rsidRPr="006340AB">
              <w:rPr>
                <w:i/>
                <w:sz w:val="22"/>
                <w:szCs w:val="22"/>
              </w:rPr>
              <w:t>0,0</w:t>
            </w:r>
            <w:r>
              <w:rPr>
                <w:i/>
                <w:sz w:val="22"/>
                <w:szCs w:val="22"/>
              </w:rPr>
              <w:t>1</w:t>
            </w:r>
            <w:r w:rsidRPr="006340AB">
              <w:rPr>
                <w:i/>
                <w:sz w:val="22"/>
                <w:szCs w:val="22"/>
              </w:rPr>
              <w:t>%</w:t>
            </w:r>
          </w:p>
        </w:tc>
      </w:tr>
      <w:tr w:rsidR="006340AB" w:rsidRPr="006340AB" w:rsidTr="006340AB">
        <w:trPr>
          <w:gridBefore w:val="1"/>
          <w:gridAfter w:val="1"/>
          <w:wBefore w:w="93" w:type="dxa"/>
          <w:wAfter w:w="425" w:type="dxa"/>
          <w:trHeight w:val="255"/>
        </w:trPr>
        <w:tc>
          <w:tcPr>
            <w:tcW w:w="3276" w:type="dxa"/>
            <w:shd w:val="clear" w:color="auto" w:fill="auto"/>
            <w:noWrap/>
            <w:vAlign w:val="bottom"/>
          </w:tcPr>
          <w:p w:rsidR="006340AB" w:rsidRPr="006340AB" w:rsidRDefault="006340AB">
            <w:pPr>
              <w:rPr>
                <w:b/>
                <w:sz w:val="22"/>
                <w:szCs w:val="22"/>
              </w:rPr>
            </w:pPr>
            <w:r w:rsidRPr="006340AB">
              <w:rPr>
                <w:b/>
                <w:sz w:val="22"/>
                <w:szCs w:val="22"/>
              </w:rPr>
              <w:t>Общий итог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b/>
                <w:sz w:val="22"/>
                <w:szCs w:val="22"/>
              </w:rPr>
            </w:pPr>
            <w:r w:rsidRPr="006340AB">
              <w:rPr>
                <w:b/>
                <w:sz w:val="22"/>
                <w:szCs w:val="22"/>
              </w:rPr>
              <w:t>417,2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6340AB">
              <w:rPr>
                <w:b/>
                <w:i/>
                <w:sz w:val="22"/>
                <w:szCs w:val="22"/>
              </w:rPr>
              <w:t>100,0%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b/>
                <w:sz w:val="22"/>
                <w:szCs w:val="22"/>
              </w:rPr>
            </w:pPr>
            <w:r w:rsidRPr="006340AB">
              <w:rPr>
                <w:b/>
                <w:sz w:val="22"/>
                <w:szCs w:val="22"/>
              </w:rPr>
              <w:t>31 483,0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340AB" w:rsidRPr="006340AB" w:rsidRDefault="006340AB" w:rsidP="006340AB">
            <w:pPr>
              <w:jc w:val="center"/>
              <w:rPr>
                <w:b/>
                <w:i/>
                <w:sz w:val="22"/>
                <w:szCs w:val="22"/>
              </w:rPr>
            </w:pPr>
            <w:r w:rsidRPr="006340AB">
              <w:rPr>
                <w:b/>
                <w:i/>
                <w:sz w:val="22"/>
                <w:szCs w:val="22"/>
              </w:rPr>
              <w:t>100,0%</w:t>
            </w:r>
          </w:p>
        </w:tc>
      </w:tr>
      <w:tr w:rsidR="006340AB" w:rsidRPr="00D07617" w:rsidTr="006340AB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AB" w:rsidRPr="00D07617" w:rsidRDefault="006340AB" w:rsidP="00D0761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0AB" w:rsidRPr="00D07617" w:rsidRDefault="006340AB" w:rsidP="00D07617">
            <w:pPr>
              <w:jc w:val="both"/>
              <w:rPr>
                <w:sz w:val="28"/>
                <w:szCs w:val="28"/>
              </w:rPr>
            </w:pPr>
          </w:p>
        </w:tc>
      </w:tr>
    </w:tbl>
    <w:p w:rsidR="00CC7A27" w:rsidRDefault="00CC7A27" w:rsidP="003974B9">
      <w:pPr>
        <w:rPr>
          <w:sz w:val="28"/>
          <w:szCs w:val="28"/>
        </w:rPr>
      </w:pPr>
    </w:p>
    <w:p w:rsidR="005E3D63" w:rsidRDefault="005E3D63" w:rsidP="003974B9">
      <w:pPr>
        <w:rPr>
          <w:sz w:val="28"/>
          <w:szCs w:val="28"/>
        </w:rPr>
      </w:pPr>
    </w:p>
    <w:p w:rsidR="00886DE3" w:rsidRDefault="00C544D8" w:rsidP="00C544D8">
      <w:pPr>
        <w:tabs>
          <w:tab w:val="num" w:pos="0"/>
        </w:tabs>
        <w:jc w:val="center"/>
        <w:rPr>
          <w:b/>
          <w:sz w:val="28"/>
          <w:szCs w:val="28"/>
        </w:rPr>
      </w:pPr>
      <w:r w:rsidRPr="00201A99">
        <w:rPr>
          <w:b/>
          <w:sz w:val="28"/>
          <w:szCs w:val="28"/>
          <w:lang w:val="en-US"/>
        </w:rPr>
        <w:lastRenderedPageBreak/>
        <w:t>I</w:t>
      </w:r>
      <w:r w:rsidR="00AB2F5C" w:rsidRPr="00201A99">
        <w:rPr>
          <w:b/>
          <w:sz w:val="28"/>
          <w:szCs w:val="28"/>
        </w:rPr>
        <w:t xml:space="preserve">I. </w:t>
      </w:r>
      <w:r w:rsidRPr="00201A99">
        <w:rPr>
          <w:b/>
          <w:sz w:val="28"/>
          <w:szCs w:val="28"/>
        </w:rPr>
        <w:t>ИСПОЛЬЗОВАНИЕ ПЛАТЕЖНЫХ ИНСТРУМЕНТОВ</w:t>
      </w:r>
      <w:r w:rsidR="00DF1361" w:rsidRPr="00201A99">
        <w:rPr>
          <w:b/>
          <w:sz w:val="28"/>
          <w:szCs w:val="28"/>
        </w:rPr>
        <w:t xml:space="preserve"> </w:t>
      </w:r>
    </w:p>
    <w:p w:rsidR="00AB2F5C" w:rsidRPr="00201A99" w:rsidRDefault="00DF1361" w:rsidP="00C544D8">
      <w:pPr>
        <w:tabs>
          <w:tab w:val="num" w:pos="0"/>
        </w:tabs>
        <w:jc w:val="center"/>
        <w:rPr>
          <w:b/>
          <w:sz w:val="28"/>
          <w:szCs w:val="28"/>
        </w:rPr>
      </w:pPr>
      <w:r w:rsidRPr="00201A99">
        <w:rPr>
          <w:b/>
          <w:sz w:val="28"/>
          <w:szCs w:val="28"/>
        </w:rPr>
        <w:t>НА ТЕРРИТОРИИ КАЗАХСТАНА</w:t>
      </w:r>
    </w:p>
    <w:p w:rsidR="00C544D8" w:rsidRPr="00201A99" w:rsidRDefault="00C544D8" w:rsidP="00C544D8">
      <w:pPr>
        <w:pStyle w:val="11"/>
        <w:spacing w:line="223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C544D8" w:rsidRPr="00201A99" w:rsidRDefault="00C544D8" w:rsidP="00C544D8">
      <w:pPr>
        <w:spacing w:line="228" w:lineRule="auto"/>
        <w:ind w:firstLine="709"/>
        <w:jc w:val="both"/>
        <w:rPr>
          <w:sz w:val="28"/>
          <w:szCs w:val="28"/>
        </w:rPr>
      </w:pPr>
      <w:r w:rsidRPr="00201A99">
        <w:rPr>
          <w:sz w:val="28"/>
          <w:szCs w:val="28"/>
        </w:rPr>
        <w:t>Приобретаемые на рынке товары и услуги могут быть оплачены как наличными деньгами, так и безналичным способом. По заключенным сделкам между поставщик</w:t>
      </w:r>
      <w:r w:rsidRPr="00201A99">
        <w:rPr>
          <w:sz w:val="28"/>
          <w:szCs w:val="28"/>
        </w:rPr>
        <w:t>а</w:t>
      </w:r>
      <w:r w:rsidRPr="00201A99">
        <w:rPr>
          <w:sz w:val="28"/>
          <w:szCs w:val="28"/>
        </w:rPr>
        <w:t>ми и покупателями, находящимися на больших расстояниях друг от друга, чаще и</w:t>
      </w:r>
      <w:r w:rsidRPr="00201A99">
        <w:rPr>
          <w:sz w:val="28"/>
          <w:szCs w:val="28"/>
        </w:rPr>
        <w:t>с</w:t>
      </w:r>
      <w:r w:rsidRPr="00201A99">
        <w:rPr>
          <w:sz w:val="28"/>
          <w:szCs w:val="28"/>
        </w:rPr>
        <w:t>пользуются безналичные способы осуществления платежей, гарантирующие своевр</w:t>
      </w:r>
      <w:r w:rsidRPr="00201A99">
        <w:rPr>
          <w:sz w:val="28"/>
          <w:szCs w:val="28"/>
        </w:rPr>
        <w:t>е</w:t>
      </w:r>
      <w:r w:rsidRPr="00201A99">
        <w:rPr>
          <w:sz w:val="28"/>
          <w:szCs w:val="28"/>
        </w:rPr>
        <w:t>менный расчет. При этом для осуществления безналичного платежа и перевода испол</w:t>
      </w:r>
      <w:r w:rsidRPr="00201A99">
        <w:rPr>
          <w:sz w:val="28"/>
          <w:szCs w:val="28"/>
        </w:rPr>
        <w:t>ь</w:t>
      </w:r>
      <w:r w:rsidRPr="00201A99">
        <w:rPr>
          <w:sz w:val="28"/>
          <w:szCs w:val="28"/>
        </w:rPr>
        <w:t>зуются платежные инструменты, с помощью которых инициируется платеж и на основании которых осуществляется перевод д</w:t>
      </w:r>
      <w:r w:rsidRPr="00201A99">
        <w:rPr>
          <w:sz w:val="28"/>
          <w:szCs w:val="28"/>
        </w:rPr>
        <w:t>е</w:t>
      </w:r>
      <w:r w:rsidRPr="00201A99">
        <w:rPr>
          <w:sz w:val="28"/>
          <w:szCs w:val="28"/>
        </w:rPr>
        <w:t xml:space="preserve">нег </w:t>
      </w:r>
    </w:p>
    <w:p w:rsidR="00C544D8" w:rsidRPr="00201A99" w:rsidRDefault="00C544D8" w:rsidP="00C544D8">
      <w:pPr>
        <w:spacing w:line="228" w:lineRule="auto"/>
        <w:ind w:firstLine="709"/>
        <w:jc w:val="both"/>
        <w:rPr>
          <w:sz w:val="28"/>
          <w:szCs w:val="28"/>
        </w:rPr>
      </w:pPr>
      <w:r w:rsidRPr="00201A99">
        <w:rPr>
          <w:sz w:val="28"/>
          <w:szCs w:val="28"/>
        </w:rPr>
        <w:t xml:space="preserve">За  10 месяцев 2013 года банками второго уровня и АО «Казпочта» с использованием </w:t>
      </w:r>
      <w:r w:rsidR="00D56547" w:rsidRPr="00201A99">
        <w:rPr>
          <w:sz w:val="28"/>
          <w:szCs w:val="28"/>
        </w:rPr>
        <w:t xml:space="preserve">платежных инструментов было проведено на территории Казахстана (через Межбанковскую систему переводов денег, Систему межбанковского клиринга, </w:t>
      </w:r>
      <w:r w:rsidRPr="00201A99">
        <w:rPr>
          <w:sz w:val="28"/>
          <w:szCs w:val="28"/>
        </w:rPr>
        <w:t xml:space="preserve"> </w:t>
      </w:r>
      <w:r w:rsidR="00D56547" w:rsidRPr="00201A99">
        <w:rPr>
          <w:sz w:val="28"/>
          <w:szCs w:val="28"/>
        </w:rPr>
        <w:t>корреспондентские сче</w:t>
      </w:r>
      <w:r w:rsidR="0094568A">
        <w:rPr>
          <w:sz w:val="28"/>
          <w:szCs w:val="28"/>
        </w:rPr>
        <w:t>та, открытые между банками, и С</w:t>
      </w:r>
      <w:r w:rsidR="00D56547" w:rsidRPr="00201A99">
        <w:rPr>
          <w:sz w:val="28"/>
          <w:szCs w:val="28"/>
        </w:rPr>
        <w:t xml:space="preserve">ДП) </w:t>
      </w:r>
      <w:r w:rsidR="00A00772" w:rsidRPr="00201A99">
        <w:rPr>
          <w:sz w:val="28"/>
          <w:szCs w:val="28"/>
        </w:rPr>
        <w:t>236,2</w:t>
      </w:r>
      <w:r w:rsidR="00060439" w:rsidRPr="00201A99">
        <w:rPr>
          <w:sz w:val="28"/>
          <w:szCs w:val="28"/>
        </w:rPr>
        <w:t xml:space="preserve"> млн. </w:t>
      </w:r>
      <w:r w:rsidRPr="00201A99">
        <w:rPr>
          <w:sz w:val="28"/>
          <w:szCs w:val="28"/>
        </w:rPr>
        <w:t xml:space="preserve">транзакции    на  сумму </w:t>
      </w:r>
      <w:r w:rsidR="00A00772" w:rsidRPr="00201A99">
        <w:rPr>
          <w:sz w:val="28"/>
          <w:szCs w:val="28"/>
        </w:rPr>
        <w:t>217,7</w:t>
      </w:r>
      <w:r w:rsidRPr="00201A99">
        <w:rPr>
          <w:sz w:val="28"/>
          <w:szCs w:val="28"/>
        </w:rPr>
        <w:t xml:space="preserve"> млрд. те</w:t>
      </w:r>
      <w:r w:rsidRPr="00201A99">
        <w:rPr>
          <w:sz w:val="28"/>
          <w:szCs w:val="28"/>
        </w:rPr>
        <w:t>н</w:t>
      </w:r>
      <w:r w:rsidR="00A00772" w:rsidRPr="00201A99">
        <w:rPr>
          <w:sz w:val="28"/>
          <w:szCs w:val="28"/>
        </w:rPr>
        <w:t>ге, рост по сравнению с аналогичным периодом прошлого года на</w:t>
      </w:r>
      <w:r w:rsidR="00000AC8" w:rsidRPr="00201A99">
        <w:rPr>
          <w:sz w:val="28"/>
          <w:szCs w:val="28"/>
        </w:rPr>
        <w:t xml:space="preserve"> 7,8</w:t>
      </w:r>
      <w:r w:rsidR="00A00772" w:rsidRPr="00201A99">
        <w:rPr>
          <w:sz w:val="28"/>
          <w:szCs w:val="28"/>
        </w:rPr>
        <w:t xml:space="preserve">% по количеству и </w:t>
      </w:r>
      <w:r w:rsidR="00000AC8" w:rsidRPr="00201A99">
        <w:rPr>
          <w:sz w:val="28"/>
          <w:szCs w:val="28"/>
        </w:rPr>
        <w:t>11,4</w:t>
      </w:r>
      <w:r w:rsidR="00A00772" w:rsidRPr="00201A99">
        <w:rPr>
          <w:sz w:val="28"/>
          <w:szCs w:val="28"/>
        </w:rPr>
        <w:t>% по сумме платежей.</w:t>
      </w:r>
    </w:p>
    <w:p w:rsidR="00000AC8" w:rsidRPr="00201A99" w:rsidRDefault="00000AC8" w:rsidP="00C544D8">
      <w:pPr>
        <w:spacing w:line="228" w:lineRule="auto"/>
        <w:ind w:firstLine="709"/>
        <w:jc w:val="both"/>
        <w:rPr>
          <w:sz w:val="28"/>
          <w:szCs w:val="28"/>
        </w:rPr>
      </w:pPr>
      <w:r w:rsidRPr="00201A99">
        <w:rPr>
          <w:sz w:val="28"/>
          <w:szCs w:val="28"/>
        </w:rPr>
        <w:t>В разрезе платежных инструментов основное влияние на рост объемов платежей оказал рост суммы платежей по уплате налогов и других обязательных платежей в бюджет посредством банкоматов (на 29,0 млрд. тенге) и платежных поручений (на 4 508,1 млрд. тенге).</w:t>
      </w:r>
    </w:p>
    <w:p w:rsidR="00000AC8" w:rsidRPr="00201A99" w:rsidRDefault="00000AC8" w:rsidP="00C544D8">
      <w:pPr>
        <w:spacing w:line="228" w:lineRule="auto"/>
        <w:ind w:firstLine="709"/>
        <w:jc w:val="both"/>
        <w:rPr>
          <w:sz w:val="28"/>
          <w:szCs w:val="28"/>
        </w:rPr>
      </w:pPr>
      <w:r w:rsidRPr="00201A99">
        <w:rPr>
          <w:sz w:val="28"/>
          <w:szCs w:val="28"/>
        </w:rPr>
        <w:t>В общем объеме платежей наиболее значительна доля платежных поручений (83,7% от общей суммы и 85,5% от общего количества платежей), платежных извещений (0,2% от суммы и 12,9% от общего количества), платежей в бюджет посредством банкоматов (13,3% от общей суммы и 0,1% от общего количества).</w:t>
      </w:r>
    </w:p>
    <w:p w:rsidR="005E3D63" w:rsidRDefault="005E3D63" w:rsidP="00000AC8">
      <w:pPr>
        <w:spacing w:line="228" w:lineRule="auto"/>
        <w:ind w:firstLine="709"/>
        <w:jc w:val="right"/>
        <w:rPr>
          <w:sz w:val="28"/>
          <w:szCs w:val="28"/>
        </w:rPr>
      </w:pPr>
    </w:p>
    <w:p w:rsidR="005246C3" w:rsidRDefault="00000AC8" w:rsidP="00000AC8">
      <w:pPr>
        <w:spacing w:line="228" w:lineRule="auto"/>
        <w:ind w:firstLine="709"/>
        <w:jc w:val="center"/>
        <w:rPr>
          <w:sz w:val="26"/>
          <w:szCs w:val="26"/>
        </w:rPr>
      </w:pPr>
      <w:r w:rsidRPr="00000AC8">
        <w:rPr>
          <w:b/>
          <w:sz w:val="26"/>
          <w:szCs w:val="26"/>
        </w:rPr>
        <w:t>Применение платежных инструментов для осуществления платежей на территории Республики Казахстан</w:t>
      </w:r>
    </w:p>
    <w:tbl>
      <w:tblPr>
        <w:tblW w:w="10617" w:type="dxa"/>
        <w:tblInd w:w="-34" w:type="dxa"/>
        <w:tblLook w:val="04A0" w:firstRow="1" w:lastRow="0" w:firstColumn="1" w:lastColumn="0" w:noHBand="0" w:noVBand="1"/>
      </w:tblPr>
      <w:tblGrid>
        <w:gridCol w:w="3119"/>
        <w:gridCol w:w="1417"/>
        <w:gridCol w:w="1439"/>
        <w:gridCol w:w="1254"/>
        <w:gridCol w:w="1439"/>
        <w:gridCol w:w="992"/>
        <w:gridCol w:w="957"/>
      </w:tblGrid>
      <w:tr w:rsidR="005246C3" w:rsidRPr="00000AC8" w:rsidTr="00D07617">
        <w:trPr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5246C3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Способ осуществления платежей и переводов денег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за 10 месяцев 2012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за 10 месяцев 2013 года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Изменение, в % (в раз)</w:t>
            </w:r>
          </w:p>
        </w:tc>
      </w:tr>
      <w:tr w:rsidR="005246C3" w:rsidRPr="00000AC8" w:rsidTr="00D07617">
        <w:trPr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246C3" w:rsidRPr="00000AC8" w:rsidRDefault="005246C3" w:rsidP="005246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Кол-во (тыс)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Сумма (млрд. тенге)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Кол-во (тыс)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Сумма (млрд. тенге)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Сумма</w:t>
            </w:r>
          </w:p>
        </w:tc>
      </w:tr>
      <w:tr w:rsidR="005246C3" w:rsidRPr="00000AC8" w:rsidTr="00000AC8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Платежное поручение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188 920,2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177 639,7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201 955,4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182 147,8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6,9%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2,5%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Платежное требование-поручение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170,7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2 129,8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000AC8" w:rsidP="0000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5246C3" w:rsidRPr="00000AC8">
              <w:rPr>
                <w:sz w:val="22"/>
                <w:szCs w:val="22"/>
              </w:rPr>
              <w:t>12,5</w:t>
            </w:r>
            <w:r>
              <w:rPr>
                <w:sz w:val="22"/>
                <w:szCs w:val="22"/>
              </w:rPr>
              <w:t xml:space="preserve"> раз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80,8%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 w:rsidP="00000AC8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 xml:space="preserve">ИР нал. органа на </w:t>
            </w:r>
            <w:r w:rsidR="00000AC8" w:rsidRPr="00000AC8">
              <w:rPr>
                <w:sz w:val="20"/>
                <w:szCs w:val="20"/>
              </w:rPr>
              <w:t>б/с</w:t>
            </w:r>
            <w:r w:rsidRPr="00000AC8">
              <w:rPr>
                <w:sz w:val="20"/>
                <w:szCs w:val="20"/>
              </w:rPr>
              <w:t xml:space="preserve"> налогоплательщика, имеющего задолженность в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54,7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14,6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50,5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-7,8%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-23,3%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 w:rsidP="00000AC8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ИР нал.органа</w:t>
            </w:r>
            <w:r w:rsidR="00000AC8">
              <w:rPr>
                <w:sz w:val="20"/>
                <w:szCs w:val="20"/>
              </w:rPr>
              <w:t xml:space="preserve"> </w:t>
            </w:r>
            <w:r w:rsidRPr="00000AC8">
              <w:rPr>
                <w:sz w:val="20"/>
                <w:szCs w:val="20"/>
              </w:rPr>
              <w:t xml:space="preserve"> на </w:t>
            </w:r>
            <w:r w:rsidR="00000AC8" w:rsidRPr="00000AC8">
              <w:rPr>
                <w:sz w:val="20"/>
                <w:szCs w:val="20"/>
              </w:rPr>
              <w:t>б/с</w:t>
            </w:r>
            <w:r w:rsidRPr="00000AC8">
              <w:rPr>
                <w:sz w:val="20"/>
                <w:szCs w:val="20"/>
              </w:rPr>
              <w:t xml:space="preserve"> дебитора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-13,7%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-6,0%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 w:rsidP="00000AC8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ИР таможен</w:t>
            </w:r>
            <w:r w:rsidR="00000AC8" w:rsidRPr="00000AC8">
              <w:rPr>
                <w:sz w:val="20"/>
                <w:szCs w:val="20"/>
              </w:rPr>
              <w:t>.</w:t>
            </w:r>
            <w:r w:rsidRPr="00000AC8">
              <w:rPr>
                <w:sz w:val="20"/>
                <w:szCs w:val="20"/>
              </w:rPr>
              <w:t xml:space="preserve">органа на </w:t>
            </w:r>
            <w:r w:rsidR="00000AC8" w:rsidRPr="00000AC8">
              <w:rPr>
                <w:sz w:val="20"/>
                <w:szCs w:val="20"/>
              </w:rPr>
              <w:t>б/с</w:t>
            </w:r>
            <w:r w:rsidRPr="00000AC8">
              <w:rPr>
                <w:sz w:val="20"/>
                <w:szCs w:val="20"/>
              </w:rPr>
              <w:t xml:space="preserve"> налогоплательщика, имеющего задолженность в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-19,5%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000AC8" w:rsidP="0000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5246C3" w:rsidRPr="00000AC8">
              <w:rPr>
                <w:sz w:val="22"/>
                <w:szCs w:val="22"/>
              </w:rPr>
              <w:t>94,4</w:t>
            </w:r>
            <w:r>
              <w:rPr>
                <w:sz w:val="22"/>
                <w:szCs w:val="22"/>
              </w:rPr>
              <w:t xml:space="preserve"> раз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Чеки за товары и услуги, дорожные чеки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21,6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8,2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20,8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-3,6%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36,3%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 w:rsidP="00000AC8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 xml:space="preserve">ИР налогового органа на </w:t>
            </w:r>
            <w:r w:rsidR="00000AC8" w:rsidRPr="00000AC8">
              <w:rPr>
                <w:sz w:val="20"/>
                <w:szCs w:val="20"/>
              </w:rPr>
              <w:t>б/с</w:t>
            </w:r>
            <w:r w:rsidRPr="00000AC8">
              <w:rPr>
                <w:sz w:val="20"/>
                <w:szCs w:val="20"/>
              </w:rPr>
              <w:t xml:space="preserve"> агента, имеющего задолженность по </w:t>
            </w:r>
            <w:r w:rsidR="00000AC8" w:rsidRPr="00000AC8">
              <w:rPr>
                <w:sz w:val="20"/>
                <w:szCs w:val="20"/>
              </w:rPr>
              <w:t>ОПВ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8,3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8,9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7,4%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2,1%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Платежные извещения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27 952,9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384,4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30 535,8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9,2%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5,5%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 w:rsidP="00000AC8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lastRenderedPageBreak/>
              <w:t xml:space="preserve">ИР налогового органа, на </w:t>
            </w:r>
            <w:r w:rsidR="00000AC8" w:rsidRPr="00000AC8">
              <w:rPr>
                <w:sz w:val="20"/>
                <w:szCs w:val="20"/>
              </w:rPr>
              <w:t>б/с</w:t>
            </w:r>
            <w:r w:rsidRPr="00000AC8">
              <w:rPr>
                <w:sz w:val="20"/>
                <w:szCs w:val="20"/>
              </w:rPr>
              <w:t xml:space="preserve"> плательщика, имеющего задолженность по </w:t>
            </w:r>
            <w:r w:rsidR="00000AC8" w:rsidRPr="00000AC8">
              <w:rPr>
                <w:sz w:val="20"/>
                <w:szCs w:val="20"/>
              </w:rPr>
              <w:t>соц.отчислениям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5,0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47,3%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-94,0%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ИР на основании исполнительных листов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5,3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84,7%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-56,9%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 xml:space="preserve">Прямое дебетование банковского счета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3 225,6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3 528,3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19,7%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9,4%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Платежный ордер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71,4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1 029,7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75,1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5,2%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-21,1%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Почтовый перевод денег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312,5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4,4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166,8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-46,6%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-46,6%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Уплата налогов и других обязательных платежей в бюджет посредством банкоматов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414,9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309,7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29 025,9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-25,4%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000AC8" w:rsidP="0000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5246C3" w:rsidRPr="00000AC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тыс. раз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sz w:val="20"/>
                <w:szCs w:val="20"/>
              </w:rPr>
            </w:pPr>
            <w:r w:rsidRPr="00000AC8">
              <w:rPr>
                <w:sz w:val="20"/>
                <w:szCs w:val="20"/>
              </w:rPr>
              <w:t>Иные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1 163,5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13 099,4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953,9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1 747,6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-18,0%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sz w:val="22"/>
                <w:szCs w:val="22"/>
              </w:rPr>
            </w:pPr>
            <w:r w:rsidRPr="00000AC8">
              <w:rPr>
                <w:sz w:val="22"/>
                <w:szCs w:val="22"/>
              </w:rPr>
              <w:t>-86,7%</w:t>
            </w:r>
          </w:p>
        </w:tc>
      </w:tr>
      <w:tr w:rsidR="005246C3" w:rsidRPr="00000AC8" w:rsidTr="00000AC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6C3" w:rsidRPr="00000AC8" w:rsidRDefault="005246C3">
            <w:pPr>
              <w:rPr>
                <w:b/>
                <w:bCs/>
                <w:sz w:val="20"/>
                <w:szCs w:val="20"/>
              </w:rPr>
            </w:pPr>
            <w:r w:rsidRPr="00000AC8">
              <w:rPr>
                <w:b/>
                <w:bCs/>
                <w:sz w:val="20"/>
                <w:szCs w:val="20"/>
              </w:rPr>
              <w:t>Общий итог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bCs/>
                <w:sz w:val="22"/>
                <w:szCs w:val="22"/>
              </w:rPr>
            </w:pPr>
            <w:r w:rsidRPr="00000AC8">
              <w:rPr>
                <w:b/>
                <w:bCs/>
                <w:sz w:val="22"/>
                <w:szCs w:val="22"/>
              </w:rPr>
              <w:t>219 108,8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bCs/>
                <w:sz w:val="22"/>
                <w:szCs w:val="22"/>
              </w:rPr>
            </w:pPr>
            <w:r w:rsidRPr="00000AC8">
              <w:rPr>
                <w:b/>
                <w:bCs/>
                <w:sz w:val="22"/>
                <w:szCs w:val="22"/>
              </w:rPr>
              <w:t>195 426,5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bCs/>
                <w:sz w:val="22"/>
                <w:szCs w:val="22"/>
              </w:rPr>
            </w:pPr>
            <w:r w:rsidRPr="00000AC8">
              <w:rPr>
                <w:b/>
                <w:bCs/>
                <w:sz w:val="22"/>
                <w:szCs w:val="22"/>
              </w:rPr>
              <w:t>236 231,1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bCs/>
                <w:sz w:val="22"/>
                <w:szCs w:val="22"/>
              </w:rPr>
            </w:pPr>
            <w:r w:rsidRPr="00000AC8">
              <w:rPr>
                <w:b/>
                <w:bCs/>
                <w:sz w:val="22"/>
                <w:szCs w:val="22"/>
              </w:rPr>
              <w:t>217 744,0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7,8%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C3" w:rsidRPr="00000AC8" w:rsidRDefault="005246C3" w:rsidP="00000AC8">
            <w:pPr>
              <w:jc w:val="center"/>
              <w:rPr>
                <w:b/>
                <w:sz w:val="22"/>
                <w:szCs w:val="22"/>
              </w:rPr>
            </w:pPr>
            <w:r w:rsidRPr="00000AC8">
              <w:rPr>
                <w:b/>
                <w:sz w:val="22"/>
                <w:szCs w:val="22"/>
              </w:rPr>
              <w:t>11,4%</w:t>
            </w:r>
          </w:p>
        </w:tc>
      </w:tr>
    </w:tbl>
    <w:p w:rsidR="00015F60" w:rsidRDefault="00015F60" w:rsidP="00015F60">
      <w:pPr>
        <w:spacing w:line="228" w:lineRule="auto"/>
        <w:ind w:firstLine="709"/>
        <w:jc w:val="both"/>
        <w:rPr>
          <w:b/>
          <w:sz w:val="28"/>
          <w:szCs w:val="28"/>
        </w:rPr>
      </w:pPr>
    </w:p>
    <w:p w:rsidR="00015F60" w:rsidRPr="00015F60" w:rsidRDefault="008A1658" w:rsidP="00015F60">
      <w:pPr>
        <w:spacing w:line="228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разрезе систем по Казахстану</w:t>
      </w:r>
    </w:p>
    <w:tbl>
      <w:tblPr>
        <w:tblW w:w="10569" w:type="dxa"/>
        <w:tblLayout w:type="fixed"/>
        <w:tblLook w:val="04A0" w:firstRow="1" w:lastRow="0" w:firstColumn="1" w:lastColumn="0" w:noHBand="0" w:noVBand="1"/>
      </w:tblPr>
      <w:tblGrid>
        <w:gridCol w:w="4786"/>
        <w:gridCol w:w="5783"/>
      </w:tblGrid>
      <w:tr w:rsidR="00000AC8" w:rsidRPr="00D07617" w:rsidTr="008A1658">
        <w:trPr>
          <w:trHeight w:val="724"/>
        </w:trPr>
        <w:tc>
          <w:tcPr>
            <w:tcW w:w="4786" w:type="dxa"/>
            <w:shd w:val="clear" w:color="auto" w:fill="auto"/>
          </w:tcPr>
          <w:p w:rsidR="00000AC8" w:rsidRPr="00D07617" w:rsidRDefault="00000AC8" w:rsidP="00015F60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D07617">
              <w:rPr>
                <w:b/>
                <w:sz w:val="28"/>
                <w:szCs w:val="28"/>
              </w:rPr>
              <w:t>Через МСПД и Систему межбанковского клиринга</w:t>
            </w:r>
            <w:r w:rsidRPr="00D07617">
              <w:rPr>
                <w:sz w:val="28"/>
                <w:szCs w:val="28"/>
              </w:rPr>
              <w:t xml:space="preserve"> в основном проводятся платежи</w:t>
            </w:r>
            <w:r w:rsidR="00DF1361" w:rsidRPr="00D07617">
              <w:rPr>
                <w:sz w:val="28"/>
                <w:szCs w:val="28"/>
              </w:rPr>
              <w:t xml:space="preserve">, основанные на применении платежных поручений  (99,5% от общей суммы проведенных </w:t>
            </w:r>
            <w:r w:rsidR="00015F60">
              <w:rPr>
                <w:sz w:val="28"/>
                <w:szCs w:val="28"/>
              </w:rPr>
              <w:t>через данные системы платежей). Д</w:t>
            </w:r>
            <w:r w:rsidR="00DF1361" w:rsidRPr="00D07617">
              <w:rPr>
                <w:sz w:val="28"/>
                <w:szCs w:val="28"/>
              </w:rPr>
              <w:t>оля платежных извещений (платежи без открытия банковского счета) составляет 0,2%</w:t>
            </w:r>
            <w:r w:rsidR="00015F60">
              <w:rPr>
                <w:sz w:val="28"/>
                <w:szCs w:val="28"/>
              </w:rPr>
              <w:t>, доля иных платежных инструментов (платежные ордера, инкассовые распоряжения, платежные требования-поручения, прямое дебетование банковского счета,  оплата платежей в бюджет через банкоматы) составляет 0,3%.</w:t>
            </w:r>
          </w:p>
        </w:tc>
        <w:tc>
          <w:tcPr>
            <w:tcW w:w="5783" w:type="dxa"/>
            <w:shd w:val="clear" w:color="auto" w:fill="auto"/>
          </w:tcPr>
          <w:p w:rsidR="001D7C53" w:rsidRDefault="001D7C53" w:rsidP="00D07617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201A99" w:rsidRPr="00D07617" w:rsidRDefault="0078505F" w:rsidP="00D07617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D07617">
              <w:rPr>
                <w:noProof/>
                <w:sz w:val="28"/>
                <w:szCs w:val="28"/>
              </w:rPr>
              <w:drawing>
                <wp:inline distT="0" distB="0" distL="0" distR="0">
                  <wp:extent cx="3533775" cy="1819275"/>
                  <wp:effectExtent l="0" t="0" r="0" b="0"/>
                  <wp:docPr id="23" name="Объект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DF1361" w:rsidRPr="00D07617" w:rsidTr="00015F60">
        <w:trPr>
          <w:trHeight w:val="2480"/>
        </w:trPr>
        <w:tc>
          <w:tcPr>
            <w:tcW w:w="4786" w:type="dxa"/>
            <w:shd w:val="clear" w:color="auto" w:fill="auto"/>
          </w:tcPr>
          <w:p w:rsidR="00DF1361" w:rsidRPr="00D07617" w:rsidRDefault="00DF1361" w:rsidP="00015F60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 w:rsidRPr="00D07617">
              <w:rPr>
                <w:b/>
                <w:sz w:val="28"/>
                <w:szCs w:val="28"/>
              </w:rPr>
              <w:t>В системах международных денежных переводов</w:t>
            </w:r>
            <w:r w:rsidRPr="00D07617">
              <w:rPr>
                <w:sz w:val="28"/>
                <w:szCs w:val="28"/>
              </w:rPr>
              <w:t xml:space="preserve">  основанием для платежа в основном выступают заявления на перевод денег</w:t>
            </w:r>
            <w:r w:rsidR="00015F60">
              <w:rPr>
                <w:rStyle w:val="aa"/>
                <w:sz w:val="28"/>
                <w:szCs w:val="28"/>
              </w:rPr>
              <w:footnoteReference w:id="7"/>
            </w:r>
            <w:r w:rsidRPr="00D07617">
              <w:rPr>
                <w:sz w:val="28"/>
                <w:szCs w:val="28"/>
              </w:rPr>
              <w:t xml:space="preserve"> (</w:t>
            </w:r>
            <w:r w:rsidR="00015F60">
              <w:rPr>
                <w:sz w:val="28"/>
                <w:szCs w:val="28"/>
              </w:rPr>
              <w:t>83,5</w:t>
            </w:r>
            <w:r w:rsidRPr="00D07617">
              <w:rPr>
                <w:sz w:val="28"/>
                <w:szCs w:val="28"/>
              </w:rPr>
              <w:t xml:space="preserve">%). Доля платежных поручений составляет  12,4%, </w:t>
            </w:r>
            <w:r w:rsidR="00015F60">
              <w:rPr>
                <w:sz w:val="28"/>
                <w:szCs w:val="28"/>
              </w:rPr>
              <w:t>почтовых переводов денег – 4,1%, доля иных платежных документов составляет 0,02%</w:t>
            </w:r>
          </w:p>
        </w:tc>
        <w:tc>
          <w:tcPr>
            <w:tcW w:w="5783" w:type="dxa"/>
            <w:shd w:val="clear" w:color="auto" w:fill="auto"/>
          </w:tcPr>
          <w:p w:rsidR="00201A99" w:rsidRPr="00D07617" w:rsidRDefault="0078505F" w:rsidP="00D07617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07617">
              <w:rPr>
                <w:noProof/>
                <w:sz w:val="28"/>
                <w:szCs w:val="28"/>
              </w:rPr>
              <w:drawing>
                <wp:inline distT="0" distB="0" distL="0" distR="0">
                  <wp:extent cx="3533775" cy="1762125"/>
                  <wp:effectExtent l="0" t="0" r="0" b="0"/>
                  <wp:docPr id="24" name="Объект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DF1361" w:rsidRPr="00D07617" w:rsidTr="00015F60">
        <w:trPr>
          <w:trHeight w:val="962"/>
        </w:trPr>
        <w:tc>
          <w:tcPr>
            <w:tcW w:w="10569" w:type="dxa"/>
            <w:gridSpan w:val="2"/>
            <w:shd w:val="clear" w:color="auto" w:fill="auto"/>
          </w:tcPr>
          <w:p w:rsidR="00DF1361" w:rsidRPr="00D07617" w:rsidRDefault="00201A99" w:rsidP="00D07617">
            <w:pPr>
              <w:spacing w:line="228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07617">
              <w:rPr>
                <w:sz w:val="28"/>
                <w:szCs w:val="28"/>
              </w:rPr>
              <w:t>П</w:t>
            </w:r>
            <w:r w:rsidR="00DF1361" w:rsidRPr="00D07617">
              <w:rPr>
                <w:sz w:val="28"/>
                <w:szCs w:val="28"/>
              </w:rPr>
              <w:t xml:space="preserve">ри осуществлении платежей </w:t>
            </w:r>
            <w:r w:rsidR="00DF1361" w:rsidRPr="00D07617">
              <w:rPr>
                <w:b/>
                <w:sz w:val="28"/>
                <w:szCs w:val="28"/>
              </w:rPr>
              <w:t>через прямые корреспондентские счета</w:t>
            </w:r>
            <w:r w:rsidR="00DF1361" w:rsidRPr="00D07617">
              <w:rPr>
                <w:sz w:val="28"/>
                <w:szCs w:val="28"/>
              </w:rPr>
              <w:t>, открытые между банками, основной объем (86,0%) приходится на платежные поручения</w:t>
            </w:r>
            <w:r w:rsidR="008A1658">
              <w:rPr>
                <w:sz w:val="28"/>
                <w:szCs w:val="28"/>
              </w:rPr>
              <w:t>, доля иных платежных документов составляет 14,0%.</w:t>
            </w:r>
          </w:p>
        </w:tc>
      </w:tr>
    </w:tbl>
    <w:p w:rsidR="001D7C53" w:rsidRDefault="001D7C53" w:rsidP="00C544D8">
      <w:pPr>
        <w:spacing w:line="228" w:lineRule="auto"/>
        <w:ind w:firstLine="709"/>
        <w:jc w:val="both"/>
        <w:rPr>
          <w:sz w:val="26"/>
          <w:szCs w:val="26"/>
          <w:lang w:val="kk-KZ"/>
        </w:rPr>
      </w:pPr>
    </w:p>
    <w:p w:rsidR="00397207" w:rsidRDefault="00397207" w:rsidP="00C544D8">
      <w:pPr>
        <w:spacing w:line="228" w:lineRule="auto"/>
        <w:ind w:firstLine="709"/>
        <w:jc w:val="both"/>
        <w:rPr>
          <w:sz w:val="26"/>
          <w:szCs w:val="26"/>
          <w:lang w:val="kk-KZ"/>
        </w:rPr>
      </w:pPr>
    </w:p>
    <w:p w:rsidR="00397207" w:rsidRPr="00397207" w:rsidRDefault="00397207" w:rsidP="00C544D8">
      <w:pPr>
        <w:spacing w:line="228" w:lineRule="auto"/>
        <w:ind w:firstLine="709"/>
        <w:jc w:val="both"/>
        <w:rPr>
          <w:sz w:val="26"/>
          <w:szCs w:val="26"/>
          <w:lang w:val="kk-KZ"/>
        </w:rPr>
      </w:pPr>
    </w:p>
    <w:p w:rsidR="00DF1361" w:rsidRPr="008A1658" w:rsidRDefault="00DF1361" w:rsidP="00DF1361">
      <w:pPr>
        <w:ind w:firstLine="709"/>
        <w:jc w:val="both"/>
        <w:rPr>
          <w:b/>
          <w:i/>
          <w:sz w:val="28"/>
          <w:szCs w:val="28"/>
        </w:rPr>
      </w:pPr>
      <w:r w:rsidRPr="008A1658">
        <w:rPr>
          <w:b/>
          <w:i/>
          <w:sz w:val="28"/>
          <w:szCs w:val="28"/>
        </w:rPr>
        <w:lastRenderedPageBreak/>
        <w:t>В разрезе видов платежей</w:t>
      </w:r>
      <w:r w:rsidR="008A1658">
        <w:rPr>
          <w:b/>
          <w:i/>
          <w:sz w:val="28"/>
          <w:szCs w:val="28"/>
        </w:rPr>
        <w:t xml:space="preserve"> по Казахстану</w:t>
      </w:r>
    </w:p>
    <w:p w:rsidR="001D7C53" w:rsidRDefault="00DF1361" w:rsidP="005E3D63">
      <w:pPr>
        <w:ind w:firstLine="709"/>
        <w:jc w:val="both"/>
        <w:rPr>
          <w:sz w:val="28"/>
          <w:szCs w:val="28"/>
        </w:rPr>
      </w:pPr>
      <w:r w:rsidRPr="00201A99">
        <w:rPr>
          <w:i/>
          <w:sz w:val="28"/>
          <w:szCs w:val="28"/>
        </w:rPr>
        <w:t>Платежные поручения</w:t>
      </w:r>
      <w:r w:rsidRPr="00201A99">
        <w:rPr>
          <w:sz w:val="28"/>
          <w:szCs w:val="28"/>
        </w:rPr>
        <w:t xml:space="preserve"> в основном используются для </w:t>
      </w:r>
      <w:r w:rsidR="00201A99" w:rsidRPr="00201A99">
        <w:rPr>
          <w:sz w:val="28"/>
          <w:szCs w:val="28"/>
        </w:rPr>
        <w:t>проведения платежей по операциям с ценными бумагами (38,0% от общего объема платежей с использованием платежных поручений), депозитами (22,3%), иностранной валютой и драгоценными металлами (14,7%), т.е. по операциям самого банка или крупных клиентов. Также знач</w:t>
      </w:r>
      <w:r w:rsidR="001D7C53">
        <w:rPr>
          <w:sz w:val="28"/>
          <w:szCs w:val="28"/>
        </w:rPr>
        <w:t>ительна доля платежных поручений</w:t>
      </w:r>
      <w:r w:rsidR="00201A99" w:rsidRPr="00201A99">
        <w:rPr>
          <w:sz w:val="28"/>
          <w:szCs w:val="28"/>
        </w:rPr>
        <w:t xml:space="preserve"> по платежам за товары и услуги (13,8%).</w:t>
      </w:r>
    </w:p>
    <w:p w:rsidR="00201A99" w:rsidRDefault="00201A99" w:rsidP="00201A99">
      <w:pPr>
        <w:jc w:val="center"/>
        <w:rPr>
          <w:b/>
        </w:rPr>
      </w:pPr>
      <w:r w:rsidRPr="00D7375C">
        <w:rPr>
          <w:b/>
        </w:rPr>
        <w:t xml:space="preserve">Доля объемов </w:t>
      </w:r>
      <w:r>
        <w:rPr>
          <w:b/>
        </w:rPr>
        <w:t xml:space="preserve">платежей на территории Казахстана, проведенных </w:t>
      </w:r>
    </w:p>
    <w:p w:rsidR="005246C3" w:rsidRDefault="00201A99" w:rsidP="00201A99">
      <w:pPr>
        <w:jc w:val="center"/>
        <w:rPr>
          <w:sz w:val="26"/>
          <w:szCs w:val="26"/>
        </w:rPr>
      </w:pPr>
      <w:r>
        <w:rPr>
          <w:b/>
        </w:rPr>
        <w:t>с использованием платежных поручений</w:t>
      </w:r>
    </w:p>
    <w:p w:rsidR="005246C3" w:rsidRDefault="0078505F" w:rsidP="00DF1361">
      <w:pPr>
        <w:spacing w:line="228" w:lineRule="auto"/>
        <w:jc w:val="both"/>
        <w:rPr>
          <w:sz w:val="26"/>
          <w:szCs w:val="26"/>
        </w:rPr>
      </w:pPr>
      <w:r w:rsidRPr="008648F9">
        <w:rPr>
          <w:noProof/>
          <w:sz w:val="28"/>
          <w:szCs w:val="28"/>
        </w:rPr>
        <w:drawing>
          <wp:inline distT="0" distB="0" distL="0" distR="0">
            <wp:extent cx="6115050" cy="2162175"/>
            <wp:effectExtent l="0" t="0" r="0" b="0"/>
            <wp:docPr id="25" name="Объект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A1658" w:rsidRDefault="008A1658" w:rsidP="005E3D63">
      <w:pPr>
        <w:spacing w:line="228" w:lineRule="auto"/>
        <w:ind w:firstLine="709"/>
        <w:jc w:val="both"/>
        <w:rPr>
          <w:sz w:val="26"/>
          <w:szCs w:val="26"/>
        </w:rPr>
      </w:pPr>
    </w:p>
    <w:p w:rsidR="00201A99" w:rsidRDefault="00C544D8" w:rsidP="005E3D63">
      <w:pPr>
        <w:spacing w:line="228" w:lineRule="auto"/>
        <w:ind w:firstLine="709"/>
        <w:jc w:val="both"/>
        <w:rPr>
          <w:sz w:val="28"/>
          <w:szCs w:val="28"/>
        </w:rPr>
      </w:pPr>
      <w:r w:rsidRPr="00D9502B">
        <w:rPr>
          <w:sz w:val="26"/>
          <w:szCs w:val="26"/>
        </w:rPr>
        <w:t xml:space="preserve"> </w:t>
      </w:r>
      <w:r w:rsidR="00201A99" w:rsidRPr="00201A99">
        <w:rPr>
          <w:i/>
          <w:sz w:val="28"/>
          <w:szCs w:val="28"/>
        </w:rPr>
        <w:t>Платежные извещения</w:t>
      </w:r>
      <w:r w:rsidR="00201A99" w:rsidRPr="00201A99">
        <w:rPr>
          <w:sz w:val="28"/>
          <w:szCs w:val="28"/>
        </w:rPr>
        <w:t xml:space="preserve"> в основном используются для проведения платежей в бюджет – 71,5% от общего объема платежей с использованием данного платежного документа, пенсионных платежей – 4,4%, операций с ин</w:t>
      </w:r>
      <w:r w:rsidR="00201A99">
        <w:rPr>
          <w:sz w:val="28"/>
          <w:szCs w:val="28"/>
        </w:rPr>
        <w:t xml:space="preserve">остранной </w:t>
      </w:r>
      <w:r w:rsidR="00201A99" w:rsidRPr="00201A99">
        <w:rPr>
          <w:sz w:val="28"/>
          <w:szCs w:val="28"/>
        </w:rPr>
        <w:t>валютой и драг</w:t>
      </w:r>
      <w:r w:rsidR="00201A99">
        <w:rPr>
          <w:sz w:val="28"/>
          <w:szCs w:val="28"/>
        </w:rPr>
        <w:t xml:space="preserve">оценными </w:t>
      </w:r>
      <w:r w:rsidR="00201A99" w:rsidRPr="00201A99">
        <w:rPr>
          <w:sz w:val="28"/>
          <w:szCs w:val="28"/>
        </w:rPr>
        <w:t xml:space="preserve">металлами – 17,6%. </w:t>
      </w:r>
    </w:p>
    <w:p w:rsidR="008A1658" w:rsidRDefault="008A1658" w:rsidP="00201A99">
      <w:pPr>
        <w:jc w:val="center"/>
        <w:rPr>
          <w:b/>
        </w:rPr>
      </w:pPr>
    </w:p>
    <w:p w:rsidR="008A1658" w:rsidRDefault="008A1658" w:rsidP="00201A99">
      <w:pPr>
        <w:jc w:val="center"/>
        <w:rPr>
          <w:b/>
        </w:rPr>
      </w:pPr>
    </w:p>
    <w:p w:rsidR="008A1658" w:rsidRDefault="008A1658" w:rsidP="00201A99">
      <w:pPr>
        <w:jc w:val="center"/>
        <w:rPr>
          <w:b/>
        </w:rPr>
      </w:pPr>
    </w:p>
    <w:p w:rsidR="008A1658" w:rsidRDefault="008A1658" w:rsidP="00201A99">
      <w:pPr>
        <w:jc w:val="center"/>
        <w:rPr>
          <w:b/>
        </w:rPr>
      </w:pPr>
    </w:p>
    <w:p w:rsidR="00201A99" w:rsidRDefault="00201A99" w:rsidP="00201A99">
      <w:pPr>
        <w:jc w:val="center"/>
        <w:rPr>
          <w:b/>
        </w:rPr>
      </w:pPr>
      <w:r w:rsidRPr="00D7375C">
        <w:rPr>
          <w:b/>
        </w:rPr>
        <w:t xml:space="preserve">Доля объемов </w:t>
      </w:r>
      <w:r>
        <w:rPr>
          <w:b/>
        </w:rPr>
        <w:t xml:space="preserve">платежей на территории Казахстана, проведенных </w:t>
      </w:r>
    </w:p>
    <w:p w:rsidR="00201A99" w:rsidRDefault="00201A99" w:rsidP="00201A99">
      <w:pPr>
        <w:jc w:val="center"/>
        <w:rPr>
          <w:sz w:val="26"/>
          <w:szCs w:val="26"/>
        </w:rPr>
      </w:pPr>
      <w:r>
        <w:rPr>
          <w:b/>
        </w:rPr>
        <w:t>с использованием платежных извещений</w:t>
      </w:r>
    </w:p>
    <w:p w:rsidR="00201A99" w:rsidRPr="00D9502B" w:rsidRDefault="0078505F" w:rsidP="00201A99">
      <w:pPr>
        <w:spacing w:line="228" w:lineRule="auto"/>
        <w:jc w:val="both"/>
        <w:rPr>
          <w:sz w:val="26"/>
          <w:szCs w:val="26"/>
        </w:rPr>
      </w:pPr>
      <w:r w:rsidRPr="008648F9">
        <w:rPr>
          <w:noProof/>
          <w:sz w:val="28"/>
          <w:szCs w:val="28"/>
        </w:rPr>
        <w:drawing>
          <wp:inline distT="0" distB="0" distL="0" distR="0">
            <wp:extent cx="6115050" cy="1847850"/>
            <wp:effectExtent l="0" t="0" r="0" b="0"/>
            <wp:docPr id="26" name="Объект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A1658" w:rsidRDefault="008A1658" w:rsidP="00201A99">
      <w:pPr>
        <w:ind w:firstLine="709"/>
        <w:jc w:val="both"/>
        <w:rPr>
          <w:i/>
          <w:sz w:val="28"/>
          <w:szCs w:val="28"/>
        </w:rPr>
      </w:pPr>
    </w:p>
    <w:p w:rsidR="00201A99" w:rsidRDefault="00201A99" w:rsidP="00201A99">
      <w:pPr>
        <w:ind w:firstLine="709"/>
        <w:jc w:val="both"/>
        <w:rPr>
          <w:sz w:val="28"/>
          <w:szCs w:val="28"/>
        </w:rPr>
      </w:pPr>
      <w:r w:rsidRPr="00201A99">
        <w:rPr>
          <w:i/>
          <w:sz w:val="28"/>
          <w:szCs w:val="28"/>
        </w:rPr>
        <w:t xml:space="preserve">Основная доля платежей с использованием платежных требований-поручений </w:t>
      </w:r>
      <w:r w:rsidRPr="00201A99">
        <w:rPr>
          <w:sz w:val="28"/>
          <w:szCs w:val="28"/>
        </w:rPr>
        <w:t xml:space="preserve">приходится на операции с займами (81,1%), что характеризуется спецификой данного платежного инструмента, используемого в основном для взыскания просроченной задолженности по банковским займам. </w:t>
      </w:r>
    </w:p>
    <w:p w:rsidR="00397207" w:rsidRDefault="00397207" w:rsidP="00201A99">
      <w:pPr>
        <w:jc w:val="center"/>
        <w:rPr>
          <w:b/>
          <w:lang w:val="kk-KZ"/>
        </w:rPr>
      </w:pPr>
    </w:p>
    <w:p w:rsidR="00397207" w:rsidRDefault="00397207" w:rsidP="00201A99">
      <w:pPr>
        <w:jc w:val="center"/>
        <w:rPr>
          <w:b/>
          <w:lang w:val="kk-KZ"/>
        </w:rPr>
      </w:pPr>
    </w:p>
    <w:p w:rsidR="00201A99" w:rsidRDefault="00201A99" w:rsidP="00201A99">
      <w:pPr>
        <w:jc w:val="center"/>
        <w:rPr>
          <w:b/>
        </w:rPr>
      </w:pPr>
      <w:r w:rsidRPr="00D7375C">
        <w:rPr>
          <w:b/>
        </w:rPr>
        <w:lastRenderedPageBreak/>
        <w:t xml:space="preserve">Доля объемов </w:t>
      </w:r>
      <w:r>
        <w:rPr>
          <w:b/>
        </w:rPr>
        <w:t xml:space="preserve">платежей на территории Казахстана, проведенных </w:t>
      </w:r>
    </w:p>
    <w:p w:rsidR="00201A99" w:rsidRDefault="00201A99" w:rsidP="00201A99">
      <w:pPr>
        <w:jc w:val="center"/>
        <w:rPr>
          <w:sz w:val="26"/>
          <w:szCs w:val="26"/>
        </w:rPr>
      </w:pPr>
      <w:r>
        <w:rPr>
          <w:b/>
        </w:rPr>
        <w:t>с использованием платежных требований-поручений</w:t>
      </w:r>
    </w:p>
    <w:p w:rsidR="00C544D8" w:rsidRPr="00C544D8" w:rsidRDefault="0078505F" w:rsidP="00201A99">
      <w:pPr>
        <w:jc w:val="both"/>
        <w:rPr>
          <w:spacing w:val="-4"/>
        </w:rPr>
      </w:pPr>
      <w:r w:rsidRPr="008648F9">
        <w:rPr>
          <w:noProof/>
          <w:sz w:val="28"/>
          <w:szCs w:val="28"/>
        </w:rPr>
        <w:drawing>
          <wp:inline distT="0" distB="0" distL="0" distR="0">
            <wp:extent cx="6115050" cy="1952625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B2CEC" w:rsidRDefault="000B2CEC" w:rsidP="000F2AF8">
      <w:pPr>
        <w:ind w:firstLine="708"/>
        <w:jc w:val="both"/>
        <w:rPr>
          <w:i/>
        </w:rPr>
      </w:pPr>
    </w:p>
    <w:p w:rsidR="00D07617" w:rsidRDefault="00201A99" w:rsidP="00D07617">
      <w:pPr>
        <w:ind w:firstLine="709"/>
        <w:jc w:val="both"/>
        <w:rPr>
          <w:sz w:val="28"/>
          <w:szCs w:val="28"/>
        </w:rPr>
      </w:pPr>
      <w:r w:rsidRPr="00201A99">
        <w:rPr>
          <w:i/>
          <w:sz w:val="28"/>
          <w:szCs w:val="28"/>
        </w:rPr>
        <w:t xml:space="preserve">Прямое дебетование банковского счета </w:t>
      </w:r>
      <w:r w:rsidRPr="00201A99">
        <w:rPr>
          <w:sz w:val="28"/>
          <w:szCs w:val="28"/>
        </w:rPr>
        <w:t>применяется в основном при проведении операций с иностранной валютой и драгоценными металлами (42,6%), ценными бумагами и векселям, выпущенными резидентами РК (28,1</w:t>
      </w:r>
      <w:r>
        <w:rPr>
          <w:sz w:val="28"/>
          <w:szCs w:val="28"/>
        </w:rPr>
        <w:t>%</w:t>
      </w:r>
      <w:r w:rsidRPr="00201A99">
        <w:rPr>
          <w:sz w:val="28"/>
          <w:szCs w:val="28"/>
        </w:rPr>
        <w:t>).</w:t>
      </w:r>
    </w:p>
    <w:p w:rsidR="00397207" w:rsidRDefault="00397207" w:rsidP="00201A99">
      <w:pPr>
        <w:jc w:val="center"/>
        <w:rPr>
          <w:b/>
          <w:lang w:val="kk-KZ"/>
        </w:rPr>
      </w:pPr>
    </w:p>
    <w:p w:rsidR="00201A99" w:rsidRDefault="00201A99" w:rsidP="00201A99">
      <w:pPr>
        <w:jc w:val="center"/>
        <w:rPr>
          <w:b/>
        </w:rPr>
      </w:pPr>
      <w:r w:rsidRPr="00D7375C">
        <w:rPr>
          <w:b/>
        </w:rPr>
        <w:t xml:space="preserve">Доля объемов </w:t>
      </w:r>
      <w:r>
        <w:rPr>
          <w:b/>
        </w:rPr>
        <w:t xml:space="preserve">платежей на территории Казахстана, проведенных </w:t>
      </w:r>
    </w:p>
    <w:p w:rsidR="00201A99" w:rsidRDefault="00201A99" w:rsidP="00201A99">
      <w:pPr>
        <w:jc w:val="center"/>
        <w:rPr>
          <w:sz w:val="26"/>
          <w:szCs w:val="26"/>
        </w:rPr>
      </w:pPr>
      <w:r>
        <w:rPr>
          <w:b/>
        </w:rPr>
        <w:t>с использованием платежных требований-поручений</w:t>
      </w:r>
    </w:p>
    <w:p w:rsidR="000B2CEC" w:rsidRDefault="0078505F" w:rsidP="00201A99">
      <w:pPr>
        <w:ind w:firstLine="708"/>
        <w:jc w:val="both"/>
        <w:rPr>
          <w:i/>
        </w:rPr>
      </w:pPr>
      <w:r w:rsidRPr="008648F9">
        <w:rPr>
          <w:noProof/>
          <w:sz w:val="28"/>
          <w:szCs w:val="28"/>
        </w:rPr>
        <w:drawing>
          <wp:inline distT="0" distB="0" distL="0" distR="0">
            <wp:extent cx="6115050" cy="1952625"/>
            <wp:effectExtent l="0" t="0" r="0" b="0"/>
            <wp:docPr id="28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sectPr w:rsidR="000B2CEC" w:rsidSect="00D07617">
      <w:headerReference w:type="default" r:id="rId38"/>
      <w:endnotePr>
        <w:numFmt w:val="decimal"/>
      </w:endnotePr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8F" w:rsidRDefault="00992E8F">
      <w:r>
        <w:separator/>
      </w:r>
    </w:p>
  </w:endnote>
  <w:endnote w:type="continuationSeparator" w:id="0">
    <w:p w:rsidR="00992E8F" w:rsidRDefault="0099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8F" w:rsidRDefault="00992E8F">
      <w:r>
        <w:separator/>
      </w:r>
    </w:p>
  </w:footnote>
  <w:footnote w:type="continuationSeparator" w:id="0">
    <w:p w:rsidR="00992E8F" w:rsidRDefault="00992E8F">
      <w:r>
        <w:continuationSeparator/>
      </w:r>
    </w:p>
  </w:footnote>
  <w:footnote w:id="1">
    <w:p w:rsidR="0094568A" w:rsidRPr="00FF0494" w:rsidRDefault="0094568A" w:rsidP="000B7D74">
      <w:pPr>
        <w:pStyle w:val="a8"/>
        <w:tabs>
          <w:tab w:val="left" w:pos="851"/>
          <w:tab w:val="left" w:pos="993"/>
        </w:tabs>
        <w:spacing w:line="216" w:lineRule="auto"/>
        <w:ind w:firstLine="709"/>
        <w:jc w:val="both"/>
        <w:rPr>
          <w:sz w:val="18"/>
          <w:szCs w:val="18"/>
        </w:rPr>
      </w:pPr>
      <w:r w:rsidRPr="00FF0494">
        <w:rPr>
          <w:rStyle w:val="aa"/>
          <w:sz w:val="18"/>
          <w:szCs w:val="18"/>
        </w:rPr>
        <w:footnoteRef/>
      </w:r>
      <w:r w:rsidRPr="00FF0494">
        <w:rPr>
          <w:sz w:val="18"/>
          <w:szCs w:val="18"/>
        </w:rPr>
        <w:t xml:space="preserve"> При выборе данных по отправленным из Казахстан за рубеж платежам и переводам денег использовались следующие сведения:</w:t>
      </w:r>
    </w:p>
    <w:p w:rsidR="0094568A" w:rsidRPr="00FF0494" w:rsidRDefault="0094568A" w:rsidP="000B7D74">
      <w:pPr>
        <w:pStyle w:val="a8"/>
        <w:numPr>
          <w:ilvl w:val="0"/>
          <w:numId w:val="8"/>
        </w:numPr>
        <w:tabs>
          <w:tab w:val="clear" w:pos="720"/>
          <w:tab w:val="num" w:pos="0"/>
          <w:tab w:val="left" w:pos="851"/>
          <w:tab w:val="left" w:pos="993"/>
        </w:tabs>
        <w:spacing w:line="216" w:lineRule="auto"/>
        <w:ind w:left="0" w:firstLine="709"/>
        <w:jc w:val="both"/>
        <w:rPr>
          <w:sz w:val="18"/>
          <w:szCs w:val="18"/>
        </w:rPr>
      </w:pPr>
      <w:r w:rsidRPr="00FF0494">
        <w:rPr>
          <w:sz w:val="18"/>
          <w:szCs w:val="18"/>
        </w:rPr>
        <w:t>платежи и переводы денег, направленные за рубеж из Казахстана через корреспондентские счета банков ностро и лоро, а также через системы международных денежных переводов;</w:t>
      </w:r>
    </w:p>
    <w:p w:rsidR="0094568A" w:rsidRPr="00FF0494" w:rsidRDefault="0094568A" w:rsidP="000B7D74">
      <w:pPr>
        <w:pStyle w:val="a8"/>
        <w:numPr>
          <w:ilvl w:val="0"/>
          <w:numId w:val="8"/>
        </w:numPr>
        <w:tabs>
          <w:tab w:val="clear" w:pos="720"/>
          <w:tab w:val="num" w:pos="0"/>
          <w:tab w:val="left" w:pos="851"/>
          <w:tab w:val="left" w:pos="993"/>
        </w:tabs>
        <w:spacing w:line="216" w:lineRule="auto"/>
        <w:ind w:left="0" w:firstLine="709"/>
        <w:jc w:val="both"/>
        <w:rPr>
          <w:sz w:val="18"/>
          <w:szCs w:val="18"/>
        </w:rPr>
      </w:pPr>
      <w:r w:rsidRPr="00FF0494">
        <w:rPr>
          <w:sz w:val="18"/>
          <w:szCs w:val="18"/>
        </w:rPr>
        <w:t>отправитель денег: признак резидентства – резидент или нерезидент, сектор экономики 9 «Домашние хозяйства» (институциональные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потребляющие определенные виды товаров и услуг), куда включены физические лица и индивидуальные предприниматели;</w:t>
      </w:r>
    </w:p>
    <w:p w:rsidR="0094568A" w:rsidRPr="00FF0494" w:rsidRDefault="0094568A" w:rsidP="000B7D74">
      <w:pPr>
        <w:pStyle w:val="a8"/>
        <w:numPr>
          <w:ilvl w:val="0"/>
          <w:numId w:val="8"/>
        </w:numPr>
        <w:tabs>
          <w:tab w:val="clear" w:pos="720"/>
          <w:tab w:val="num" w:pos="0"/>
          <w:tab w:val="left" w:pos="851"/>
          <w:tab w:val="left" w:pos="993"/>
        </w:tabs>
        <w:spacing w:line="216" w:lineRule="auto"/>
        <w:ind w:left="0" w:firstLine="709"/>
        <w:jc w:val="both"/>
        <w:rPr>
          <w:sz w:val="18"/>
          <w:szCs w:val="18"/>
        </w:rPr>
      </w:pPr>
      <w:r w:rsidRPr="00FF0494">
        <w:rPr>
          <w:sz w:val="18"/>
          <w:szCs w:val="18"/>
        </w:rPr>
        <w:t>страна бенефициара (резидентства получателя денег) – все.</w:t>
      </w:r>
    </w:p>
    <w:p w:rsidR="0094568A" w:rsidRDefault="0094568A" w:rsidP="000B7D74">
      <w:pPr>
        <w:pStyle w:val="a8"/>
        <w:numPr>
          <w:ilvl w:val="0"/>
          <w:numId w:val="8"/>
        </w:numPr>
        <w:tabs>
          <w:tab w:val="clear" w:pos="720"/>
          <w:tab w:val="num" w:pos="0"/>
          <w:tab w:val="left" w:pos="851"/>
          <w:tab w:val="left" w:pos="993"/>
        </w:tabs>
        <w:spacing w:line="216" w:lineRule="auto"/>
        <w:ind w:left="0" w:firstLine="709"/>
        <w:jc w:val="both"/>
      </w:pPr>
      <w:r w:rsidRPr="00886DE3">
        <w:rPr>
          <w:sz w:val="18"/>
          <w:szCs w:val="18"/>
        </w:rPr>
        <w:t xml:space="preserve">бенефициар (получатель денег): признак резидентства – резидент или нерезидент, все физические и юридические лица за рубежом. </w:t>
      </w:r>
    </w:p>
  </w:footnote>
  <w:footnote w:id="2">
    <w:p w:rsidR="0094568A" w:rsidRDefault="0094568A" w:rsidP="00EF6866">
      <w:pPr>
        <w:pStyle w:val="a8"/>
        <w:ind w:firstLine="709"/>
      </w:pPr>
      <w:r>
        <w:rPr>
          <w:rStyle w:val="aa"/>
        </w:rPr>
        <w:footnoteRef/>
      </w:r>
      <w:r>
        <w:t xml:space="preserve"> За исключением переводов на лечение и образование.</w:t>
      </w:r>
    </w:p>
  </w:footnote>
  <w:footnote w:id="3">
    <w:p w:rsidR="0094568A" w:rsidRDefault="0094568A" w:rsidP="00147052">
      <w:pPr>
        <w:pStyle w:val="a8"/>
      </w:pPr>
      <w:r>
        <w:rPr>
          <w:rStyle w:val="aa"/>
        </w:rPr>
        <w:footnoteRef/>
      </w:r>
      <w:r>
        <w:t>Прочие платежи по разделу специфические переводы, в том числе, по возвратам переводов денег.</w:t>
      </w:r>
    </w:p>
  </w:footnote>
  <w:footnote w:id="4">
    <w:p w:rsidR="0094568A" w:rsidRDefault="0094568A" w:rsidP="00927B2D">
      <w:pPr>
        <w:pStyle w:val="a8"/>
        <w:ind w:firstLine="709"/>
      </w:pPr>
      <w:r>
        <w:rPr>
          <w:rStyle w:val="aa"/>
        </w:rPr>
        <w:footnoteRef/>
      </w:r>
      <w:r>
        <w:t xml:space="preserve"> За исключением переводов на лечение и образование.</w:t>
      </w:r>
    </w:p>
  </w:footnote>
  <w:footnote w:id="5">
    <w:p w:rsidR="0094568A" w:rsidRDefault="0094568A" w:rsidP="00927B2D">
      <w:pPr>
        <w:pStyle w:val="a8"/>
      </w:pPr>
      <w:r>
        <w:rPr>
          <w:rStyle w:val="aa"/>
        </w:rPr>
        <w:footnoteRef/>
      </w:r>
      <w:r>
        <w:t>Прочие платежи по разделу специфические переводы, в том числе, по возвратам переводов денег.</w:t>
      </w:r>
    </w:p>
  </w:footnote>
  <w:footnote w:id="6">
    <w:p w:rsidR="0094568A" w:rsidRDefault="0094568A" w:rsidP="00241101">
      <w:pPr>
        <w:pStyle w:val="a8"/>
      </w:pPr>
      <w:r>
        <w:rPr>
          <w:rStyle w:val="aa"/>
        </w:rPr>
        <w:footnoteRef/>
      </w:r>
      <w:r>
        <w:t>Прочие платежи по разделу специфические переводы, в том числе, по возвратам переводов денег.</w:t>
      </w:r>
    </w:p>
  </w:footnote>
  <w:footnote w:id="7">
    <w:p w:rsidR="0094568A" w:rsidRDefault="0094568A">
      <w:pPr>
        <w:pStyle w:val="a8"/>
      </w:pPr>
      <w:r>
        <w:rPr>
          <w:rStyle w:val="aa"/>
        </w:rPr>
        <w:footnoteRef/>
      </w:r>
      <w:r>
        <w:t xml:space="preserve"> В том числе, на основании платежных ордеров и извещений.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68A" w:rsidRDefault="0094568A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78505F">
      <w:rPr>
        <w:noProof/>
      </w:rPr>
      <w:t>1</w:t>
    </w:r>
    <w:r>
      <w:fldChar w:fldCharType="end"/>
    </w:r>
  </w:p>
  <w:p w:rsidR="0094568A" w:rsidRDefault="0094568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80E"/>
    <w:multiLevelType w:val="multilevel"/>
    <w:tmpl w:val="215A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5D19"/>
    <w:multiLevelType w:val="hybridMultilevel"/>
    <w:tmpl w:val="A6D842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1422B"/>
    <w:multiLevelType w:val="hybridMultilevel"/>
    <w:tmpl w:val="7E2CE85E"/>
    <w:lvl w:ilvl="0" w:tplc="38A45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36746"/>
    <w:multiLevelType w:val="multilevel"/>
    <w:tmpl w:val="817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62916"/>
    <w:multiLevelType w:val="hybridMultilevel"/>
    <w:tmpl w:val="8AE4B7EC"/>
    <w:lvl w:ilvl="0" w:tplc="FA400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E437A3"/>
    <w:multiLevelType w:val="hybridMultilevel"/>
    <w:tmpl w:val="9138AC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C7491"/>
    <w:multiLevelType w:val="multilevel"/>
    <w:tmpl w:val="7934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37136"/>
    <w:multiLevelType w:val="hybridMultilevel"/>
    <w:tmpl w:val="EC840D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78"/>
    <w:rsid w:val="000009C0"/>
    <w:rsid w:val="00000AC8"/>
    <w:rsid w:val="00002687"/>
    <w:rsid w:val="0000272D"/>
    <w:rsid w:val="00002C64"/>
    <w:rsid w:val="00004377"/>
    <w:rsid w:val="00004D28"/>
    <w:rsid w:val="00004E7F"/>
    <w:rsid w:val="000062BD"/>
    <w:rsid w:val="0000692D"/>
    <w:rsid w:val="00006EC8"/>
    <w:rsid w:val="0000777C"/>
    <w:rsid w:val="000115F4"/>
    <w:rsid w:val="00011D1E"/>
    <w:rsid w:val="000137BB"/>
    <w:rsid w:val="00013BC6"/>
    <w:rsid w:val="000142E9"/>
    <w:rsid w:val="00015092"/>
    <w:rsid w:val="00015CFE"/>
    <w:rsid w:val="00015F60"/>
    <w:rsid w:val="00017DB2"/>
    <w:rsid w:val="000203DF"/>
    <w:rsid w:val="00022C23"/>
    <w:rsid w:val="00023195"/>
    <w:rsid w:val="00024ABC"/>
    <w:rsid w:val="000252DA"/>
    <w:rsid w:val="000257AA"/>
    <w:rsid w:val="00027E7C"/>
    <w:rsid w:val="0003038E"/>
    <w:rsid w:val="000315FE"/>
    <w:rsid w:val="00031D31"/>
    <w:rsid w:val="00032554"/>
    <w:rsid w:val="00033FF5"/>
    <w:rsid w:val="000342C0"/>
    <w:rsid w:val="0003621A"/>
    <w:rsid w:val="0003641A"/>
    <w:rsid w:val="00036FA9"/>
    <w:rsid w:val="0003724F"/>
    <w:rsid w:val="00041318"/>
    <w:rsid w:val="00042CF7"/>
    <w:rsid w:val="00043B9A"/>
    <w:rsid w:val="00043D3C"/>
    <w:rsid w:val="00044361"/>
    <w:rsid w:val="00045408"/>
    <w:rsid w:val="00045C47"/>
    <w:rsid w:val="00046AB8"/>
    <w:rsid w:val="000478AA"/>
    <w:rsid w:val="00047C51"/>
    <w:rsid w:val="00052E4C"/>
    <w:rsid w:val="00053E57"/>
    <w:rsid w:val="00057F38"/>
    <w:rsid w:val="00060092"/>
    <w:rsid w:val="00060245"/>
    <w:rsid w:val="00060248"/>
    <w:rsid w:val="00060439"/>
    <w:rsid w:val="00061D74"/>
    <w:rsid w:val="0006572F"/>
    <w:rsid w:val="000668BC"/>
    <w:rsid w:val="000670AA"/>
    <w:rsid w:val="00072FAD"/>
    <w:rsid w:val="00073D5D"/>
    <w:rsid w:val="00077766"/>
    <w:rsid w:val="00077A32"/>
    <w:rsid w:val="00080A75"/>
    <w:rsid w:val="00081C99"/>
    <w:rsid w:val="000829B0"/>
    <w:rsid w:val="00082A22"/>
    <w:rsid w:val="0008322B"/>
    <w:rsid w:val="00083864"/>
    <w:rsid w:val="00083AF1"/>
    <w:rsid w:val="00083F4C"/>
    <w:rsid w:val="00084AA1"/>
    <w:rsid w:val="00084E7F"/>
    <w:rsid w:val="00086857"/>
    <w:rsid w:val="00087F30"/>
    <w:rsid w:val="0009037B"/>
    <w:rsid w:val="000906AF"/>
    <w:rsid w:val="00090AEB"/>
    <w:rsid w:val="0009139C"/>
    <w:rsid w:val="000927AC"/>
    <w:rsid w:val="00093192"/>
    <w:rsid w:val="000935F0"/>
    <w:rsid w:val="00096726"/>
    <w:rsid w:val="000969BF"/>
    <w:rsid w:val="0009753B"/>
    <w:rsid w:val="00097A13"/>
    <w:rsid w:val="000A1542"/>
    <w:rsid w:val="000A1CFC"/>
    <w:rsid w:val="000A1D91"/>
    <w:rsid w:val="000A272F"/>
    <w:rsid w:val="000A6740"/>
    <w:rsid w:val="000A6985"/>
    <w:rsid w:val="000A7289"/>
    <w:rsid w:val="000A7C3F"/>
    <w:rsid w:val="000B2CEC"/>
    <w:rsid w:val="000B3D21"/>
    <w:rsid w:val="000B40A7"/>
    <w:rsid w:val="000B4EED"/>
    <w:rsid w:val="000B5FED"/>
    <w:rsid w:val="000B637C"/>
    <w:rsid w:val="000B6402"/>
    <w:rsid w:val="000B6D00"/>
    <w:rsid w:val="000B7D74"/>
    <w:rsid w:val="000C1868"/>
    <w:rsid w:val="000C41AB"/>
    <w:rsid w:val="000C5573"/>
    <w:rsid w:val="000C6620"/>
    <w:rsid w:val="000C7941"/>
    <w:rsid w:val="000C7A5D"/>
    <w:rsid w:val="000C7A6C"/>
    <w:rsid w:val="000D0008"/>
    <w:rsid w:val="000D097B"/>
    <w:rsid w:val="000D0A75"/>
    <w:rsid w:val="000D1CED"/>
    <w:rsid w:val="000D620F"/>
    <w:rsid w:val="000D735E"/>
    <w:rsid w:val="000E1A70"/>
    <w:rsid w:val="000E2D87"/>
    <w:rsid w:val="000E2F74"/>
    <w:rsid w:val="000E3A1B"/>
    <w:rsid w:val="000E3A50"/>
    <w:rsid w:val="000E5F16"/>
    <w:rsid w:val="000E6550"/>
    <w:rsid w:val="000F0D33"/>
    <w:rsid w:val="000F123B"/>
    <w:rsid w:val="000F1E61"/>
    <w:rsid w:val="000F2039"/>
    <w:rsid w:val="000F2AF8"/>
    <w:rsid w:val="000F2B79"/>
    <w:rsid w:val="000F54DB"/>
    <w:rsid w:val="000F5F8B"/>
    <w:rsid w:val="000F7ED1"/>
    <w:rsid w:val="001003C4"/>
    <w:rsid w:val="00100EFB"/>
    <w:rsid w:val="00102149"/>
    <w:rsid w:val="00102591"/>
    <w:rsid w:val="0010271A"/>
    <w:rsid w:val="0010280A"/>
    <w:rsid w:val="00104247"/>
    <w:rsid w:val="00104523"/>
    <w:rsid w:val="0010624B"/>
    <w:rsid w:val="00106F79"/>
    <w:rsid w:val="00107219"/>
    <w:rsid w:val="0010743D"/>
    <w:rsid w:val="00107706"/>
    <w:rsid w:val="001107D7"/>
    <w:rsid w:val="00113110"/>
    <w:rsid w:val="001132D2"/>
    <w:rsid w:val="0011406F"/>
    <w:rsid w:val="001142F1"/>
    <w:rsid w:val="0011431A"/>
    <w:rsid w:val="00116627"/>
    <w:rsid w:val="00116729"/>
    <w:rsid w:val="0012076B"/>
    <w:rsid w:val="00122C65"/>
    <w:rsid w:val="00123332"/>
    <w:rsid w:val="00123FF5"/>
    <w:rsid w:val="0012425D"/>
    <w:rsid w:val="00125DAE"/>
    <w:rsid w:val="00126319"/>
    <w:rsid w:val="00130DB2"/>
    <w:rsid w:val="001322FE"/>
    <w:rsid w:val="00135BAE"/>
    <w:rsid w:val="00135DC4"/>
    <w:rsid w:val="001425D7"/>
    <w:rsid w:val="00143F54"/>
    <w:rsid w:val="0014576E"/>
    <w:rsid w:val="00145DAB"/>
    <w:rsid w:val="001462D9"/>
    <w:rsid w:val="00146C7C"/>
    <w:rsid w:val="00146CDB"/>
    <w:rsid w:val="00147052"/>
    <w:rsid w:val="00147AC1"/>
    <w:rsid w:val="00151940"/>
    <w:rsid w:val="001521A5"/>
    <w:rsid w:val="001546C6"/>
    <w:rsid w:val="00156684"/>
    <w:rsid w:val="00156A0E"/>
    <w:rsid w:val="001615BF"/>
    <w:rsid w:val="001616C1"/>
    <w:rsid w:val="0016265E"/>
    <w:rsid w:val="00164DDB"/>
    <w:rsid w:val="00165958"/>
    <w:rsid w:val="0016617B"/>
    <w:rsid w:val="0017012D"/>
    <w:rsid w:val="00172829"/>
    <w:rsid w:val="001750A9"/>
    <w:rsid w:val="001777D4"/>
    <w:rsid w:val="00180B3D"/>
    <w:rsid w:val="00181392"/>
    <w:rsid w:val="0018152B"/>
    <w:rsid w:val="001820AE"/>
    <w:rsid w:val="001831D8"/>
    <w:rsid w:val="00183D68"/>
    <w:rsid w:val="00192887"/>
    <w:rsid w:val="00192B06"/>
    <w:rsid w:val="00192FF9"/>
    <w:rsid w:val="00193202"/>
    <w:rsid w:val="0019333B"/>
    <w:rsid w:val="001938C5"/>
    <w:rsid w:val="00194359"/>
    <w:rsid w:val="001961F1"/>
    <w:rsid w:val="00196BD5"/>
    <w:rsid w:val="001971B1"/>
    <w:rsid w:val="00197238"/>
    <w:rsid w:val="001A0705"/>
    <w:rsid w:val="001A0977"/>
    <w:rsid w:val="001A17ED"/>
    <w:rsid w:val="001A18BB"/>
    <w:rsid w:val="001A19DB"/>
    <w:rsid w:val="001A31DA"/>
    <w:rsid w:val="001A32D7"/>
    <w:rsid w:val="001A495B"/>
    <w:rsid w:val="001A518A"/>
    <w:rsid w:val="001A5814"/>
    <w:rsid w:val="001A5BCB"/>
    <w:rsid w:val="001A64CC"/>
    <w:rsid w:val="001A7CF9"/>
    <w:rsid w:val="001B045B"/>
    <w:rsid w:val="001B0E05"/>
    <w:rsid w:val="001B1E71"/>
    <w:rsid w:val="001B27AE"/>
    <w:rsid w:val="001B511E"/>
    <w:rsid w:val="001B62FB"/>
    <w:rsid w:val="001B6D3A"/>
    <w:rsid w:val="001B716D"/>
    <w:rsid w:val="001C099D"/>
    <w:rsid w:val="001C1C2E"/>
    <w:rsid w:val="001C209C"/>
    <w:rsid w:val="001C2706"/>
    <w:rsid w:val="001C2971"/>
    <w:rsid w:val="001C3420"/>
    <w:rsid w:val="001C5E2C"/>
    <w:rsid w:val="001C7D3E"/>
    <w:rsid w:val="001D081B"/>
    <w:rsid w:val="001D132C"/>
    <w:rsid w:val="001D1ACE"/>
    <w:rsid w:val="001D1D08"/>
    <w:rsid w:val="001D2D60"/>
    <w:rsid w:val="001D3838"/>
    <w:rsid w:val="001D64A4"/>
    <w:rsid w:val="001D6BAE"/>
    <w:rsid w:val="001D74C7"/>
    <w:rsid w:val="001D7C53"/>
    <w:rsid w:val="001E39C6"/>
    <w:rsid w:val="001E3ED9"/>
    <w:rsid w:val="001E42BA"/>
    <w:rsid w:val="001E5B42"/>
    <w:rsid w:val="001E7CC8"/>
    <w:rsid w:val="001F0313"/>
    <w:rsid w:val="001F1DAD"/>
    <w:rsid w:val="001F211D"/>
    <w:rsid w:val="001F2683"/>
    <w:rsid w:val="001F3F51"/>
    <w:rsid w:val="001F402A"/>
    <w:rsid w:val="001F4639"/>
    <w:rsid w:val="001F4AEA"/>
    <w:rsid w:val="001F57CD"/>
    <w:rsid w:val="001F5C6C"/>
    <w:rsid w:val="00201A99"/>
    <w:rsid w:val="00201CD1"/>
    <w:rsid w:val="00202D6F"/>
    <w:rsid w:val="002048A0"/>
    <w:rsid w:val="00204B87"/>
    <w:rsid w:val="002055E8"/>
    <w:rsid w:val="00205745"/>
    <w:rsid w:val="0020632D"/>
    <w:rsid w:val="0020649E"/>
    <w:rsid w:val="00207316"/>
    <w:rsid w:val="002119C1"/>
    <w:rsid w:val="002125FE"/>
    <w:rsid w:val="00212F66"/>
    <w:rsid w:val="00212FE6"/>
    <w:rsid w:val="00215469"/>
    <w:rsid w:val="002169FF"/>
    <w:rsid w:val="0021703F"/>
    <w:rsid w:val="00217150"/>
    <w:rsid w:val="00217C27"/>
    <w:rsid w:val="0022292A"/>
    <w:rsid w:val="0022367C"/>
    <w:rsid w:val="0022373D"/>
    <w:rsid w:val="00223BBA"/>
    <w:rsid w:val="00224C56"/>
    <w:rsid w:val="00225912"/>
    <w:rsid w:val="00225CB8"/>
    <w:rsid w:val="00230D42"/>
    <w:rsid w:val="002321BC"/>
    <w:rsid w:val="00234429"/>
    <w:rsid w:val="0023452C"/>
    <w:rsid w:val="0023622C"/>
    <w:rsid w:val="00236AD5"/>
    <w:rsid w:val="00241101"/>
    <w:rsid w:val="002428E4"/>
    <w:rsid w:val="00242B57"/>
    <w:rsid w:val="0024558B"/>
    <w:rsid w:val="00246DD9"/>
    <w:rsid w:val="00247428"/>
    <w:rsid w:val="002474CE"/>
    <w:rsid w:val="00250941"/>
    <w:rsid w:val="00250FD3"/>
    <w:rsid w:val="00251A51"/>
    <w:rsid w:val="00251B68"/>
    <w:rsid w:val="00251C9E"/>
    <w:rsid w:val="00253143"/>
    <w:rsid w:val="0025573E"/>
    <w:rsid w:val="00255ADE"/>
    <w:rsid w:val="00256C3D"/>
    <w:rsid w:val="00257A78"/>
    <w:rsid w:val="002603DF"/>
    <w:rsid w:val="0026086F"/>
    <w:rsid w:val="00267DEE"/>
    <w:rsid w:val="00270825"/>
    <w:rsid w:val="00273A65"/>
    <w:rsid w:val="00273C05"/>
    <w:rsid w:val="00274DAE"/>
    <w:rsid w:val="00276E91"/>
    <w:rsid w:val="0028133E"/>
    <w:rsid w:val="002820DE"/>
    <w:rsid w:val="0028217C"/>
    <w:rsid w:val="00282BD4"/>
    <w:rsid w:val="002830DF"/>
    <w:rsid w:val="00283484"/>
    <w:rsid w:val="0028376C"/>
    <w:rsid w:val="002838A7"/>
    <w:rsid w:val="00283AC0"/>
    <w:rsid w:val="002840CD"/>
    <w:rsid w:val="00284302"/>
    <w:rsid w:val="00284641"/>
    <w:rsid w:val="0028608C"/>
    <w:rsid w:val="002863CF"/>
    <w:rsid w:val="00286E83"/>
    <w:rsid w:val="00286F2C"/>
    <w:rsid w:val="00287885"/>
    <w:rsid w:val="00290409"/>
    <w:rsid w:val="002907BC"/>
    <w:rsid w:val="00290DD4"/>
    <w:rsid w:val="00291E43"/>
    <w:rsid w:val="00293289"/>
    <w:rsid w:val="00293708"/>
    <w:rsid w:val="00293734"/>
    <w:rsid w:val="0029386E"/>
    <w:rsid w:val="00293C31"/>
    <w:rsid w:val="00295F4A"/>
    <w:rsid w:val="00297141"/>
    <w:rsid w:val="002A1136"/>
    <w:rsid w:val="002A1A54"/>
    <w:rsid w:val="002A48CA"/>
    <w:rsid w:val="002A58ED"/>
    <w:rsid w:val="002A5C5F"/>
    <w:rsid w:val="002A709A"/>
    <w:rsid w:val="002A7498"/>
    <w:rsid w:val="002A7B17"/>
    <w:rsid w:val="002A7C5E"/>
    <w:rsid w:val="002B0539"/>
    <w:rsid w:val="002B0AE5"/>
    <w:rsid w:val="002B0FCF"/>
    <w:rsid w:val="002B15B3"/>
    <w:rsid w:val="002B1AD7"/>
    <w:rsid w:val="002B22B6"/>
    <w:rsid w:val="002B3478"/>
    <w:rsid w:val="002B3D09"/>
    <w:rsid w:val="002B692B"/>
    <w:rsid w:val="002B7130"/>
    <w:rsid w:val="002C154E"/>
    <w:rsid w:val="002C1F59"/>
    <w:rsid w:val="002C257A"/>
    <w:rsid w:val="002C4A90"/>
    <w:rsid w:val="002C4C7D"/>
    <w:rsid w:val="002C525A"/>
    <w:rsid w:val="002D16B4"/>
    <w:rsid w:val="002D1959"/>
    <w:rsid w:val="002D2AA4"/>
    <w:rsid w:val="002D2BCD"/>
    <w:rsid w:val="002D3053"/>
    <w:rsid w:val="002D3635"/>
    <w:rsid w:val="002D4217"/>
    <w:rsid w:val="002D4F72"/>
    <w:rsid w:val="002D5C9C"/>
    <w:rsid w:val="002E04E7"/>
    <w:rsid w:val="002E1091"/>
    <w:rsid w:val="002E3BBF"/>
    <w:rsid w:val="002F091E"/>
    <w:rsid w:val="002F3F9F"/>
    <w:rsid w:val="002F4CA8"/>
    <w:rsid w:val="002F5A1B"/>
    <w:rsid w:val="002F5C91"/>
    <w:rsid w:val="002F5F6A"/>
    <w:rsid w:val="0030296B"/>
    <w:rsid w:val="003031E3"/>
    <w:rsid w:val="0030343C"/>
    <w:rsid w:val="00304CA3"/>
    <w:rsid w:val="003067B0"/>
    <w:rsid w:val="00310264"/>
    <w:rsid w:val="00310CD2"/>
    <w:rsid w:val="003121E1"/>
    <w:rsid w:val="00316E88"/>
    <w:rsid w:val="00320133"/>
    <w:rsid w:val="0032041D"/>
    <w:rsid w:val="00320B76"/>
    <w:rsid w:val="00320BD6"/>
    <w:rsid w:val="003214FD"/>
    <w:rsid w:val="00321F8E"/>
    <w:rsid w:val="003220E6"/>
    <w:rsid w:val="00324070"/>
    <w:rsid w:val="00325533"/>
    <w:rsid w:val="00326DF8"/>
    <w:rsid w:val="0032738D"/>
    <w:rsid w:val="00330063"/>
    <w:rsid w:val="00330C4C"/>
    <w:rsid w:val="00330DC8"/>
    <w:rsid w:val="003328BB"/>
    <w:rsid w:val="003342C2"/>
    <w:rsid w:val="00336D1D"/>
    <w:rsid w:val="00337BF2"/>
    <w:rsid w:val="003435D4"/>
    <w:rsid w:val="00343E87"/>
    <w:rsid w:val="00345A2C"/>
    <w:rsid w:val="00345D09"/>
    <w:rsid w:val="00346794"/>
    <w:rsid w:val="00347FE1"/>
    <w:rsid w:val="00351A29"/>
    <w:rsid w:val="00353343"/>
    <w:rsid w:val="003534FE"/>
    <w:rsid w:val="00354B3D"/>
    <w:rsid w:val="00354BD2"/>
    <w:rsid w:val="00355AC4"/>
    <w:rsid w:val="003561BB"/>
    <w:rsid w:val="0035621E"/>
    <w:rsid w:val="00362782"/>
    <w:rsid w:val="00362928"/>
    <w:rsid w:val="00363BCE"/>
    <w:rsid w:val="003670D7"/>
    <w:rsid w:val="0037199E"/>
    <w:rsid w:val="00371D91"/>
    <w:rsid w:val="00372D61"/>
    <w:rsid w:val="00373BC5"/>
    <w:rsid w:val="003746E4"/>
    <w:rsid w:val="003752E9"/>
    <w:rsid w:val="00375A1D"/>
    <w:rsid w:val="00376C36"/>
    <w:rsid w:val="003817D5"/>
    <w:rsid w:val="00381AD3"/>
    <w:rsid w:val="00382349"/>
    <w:rsid w:val="00382A25"/>
    <w:rsid w:val="003835F3"/>
    <w:rsid w:val="00383B08"/>
    <w:rsid w:val="003844EE"/>
    <w:rsid w:val="003863E6"/>
    <w:rsid w:val="00387FDB"/>
    <w:rsid w:val="00390137"/>
    <w:rsid w:val="00390A2B"/>
    <w:rsid w:val="003950ED"/>
    <w:rsid w:val="00396EB8"/>
    <w:rsid w:val="00397207"/>
    <w:rsid w:val="00397475"/>
    <w:rsid w:val="003974B9"/>
    <w:rsid w:val="003A1BF7"/>
    <w:rsid w:val="003A2A11"/>
    <w:rsid w:val="003A2A78"/>
    <w:rsid w:val="003A326D"/>
    <w:rsid w:val="003A4246"/>
    <w:rsid w:val="003A43F7"/>
    <w:rsid w:val="003A4C42"/>
    <w:rsid w:val="003B039A"/>
    <w:rsid w:val="003B04E6"/>
    <w:rsid w:val="003B0784"/>
    <w:rsid w:val="003B318C"/>
    <w:rsid w:val="003B45A6"/>
    <w:rsid w:val="003B490F"/>
    <w:rsid w:val="003B4996"/>
    <w:rsid w:val="003B4D3E"/>
    <w:rsid w:val="003B4FEF"/>
    <w:rsid w:val="003B5252"/>
    <w:rsid w:val="003B5530"/>
    <w:rsid w:val="003B5A9A"/>
    <w:rsid w:val="003B5D80"/>
    <w:rsid w:val="003C1FA0"/>
    <w:rsid w:val="003C2057"/>
    <w:rsid w:val="003C46F1"/>
    <w:rsid w:val="003C4947"/>
    <w:rsid w:val="003C4B8F"/>
    <w:rsid w:val="003C4E17"/>
    <w:rsid w:val="003C5022"/>
    <w:rsid w:val="003C5D1A"/>
    <w:rsid w:val="003C6527"/>
    <w:rsid w:val="003C749B"/>
    <w:rsid w:val="003C7D95"/>
    <w:rsid w:val="003D0B5C"/>
    <w:rsid w:val="003D25F4"/>
    <w:rsid w:val="003D3183"/>
    <w:rsid w:val="003D32F8"/>
    <w:rsid w:val="003D40DA"/>
    <w:rsid w:val="003D41C3"/>
    <w:rsid w:val="003E0597"/>
    <w:rsid w:val="003E1FDF"/>
    <w:rsid w:val="003E24A2"/>
    <w:rsid w:val="003E3ABD"/>
    <w:rsid w:val="003E3B6E"/>
    <w:rsid w:val="003E41E9"/>
    <w:rsid w:val="003E6586"/>
    <w:rsid w:val="003E77C3"/>
    <w:rsid w:val="003F1F52"/>
    <w:rsid w:val="003F2E81"/>
    <w:rsid w:val="003F3907"/>
    <w:rsid w:val="003F3C64"/>
    <w:rsid w:val="003F6A24"/>
    <w:rsid w:val="003F7A90"/>
    <w:rsid w:val="004003D6"/>
    <w:rsid w:val="00403995"/>
    <w:rsid w:val="00403B2E"/>
    <w:rsid w:val="004055BD"/>
    <w:rsid w:val="00405D47"/>
    <w:rsid w:val="004060A2"/>
    <w:rsid w:val="0041036A"/>
    <w:rsid w:val="00410371"/>
    <w:rsid w:val="004105FD"/>
    <w:rsid w:val="00410D0A"/>
    <w:rsid w:val="0041140E"/>
    <w:rsid w:val="004118CE"/>
    <w:rsid w:val="00412C58"/>
    <w:rsid w:val="00412D1D"/>
    <w:rsid w:val="004166B2"/>
    <w:rsid w:val="00416845"/>
    <w:rsid w:val="00420BB7"/>
    <w:rsid w:val="00421DBD"/>
    <w:rsid w:val="004224BB"/>
    <w:rsid w:val="004241EA"/>
    <w:rsid w:val="00425A8F"/>
    <w:rsid w:val="00426A45"/>
    <w:rsid w:val="004275EB"/>
    <w:rsid w:val="0042789C"/>
    <w:rsid w:val="00427CA6"/>
    <w:rsid w:val="00427D3F"/>
    <w:rsid w:val="00427DF8"/>
    <w:rsid w:val="00430990"/>
    <w:rsid w:val="0043143E"/>
    <w:rsid w:val="00433A80"/>
    <w:rsid w:val="00436018"/>
    <w:rsid w:val="00436C22"/>
    <w:rsid w:val="004418EB"/>
    <w:rsid w:val="00442073"/>
    <w:rsid w:val="00442BA4"/>
    <w:rsid w:val="00443DF7"/>
    <w:rsid w:val="00444B70"/>
    <w:rsid w:val="00445298"/>
    <w:rsid w:val="00445B5F"/>
    <w:rsid w:val="004470B8"/>
    <w:rsid w:val="0045099F"/>
    <w:rsid w:val="004526A9"/>
    <w:rsid w:val="00452D48"/>
    <w:rsid w:val="00453243"/>
    <w:rsid w:val="00453885"/>
    <w:rsid w:val="00454261"/>
    <w:rsid w:val="00455556"/>
    <w:rsid w:val="00455F32"/>
    <w:rsid w:val="00456C7B"/>
    <w:rsid w:val="004570F1"/>
    <w:rsid w:val="00460B01"/>
    <w:rsid w:val="00461C99"/>
    <w:rsid w:val="00462496"/>
    <w:rsid w:val="00462D9F"/>
    <w:rsid w:val="00463039"/>
    <w:rsid w:val="004637E4"/>
    <w:rsid w:val="0046693C"/>
    <w:rsid w:val="00467694"/>
    <w:rsid w:val="0047027E"/>
    <w:rsid w:val="0047042C"/>
    <w:rsid w:val="0047263A"/>
    <w:rsid w:val="0047322B"/>
    <w:rsid w:val="00473E7F"/>
    <w:rsid w:val="004751D6"/>
    <w:rsid w:val="00480645"/>
    <w:rsid w:val="004806DB"/>
    <w:rsid w:val="00480B97"/>
    <w:rsid w:val="0048160A"/>
    <w:rsid w:val="004828C4"/>
    <w:rsid w:val="00483DF6"/>
    <w:rsid w:val="0048410C"/>
    <w:rsid w:val="00485124"/>
    <w:rsid w:val="00485EEF"/>
    <w:rsid w:val="004866A5"/>
    <w:rsid w:val="00491951"/>
    <w:rsid w:val="00494843"/>
    <w:rsid w:val="00495436"/>
    <w:rsid w:val="004A0031"/>
    <w:rsid w:val="004A04C0"/>
    <w:rsid w:val="004A6567"/>
    <w:rsid w:val="004A6B9B"/>
    <w:rsid w:val="004B060B"/>
    <w:rsid w:val="004B08D9"/>
    <w:rsid w:val="004B1155"/>
    <w:rsid w:val="004B465F"/>
    <w:rsid w:val="004B4BAE"/>
    <w:rsid w:val="004B660A"/>
    <w:rsid w:val="004B7E44"/>
    <w:rsid w:val="004B7F67"/>
    <w:rsid w:val="004C27C3"/>
    <w:rsid w:val="004C2AB6"/>
    <w:rsid w:val="004C4139"/>
    <w:rsid w:val="004C45CE"/>
    <w:rsid w:val="004C5BEB"/>
    <w:rsid w:val="004D0A35"/>
    <w:rsid w:val="004D1D53"/>
    <w:rsid w:val="004D23AD"/>
    <w:rsid w:val="004D4D3F"/>
    <w:rsid w:val="004D5B87"/>
    <w:rsid w:val="004D6E74"/>
    <w:rsid w:val="004D72A4"/>
    <w:rsid w:val="004E049A"/>
    <w:rsid w:val="004E0980"/>
    <w:rsid w:val="004E195E"/>
    <w:rsid w:val="004E2CBA"/>
    <w:rsid w:val="004E3BC4"/>
    <w:rsid w:val="004E3E53"/>
    <w:rsid w:val="004E426A"/>
    <w:rsid w:val="004E44E8"/>
    <w:rsid w:val="004E4EA7"/>
    <w:rsid w:val="004E54A1"/>
    <w:rsid w:val="004E5E66"/>
    <w:rsid w:val="004E6433"/>
    <w:rsid w:val="004E7449"/>
    <w:rsid w:val="004E7B87"/>
    <w:rsid w:val="004E7F96"/>
    <w:rsid w:val="004F054B"/>
    <w:rsid w:val="004F0957"/>
    <w:rsid w:val="004F0D82"/>
    <w:rsid w:val="004F2AD3"/>
    <w:rsid w:val="004F4196"/>
    <w:rsid w:val="004F4DA0"/>
    <w:rsid w:val="004F5566"/>
    <w:rsid w:val="004F6EB7"/>
    <w:rsid w:val="00500661"/>
    <w:rsid w:val="00501115"/>
    <w:rsid w:val="005013B7"/>
    <w:rsid w:val="00502EA1"/>
    <w:rsid w:val="00504500"/>
    <w:rsid w:val="005049EB"/>
    <w:rsid w:val="005068BC"/>
    <w:rsid w:val="005102C0"/>
    <w:rsid w:val="00510F48"/>
    <w:rsid w:val="005115B0"/>
    <w:rsid w:val="00511617"/>
    <w:rsid w:val="0051512A"/>
    <w:rsid w:val="00515389"/>
    <w:rsid w:val="00516ADA"/>
    <w:rsid w:val="00516CC4"/>
    <w:rsid w:val="005173A7"/>
    <w:rsid w:val="005176D6"/>
    <w:rsid w:val="00517C9A"/>
    <w:rsid w:val="00517DBE"/>
    <w:rsid w:val="00520684"/>
    <w:rsid w:val="00520692"/>
    <w:rsid w:val="00520E70"/>
    <w:rsid w:val="00522983"/>
    <w:rsid w:val="005246C3"/>
    <w:rsid w:val="00525B6A"/>
    <w:rsid w:val="0053252F"/>
    <w:rsid w:val="00532AD1"/>
    <w:rsid w:val="00532C4B"/>
    <w:rsid w:val="00532F68"/>
    <w:rsid w:val="00533032"/>
    <w:rsid w:val="0053401B"/>
    <w:rsid w:val="005349C0"/>
    <w:rsid w:val="0053578F"/>
    <w:rsid w:val="0053683A"/>
    <w:rsid w:val="005368B4"/>
    <w:rsid w:val="00536D6E"/>
    <w:rsid w:val="00537E97"/>
    <w:rsid w:val="00540464"/>
    <w:rsid w:val="00540AD9"/>
    <w:rsid w:val="00541E0D"/>
    <w:rsid w:val="00544BB3"/>
    <w:rsid w:val="00547503"/>
    <w:rsid w:val="00551355"/>
    <w:rsid w:val="00552473"/>
    <w:rsid w:val="0055276D"/>
    <w:rsid w:val="00552836"/>
    <w:rsid w:val="00554CDA"/>
    <w:rsid w:val="0055636A"/>
    <w:rsid w:val="005578B6"/>
    <w:rsid w:val="005578C7"/>
    <w:rsid w:val="00557DD5"/>
    <w:rsid w:val="00560749"/>
    <w:rsid w:val="00561285"/>
    <w:rsid w:val="0056237B"/>
    <w:rsid w:val="00563427"/>
    <w:rsid w:val="005637B5"/>
    <w:rsid w:val="005637CC"/>
    <w:rsid w:val="00563D00"/>
    <w:rsid w:val="00564B3E"/>
    <w:rsid w:val="00565A0E"/>
    <w:rsid w:val="00567FA1"/>
    <w:rsid w:val="0057104B"/>
    <w:rsid w:val="00571EF5"/>
    <w:rsid w:val="0057488D"/>
    <w:rsid w:val="00576352"/>
    <w:rsid w:val="0057714A"/>
    <w:rsid w:val="0058174A"/>
    <w:rsid w:val="00581D32"/>
    <w:rsid w:val="005849CA"/>
    <w:rsid w:val="00586138"/>
    <w:rsid w:val="00586D97"/>
    <w:rsid w:val="00587AA1"/>
    <w:rsid w:val="00587B13"/>
    <w:rsid w:val="00592311"/>
    <w:rsid w:val="0059269D"/>
    <w:rsid w:val="00592C9D"/>
    <w:rsid w:val="00593359"/>
    <w:rsid w:val="00594037"/>
    <w:rsid w:val="005943EF"/>
    <w:rsid w:val="00594684"/>
    <w:rsid w:val="00595935"/>
    <w:rsid w:val="00597586"/>
    <w:rsid w:val="005A0827"/>
    <w:rsid w:val="005A11C1"/>
    <w:rsid w:val="005A1DFE"/>
    <w:rsid w:val="005A22C4"/>
    <w:rsid w:val="005A2567"/>
    <w:rsid w:val="005A40D3"/>
    <w:rsid w:val="005A458F"/>
    <w:rsid w:val="005A45AC"/>
    <w:rsid w:val="005A46DC"/>
    <w:rsid w:val="005A4998"/>
    <w:rsid w:val="005A4B02"/>
    <w:rsid w:val="005A52C3"/>
    <w:rsid w:val="005A5DC4"/>
    <w:rsid w:val="005A6A29"/>
    <w:rsid w:val="005A7F08"/>
    <w:rsid w:val="005B05DD"/>
    <w:rsid w:val="005B2293"/>
    <w:rsid w:val="005B2423"/>
    <w:rsid w:val="005B2DD0"/>
    <w:rsid w:val="005B542E"/>
    <w:rsid w:val="005B7A7B"/>
    <w:rsid w:val="005C1B56"/>
    <w:rsid w:val="005C3C11"/>
    <w:rsid w:val="005C3CBC"/>
    <w:rsid w:val="005C5201"/>
    <w:rsid w:val="005C55FE"/>
    <w:rsid w:val="005C5B88"/>
    <w:rsid w:val="005C7008"/>
    <w:rsid w:val="005C71C3"/>
    <w:rsid w:val="005D0F05"/>
    <w:rsid w:val="005D1ACD"/>
    <w:rsid w:val="005D1ADE"/>
    <w:rsid w:val="005D2DDB"/>
    <w:rsid w:val="005D4F21"/>
    <w:rsid w:val="005D644D"/>
    <w:rsid w:val="005D7920"/>
    <w:rsid w:val="005D7E37"/>
    <w:rsid w:val="005E070B"/>
    <w:rsid w:val="005E0CFE"/>
    <w:rsid w:val="005E1308"/>
    <w:rsid w:val="005E13EE"/>
    <w:rsid w:val="005E1980"/>
    <w:rsid w:val="005E2FE9"/>
    <w:rsid w:val="005E3D63"/>
    <w:rsid w:val="005E3D65"/>
    <w:rsid w:val="005E6D96"/>
    <w:rsid w:val="005E78D4"/>
    <w:rsid w:val="005F0922"/>
    <w:rsid w:val="005F2637"/>
    <w:rsid w:val="005F6E66"/>
    <w:rsid w:val="005F703D"/>
    <w:rsid w:val="006009D4"/>
    <w:rsid w:val="006010BE"/>
    <w:rsid w:val="00601833"/>
    <w:rsid w:val="0060226B"/>
    <w:rsid w:val="006026FB"/>
    <w:rsid w:val="00602B2B"/>
    <w:rsid w:val="00602B8B"/>
    <w:rsid w:val="00603895"/>
    <w:rsid w:val="006038B0"/>
    <w:rsid w:val="00603909"/>
    <w:rsid w:val="00603F47"/>
    <w:rsid w:val="00605235"/>
    <w:rsid w:val="006058EB"/>
    <w:rsid w:val="0060775F"/>
    <w:rsid w:val="00607A27"/>
    <w:rsid w:val="00607BE2"/>
    <w:rsid w:val="006104FC"/>
    <w:rsid w:val="006108DC"/>
    <w:rsid w:val="00613B1C"/>
    <w:rsid w:val="00615175"/>
    <w:rsid w:val="00616AA5"/>
    <w:rsid w:val="00617D76"/>
    <w:rsid w:val="00621109"/>
    <w:rsid w:val="006214CB"/>
    <w:rsid w:val="006218FB"/>
    <w:rsid w:val="00621B9C"/>
    <w:rsid w:val="0062301B"/>
    <w:rsid w:val="0062580B"/>
    <w:rsid w:val="00630BD2"/>
    <w:rsid w:val="006312E2"/>
    <w:rsid w:val="00632787"/>
    <w:rsid w:val="00633053"/>
    <w:rsid w:val="006340AB"/>
    <w:rsid w:val="0063558B"/>
    <w:rsid w:val="00635C92"/>
    <w:rsid w:val="00635E9C"/>
    <w:rsid w:val="00635F59"/>
    <w:rsid w:val="006368DA"/>
    <w:rsid w:val="0063758B"/>
    <w:rsid w:val="00640066"/>
    <w:rsid w:val="00640D80"/>
    <w:rsid w:val="00644A99"/>
    <w:rsid w:val="00644CB5"/>
    <w:rsid w:val="006457FA"/>
    <w:rsid w:val="006463F0"/>
    <w:rsid w:val="0064668F"/>
    <w:rsid w:val="006473F7"/>
    <w:rsid w:val="00647487"/>
    <w:rsid w:val="0065111E"/>
    <w:rsid w:val="00653A27"/>
    <w:rsid w:val="00653B2D"/>
    <w:rsid w:val="00653BE6"/>
    <w:rsid w:val="00655366"/>
    <w:rsid w:val="006555C5"/>
    <w:rsid w:val="00661B0C"/>
    <w:rsid w:val="00661EC5"/>
    <w:rsid w:val="006623C1"/>
    <w:rsid w:val="00662B03"/>
    <w:rsid w:val="00662DAF"/>
    <w:rsid w:val="00663580"/>
    <w:rsid w:val="00665566"/>
    <w:rsid w:val="00666523"/>
    <w:rsid w:val="00667456"/>
    <w:rsid w:val="00667654"/>
    <w:rsid w:val="006700CF"/>
    <w:rsid w:val="00670246"/>
    <w:rsid w:val="006722B8"/>
    <w:rsid w:val="00673B34"/>
    <w:rsid w:val="00673D7C"/>
    <w:rsid w:val="00674ACF"/>
    <w:rsid w:val="00675054"/>
    <w:rsid w:val="00675C4E"/>
    <w:rsid w:val="006764A1"/>
    <w:rsid w:val="00681590"/>
    <w:rsid w:val="00681D59"/>
    <w:rsid w:val="00682BD4"/>
    <w:rsid w:val="0068338C"/>
    <w:rsid w:val="0068389A"/>
    <w:rsid w:val="0068444B"/>
    <w:rsid w:val="0068550C"/>
    <w:rsid w:val="0068591C"/>
    <w:rsid w:val="006861A3"/>
    <w:rsid w:val="00686879"/>
    <w:rsid w:val="00686CEE"/>
    <w:rsid w:val="00687B68"/>
    <w:rsid w:val="006910E5"/>
    <w:rsid w:val="00692DBE"/>
    <w:rsid w:val="006930BB"/>
    <w:rsid w:val="00693F4F"/>
    <w:rsid w:val="00694537"/>
    <w:rsid w:val="006950EF"/>
    <w:rsid w:val="0069559D"/>
    <w:rsid w:val="00696755"/>
    <w:rsid w:val="00696D98"/>
    <w:rsid w:val="00697342"/>
    <w:rsid w:val="00697700"/>
    <w:rsid w:val="00697BB5"/>
    <w:rsid w:val="00697DF0"/>
    <w:rsid w:val="006A1A40"/>
    <w:rsid w:val="006A24CE"/>
    <w:rsid w:val="006A2B89"/>
    <w:rsid w:val="006A2CA4"/>
    <w:rsid w:val="006A3323"/>
    <w:rsid w:val="006A3C95"/>
    <w:rsid w:val="006A4AAF"/>
    <w:rsid w:val="006A5D33"/>
    <w:rsid w:val="006B097B"/>
    <w:rsid w:val="006B0C5F"/>
    <w:rsid w:val="006B3BAB"/>
    <w:rsid w:val="006B45C2"/>
    <w:rsid w:val="006B4D17"/>
    <w:rsid w:val="006B621F"/>
    <w:rsid w:val="006B6D35"/>
    <w:rsid w:val="006B7DD9"/>
    <w:rsid w:val="006C09F6"/>
    <w:rsid w:val="006C43E0"/>
    <w:rsid w:val="006C4439"/>
    <w:rsid w:val="006C44F7"/>
    <w:rsid w:val="006C4AF3"/>
    <w:rsid w:val="006D06B3"/>
    <w:rsid w:val="006D1078"/>
    <w:rsid w:val="006D12E8"/>
    <w:rsid w:val="006D15AC"/>
    <w:rsid w:val="006D2A67"/>
    <w:rsid w:val="006D2E42"/>
    <w:rsid w:val="006D367F"/>
    <w:rsid w:val="006D411C"/>
    <w:rsid w:val="006D49B8"/>
    <w:rsid w:val="006D5786"/>
    <w:rsid w:val="006D5FEB"/>
    <w:rsid w:val="006D74F6"/>
    <w:rsid w:val="006D78C1"/>
    <w:rsid w:val="006D7CC2"/>
    <w:rsid w:val="006E0047"/>
    <w:rsid w:val="006E06EB"/>
    <w:rsid w:val="006E15D0"/>
    <w:rsid w:val="006E1A7F"/>
    <w:rsid w:val="006E29A6"/>
    <w:rsid w:val="006E2BAD"/>
    <w:rsid w:val="006E2D73"/>
    <w:rsid w:val="006E2EC3"/>
    <w:rsid w:val="006E5D61"/>
    <w:rsid w:val="006E60E8"/>
    <w:rsid w:val="006E6E27"/>
    <w:rsid w:val="006E719F"/>
    <w:rsid w:val="006E78C9"/>
    <w:rsid w:val="006E7BA3"/>
    <w:rsid w:val="006F1C66"/>
    <w:rsid w:val="006F3569"/>
    <w:rsid w:val="006F4096"/>
    <w:rsid w:val="007006E3"/>
    <w:rsid w:val="00700902"/>
    <w:rsid w:val="007020C1"/>
    <w:rsid w:val="00702366"/>
    <w:rsid w:val="00702AF6"/>
    <w:rsid w:val="00702CD4"/>
    <w:rsid w:val="00704131"/>
    <w:rsid w:val="00706074"/>
    <w:rsid w:val="00706968"/>
    <w:rsid w:val="00706A59"/>
    <w:rsid w:val="0071086E"/>
    <w:rsid w:val="00711BBF"/>
    <w:rsid w:val="00712000"/>
    <w:rsid w:val="0071242E"/>
    <w:rsid w:val="0071314B"/>
    <w:rsid w:val="0071341B"/>
    <w:rsid w:val="00713918"/>
    <w:rsid w:val="00714106"/>
    <w:rsid w:val="00714934"/>
    <w:rsid w:val="0071596A"/>
    <w:rsid w:val="00717ED4"/>
    <w:rsid w:val="00721286"/>
    <w:rsid w:val="0072198C"/>
    <w:rsid w:val="00721F9F"/>
    <w:rsid w:val="00722094"/>
    <w:rsid w:val="0072467F"/>
    <w:rsid w:val="00724E9E"/>
    <w:rsid w:val="00725308"/>
    <w:rsid w:val="0072550F"/>
    <w:rsid w:val="0072670E"/>
    <w:rsid w:val="007272CD"/>
    <w:rsid w:val="00727608"/>
    <w:rsid w:val="007277CA"/>
    <w:rsid w:val="00730693"/>
    <w:rsid w:val="007309A4"/>
    <w:rsid w:val="007310DC"/>
    <w:rsid w:val="007323B1"/>
    <w:rsid w:val="007328F8"/>
    <w:rsid w:val="00733734"/>
    <w:rsid w:val="00735097"/>
    <w:rsid w:val="00735FFE"/>
    <w:rsid w:val="00737618"/>
    <w:rsid w:val="00737D1C"/>
    <w:rsid w:val="0074126E"/>
    <w:rsid w:val="00741EF0"/>
    <w:rsid w:val="00744FC0"/>
    <w:rsid w:val="007450C6"/>
    <w:rsid w:val="007452D5"/>
    <w:rsid w:val="007465BB"/>
    <w:rsid w:val="00750082"/>
    <w:rsid w:val="0075022B"/>
    <w:rsid w:val="00750A3C"/>
    <w:rsid w:val="00750B59"/>
    <w:rsid w:val="00752878"/>
    <w:rsid w:val="00752E04"/>
    <w:rsid w:val="0075331D"/>
    <w:rsid w:val="00754E7C"/>
    <w:rsid w:val="00757F4C"/>
    <w:rsid w:val="007611ED"/>
    <w:rsid w:val="0076141C"/>
    <w:rsid w:val="007614F9"/>
    <w:rsid w:val="0076235A"/>
    <w:rsid w:val="007627EA"/>
    <w:rsid w:val="0076360D"/>
    <w:rsid w:val="00763751"/>
    <w:rsid w:val="00766549"/>
    <w:rsid w:val="00766785"/>
    <w:rsid w:val="00771C03"/>
    <w:rsid w:val="00772BE8"/>
    <w:rsid w:val="00774446"/>
    <w:rsid w:val="0077515C"/>
    <w:rsid w:val="0077549E"/>
    <w:rsid w:val="007776AB"/>
    <w:rsid w:val="00780753"/>
    <w:rsid w:val="007817AC"/>
    <w:rsid w:val="00781F0E"/>
    <w:rsid w:val="00782709"/>
    <w:rsid w:val="00782804"/>
    <w:rsid w:val="007828C6"/>
    <w:rsid w:val="00782E60"/>
    <w:rsid w:val="007841CE"/>
    <w:rsid w:val="0078491D"/>
    <w:rsid w:val="0078505F"/>
    <w:rsid w:val="00786F0D"/>
    <w:rsid w:val="00787F97"/>
    <w:rsid w:val="00790A70"/>
    <w:rsid w:val="00791023"/>
    <w:rsid w:val="00791184"/>
    <w:rsid w:val="00792446"/>
    <w:rsid w:val="007925CB"/>
    <w:rsid w:val="00792DFA"/>
    <w:rsid w:val="007938ED"/>
    <w:rsid w:val="00795539"/>
    <w:rsid w:val="007955F4"/>
    <w:rsid w:val="00797252"/>
    <w:rsid w:val="007A0D98"/>
    <w:rsid w:val="007A41A7"/>
    <w:rsid w:val="007B1A68"/>
    <w:rsid w:val="007B357B"/>
    <w:rsid w:val="007B3D30"/>
    <w:rsid w:val="007B446D"/>
    <w:rsid w:val="007B5473"/>
    <w:rsid w:val="007B58FA"/>
    <w:rsid w:val="007B59D3"/>
    <w:rsid w:val="007B5DC6"/>
    <w:rsid w:val="007B7B2E"/>
    <w:rsid w:val="007C048B"/>
    <w:rsid w:val="007C10BD"/>
    <w:rsid w:val="007C1EEE"/>
    <w:rsid w:val="007C2A45"/>
    <w:rsid w:val="007C37FC"/>
    <w:rsid w:val="007C42A4"/>
    <w:rsid w:val="007C622F"/>
    <w:rsid w:val="007D25F8"/>
    <w:rsid w:val="007D2DB0"/>
    <w:rsid w:val="007D2E7F"/>
    <w:rsid w:val="007D377A"/>
    <w:rsid w:val="007D42F3"/>
    <w:rsid w:val="007D4547"/>
    <w:rsid w:val="007D4658"/>
    <w:rsid w:val="007D5301"/>
    <w:rsid w:val="007D683C"/>
    <w:rsid w:val="007E0683"/>
    <w:rsid w:val="007E07D7"/>
    <w:rsid w:val="007E0940"/>
    <w:rsid w:val="007E1607"/>
    <w:rsid w:val="007E1808"/>
    <w:rsid w:val="007E276D"/>
    <w:rsid w:val="007E372F"/>
    <w:rsid w:val="007E5CD8"/>
    <w:rsid w:val="007E7E29"/>
    <w:rsid w:val="007F076B"/>
    <w:rsid w:val="007F1ED7"/>
    <w:rsid w:val="007F2E02"/>
    <w:rsid w:val="007F57BE"/>
    <w:rsid w:val="007F5981"/>
    <w:rsid w:val="007F7456"/>
    <w:rsid w:val="00804B08"/>
    <w:rsid w:val="00805AB9"/>
    <w:rsid w:val="0080616C"/>
    <w:rsid w:val="008069FB"/>
    <w:rsid w:val="00807DC0"/>
    <w:rsid w:val="008102F3"/>
    <w:rsid w:val="008115B1"/>
    <w:rsid w:val="00811C15"/>
    <w:rsid w:val="008144D0"/>
    <w:rsid w:val="0081452B"/>
    <w:rsid w:val="00815C2D"/>
    <w:rsid w:val="0082025A"/>
    <w:rsid w:val="008209CE"/>
    <w:rsid w:val="0082129B"/>
    <w:rsid w:val="00821394"/>
    <w:rsid w:val="00821FF7"/>
    <w:rsid w:val="0082324B"/>
    <w:rsid w:val="0082593F"/>
    <w:rsid w:val="00825992"/>
    <w:rsid w:val="008279BF"/>
    <w:rsid w:val="00827B53"/>
    <w:rsid w:val="00830306"/>
    <w:rsid w:val="008337A1"/>
    <w:rsid w:val="00833DAD"/>
    <w:rsid w:val="00834B8A"/>
    <w:rsid w:val="00837541"/>
    <w:rsid w:val="00840492"/>
    <w:rsid w:val="00840F29"/>
    <w:rsid w:val="00841755"/>
    <w:rsid w:val="00841FAA"/>
    <w:rsid w:val="008433D4"/>
    <w:rsid w:val="00843CC5"/>
    <w:rsid w:val="00844C22"/>
    <w:rsid w:val="00845BC4"/>
    <w:rsid w:val="00846D98"/>
    <w:rsid w:val="0084711A"/>
    <w:rsid w:val="008507C1"/>
    <w:rsid w:val="00850812"/>
    <w:rsid w:val="00850D55"/>
    <w:rsid w:val="00851477"/>
    <w:rsid w:val="00851A2C"/>
    <w:rsid w:val="00852216"/>
    <w:rsid w:val="00853150"/>
    <w:rsid w:val="0085319B"/>
    <w:rsid w:val="008532A5"/>
    <w:rsid w:val="008542D5"/>
    <w:rsid w:val="00854692"/>
    <w:rsid w:val="00854A67"/>
    <w:rsid w:val="00854C00"/>
    <w:rsid w:val="00855EB0"/>
    <w:rsid w:val="008563AE"/>
    <w:rsid w:val="00857801"/>
    <w:rsid w:val="008579B6"/>
    <w:rsid w:val="00860586"/>
    <w:rsid w:val="00860DD1"/>
    <w:rsid w:val="00860EB2"/>
    <w:rsid w:val="0086376B"/>
    <w:rsid w:val="00863BB3"/>
    <w:rsid w:val="00863FA2"/>
    <w:rsid w:val="008644A3"/>
    <w:rsid w:val="008646AD"/>
    <w:rsid w:val="00865170"/>
    <w:rsid w:val="0086625E"/>
    <w:rsid w:val="0086663C"/>
    <w:rsid w:val="008678B0"/>
    <w:rsid w:val="0087022C"/>
    <w:rsid w:val="00871A00"/>
    <w:rsid w:val="00871FA1"/>
    <w:rsid w:val="00872DED"/>
    <w:rsid w:val="008730E1"/>
    <w:rsid w:val="008749F0"/>
    <w:rsid w:val="00880152"/>
    <w:rsid w:val="008801F6"/>
    <w:rsid w:val="0088093C"/>
    <w:rsid w:val="00881DE9"/>
    <w:rsid w:val="00884BEF"/>
    <w:rsid w:val="0088558A"/>
    <w:rsid w:val="00885C44"/>
    <w:rsid w:val="008869ED"/>
    <w:rsid w:val="00886DE3"/>
    <w:rsid w:val="008870E5"/>
    <w:rsid w:val="00890084"/>
    <w:rsid w:val="00891256"/>
    <w:rsid w:val="00891815"/>
    <w:rsid w:val="00893547"/>
    <w:rsid w:val="00893626"/>
    <w:rsid w:val="00893683"/>
    <w:rsid w:val="00895353"/>
    <w:rsid w:val="00896C33"/>
    <w:rsid w:val="0089728B"/>
    <w:rsid w:val="00897504"/>
    <w:rsid w:val="00897CFF"/>
    <w:rsid w:val="008A1658"/>
    <w:rsid w:val="008B0048"/>
    <w:rsid w:val="008B22A8"/>
    <w:rsid w:val="008B2785"/>
    <w:rsid w:val="008B3242"/>
    <w:rsid w:val="008B4B3B"/>
    <w:rsid w:val="008B5A01"/>
    <w:rsid w:val="008B5C02"/>
    <w:rsid w:val="008B5FAB"/>
    <w:rsid w:val="008B6D26"/>
    <w:rsid w:val="008C00E8"/>
    <w:rsid w:val="008C312D"/>
    <w:rsid w:val="008C3357"/>
    <w:rsid w:val="008C38F0"/>
    <w:rsid w:val="008C5099"/>
    <w:rsid w:val="008C594A"/>
    <w:rsid w:val="008C6B2E"/>
    <w:rsid w:val="008C70AD"/>
    <w:rsid w:val="008C7B73"/>
    <w:rsid w:val="008C7EB9"/>
    <w:rsid w:val="008D0901"/>
    <w:rsid w:val="008D22BB"/>
    <w:rsid w:val="008D3101"/>
    <w:rsid w:val="008D3455"/>
    <w:rsid w:val="008D34CB"/>
    <w:rsid w:val="008D3881"/>
    <w:rsid w:val="008D3B8B"/>
    <w:rsid w:val="008D4596"/>
    <w:rsid w:val="008D4B73"/>
    <w:rsid w:val="008D5041"/>
    <w:rsid w:val="008D55DF"/>
    <w:rsid w:val="008D6224"/>
    <w:rsid w:val="008D7043"/>
    <w:rsid w:val="008E1FD3"/>
    <w:rsid w:val="008E36EE"/>
    <w:rsid w:val="008E375E"/>
    <w:rsid w:val="008E4FEE"/>
    <w:rsid w:val="008E5845"/>
    <w:rsid w:val="008E5A1E"/>
    <w:rsid w:val="008E76D9"/>
    <w:rsid w:val="008E7917"/>
    <w:rsid w:val="008F0D2B"/>
    <w:rsid w:val="008F3AAB"/>
    <w:rsid w:val="008F40FA"/>
    <w:rsid w:val="008F4CE6"/>
    <w:rsid w:val="008F74FD"/>
    <w:rsid w:val="0090092B"/>
    <w:rsid w:val="00902B8B"/>
    <w:rsid w:val="00902C7A"/>
    <w:rsid w:val="00902C8F"/>
    <w:rsid w:val="009045A0"/>
    <w:rsid w:val="00904D3F"/>
    <w:rsid w:val="00904E01"/>
    <w:rsid w:val="009059EB"/>
    <w:rsid w:val="00906693"/>
    <w:rsid w:val="00907385"/>
    <w:rsid w:val="0091032A"/>
    <w:rsid w:val="00910C5C"/>
    <w:rsid w:val="0091345F"/>
    <w:rsid w:val="009134E6"/>
    <w:rsid w:val="00913B32"/>
    <w:rsid w:val="00913CBA"/>
    <w:rsid w:val="0091454A"/>
    <w:rsid w:val="00915780"/>
    <w:rsid w:val="009158FC"/>
    <w:rsid w:val="0091731F"/>
    <w:rsid w:val="00920D7D"/>
    <w:rsid w:val="00922DA8"/>
    <w:rsid w:val="009259A2"/>
    <w:rsid w:val="00925DA0"/>
    <w:rsid w:val="00926362"/>
    <w:rsid w:val="00927B2D"/>
    <w:rsid w:val="00931594"/>
    <w:rsid w:val="00933725"/>
    <w:rsid w:val="009360F2"/>
    <w:rsid w:val="0093716D"/>
    <w:rsid w:val="009405CE"/>
    <w:rsid w:val="00941235"/>
    <w:rsid w:val="00941409"/>
    <w:rsid w:val="009414E8"/>
    <w:rsid w:val="0094363C"/>
    <w:rsid w:val="009439AE"/>
    <w:rsid w:val="00944F18"/>
    <w:rsid w:val="0094568A"/>
    <w:rsid w:val="009506C4"/>
    <w:rsid w:val="0095134B"/>
    <w:rsid w:val="00951CAC"/>
    <w:rsid w:val="00954E33"/>
    <w:rsid w:val="009600B1"/>
    <w:rsid w:val="00961B4C"/>
    <w:rsid w:val="00963042"/>
    <w:rsid w:val="009643AB"/>
    <w:rsid w:val="00965060"/>
    <w:rsid w:val="009665F0"/>
    <w:rsid w:val="0097047D"/>
    <w:rsid w:val="0097127F"/>
    <w:rsid w:val="00972F05"/>
    <w:rsid w:val="00974A68"/>
    <w:rsid w:val="009757C4"/>
    <w:rsid w:val="0097722A"/>
    <w:rsid w:val="009803A2"/>
    <w:rsid w:val="00980F0C"/>
    <w:rsid w:val="00981BD4"/>
    <w:rsid w:val="00986719"/>
    <w:rsid w:val="00987802"/>
    <w:rsid w:val="0099057F"/>
    <w:rsid w:val="009907AA"/>
    <w:rsid w:val="00991F4F"/>
    <w:rsid w:val="00992E8F"/>
    <w:rsid w:val="00993D81"/>
    <w:rsid w:val="00995788"/>
    <w:rsid w:val="0099782A"/>
    <w:rsid w:val="009A1E48"/>
    <w:rsid w:val="009A3228"/>
    <w:rsid w:val="009A416C"/>
    <w:rsid w:val="009A4790"/>
    <w:rsid w:val="009A5527"/>
    <w:rsid w:val="009A5BDD"/>
    <w:rsid w:val="009B09B0"/>
    <w:rsid w:val="009B0C5B"/>
    <w:rsid w:val="009B0FD0"/>
    <w:rsid w:val="009B58DD"/>
    <w:rsid w:val="009B6BB8"/>
    <w:rsid w:val="009B7C77"/>
    <w:rsid w:val="009C0130"/>
    <w:rsid w:val="009C1AFD"/>
    <w:rsid w:val="009C204A"/>
    <w:rsid w:val="009C4D4A"/>
    <w:rsid w:val="009C6676"/>
    <w:rsid w:val="009C6B3A"/>
    <w:rsid w:val="009C757D"/>
    <w:rsid w:val="009C7FE5"/>
    <w:rsid w:val="009D0214"/>
    <w:rsid w:val="009D3205"/>
    <w:rsid w:val="009D32E8"/>
    <w:rsid w:val="009D5BB1"/>
    <w:rsid w:val="009D5DF1"/>
    <w:rsid w:val="009D7EA4"/>
    <w:rsid w:val="009E2FA4"/>
    <w:rsid w:val="009E45EF"/>
    <w:rsid w:val="009E52D7"/>
    <w:rsid w:val="009E57F2"/>
    <w:rsid w:val="009E6A9A"/>
    <w:rsid w:val="009E6C89"/>
    <w:rsid w:val="009E6F84"/>
    <w:rsid w:val="009E7264"/>
    <w:rsid w:val="009E7F9F"/>
    <w:rsid w:val="009F1080"/>
    <w:rsid w:val="009F2C2C"/>
    <w:rsid w:val="009F35C5"/>
    <w:rsid w:val="009F4750"/>
    <w:rsid w:val="009F68E3"/>
    <w:rsid w:val="009F6A1F"/>
    <w:rsid w:val="009F6B2C"/>
    <w:rsid w:val="009F7485"/>
    <w:rsid w:val="009F75D4"/>
    <w:rsid w:val="00A00024"/>
    <w:rsid w:val="00A00107"/>
    <w:rsid w:val="00A00772"/>
    <w:rsid w:val="00A01953"/>
    <w:rsid w:val="00A01AD2"/>
    <w:rsid w:val="00A032FD"/>
    <w:rsid w:val="00A03906"/>
    <w:rsid w:val="00A049A5"/>
    <w:rsid w:val="00A0533C"/>
    <w:rsid w:val="00A06095"/>
    <w:rsid w:val="00A078DB"/>
    <w:rsid w:val="00A10BD9"/>
    <w:rsid w:val="00A1473A"/>
    <w:rsid w:val="00A147A9"/>
    <w:rsid w:val="00A15D5C"/>
    <w:rsid w:val="00A163BE"/>
    <w:rsid w:val="00A16601"/>
    <w:rsid w:val="00A1682A"/>
    <w:rsid w:val="00A169B2"/>
    <w:rsid w:val="00A17B29"/>
    <w:rsid w:val="00A20211"/>
    <w:rsid w:val="00A20727"/>
    <w:rsid w:val="00A21B6C"/>
    <w:rsid w:val="00A22635"/>
    <w:rsid w:val="00A23010"/>
    <w:rsid w:val="00A2356D"/>
    <w:rsid w:val="00A23E5B"/>
    <w:rsid w:val="00A2462B"/>
    <w:rsid w:val="00A24F91"/>
    <w:rsid w:val="00A25D2F"/>
    <w:rsid w:val="00A261AF"/>
    <w:rsid w:val="00A26827"/>
    <w:rsid w:val="00A26E75"/>
    <w:rsid w:val="00A27671"/>
    <w:rsid w:val="00A27744"/>
    <w:rsid w:val="00A30590"/>
    <w:rsid w:val="00A3170D"/>
    <w:rsid w:val="00A31BD9"/>
    <w:rsid w:val="00A3212E"/>
    <w:rsid w:val="00A34AFA"/>
    <w:rsid w:val="00A35896"/>
    <w:rsid w:val="00A36501"/>
    <w:rsid w:val="00A36CB4"/>
    <w:rsid w:val="00A41303"/>
    <w:rsid w:val="00A41421"/>
    <w:rsid w:val="00A41DB3"/>
    <w:rsid w:val="00A425B1"/>
    <w:rsid w:val="00A42DAA"/>
    <w:rsid w:val="00A444C5"/>
    <w:rsid w:val="00A472E4"/>
    <w:rsid w:val="00A47435"/>
    <w:rsid w:val="00A50C73"/>
    <w:rsid w:val="00A51C0C"/>
    <w:rsid w:val="00A51D17"/>
    <w:rsid w:val="00A521E3"/>
    <w:rsid w:val="00A53097"/>
    <w:rsid w:val="00A548CF"/>
    <w:rsid w:val="00A5497A"/>
    <w:rsid w:val="00A54AB4"/>
    <w:rsid w:val="00A54F54"/>
    <w:rsid w:val="00A5587A"/>
    <w:rsid w:val="00A559DC"/>
    <w:rsid w:val="00A55FB0"/>
    <w:rsid w:val="00A573B2"/>
    <w:rsid w:val="00A60E97"/>
    <w:rsid w:val="00A6106D"/>
    <w:rsid w:val="00A614C8"/>
    <w:rsid w:val="00A625B7"/>
    <w:rsid w:val="00A63ACC"/>
    <w:rsid w:val="00A63CB1"/>
    <w:rsid w:val="00A65C45"/>
    <w:rsid w:val="00A66428"/>
    <w:rsid w:val="00A6752E"/>
    <w:rsid w:val="00A67FF2"/>
    <w:rsid w:val="00A7020D"/>
    <w:rsid w:val="00A71248"/>
    <w:rsid w:val="00A71CAC"/>
    <w:rsid w:val="00A72A56"/>
    <w:rsid w:val="00A73831"/>
    <w:rsid w:val="00A73887"/>
    <w:rsid w:val="00A75BAD"/>
    <w:rsid w:val="00A75F15"/>
    <w:rsid w:val="00A76656"/>
    <w:rsid w:val="00A76B13"/>
    <w:rsid w:val="00A773BD"/>
    <w:rsid w:val="00A81F40"/>
    <w:rsid w:val="00A8203A"/>
    <w:rsid w:val="00A82B45"/>
    <w:rsid w:val="00A843E0"/>
    <w:rsid w:val="00A84F1D"/>
    <w:rsid w:val="00A85082"/>
    <w:rsid w:val="00A8520E"/>
    <w:rsid w:val="00A85340"/>
    <w:rsid w:val="00A86AE5"/>
    <w:rsid w:val="00A86B53"/>
    <w:rsid w:val="00A902E7"/>
    <w:rsid w:val="00A91674"/>
    <w:rsid w:val="00A92407"/>
    <w:rsid w:val="00A92BFD"/>
    <w:rsid w:val="00A93300"/>
    <w:rsid w:val="00A943A9"/>
    <w:rsid w:val="00A94613"/>
    <w:rsid w:val="00A96255"/>
    <w:rsid w:val="00AA31A6"/>
    <w:rsid w:val="00AA5537"/>
    <w:rsid w:val="00AA73FD"/>
    <w:rsid w:val="00AB2281"/>
    <w:rsid w:val="00AB2F5C"/>
    <w:rsid w:val="00AB3990"/>
    <w:rsid w:val="00AB4281"/>
    <w:rsid w:val="00AB45B7"/>
    <w:rsid w:val="00AB5017"/>
    <w:rsid w:val="00AB63C2"/>
    <w:rsid w:val="00AB6F87"/>
    <w:rsid w:val="00AB7114"/>
    <w:rsid w:val="00AB737E"/>
    <w:rsid w:val="00AC10D3"/>
    <w:rsid w:val="00AC1A30"/>
    <w:rsid w:val="00AC1F68"/>
    <w:rsid w:val="00AC20EB"/>
    <w:rsid w:val="00AC28A6"/>
    <w:rsid w:val="00AC2FD1"/>
    <w:rsid w:val="00AC37ED"/>
    <w:rsid w:val="00AC3C17"/>
    <w:rsid w:val="00AC49F0"/>
    <w:rsid w:val="00AD2CED"/>
    <w:rsid w:val="00AD2FE2"/>
    <w:rsid w:val="00AD3CC3"/>
    <w:rsid w:val="00AD47B3"/>
    <w:rsid w:val="00AD5658"/>
    <w:rsid w:val="00AD59FD"/>
    <w:rsid w:val="00AD6585"/>
    <w:rsid w:val="00AD73F0"/>
    <w:rsid w:val="00AD7D3E"/>
    <w:rsid w:val="00AE21F8"/>
    <w:rsid w:val="00AE2AE3"/>
    <w:rsid w:val="00AE3F6C"/>
    <w:rsid w:val="00AE49EA"/>
    <w:rsid w:val="00AE52A1"/>
    <w:rsid w:val="00AE6324"/>
    <w:rsid w:val="00AF21E0"/>
    <w:rsid w:val="00AF2ED6"/>
    <w:rsid w:val="00AF360B"/>
    <w:rsid w:val="00AF41BD"/>
    <w:rsid w:val="00AF468F"/>
    <w:rsid w:val="00AF54DC"/>
    <w:rsid w:val="00AF5E58"/>
    <w:rsid w:val="00AF6FB9"/>
    <w:rsid w:val="00AF709E"/>
    <w:rsid w:val="00AF7E4B"/>
    <w:rsid w:val="00B020BB"/>
    <w:rsid w:val="00B04560"/>
    <w:rsid w:val="00B04D4B"/>
    <w:rsid w:val="00B0512C"/>
    <w:rsid w:val="00B05171"/>
    <w:rsid w:val="00B053E5"/>
    <w:rsid w:val="00B075D5"/>
    <w:rsid w:val="00B07D1A"/>
    <w:rsid w:val="00B10979"/>
    <w:rsid w:val="00B10D4A"/>
    <w:rsid w:val="00B120B0"/>
    <w:rsid w:val="00B1223B"/>
    <w:rsid w:val="00B141F3"/>
    <w:rsid w:val="00B144FF"/>
    <w:rsid w:val="00B15048"/>
    <w:rsid w:val="00B1521C"/>
    <w:rsid w:val="00B158C8"/>
    <w:rsid w:val="00B16916"/>
    <w:rsid w:val="00B1735B"/>
    <w:rsid w:val="00B174C3"/>
    <w:rsid w:val="00B17950"/>
    <w:rsid w:val="00B21303"/>
    <w:rsid w:val="00B21D77"/>
    <w:rsid w:val="00B22392"/>
    <w:rsid w:val="00B2297E"/>
    <w:rsid w:val="00B24060"/>
    <w:rsid w:val="00B25E31"/>
    <w:rsid w:val="00B26B25"/>
    <w:rsid w:val="00B2724F"/>
    <w:rsid w:val="00B30249"/>
    <w:rsid w:val="00B30769"/>
    <w:rsid w:val="00B310B1"/>
    <w:rsid w:val="00B357E5"/>
    <w:rsid w:val="00B36042"/>
    <w:rsid w:val="00B360B5"/>
    <w:rsid w:val="00B379F4"/>
    <w:rsid w:val="00B37ACA"/>
    <w:rsid w:val="00B37B59"/>
    <w:rsid w:val="00B40732"/>
    <w:rsid w:val="00B40798"/>
    <w:rsid w:val="00B40DE5"/>
    <w:rsid w:val="00B411DA"/>
    <w:rsid w:val="00B4221B"/>
    <w:rsid w:val="00B4485D"/>
    <w:rsid w:val="00B453DE"/>
    <w:rsid w:val="00B4681B"/>
    <w:rsid w:val="00B46EA9"/>
    <w:rsid w:val="00B4764F"/>
    <w:rsid w:val="00B50CC1"/>
    <w:rsid w:val="00B51006"/>
    <w:rsid w:val="00B51254"/>
    <w:rsid w:val="00B5160F"/>
    <w:rsid w:val="00B52C73"/>
    <w:rsid w:val="00B54398"/>
    <w:rsid w:val="00B55FD5"/>
    <w:rsid w:val="00B56508"/>
    <w:rsid w:val="00B6002C"/>
    <w:rsid w:val="00B604FC"/>
    <w:rsid w:val="00B60F9E"/>
    <w:rsid w:val="00B61BFF"/>
    <w:rsid w:val="00B631BB"/>
    <w:rsid w:val="00B63B94"/>
    <w:rsid w:val="00B653A1"/>
    <w:rsid w:val="00B65411"/>
    <w:rsid w:val="00B65808"/>
    <w:rsid w:val="00B7222B"/>
    <w:rsid w:val="00B7229D"/>
    <w:rsid w:val="00B73D51"/>
    <w:rsid w:val="00B750E6"/>
    <w:rsid w:val="00B754D5"/>
    <w:rsid w:val="00B755F3"/>
    <w:rsid w:val="00B76B55"/>
    <w:rsid w:val="00B809B4"/>
    <w:rsid w:val="00B8240B"/>
    <w:rsid w:val="00B82942"/>
    <w:rsid w:val="00B83457"/>
    <w:rsid w:val="00B85824"/>
    <w:rsid w:val="00B85BF2"/>
    <w:rsid w:val="00B85C1D"/>
    <w:rsid w:val="00B869A7"/>
    <w:rsid w:val="00B86BA7"/>
    <w:rsid w:val="00B86C2F"/>
    <w:rsid w:val="00B874F9"/>
    <w:rsid w:val="00B87790"/>
    <w:rsid w:val="00B90DEE"/>
    <w:rsid w:val="00B92B72"/>
    <w:rsid w:val="00B93D46"/>
    <w:rsid w:val="00B97D52"/>
    <w:rsid w:val="00BA03B5"/>
    <w:rsid w:val="00BA15BB"/>
    <w:rsid w:val="00BA27F3"/>
    <w:rsid w:val="00BA3575"/>
    <w:rsid w:val="00BA3607"/>
    <w:rsid w:val="00BA37C9"/>
    <w:rsid w:val="00BA396E"/>
    <w:rsid w:val="00BA5B41"/>
    <w:rsid w:val="00BB191C"/>
    <w:rsid w:val="00BB2154"/>
    <w:rsid w:val="00BB2D5D"/>
    <w:rsid w:val="00BB3476"/>
    <w:rsid w:val="00BB410C"/>
    <w:rsid w:val="00BB7746"/>
    <w:rsid w:val="00BB775C"/>
    <w:rsid w:val="00BC054D"/>
    <w:rsid w:val="00BC193D"/>
    <w:rsid w:val="00BC3279"/>
    <w:rsid w:val="00BC3469"/>
    <w:rsid w:val="00BC43FB"/>
    <w:rsid w:val="00BC48E5"/>
    <w:rsid w:val="00BC65C0"/>
    <w:rsid w:val="00BC74D8"/>
    <w:rsid w:val="00BD1511"/>
    <w:rsid w:val="00BD1A39"/>
    <w:rsid w:val="00BD2A50"/>
    <w:rsid w:val="00BD594E"/>
    <w:rsid w:val="00BD6743"/>
    <w:rsid w:val="00BD78D9"/>
    <w:rsid w:val="00BD7D3E"/>
    <w:rsid w:val="00BE24A9"/>
    <w:rsid w:val="00BE2F76"/>
    <w:rsid w:val="00BE3917"/>
    <w:rsid w:val="00BE392A"/>
    <w:rsid w:val="00BF0669"/>
    <w:rsid w:val="00BF1A04"/>
    <w:rsid w:val="00BF35C3"/>
    <w:rsid w:val="00BF4461"/>
    <w:rsid w:val="00BF4BD5"/>
    <w:rsid w:val="00BF55B0"/>
    <w:rsid w:val="00BF7C1D"/>
    <w:rsid w:val="00C00532"/>
    <w:rsid w:val="00C0083F"/>
    <w:rsid w:val="00C00D9B"/>
    <w:rsid w:val="00C02103"/>
    <w:rsid w:val="00C02DC4"/>
    <w:rsid w:val="00C03ED3"/>
    <w:rsid w:val="00C03F02"/>
    <w:rsid w:val="00C05489"/>
    <w:rsid w:val="00C0635B"/>
    <w:rsid w:val="00C065FE"/>
    <w:rsid w:val="00C06CD8"/>
    <w:rsid w:val="00C10225"/>
    <w:rsid w:val="00C10B28"/>
    <w:rsid w:val="00C112EB"/>
    <w:rsid w:val="00C1181F"/>
    <w:rsid w:val="00C12277"/>
    <w:rsid w:val="00C12A6A"/>
    <w:rsid w:val="00C141FE"/>
    <w:rsid w:val="00C14431"/>
    <w:rsid w:val="00C14CCF"/>
    <w:rsid w:val="00C15234"/>
    <w:rsid w:val="00C15468"/>
    <w:rsid w:val="00C1723C"/>
    <w:rsid w:val="00C17B11"/>
    <w:rsid w:val="00C218F1"/>
    <w:rsid w:val="00C2190C"/>
    <w:rsid w:val="00C248BE"/>
    <w:rsid w:val="00C271A7"/>
    <w:rsid w:val="00C3004F"/>
    <w:rsid w:val="00C309DD"/>
    <w:rsid w:val="00C33B70"/>
    <w:rsid w:val="00C3559D"/>
    <w:rsid w:val="00C35AC4"/>
    <w:rsid w:val="00C35ECE"/>
    <w:rsid w:val="00C365D8"/>
    <w:rsid w:val="00C36798"/>
    <w:rsid w:val="00C3799E"/>
    <w:rsid w:val="00C4081D"/>
    <w:rsid w:val="00C43484"/>
    <w:rsid w:val="00C44302"/>
    <w:rsid w:val="00C4683E"/>
    <w:rsid w:val="00C47356"/>
    <w:rsid w:val="00C47BE2"/>
    <w:rsid w:val="00C50753"/>
    <w:rsid w:val="00C5075B"/>
    <w:rsid w:val="00C5191E"/>
    <w:rsid w:val="00C52590"/>
    <w:rsid w:val="00C52E8D"/>
    <w:rsid w:val="00C52ED7"/>
    <w:rsid w:val="00C544D8"/>
    <w:rsid w:val="00C54876"/>
    <w:rsid w:val="00C5692E"/>
    <w:rsid w:val="00C56AFA"/>
    <w:rsid w:val="00C56BD9"/>
    <w:rsid w:val="00C60578"/>
    <w:rsid w:val="00C63049"/>
    <w:rsid w:val="00C63106"/>
    <w:rsid w:val="00C632A6"/>
    <w:rsid w:val="00C63A05"/>
    <w:rsid w:val="00C63CB9"/>
    <w:rsid w:val="00C646ED"/>
    <w:rsid w:val="00C6494D"/>
    <w:rsid w:val="00C659F2"/>
    <w:rsid w:val="00C6634D"/>
    <w:rsid w:val="00C6706D"/>
    <w:rsid w:val="00C67394"/>
    <w:rsid w:val="00C67695"/>
    <w:rsid w:val="00C67FE3"/>
    <w:rsid w:val="00C70BCA"/>
    <w:rsid w:val="00C72D44"/>
    <w:rsid w:val="00C72D8C"/>
    <w:rsid w:val="00C73103"/>
    <w:rsid w:val="00C74231"/>
    <w:rsid w:val="00C74DFF"/>
    <w:rsid w:val="00C7592C"/>
    <w:rsid w:val="00C75982"/>
    <w:rsid w:val="00C75FE6"/>
    <w:rsid w:val="00C76E00"/>
    <w:rsid w:val="00C772F4"/>
    <w:rsid w:val="00C81D12"/>
    <w:rsid w:val="00C81FE6"/>
    <w:rsid w:val="00C8243B"/>
    <w:rsid w:val="00C82ACF"/>
    <w:rsid w:val="00C85740"/>
    <w:rsid w:val="00C86CBC"/>
    <w:rsid w:val="00C86F1C"/>
    <w:rsid w:val="00C87224"/>
    <w:rsid w:val="00C87647"/>
    <w:rsid w:val="00C900A9"/>
    <w:rsid w:val="00C90F1A"/>
    <w:rsid w:val="00C911C4"/>
    <w:rsid w:val="00C91862"/>
    <w:rsid w:val="00C91AFD"/>
    <w:rsid w:val="00C92CA4"/>
    <w:rsid w:val="00C936CD"/>
    <w:rsid w:val="00C94A86"/>
    <w:rsid w:val="00C94E1B"/>
    <w:rsid w:val="00C94F36"/>
    <w:rsid w:val="00C959AA"/>
    <w:rsid w:val="00C95B8B"/>
    <w:rsid w:val="00C96B4D"/>
    <w:rsid w:val="00C97854"/>
    <w:rsid w:val="00CA09BA"/>
    <w:rsid w:val="00CA0C30"/>
    <w:rsid w:val="00CA133F"/>
    <w:rsid w:val="00CA21B5"/>
    <w:rsid w:val="00CA2E4C"/>
    <w:rsid w:val="00CA4AF7"/>
    <w:rsid w:val="00CA5A72"/>
    <w:rsid w:val="00CA726D"/>
    <w:rsid w:val="00CB21CD"/>
    <w:rsid w:val="00CB2910"/>
    <w:rsid w:val="00CB2F9D"/>
    <w:rsid w:val="00CB36C9"/>
    <w:rsid w:val="00CB407C"/>
    <w:rsid w:val="00CB4403"/>
    <w:rsid w:val="00CB6CAD"/>
    <w:rsid w:val="00CC05FF"/>
    <w:rsid w:val="00CC25E1"/>
    <w:rsid w:val="00CC2909"/>
    <w:rsid w:val="00CC2D71"/>
    <w:rsid w:val="00CC3017"/>
    <w:rsid w:val="00CC38AC"/>
    <w:rsid w:val="00CC3F8D"/>
    <w:rsid w:val="00CC44C1"/>
    <w:rsid w:val="00CC5E07"/>
    <w:rsid w:val="00CC7A27"/>
    <w:rsid w:val="00CD11B1"/>
    <w:rsid w:val="00CD1D20"/>
    <w:rsid w:val="00CD6024"/>
    <w:rsid w:val="00CD60C9"/>
    <w:rsid w:val="00CD7541"/>
    <w:rsid w:val="00CD7765"/>
    <w:rsid w:val="00CE025D"/>
    <w:rsid w:val="00CE2B74"/>
    <w:rsid w:val="00CE2CD5"/>
    <w:rsid w:val="00CE3F6B"/>
    <w:rsid w:val="00CE468A"/>
    <w:rsid w:val="00CE4D06"/>
    <w:rsid w:val="00CE5045"/>
    <w:rsid w:val="00CE518A"/>
    <w:rsid w:val="00CE5D0B"/>
    <w:rsid w:val="00CE68CF"/>
    <w:rsid w:val="00CE7372"/>
    <w:rsid w:val="00CF058A"/>
    <w:rsid w:val="00CF0602"/>
    <w:rsid w:val="00CF0F2F"/>
    <w:rsid w:val="00CF139A"/>
    <w:rsid w:val="00CF169D"/>
    <w:rsid w:val="00CF3941"/>
    <w:rsid w:val="00CF4A3C"/>
    <w:rsid w:val="00CF6750"/>
    <w:rsid w:val="00D00B06"/>
    <w:rsid w:val="00D01CA0"/>
    <w:rsid w:val="00D0542B"/>
    <w:rsid w:val="00D05DBC"/>
    <w:rsid w:val="00D071AD"/>
    <w:rsid w:val="00D07617"/>
    <w:rsid w:val="00D07C97"/>
    <w:rsid w:val="00D11009"/>
    <w:rsid w:val="00D11923"/>
    <w:rsid w:val="00D11F4B"/>
    <w:rsid w:val="00D12E08"/>
    <w:rsid w:val="00D1353C"/>
    <w:rsid w:val="00D13CDF"/>
    <w:rsid w:val="00D14181"/>
    <w:rsid w:val="00D14201"/>
    <w:rsid w:val="00D143B6"/>
    <w:rsid w:val="00D169DF"/>
    <w:rsid w:val="00D17EC9"/>
    <w:rsid w:val="00D20095"/>
    <w:rsid w:val="00D20C40"/>
    <w:rsid w:val="00D20D98"/>
    <w:rsid w:val="00D22A1D"/>
    <w:rsid w:val="00D237A4"/>
    <w:rsid w:val="00D23824"/>
    <w:rsid w:val="00D23B2D"/>
    <w:rsid w:val="00D24D48"/>
    <w:rsid w:val="00D26963"/>
    <w:rsid w:val="00D27B52"/>
    <w:rsid w:val="00D27C80"/>
    <w:rsid w:val="00D30973"/>
    <w:rsid w:val="00D30D53"/>
    <w:rsid w:val="00D3111B"/>
    <w:rsid w:val="00D31343"/>
    <w:rsid w:val="00D343B4"/>
    <w:rsid w:val="00D3673E"/>
    <w:rsid w:val="00D3744B"/>
    <w:rsid w:val="00D375DC"/>
    <w:rsid w:val="00D40699"/>
    <w:rsid w:val="00D40B13"/>
    <w:rsid w:val="00D417FB"/>
    <w:rsid w:val="00D418CF"/>
    <w:rsid w:val="00D43477"/>
    <w:rsid w:val="00D44326"/>
    <w:rsid w:val="00D44358"/>
    <w:rsid w:val="00D448CA"/>
    <w:rsid w:val="00D45FF2"/>
    <w:rsid w:val="00D467F7"/>
    <w:rsid w:val="00D47248"/>
    <w:rsid w:val="00D50F52"/>
    <w:rsid w:val="00D513B6"/>
    <w:rsid w:val="00D51520"/>
    <w:rsid w:val="00D517F0"/>
    <w:rsid w:val="00D546F5"/>
    <w:rsid w:val="00D54E21"/>
    <w:rsid w:val="00D55309"/>
    <w:rsid w:val="00D55E1E"/>
    <w:rsid w:val="00D55E21"/>
    <w:rsid w:val="00D56547"/>
    <w:rsid w:val="00D56C99"/>
    <w:rsid w:val="00D57814"/>
    <w:rsid w:val="00D57A08"/>
    <w:rsid w:val="00D62EAB"/>
    <w:rsid w:val="00D63922"/>
    <w:rsid w:val="00D65137"/>
    <w:rsid w:val="00D65A8E"/>
    <w:rsid w:val="00D67399"/>
    <w:rsid w:val="00D7162D"/>
    <w:rsid w:val="00D7375C"/>
    <w:rsid w:val="00D766F1"/>
    <w:rsid w:val="00D77297"/>
    <w:rsid w:val="00D8101D"/>
    <w:rsid w:val="00D811F7"/>
    <w:rsid w:val="00D815E5"/>
    <w:rsid w:val="00D81B62"/>
    <w:rsid w:val="00D82CDF"/>
    <w:rsid w:val="00D831FE"/>
    <w:rsid w:val="00D8431D"/>
    <w:rsid w:val="00D84956"/>
    <w:rsid w:val="00D84A65"/>
    <w:rsid w:val="00D84B02"/>
    <w:rsid w:val="00D84FD7"/>
    <w:rsid w:val="00D86258"/>
    <w:rsid w:val="00D874F4"/>
    <w:rsid w:val="00D903D6"/>
    <w:rsid w:val="00D90938"/>
    <w:rsid w:val="00D95002"/>
    <w:rsid w:val="00D95610"/>
    <w:rsid w:val="00D971DC"/>
    <w:rsid w:val="00D97F67"/>
    <w:rsid w:val="00DA014A"/>
    <w:rsid w:val="00DA1170"/>
    <w:rsid w:val="00DA15F3"/>
    <w:rsid w:val="00DA3D5C"/>
    <w:rsid w:val="00DA731D"/>
    <w:rsid w:val="00DA748B"/>
    <w:rsid w:val="00DA7518"/>
    <w:rsid w:val="00DB1F7F"/>
    <w:rsid w:val="00DB24B8"/>
    <w:rsid w:val="00DB3BEC"/>
    <w:rsid w:val="00DB4A45"/>
    <w:rsid w:val="00DB4EFE"/>
    <w:rsid w:val="00DB61D9"/>
    <w:rsid w:val="00DC103F"/>
    <w:rsid w:val="00DC14D1"/>
    <w:rsid w:val="00DC1C8A"/>
    <w:rsid w:val="00DC2808"/>
    <w:rsid w:val="00DC2F88"/>
    <w:rsid w:val="00DC50F2"/>
    <w:rsid w:val="00DC65CE"/>
    <w:rsid w:val="00DC6CE9"/>
    <w:rsid w:val="00DC6FBB"/>
    <w:rsid w:val="00DC73DD"/>
    <w:rsid w:val="00DD0855"/>
    <w:rsid w:val="00DD098F"/>
    <w:rsid w:val="00DD1D75"/>
    <w:rsid w:val="00DD306B"/>
    <w:rsid w:val="00DD3967"/>
    <w:rsid w:val="00DD3B06"/>
    <w:rsid w:val="00DD47AF"/>
    <w:rsid w:val="00DD4DBB"/>
    <w:rsid w:val="00DD4DCC"/>
    <w:rsid w:val="00DD4E2D"/>
    <w:rsid w:val="00DD53DC"/>
    <w:rsid w:val="00DD746B"/>
    <w:rsid w:val="00DE0A20"/>
    <w:rsid w:val="00DE0E93"/>
    <w:rsid w:val="00DE175B"/>
    <w:rsid w:val="00DE2433"/>
    <w:rsid w:val="00DE2C94"/>
    <w:rsid w:val="00DE300F"/>
    <w:rsid w:val="00DE3060"/>
    <w:rsid w:val="00DE3D8E"/>
    <w:rsid w:val="00DE44CF"/>
    <w:rsid w:val="00DE4D89"/>
    <w:rsid w:val="00DE4DFA"/>
    <w:rsid w:val="00DE5C06"/>
    <w:rsid w:val="00DE5D32"/>
    <w:rsid w:val="00DE66A2"/>
    <w:rsid w:val="00DE67A6"/>
    <w:rsid w:val="00DE67D9"/>
    <w:rsid w:val="00DF0247"/>
    <w:rsid w:val="00DF1361"/>
    <w:rsid w:val="00DF146F"/>
    <w:rsid w:val="00DF21FF"/>
    <w:rsid w:val="00DF3901"/>
    <w:rsid w:val="00DF39E1"/>
    <w:rsid w:val="00DF3B32"/>
    <w:rsid w:val="00DF57C8"/>
    <w:rsid w:val="00DF5F42"/>
    <w:rsid w:val="00DF7E80"/>
    <w:rsid w:val="00DF7FBD"/>
    <w:rsid w:val="00E0074C"/>
    <w:rsid w:val="00E0091B"/>
    <w:rsid w:val="00E01118"/>
    <w:rsid w:val="00E03F63"/>
    <w:rsid w:val="00E041C6"/>
    <w:rsid w:val="00E04E3A"/>
    <w:rsid w:val="00E053A2"/>
    <w:rsid w:val="00E05D34"/>
    <w:rsid w:val="00E1048E"/>
    <w:rsid w:val="00E111AD"/>
    <w:rsid w:val="00E11662"/>
    <w:rsid w:val="00E12FFB"/>
    <w:rsid w:val="00E142B1"/>
    <w:rsid w:val="00E1497D"/>
    <w:rsid w:val="00E15509"/>
    <w:rsid w:val="00E15689"/>
    <w:rsid w:val="00E16759"/>
    <w:rsid w:val="00E215EB"/>
    <w:rsid w:val="00E22303"/>
    <w:rsid w:val="00E2291B"/>
    <w:rsid w:val="00E25D6D"/>
    <w:rsid w:val="00E25F98"/>
    <w:rsid w:val="00E26F3C"/>
    <w:rsid w:val="00E30B42"/>
    <w:rsid w:val="00E32ABE"/>
    <w:rsid w:val="00E32F87"/>
    <w:rsid w:val="00E3426F"/>
    <w:rsid w:val="00E34347"/>
    <w:rsid w:val="00E34D7C"/>
    <w:rsid w:val="00E36B76"/>
    <w:rsid w:val="00E40092"/>
    <w:rsid w:val="00E416DB"/>
    <w:rsid w:val="00E41AAE"/>
    <w:rsid w:val="00E42718"/>
    <w:rsid w:val="00E44876"/>
    <w:rsid w:val="00E4555D"/>
    <w:rsid w:val="00E46C91"/>
    <w:rsid w:val="00E46E86"/>
    <w:rsid w:val="00E475E1"/>
    <w:rsid w:val="00E47C3B"/>
    <w:rsid w:val="00E52A7C"/>
    <w:rsid w:val="00E53AB7"/>
    <w:rsid w:val="00E543A2"/>
    <w:rsid w:val="00E5727D"/>
    <w:rsid w:val="00E60443"/>
    <w:rsid w:val="00E604D6"/>
    <w:rsid w:val="00E61F47"/>
    <w:rsid w:val="00E633DC"/>
    <w:rsid w:val="00E643BE"/>
    <w:rsid w:val="00E645C1"/>
    <w:rsid w:val="00E662D5"/>
    <w:rsid w:val="00E67D91"/>
    <w:rsid w:val="00E70600"/>
    <w:rsid w:val="00E707E4"/>
    <w:rsid w:val="00E72A0D"/>
    <w:rsid w:val="00E7477D"/>
    <w:rsid w:val="00E763AD"/>
    <w:rsid w:val="00E800DD"/>
    <w:rsid w:val="00E80D38"/>
    <w:rsid w:val="00E81C25"/>
    <w:rsid w:val="00E839CA"/>
    <w:rsid w:val="00E83B77"/>
    <w:rsid w:val="00E846B7"/>
    <w:rsid w:val="00E84A2A"/>
    <w:rsid w:val="00E85F32"/>
    <w:rsid w:val="00E86099"/>
    <w:rsid w:val="00E860F9"/>
    <w:rsid w:val="00E86A4B"/>
    <w:rsid w:val="00E87579"/>
    <w:rsid w:val="00E87949"/>
    <w:rsid w:val="00E90E30"/>
    <w:rsid w:val="00E90E8D"/>
    <w:rsid w:val="00E91AC5"/>
    <w:rsid w:val="00E91C0F"/>
    <w:rsid w:val="00E91EB2"/>
    <w:rsid w:val="00E9208E"/>
    <w:rsid w:val="00E92B17"/>
    <w:rsid w:val="00E94A4D"/>
    <w:rsid w:val="00E95280"/>
    <w:rsid w:val="00E95700"/>
    <w:rsid w:val="00E9576A"/>
    <w:rsid w:val="00E9665E"/>
    <w:rsid w:val="00E966DB"/>
    <w:rsid w:val="00EA0302"/>
    <w:rsid w:val="00EA132F"/>
    <w:rsid w:val="00EA1FCC"/>
    <w:rsid w:val="00EA2E30"/>
    <w:rsid w:val="00EA3472"/>
    <w:rsid w:val="00EA403B"/>
    <w:rsid w:val="00EA72A8"/>
    <w:rsid w:val="00EA74E2"/>
    <w:rsid w:val="00EB269E"/>
    <w:rsid w:val="00EB2891"/>
    <w:rsid w:val="00EB33E2"/>
    <w:rsid w:val="00EB3979"/>
    <w:rsid w:val="00EB40CE"/>
    <w:rsid w:val="00EB4EBA"/>
    <w:rsid w:val="00EB5965"/>
    <w:rsid w:val="00EB5FB3"/>
    <w:rsid w:val="00EC1AFA"/>
    <w:rsid w:val="00EC6E27"/>
    <w:rsid w:val="00EC7B7F"/>
    <w:rsid w:val="00ED096B"/>
    <w:rsid w:val="00ED20D7"/>
    <w:rsid w:val="00ED3022"/>
    <w:rsid w:val="00ED3360"/>
    <w:rsid w:val="00ED33DC"/>
    <w:rsid w:val="00ED5AAE"/>
    <w:rsid w:val="00EE3BE5"/>
    <w:rsid w:val="00EE4861"/>
    <w:rsid w:val="00EE7389"/>
    <w:rsid w:val="00EE7BB5"/>
    <w:rsid w:val="00EF2F1F"/>
    <w:rsid w:val="00EF3D64"/>
    <w:rsid w:val="00EF4557"/>
    <w:rsid w:val="00EF54EF"/>
    <w:rsid w:val="00EF5A7F"/>
    <w:rsid w:val="00EF65F9"/>
    <w:rsid w:val="00EF6866"/>
    <w:rsid w:val="00EF6CFB"/>
    <w:rsid w:val="00F00674"/>
    <w:rsid w:val="00F02D77"/>
    <w:rsid w:val="00F053B3"/>
    <w:rsid w:val="00F05824"/>
    <w:rsid w:val="00F07872"/>
    <w:rsid w:val="00F10668"/>
    <w:rsid w:val="00F10D88"/>
    <w:rsid w:val="00F11122"/>
    <w:rsid w:val="00F1130C"/>
    <w:rsid w:val="00F117D3"/>
    <w:rsid w:val="00F13C5B"/>
    <w:rsid w:val="00F13F7F"/>
    <w:rsid w:val="00F15864"/>
    <w:rsid w:val="00F163C9"/>
    <w:rsid w:val="00F2114F"/>
    <w:rsid w:val="00F214B4"/>
    <w:rsid w:val="00F216FC"/>
    <w:rsid w:val="00F22230"/>
    <w:rsid w:val="00F23793"/>
    <w:rsid w:val="00F240BC"/>
    <w:rsid w:val="00F2523D"/>
    <w:rsid w:val="00F2614E"/>
    <w:rsid w:val="00F27090"/>
    <w:rsid w:val="00F27B93"/>
    <w:rsid w:val="00F30C7A"/>
    <w:rsid w:val="00F31D31"/>
    <w:rsid w:val="00F34C0F"/>
    <w:rsid w:val="00F34EC6"/>
    <w:rsid w:val="00F3509E"/>
    <w:rsid w:val="00F367F5"/>
    <w:rsid w:val="00F373AB"/>
    <w:rsid w:val="00F37C5C"/>
    <w:rsid w:val="00F37FF3"/>
    <w:rsid w:val="00F40D3A"/>
    <w:rsid w:val="00F4172B"/>
    <w:rsid w:val="00F41C96"/>
    <w:rsid w:val="00F42F33"/>
    <w:rsid w:val="00F4303A"/>
    <w:rsid w:val="00F437DF"/>
    <w:rsid w:val="00F4463D"/>
    <w:rsid w:val="00F44767"/>
    <w:rsid w:val="00F448CD"/>
    <w:rsid w:val="00F46B76"/>
    <w:rsid w:val="00F46DA8"/>
    <w:rsid w:val="00F47AD1"/>
    <w:rsid w:val="00F47E33"/>
    <w:rsid w:val="00F51A0E"/>
    <w:rsid w:val="00F522D5"/>
    <w:rsid w:val="00F52E59"/>
    <w:rsid w:val="00F543F2"/>
    <w:rsid w:val="00F54611"/>
    <w:rsid w:val="00F547C1"/>
    <w:rsid w:val="00F54848"/>
    <w:rsid w:val="00F6065A"/>
    <w:rsid w:val="00F627DE"/>
    <w:rsid w:val="00F62A6D"/>
    <w:rsid w:val="00F62B09"/>
    <w:rsid w:val="00F6354D"/>
    <w:rsid w:val="00F63DC1"/>
    <w:rsid w:val="00F651B3"/>
    <w:rsid w:val="00F65346"/>
    <w:rsid w:val="00F65933"/>
    <w:rsid w:val="00F65D5B"/>
    <w:rsid w:val="00F66D03"/>
    <w:rsid w:val="00F67013"/>
    <w:rsid w:val="00F70BC4"/>
    <w:rsid w:val="00F718B5"/>
    <w:rsid w:val="00F71E34"/>
    <w:rsid w:val="00F733DE"/>
    <w:rsid w:val="00F7370D"/>
    <w:rsid w:val="00F74F46"/>
    <w:rsid w:val="00F75336"/>
    <w:rsid w:val="00F808F2"/>
    <w:rsid w:val="00F83F67"/>
    <w:rsid w:val="00F843E1"/>
    <w:rsid w:val="00F8457F"/>
    <w:rsid w:val="00F86392"/>
    <w:rsid w:val="00F90F54"/>
    <w:rsid w:val="00F919F1"/>
    <w:rsid w:val="00F921CF"/>
    <w:rsid w:val="00F9400F"/>
    <w:rsid w:val="00F9580E"/>
    <w:rsid w:val="00F95C21"/>
    <w:rsid w:val="00F962EB"/>
    <w:rsid w:val="00F97B45"/>
    <w:rsid w:val="00FA3066"/>
    <w:rsid w:val="00FA3892"/>
    <w:rsid w:val="00FA4BBA"/>
    <w:rsid w:val="00FA6590"/>
    <w:rsid w:val="00FA7BFC"/>
    <w:rsid w:val="00FA7C98"/>
    <w:rsid w:val="00FB08A4"/>
    <w:rsid w:val="00FB0EA8"/>
    <w:rsid w:val="00FB2237"/>
    <w:rsid w:val="00FB2405"/>
    <w:rsid w:val="00FB2ACC"/>
    <w:rsid w:val="00FB37BA"/>
    <w:rsid w:val="00FB5011"/>
    <w:rsid w:val="00FB59C4"/>
    <w:rsid w:val="00FB7263"/>
    <w:rsid w:val="00FC158E"/>
    <w:rsid w:val="00FC20A1"/>
    <w:rsid w:val="00FC22EE"/>
    <w:rsid w:val="00FC2480"/>
    <w:rsid w:val="00FC6E4B"/>
    <w:rsid w:val="00FC734F"/>
    <w:rsid w:val="00FC7759"/>
    <w:rsid w:val="00FD090F"/>
    <w:rsid w:val="00FD1659"/>
    <w:rsid w:val="00FD1A48"/>
    <w:rsid w:val="00FD1AF6"/>
    <w:rsid w:val="00FD219A"/>
    <w:rsid w:val="00FD35D0"/>
    <w:rsid w:val="00FD42B2"/>
    <w:rsid w:val="00FD47E7"/>
    <w:rsid w:val="00FD51C6"/>
    <w:rsid w:val="00FD6BB9"/>
    <w:rsid w:val="00FD6D01"/>
    <w:rsid w:val="00FD6E12"/>
    <w:rsid w:val="00FE02D4"/>
    <w:rsid w:val="00FE1535"/>
    <w:rsid w:val="00FE22E4"/>
    <w:rsid w:val="00FE42F0"/>
    <w:rsid w:val="00FE4437"/>
    <w:rsid w:val="00FE5538"/>
    <w:rsid w:val="00FE62A0"/>
    <w:rsid w:val="00FE63C5"/>
    <w:rsid w:val="00FE6955"/>
    <w:rsid w:val="00FE6B0D"/>
    <w:rsid w:val="00FE719D"/>
    <w:rsid w:val="00FF0494"/>
    <w:rsid w:val="00FF07E8"/>
    <w:rsid w:val="00FF0C0D"/>
    <w:rsid w:val="00FF22EE"/>
    <w:rsid w:val="00FF401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7043AA-203F-49F2-893A-3B6EF67E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6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04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C10BD"/>
    <w:rPr>
      <w:sz w:val="16"/>
      <w:szCs w:val="16"/>
    </w:rPr>
  </w:style>
  <w:style w:type="paragraph" w:styleId="a5">
    <w:name w:val="annotation text"/>
    <w:basedOn w:val="a"/>
    <w:semiHidden/>
    <w:rsid w:val="007C10BD"/>
    <w:rPr>
      <w:sz w:val="20"/>
      <w:szCs w:val="20"/>
    </w:rPr>
  </w:style>
  <w:style w:type="paragraph" w:styleId="a6">
    <w:name w:val="annotation subject"/>
    <w:basedOn w:val="a5"/>
    <w:next w:val="a5"/>
    <w:semiHidden/>
    <w:rsid w:val="007C10BD"/>
    <w:rPr>
      <w:b/>
      <w:bCs/>
    </w:rPr>
  </w:style>
  <w:style w:type="paragraph" w:styleId="a7">
    <w:name w:val="Balloon Text"/>
    <w:basedOn w:val="a"/>
    <w:semiHidden/>
    <w:rsid w:val="007C10BD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7C10BD"/>
    <w:rPr>
      <w:sz w:val="20"/>
      <w:szCs w:val="20"/>
    </w:rPr>
  </w:style>
  <w:style w:type="character" w:styleId="aa">
    <w:name w:val="footnote reference"/>
    <w:rsid w:val="007C10BD"/>
    <w:rPr>
      <w:vertAlign w:val="superscript"/>
    </w:rPr>
  </w:style>
  <w:style w:type="paragraph" w:customStyle="1" w:styleId="ab">
    <w:name w:val="Знак"/>
    <w:basedOn w:val="a"/>
    <w:next w:val="2"/>
    <w:autoRedefine/>
    <w:rsid w:val="00E04E3A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ac">
    <w:name w:val="Body Text Indent"/>
    <w:basedOn w:val="a"/>
    <w:link w:val="ad"/>
    <w:rsid w:val="002B692B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sid w:val="002B692B"/>
    <w:rPr>
      <w:sz w:val="28"/>
    </w:rPr>
  </w:style>
  <w:style w:type="character" w:customStyle="1" w:styleId="postbody1">
    <w:name w:val="postbody1"/>
    <w:rsid w:val="00033FF5"/>
    <w:rPr>
      <w:color w:val="000000"/>
      <w:sz w:val="22"/>
      <w:szCs w:val="22"/>
      <w:shd w:val="clear" w:color="auto" w:fill="auto"/>
    </w:rPr>
  </w:style>
  <w:style w:type="character" w:styleId="ae">
    <w:name w:val="Hyperlink"/>
    <w:rsid w:val="006B7DD9"/>
    <w:rPr>
      <w:color w:val="0000FF"/>
      <w:u w:val="single"/>
    </w:rPr>
  </w:style>
  <w:style w:type="character" w:customStyle="1" w:styleId="paragraph1">
    <w:name w:val="paragraph1"/>
    <w:rsid w:val="006B7DD9"/>
    <w:rPr>
      <w:rFonts w:ascii="Arial" w:hAnsi="Arial" w:cs="Arial" w:hint="default"/>
      <w:sz w:val="20"/>
      <w:szCs w:val="20"/>
    </w:rPr>
  </w:style>
  <w:style w:type="character" w:customStyle="1" w:styleId="s0">
    <w:name w:val="s0"/>
    <w:rsid w:val="00A21B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">
    <w:name w:val="FollowedHyperlink"/>
    <w:rsid w:val="006D5FEB"/>
    <w:rPr>
      <w:color w:val="800080"/>
      <w:u w:val="single"/>
    </w:rPr>
  </w:style>
  <w:style w:type="paragraph" w:styleId="af0">
    <w:name w:val="endnote text"/>
    <w:basedOn w:val="a"/>
    <w:link w:val="af1"/>
    <w:rsid w:val="00CD1D2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CD1D20"/>
  </w:style>
  <w:style w:type="character" w:styleId="af2">
    <w:name w:val="endnote reference"/>
    <w:rsid w:val="00CD1D20"/>
    <w:rPr>
      <w:vertAlign w:val="superscript"/>
    </w:rPr>
  </w:style>
  <w:style w:type="character" w:customStyle="1" w:styleId="a9">
    <w:name w:val="Текст сноски Знак"/>
    <w:link w:val="a8"/>
    <w:rsid w:val="0017012D"/>
  </w:style>
  <w:style w:type="character" w:customStyle="1" w:styleId="textblock2nomargin2">
    <w:name w:val="textblock2_nomargin2"/>
    <w:rsid w:val="00B869A7"/>
    <w:rPr>
      <w:b w:val="0"/>
      <w:bCs w:val="0"/>
      <w:vanish w:val="0"/>
      <w:webHidden w:val="0"/>
      <w:sz w:val="20"/>
      <w:szCs w:val="20"/>
      <w:shd w:val="clear" w:color="auto" w:fill="FFFFFF"/>
      <w:specVanish w:val="0"/>
    </w:rPr>
  </w:style>
  <w:style w:type="character" w:styleId="af3">
    <w:name w:val="Strong"/>
    <w:uiPriority w:val="22"/>
    <w:qFormat/>
    <w:rsid w:val="00C91AFD"/>
    <w:rPr>
      <w:b/>
      <w:bCs/>
    </w:rPr>
  </w:style>
  <w:style w:type="character" w:styleId="af4">
    <w:name w:val="Emphasis"/>
    <w:uiPriority w:val="20"/>
    <w:qFormat/>
    <w:rsid w:val="00DD3967"/>
    <w:rPr>
      <w:b/>
      <w:bCs/>
      <w:i w:val="0"/>
      <w:iCs w:val="0"/>
    </w:rPr>
  </w:style>
  <w:style w:type="character" w:customStyle="1" w:styleId="st">
    <w:name w:val="st"/>
    <w:rsid w:val="00DD3967"/>
  </w:style>
  <w:style w:type="paragraph" w:styleId="3">
    <w:name w:val="Body Text 3"/>
    <w:basedOn w:val="a"/>
    <w:link w:val="30"/>
    <w:rsid w:val="00F237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23793"/>
    <w:rPr>
      <w:sz w:val="16"/>
      <w:szCs w:val="16"/>
    </w:rPr>
  </w:style>
  <w:style w:type="paragraph" w:styleId="31">
    <w:name w:val="Body Text Indent 3"/>
    <w:basedOn w:val="a"/>
    <w:link w:val="32"/>
    <w:rsid w:val="00F237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23793"/>
    <w:rPr>
      <w:sz w:val="16"/>
      <w:szCs w:val="16"/>
    </w:rPr>
  </w:style>
  <w:style w:type="paragraph" w:customStyle="1" w:styleId="af5">
    <w:name w:val=" Знак"/>
    <w:basedOn w:val="a"/>
    <w:link w:val="a0"/>
    <w:autoRedefine/>
    <w:rsid w:val="00F23793"/>
    <w:pPr>
      <w:spacing w:after="160" w:line="240" w:lineRule="exact"/>
    </w:pPr>
    <w:rPr>
      <w:sz w:val="28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1B1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1B1E71"/>
  </w:style>
  <w:style w:type="paragraph" w:customStyle="1" w:styleId="af7">
    <w:name w:val=" Знак Знак Знак Знак"/>
    <w:basedOn w:val="a"/>
    <w:autoRedefine/>
    <w:rsid w:val="009E7F9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0B63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8">
    <w:name w:val="header"/>
    <w:basedOn w:val="a"/>
    <w:link w:val="af9"/>
    <w:uiPriority w:val="99"/>
    <w:rsid w:val="00F4172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F4172B"/>
    <w:rPr>
      <w:sz w:val="24"/>
      <w:szCs w:val="24"/>
    </w:rPr>
  </w:style>
  <w:style w:type="paragraph" w:styleId="afa">
    <w:name w:val="footer"/>
    <w:basedOn w:val="a"/>
    <w:link w:val="afb"/>
    <w:rsid w:val="00F4172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F4172B"/>
    <w:rPr>
      <w:sz w:val="24"/>
      <w:szCs w:val="24"/>
    </w:rPr>
  </w:style>
  <w:style w:type="paragraph" w:customStyle="1" w:styleId="11">
    <w:name w:val="Обычный1"/>
    <w:rsid w:val="00C544D8"/>
    <w:pPr>
      <w:widowControl w:val="0"/>
      <w:autoSpaceDE w:val="0"/>
      <w:autoSpaceDN w:val="0"/>
    </w:pPr>
  </w:style>
  <w:style w:type="paragraph" w:styleId="afc">
    <w:name w:val="No Spacing"/>
    <w:link w:val="afd"/>
    <w:uiPriority w:val="1"/>
    <w:qFormat/>
    <w:rsid w:val="00D07617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D0761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79644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533">
              <w:marLeft w:val="375"/>
              <w:marRight w:val="375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155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1C7C6"/>
                            <w:left w:val="single" w:sz="6" w:space="7" w:color="C1C7C6"/>
                            <w:bottom w:val="single" w:sz="6" w:space="7" w:color="C1C7C6"/>
                            <w:right w:val="single" w:sz="6" w:space="7" w:color="C1C7C6"/>
                          </w:divBdr>
                        </w:div>
                      </w:divsChild>
                    </w:div>
                    <w:div w:id="10304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F%D0%BB%D0%B0%D1%82%D1%91%D0%B6" TargetMode="Externa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fontTable" Target="fontTable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4%D0%B5%D0%BD%D0%B5%D0%B6%D0%BD%D1%8B%D0%B5_%D0%BF%D0%B5%D1%80%D0%B5%D0%B2%D0%BE%D0%B4%D1%8B" TargetMode="Externa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"/>
      <c:hPercent val="35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550632911392405"/>
          <c:y val="3.6363636363636362E-2"/>
          <c:w val="0.84493670886075944"/>
          <c:h val="0.5863636363636363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 территории РК </c:v>
                </c:pt>
              </c:strCache>
            </c:strRef>
          </c:tx>
          <c:spPr>
            <a:solidFill>
              <a:srgbClr val="A0E0E0"/>
            </a:solidFill>
            <a:ln w="25400">
              <a:solidFill>
                <a:srgbClr val="000080"/>
              </a:solidFill>
              <a:prstDash val="solid"/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I кв. 2012</c:v>
                </c:pt>
                <c:pt idx="1">
                  <c:v>II кв. 2012</c:v>
                </c:pt>
                <c:pt idx="2">
                  <c:v>III кв. 2012</c:v>
                </c:pt>
                <c:pt idx="3">
                  <c:v>IV кв. 2012</c:v>
                </c:pt>
                <c:pt idx="4">
                  <c:v>I кв. 2013</c:v>
                </c:pt>
                <c:pt idx="5">
                  <c:v>II кв. 2013</c:v>
                </c:pt>
                <c:pt idx="6">
                  <c:v>III кв. 2013+окт.13</c:v>
                </c:pt>
              </c:strCache>
            </c:strRef>
          </c:cat>
          <c:val>
            <c:numRef>
              <c:f>Sheet1!$B$2:$B$8</c:f>
              <c:numCache>
                <c:formatCode>#\ ##0.0</c:formatCode>
                <c:ptCount val="7"/>
                <c:pt idx="0">
                  <c:v>7043</c:v>
                </c:pt>
                <c:pt idx="1">
                  <c:v>8342.1</c:v>
                </c:pt>
                <c:pt idx="2">
                  <c:v>16847.3</c:v>
                </c:pt>
                <c:pt idx="3">
                  <c:v>11858.1</c:v>
                </c:pt>
                <c:pt idx="4">
                  <c:v>7766.7</c:v>
                </c:pt>
                <c:pt idx="5">
                  <c:v>9676.1</c:v>
                </c:pt>
                <c:pt idx="6">
                  <c:v>14040.2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CF-4C06-ACFA-1223AF2E79E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Отправленные за рубеж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I кв. 2012</c:v>
                </c:pt>
                <c:pt idx="1">
                  <c:v>II кв. 2012</c:v>
                </c:pt>
                <c:pt idx="2">
                  <c:v>III кв. 2012</c:v>
                </c:pt>
                <c:pt idx="3">
                  <c:v>IV кв. 2012</c:v>
                </c:pt>
                <c:pt idx="4">
                  <c:v>I кв. 2013</c:v>
                </c:pt>
                <c:pt idx="5">
                  <c:v>II кв. 2013</c:v>
                </c:pt>
                <c:pt idx="6">
                  <c:v>III кв. 2013+окт.13</c:v>
                </c:pt>
              </c:strCache>
            </c:strRef>
          </c:cat>
          <c:val>
            <c:numRef>
              <c:f>Sheet1!$C$2:$C$8</c:f>
              <c:numCache>
                <c:formatCode>#\ ##0.0</c:formatCode>
                <c:ptCount val="7"/>
                <c:pt idx="0">
                  <c:v>37239.199999999997</c:v>
                </c:pt>
                <c:pt idx="1">
                  <c:v>49615.3</c:v>
                </c:pt>
                <c:pt idx="2">
                  <c:v>59219.1</c:v>
                </c:pt>
                <c:pt idx="3">
                  <c:v>58200.6</c:v>
                </c:pt>
                <c:pt idx="4">
                  <c:v>42519.6</c:v>
                </c:pt>
                <c:pt idx="5">
                  <c:v>60361.9</c:v>
                </c:pt>
                <c:pt idx="6">
                  <c:v>93880.3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CF-4C06-ACFA-1223AF2E79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9292000"/>
        <c:axId val="1"/>
        <c:axId val="0"/>
      </c:bar3DChart>
      <c:catAx>
        <c:axId val="4292920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тенге</a:t>
                </a:r>
              </a:p>
            </c:rich>
          </c:tx>
          <c:layout>
            <c:manualLayout>
              <c:xMode val="edge"/>
              <c:yMode val="edge"/>
              <c:x val="5.0632911392405063E-2"/>
              <c:y val="0.0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0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9292000"/>
        <c:crosses val="autoZero"/>
        <c:crossBetween val="between"/>
        <c:majorUnit val="20000"/>
        <c:minorUnit val="200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895424836601302E-2"/>
          <c:y val="0.1641025641025641"/>
          <c:w val="0.85620915032679734"/>
          <c:h val="0.53333333333333333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A04-4197-B950-8873647A6FB7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A04-4197-B950-8873647A6FB7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A04-4197-B950-8873647A6FB7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A04-4197-B950-8873647A6FB7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A04-4197-B950-8873647A6FB7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A04-4197-B950-8873647A6FB7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A04-4197-B950-8873647A6FB7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A04-4197-B950-8873647A6FB7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76470588235294112"/>
                  <c:y val="0.64102564102564108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04-4197-B950-8873647A6FB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"/>
                  <c:y val="8.2051282051282051E-2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04-4197-B950-8873647A6FB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2549019607843138"/>
                  <c:y val="1.0256410256410256E-2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04-4197-B950-8873647A6FB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42156862745098039"/>
                  <c:y val="0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04-4197-B950-8873647A6FB7}"/>
                </c:ext>
              </c:extLst>
            </c:dLbl>
            <c:dLbl>
              <c:idx val="4"/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04-4197-B950-8873647A6FB7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62745098039215685"/>
                  <c:y val="7.6923076923076927E-2"/>
                </c:manualLayout>
              </c:layout>
              <c:numFmt formatCode="0.0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04-4197-B950-8873647A6FB7}"/>
                </c:ext>
              </c:extLst>
            </c:dLbl>
            <c:numFmt formatCode="0.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USD</c:v>
                </c:pt>
                <c:pt idx="1">
                  <c:v>RUB</c:v>
                </c:pt>
                <c:pt idx="2">
                  <c:v>KZT</c:v>
                </c:pt>
                <c:pt idx="3">
                  <c:v>EUR</c:v>
                </c:pt>
                <c:pt idx="4">
                  <c:v>Прочие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924.8</c:v>
                </c:pt>
                <c:pt idx="1">
                  <c:v>456.3</c:v>
                </c:pt>
                <c:pt idx="2">
                  <c:v>81.599999999999994</c:v>
                </c:pt>
                <c:pt idx="3">
                  <c:v>8.4</c:v>
                </c:pt>
                <c:pt idx="4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A04-4197-B950-8873647A6FB7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5359477124183007"/>
          <c:y val="0.87692307692307692"/>
          <c:w val="0.78104575163398693"/>
          <c:h val="0.1282051282051281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825503355704702E-2"/>
          <c:y val="0.16315789473684211"/>
          <c:w val="0.8523489932885906"/>
          <c:h val="0.53157894736842104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FBE6-4DEC-9A4F-766CB4BF9947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BE6-4DEC-9A4F-766CB4BF9947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BE6-4DEC-9A4F-766CB4BF9947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BE6-4DEC-9A4F-766CB4BF9947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FBE6-4DEC-9A4F-766CB4BF9947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BE6-4DEC-9A4F-766CB4BF9947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BE6-4DEC-9A4F-766CB4BF9947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BE6-4DEC-9A4F-766CB4BF9947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67449664429530198"/>
                  <c:y val="0.67368421052631577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6-4DEC-9A4F-766CB4BF994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"/>
                  <c:y val="4.2105263157894736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6-4DEC-9A4F-766CB4BF994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7785234899328858"/>
                  <c:y val="5.263157894736842E-3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6-4DEC-9A4F-766CB4BF994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41946308724832215"/>
                  <c:y val="0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6-4DEC-9A4F-766CB4BF994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5771812080536918"/>
                  <c:y val="1.5789473684210527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6-4DEC-9A4F-766CB4BF9947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USD</c:v>
                </c:pt>
                <c:pt idx="1">
                  <c:v>RUB</c:v>
                </c:pt>
                <c:pt idx="2">
                  <c:v>KZT</c:v>
                </c:pt>
                <c:pt idx="3">
                  <c:v>EUR</c:v>
                </c:pt>
                <c:pt idx="4">
                  <c:v>Прочие</c:v>
                </c:pt>
              </c:strCache>
            </c:strRef>
          </c:cat>
          <c:val>
            <c:numRef>
              <c:f>Sheet1!$B$2:$B$6</c:f>
              <c:numCache>
                <c:formatCode>#,##0.00</c:formatCode>
                <c:ptCount val="5"/>
                <c:pt idx="0">
                  <c:v>145302.97</c:v>
                </c:pt>
                <c:pt idx="1">
                  <c:v>42356.98</c:v>
                </c:pt>
                <c:pt idx="2">
                  <c:v>6406.77</c:v>
                </c:pt>
                <c:pt idx="3">
                  <c:v>2196.38</c:v>
                </c:pt>
                <c:pt idx="4" formatCode="General">
                  <c:v>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BE6-4DEC-9A4F-766CB4BF9947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0.14429530201342283"/>
          <c:y val="0.87368421052631584"/>
          <c:w val="0.80201342281879195"/>
          <c:h val="0.1315789473684210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190332326283989"/>
          <c:y val="5.2631578947368418E-2"/>
          <c:w val="0.49546827794561932"/>
          <c:h val="0.49624060150375937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8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B4CC-4A4D-A7C2-1BE3D413D7E4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B4CC-4A4D-A7C2-1BE3D413D7E4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B4CC-4A4D-A7C2-1BE3D413D7E4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B4CC-4A4D-A7C2-1BE3D413D7E4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B4CC-4A4D-A7C2-1BE3D413D7E4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B4CC-4A4D-A7C2-1BE3D413D7E4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B4CC-4A4D-A7C2-1BE3D413D7E4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8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B4CC-4A4D-A7C2-1BE3D413D7E4}"/>
              </c:ext>
            </c:extLst>
          </c:dPt>
          <c:dLbls>
            <c:dLbl>
              <c:idx val="0"/>
              <c:numFmt formatCode="0.0%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CC-4A4D-A7C2-1BE3D413D7E4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14803625377643503"/>
                  <c:y val="0.36090225563909772"/>
                </c:manualLayout>
              </c:layout>
              <c:numFmt formatCode="0.0%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CC-4A4D-A7C2-1BE3D413D7E4}"/>
                </c:ext>
              </c:extLst>
            </c:dLbl>
            <c:numFmt formatCode="0.0%" sourceLinked="0"/>
            <c:spPr>
              <a:noFill/>
              <a:ln w="2539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Российская Федерация</c:v>
                </c:pt>
                <c:pt idx="1">
                  <c:v>Кыргызстан</c:v>
                </c:pt>
                <c:pt idx="2">
                  <c:v>Германия</c:v>
                </c:pt>
                <c:pt idx="3">
                  <c:v>Узбекистан</c:v>
                </c:pt>
                <c:pt idx="4">
                  <c:v>Китай</c:v>
                </c:pt>
                <c:pt idx="5">
                  <c:v>Прочие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#,##0.00">
                  <c:v>1740.84</c:v>
                </c:pt>
                <c:pt idx="1">
                  <c:v>926.13</c:v>
                </c:pt>
                <c:pt idx="2">
                  <c:v>658.36</c:v>
                </c:pt>
                <c:pt idx="3">
                  <c:v>447.85</c:v>
                </c:pt>
                <c:pt idx="4">
                  <c:v>315.58999999999997</c:v>
                </c:pt>
                <c:pt idx="5" formatCode="#,##0.00">
                  <c:v>1616.04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CC-4A4D-A7C2-1BE3D413D7E4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0"/>
          <c:y val="0.72180451127819545"/>
          <c:w val="1"/>
          <c:h val="0.285714285714285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846153846153845"/>
          <c:y val="0.17948717948717949"/>
          <c:w val="0.63384615384615384"/>
          <c:h val="0.52564102564102566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CC21-40CC-9D9D-4197AFC73A3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CC21-40CC-9D9D-4197AFC73A35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C21-40CC-9D9D-4197AFC73A35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CC21-40CC-9D9D-4197AFC73A35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CC21-40CC-9D9D-4197AFC73A35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CC21-40CC-9D9D-4197AFC73A35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C21-40CC-9D9D-4197AFC73A35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CC21-40CC-9D9D-4197AFC73A35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63692307692307693"/>
                  <c:y val="0.61538461538461542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21-40CC-9D9D-4197AFC73A3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8.615384615384615E-2"/>
                  <c:y val="9.6153846153846159E-2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21-40CC-9D9D-4197AFC73A35}"/>
                </c:ext>
              </c:extLst>
            </c:dLbl>
            <c:dLbl>
              <c:idx val="2"/>
              <c:numFmt formatCode="0.0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CC21-40CC-9D9D-4197AFC73A35}"/>
                </c:ext>
              </c:extLst>
            </c:dLbl>
            <c:dLbl>
              <c:idx val="4"/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21-40CC-9D9D-4197AFC73A35}"/>
                </c:ext>
              </c:extLst>
            </c:dLbl>
            <c:numFmt formatCode="0.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Western Union</c:v>
                </c:pt>
                <c:pt idx="1">
                  <c:v>Faster</c:v>
                </c:pt>
                <c:pt idx="2">
                  <c:v>Юнистрим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 formatCode="#,##0.00">
                  <c:v>4898.99</c:v>
                </c:pt>
                <c:pt idx="1">
                  <c:v>804.45</c:v>
                </c:pt>
                <c:pt idx="2">
                  <c:v>1.38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C21-40CC-9D9D-4197AFC73A35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7.6923076923076927E-2"/>
          <c:y val="0.82051282051282048"/>
          <c:w val="0.8584615384615385"/>
          <c:h val="0.185897435897435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274725274725274"/>
          <c:y val="5.909090909090909E-2"/>
          <c:w val="0.66562009419152279"/>
          <c:h val="0.695454545454545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Объем переводов (млрд. тенге)</c:v>
                </c:pt>
              </c:strCache>
            </c:strRef>
          </c:tx>
          <c:spPr>
            <a:solidFill>
              <a:srgbClr val="A0E0E0"/>
            </a:solidFill>
            <a:ln w="25399">
              <a:solidFill>
                <a:srgbClr val="000080"/>
              </a:solidFill>
              <a:prstDash val="solid"/>
            </a:ln>
          </c:spPr>
          <c:invertIfNegative val="0"/>
          <c:cat>
            <c:numRef>
              <c:f>Sheet1!$A$2:$A$23</c:f>
              <c:numCache>
                <c:formatCode>mmm\-yy</c:formatCode>
                <c:ptCount val="22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</c:numCache>
            </c:numRef>
          </c:cat>
          <c:val>
            <c:numRef>
              <c:f>Sheet1!$B$2:$B$23</c:f>
              <c:numCache>
                <c:formatCode>0.0</c:formatCode>
                <c:ptCount val="22"/>
                <c:pt idx="0">
                  <c:v>4.3</c:v>
                </c:pt>
                <c:pt idx="1">
                  <c:v>5.4</c:v>
                </c:pt>
                <c:pt idx="2">
                  <c:v>5.9</c:v>
                </c:pt>
                <c:pt idx="3">
                  <c:v>6.9</c:v>
                </c:pt>
                <c:pt idx="4">
                  <c:v>5.9</c:v>
                </c:pt>
                <c:pt idx="5">
                  <c:v>6.2</c:v>
                </c:pt>
                <c:pt idx="6">
                  <c:v>7.4</c:v>
                </c:pt>
                <c:pt idx="7">
                  <c:v>7.8</c:v>
                </c:pt>
                <c:pt idx="8">
                  <c:v>6.4</c:v>
                </c:pt>
                <c:pt idx="9">
                  <c:v>6.8</c:v>
                </c:pt>
                <c:pt idx="10">
                  <c:v>6.4</c:v>
                </c:pt>
                <c:pt idx="11">
                  <c:v>7.7</c:v>
                </c:pt>
                <c:pt idx="12">
                  <c:v>5.3</c:v>
                </c:pt>
                <c:pt idx="13">
                  <c:v>6.5</c:v>
                </c:pt>
                <c:pt idx="14">
                  <c:v>6.1</c:v>
                </c:pt>
                <c:pt idx="15">
                  <c:v>7.1</c:v>
                </c:pt>
                <c:pt idx="16">
                  <c:v>7.6</c:v>
                </c:pt>
                <c:pt idx="17">
                  <c:v>7.9</c:v>
                </c:pt>
                <c:pt idx="18">
                  <c:v>8.9</c:v>
                </c:pt>
                <c:pt idx="19">
                  <c:v>7.8</c:v>
                </c:pt>
                <c:pt idx="20">
                  <c:v>8.1999999999999993</c:v>
                </c:pt>
                <c:pt idx="21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3C-41C9-A521-EE77926B31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9290752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Сумма одного платежа (тыс. тенге)</c:v>
                </c:pt>
              </c:strCache>
            </c:strRef>
          </c:tx>
          <c:spPr>
            <a:ln w="25399">
              <a:solidFill>
                <a:srgbClr val="FF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Sheet1!$A$2:$A$23</c:f>
              <c:numCache>
                <c:formatCode>mmm\-yy</c:formatCode>
                <c:ptCount val="22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</c:numCache>
            </c:numRef>
          </c:cat>
          <c:val>
            <c:numRef>
              <c:f>Sheet1!$C$2:$C$23</c:f>
              <c:numCache>
                <c:formatCode>0.0</c:formatCode>
                <c:ptCount val="22"/>
                <c:pt idx="0">
                  <c:v>85.9</c:v>
                </c:pt>
                <c:pt idx="1">
                  <c:v>86.8</c:v>
                </c:pt>
                <c:pt idx="2">
                  <c:v>88.2</c:v>
                </c:pt>
                <c:pt idx="3">
                  <c:v>94</c:v>
                </c:pt>
                <c:pt idx="4">
                  <c:v>97.1</c:v>
                </c:pt>
                <c:pt idx="5">
                  <c:v>104.6</c:v>
                </c:pt>
                <c:pt idx="6">
                  <c:v>119.6</c:v>
                </c:pt>
                <c:pt idx="7">
                  <c:v>115.4</c:v>
                </c:pt>
                <c:pt idx="8">
                  <c:v>118</c:v>
                </c:pt>
                <c:pt idx="9">
                  <c:v>111</c:v>
                </c:pt>
                <c:pt idx="10">
                  <c:v>95.5</c:v>
                </c:pt>
                <c:pt idx="11">
                  <c:v>76.400000000000006</c:v>
                </c:pt>
                <c:pt idx="12">
                  <c:v>93.1</c:v>
                </c:pt>
                <c:pt idx="13">
                  <c:v>99.6</c:v>
                </c:pt>
                <c:pt idx="14">
                  <c:v>96.3</c:v>
                </c:pt>
                <c:pt idx="15">
                  <c:v>97.1</c:v>
                </c:pt>
                <c:pt idx="16">
                  <c:v>103.3</c:v>
                </c:pt>
                <c:pt idx="17">
                  <c:v>114.8</c:v>
                </c:pt>
                <c:pt idx="18">
                  <c:v>122.5</c:v>
                </c:pt>
                <c:pt idx="19">
                  <c:v>115.3</c:v>
                </c:pt>
                <c:pt idx="20">
                  <c:v>118.8</c:v>
                </c:pt>
                <c:pt idx="21">
                  <c:v>116.1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3C-41C9-A521-EE77926B31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2929075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 тенге</a:t>
                </a:r>
              </a:p>
            </c:rich>
          </c:tx>
          <c:layout>
            <c:manualLayout>
              <c:xMode val="edge"/>
              <c:yMode val="edge"/>
              <c:x val="7.6923076923076927E-2"/>
              <c:y val="4.5454545454545456E-2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9290752"/>
        <c:crosses val="autoZero"/>
        <c:crossBetween val="between"/>
        <c:majorUnit val="4"/>
        <c:minorUnit val="4"/>
      </c:valAx>
      <c:dateAx>
        <c:axId val="3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4"/>
        <c:crosses val="autoZero"/>
        <c:auto val="1"/>
        <c:lblOffset val="100"/>
        <c:baseTimeUnit val="months"/>
      </c:date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тенге</a:t>
                </a:r>
              </a:p>
            </c:rich>
          </c:tx>
          <c:layout>
            <c:manualLayout>
              <c:xMode val="edge"/>
              <c:yMode val="edge"/>
              <c:x val="0.96389324960753531"/>
              <c:y val="0.24090909090909091"/>
            </c:manualLayout>
          </c:layout>
          <c:overlay val="0"/>
          <c:spPr>
            <a:noFill/>
            <a:ln w="25399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0.16842105263157894"/>
          <c:w val="0.72483221476510062"/>
          <c:h val="0.45263157894736844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solidFill>
              <a:srgbClr val="FF0000"/>
            </a:solidFill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A25-4ADD-8DC0-3C4F901354F3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A25-4ADD-8DC0-3C4F901354F3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A25-4ADD-8DC0-3C4F901354F3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A25-4ADD-8DC0-3C4F901354F3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A25-4ADD-8DC0-3C4F901354F3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A25-4ADD-8DC0-3C4F901354F3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A25-4ADD-8DC0-3C4F901354F3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9A25-4ADD-8DC0-3C4F901354F3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80201342281879195"/>
                  <c:y val="3.1578947368421054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25-4ADD-8DC0-3C4F901354F3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865771812080538"/>
                  <c:y val="0.60526315789473684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25-4ADD-8DC0-3C4F901354F3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6.3758389261744972E-2"/>
                  <c:y val="0.58421052631578951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A25-4ADD-8DC0-3C4F901354F3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1.6778523489932886E-2"/>
                  <c:y val="0.44736842105263158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25-4ADD-8DC0-3C4F901354F3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"/>
                  <c:y val="0.27368421052631581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25-4ADD-8DC0-3C4F901354F3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"/>
                  <c:y val="0.14736842105263157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25-4ADD-8DC0-3C4F901354F3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6.7114093959731544E-2"/>
                  <c:y val="0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25-4ADD-8DC0-3C4F901354F3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29530201342281881"/>
                  <c:y val="0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25-4ADD-8DC0-3C4F901354F3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Германия</c:v>
                </c:pt>
                <c:pt idx="3">
                  <c:v>Кыргызстан</c:v>
                </c:pt>
                <c:pt idx="4">
                  <c:v>Таджикистан</c:v>
                </c:pt>
                <c:pt idx="5">
                  <c:v>Соединенные Штаты</c:v>
                </c:pt>
                <c:pt idx="6">
                  <c:v>Турция</c:v>
                </c:pt>
                <c:pt idx="7">
                  <c:v>Прочие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460</c:v>
                </c:pt>
                <c:pt idx="1">
                  <c:v>22</c:v>
                </c:pt>
                <c:pt idx="2">
                  <c:v>37</c:v>
                </c:pt>
                <c:pt idx="3">
                  <c:v>10</c:v>
                </c:pt>
                <c:pt idx="4">
                  <c:v>5</c:v>
                </c:pt>
                <c:pt idx="5">
                  <c:v>18</c:v>
                </c:pt>
                <c:pt idx="6">
                  <c:v>10</c:v>
                </c:pt>
                <c:pt idx="7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A25-4ADD-8DC0-3C4F901354F3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75263157894736843"/>
          <c:w val="0.94966442953020136"/>
          <c:h val="0.2526315789473684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0.16842105263157894"/>
          <c:w val="0.72483221476510062"/>
          <c:h val="0.45263157894736844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solidFill>
              <a:srgbClr val="FF0000"/>
            </a:solidFill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465-42A3-B4F9-1738316B993B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C465-42A3-B4F9-1738316B993B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465-42A3-B4F9-1738316B993B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C465-42A3-B4F9-1738316B993B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465-42A3-B4F9-1738316B993B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C465-42A3-B4F9-1738316B993B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C465-42A3-B4F9-1738316B993B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C465-42A3-B4F9-1738316B993B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80201342281879195"/>
                  <c:y val="7.3684210526315783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65-42A3-B4F9-1738316B993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087248322147651"/>
                  <c:y val="0.6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65-42A3-B4F9-1738316B993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6.3758389261744972E-2"/>
                  <c:y val="0.5947368421052631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65-42A3-B4F9-1738316B993B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"/>
                  <c:y val="0.40526315789473683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65-42A3-B4F9-1738316B993B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"/>
                  <c:y val="0.27368421052631581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65-42A3-B4F9-1738316B993B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3.3557046979865771E-3"/>
                  <c:y val="0.1368421052631579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65-42A3-B4F9-1738316B993B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9.7315436241610737E-2"/>
                  <c:y val="5.263157894736842E-3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65-42A3-B4F9-1738316B993B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37919463087248323"/>
                  <c:y val="0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65-42A3-B4F9-1738316B993B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Германия</c:v>
                </c:pt>
                <c:pt idx="3">
                  <c:v>Кыргызстан</c:v>
                </c:pt>
                <c:pt idx="4">
                  <c:v>Таджикистан</c:v>
                </c:pt>
                <c:pt idx="5">
                  <c:v>Соединенные Штаты</c:v>
                </c:pt>
                <c:pt idx="6">
                  <c:v>Турция</c:v>
                </c:pt>
                <c:pt idx="7">
                  <c:v>Прочие</c:v>
                </c:pt>
              </c:strCache>
            </c:strRef>
          </c:cat>
          <c:val>
            <c:numRef>
              <c:f>Sheet1!$B$2:$B$9</c:f>
              <c:numCache>
                <c:formatCode>#,##0.00</c:formatCode>
                <c:ptCount val="8"/>
                <c:pt idx="0">
                  <c:v>45406.65</c:v>
                </c:pt>
                <c:pt idx="1">
                  <c:v>4938.3</c:v>
                </c:pt>
                <c:pt idx="2">
                  <c:v>2482.8000000000002</c:v>
                </c:pt>
                <c:pt idx="3">
                  <c:v>1975.1</c:v>
                </c:pt>
                <c:pt idx="4">
                  <c:v>1868.63</c:v>
                </c:pt>
                <c:pt idx="5">
                  <c:v>1492.14</c:v>
                </c:pt>
                <c:pt idx="6">
                  <c:v>1406.9</c:v>
                </c:pt>
                <c:pt idx="7" formatCode="#,##0">
                  <c:v>13709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65-42A3-B4F9-1738316B993B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74210526315789471"/>
          <c:w val="0.94966442953020136"/>
          <c:h val="0.2631578947368420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120805369127516"/>
          <c:y val="0.15263157894736842"/>
          <c:w val="0.72483221476510062"/>
          <c:h val="0.45263157894736844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136D-4FFA-912A-225013A6B33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36D-4FFA-912A-225013A6B33D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36D-4FFA-912A-225013A6B33D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36D-4FFA-912A-225013A6B33D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36D-4FFA-912A-225013A6B33D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36D-4FFA-912A-225013A6B33D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136D-4FFA-912A-225013A6B33D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136D-4FFA-912A-225013A6B33D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80536912751677847"/>
                  <c:y val="0.53157894736842104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6D-4FFA-912A-225013A6B33D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087248322147651"/>
                  <c:y val="0.58421052631578951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6D-4FFA-912A-225013A6B33D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5.0335570469798654E-2"/>
                  <c:y val="0.5736842105263158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6D-4FFA-912A-225013A6B33D}"/>
                </c:ext>
              </c:extLst>
            </c:dLbl>
            <c:dLbl>
              <c:idx val="3"/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6D-4FFA-912A-225013A6B33D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"/>
                  <c:y val="0.12105263157894737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6D-4FFA-912A-225013A6B33D}"/>
                </c:ext>
              </c:extLst>
            </c:dLbl>
            <c:dLbl>
              <c:idx val="5"/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6D-4FFA-912A-225013A6B33D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40604026845637586"/>
                  <c:y val="0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6D-4FFA-912A-225013A6B33D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Турция</c:v>
                </c:pt>
                <c:pt idx="3">
                  <c:v>Германия</c:v>
                </c:pt>
                <c:pt idx="4">
                  <c:v>США</c:v>
                </c:pt>
                <c:pt idx="5">
                  <c:v>Прочие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1.8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36D-4FFA-912A-225013A6B33D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0.16842105263157894"/>
          <c:w val="0.72483221476510062"/>
          <c:h val="0.45263157894736844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F245-473D-AAB0-9F62B24C42A0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245-473D-AAB0-9F62B24C42A0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245-473D-AAB0-9F62B24C42A0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245-473D-AAB0-9F62B24C42A0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F245-473D-AAB0-9F62B24C42A0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245-473D-AAB0-9F62B24C42A0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245-473D-AAB0-9F62B24C42A0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245-473D-AAB0-9F62B24C42A0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79865771812080533"/>
                  <c:y val="2.1052631578947368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45-473D-AAB0-9F62B24C42A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5503355704697989"/>
                  <c:y val="0.61052631578947369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45-473D-AAB0-9F62B24C42A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3.0201342281879196E-2"/>
                  <c:y val="0.5473684210526316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45-473D-AAB0-9F62B24C42A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3.3557046979865771E-3"/>
                  <c:y val="0.38947368421052631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45-473D-AAB0-9F62B24C42A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"/>
                  <c:y val="0.21052631578947367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45-473D-AAB0-9F62B24C42A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1.6778523489932886E-2"/>
                  <c:y val="5.2631578947368418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45-473D-AAB0-9F62B24C42A0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30201342281879195"/>
                  <c:y val="0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45-473D-AAB0-9F62B24C42A0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Турция</c:v>
                </c:pt>
                <c:pt idx="3">
                  <c:v>Туркменистан</c:v>
                </c:pt>
                <c:pt idx="4">
                  <c:v>Германия</c:v>
                </c:pt>
                <c:pt idx="5">
                  <c:v>США</c:v>
                </c:pt>
                <c:pt idx="6">
                  <c:v>Прочие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339.6</c:v>
                </c:pt>
                <c:pt idx="1">
                  <c:v>19</c:v>
                </c:pt>
                <c:pt idx="2">
                  <c:v>9.8000000000000007</c:v>
                </c:pt>
                <c:pt idx="3">
                  <c:v>6.4</c:v>
                </c:pt>
                <c:pt idx="4">
                  <c:v>5.7</c:v>
                </c:pt>
                <c:pt idx="5">
                  <c:v>5.5</c:v>
                </c:pt>
                <c:pt idx="6">
                  <c:v>97.5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245-473D-AAB0-9F62B24C42A0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77368421052631575"/>
          <c:w val="0.94966442953020136"/>
          <c:h val="0.2315789473684210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420647149460708"/>
          <c:y val="7.2625698324022353E-2"/>
          <c:w val="0.7010785824345146"/>
          <c:h val="0.5530726256983240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 Сумма (млн.тенге )</c:v>
                </c:pt>
              </c:strCache>
            </c:strRef>
          </c:tx>
          <c:spPr>
            <a:solidFill>
              <a:srgbClr val="FF000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Блиц</c:v>
                </c:pt>
                <c:pt idx="1">
                  <c:v>Western Union</c:v>
                </c:pt>
                <c:pt idx="2">
                  <c:v>Юнистрим</c:v>
                </c:pt>
                <c:pt idx="3">
                  <c:v>Contact</c:v>
                </c:pt>
                <c:pt idx="4">
                  <c:v>Быстрая почта</c:v>
                </c:pt>
                <c:pt idx="5">
                  <c:v>Coinstar Money Transfer</c:v>
                </c:pt>
                <c:pt idx="6">
                  <c:v>Лидер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262.8</c:v>
                </c:pt>
                <c:pt idx="1">
                  <c:v>139.69999999999999</c:v>
                </c:pt>
                <c:pt idx="2">
                  <c:v>44.5</c:v>
                </c:pt>
                <c:pt idx="3">
                  <c:v>20.5</c:v>
                </c:pt>
                <c:pt idx="4">
                  <c:v>15.6</c:v>
                </c:pt>
                <c:pt idx="5">
                  <c:v>0.3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65-4B48-A342-958DCB59A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8229552"/>
        <c:axId val="1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Кол-во (тыс.тр.)</c:v>
                </c:pt>
              </c:strCache>
            </c:strRef>
          </c:tx>
          <c:spPr>
            <a:ln w="25398">
              <a:solidFill>
                <a:srgbClr val="000080"/>
              </a:solidFill>
              <a:prstDash val="solid"/>
            </a:ln>
          </c:spPr>
          <c:marker>
            <c:symbol val="diamond"/>
            <c:size val="10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Sheet1!$A$2:$A$8</c:f>
              <c:strCache>
                <c:ptCount val="7"/>
                <c:pt idx="0">
                  <c:v>Блиц</c:v>
                </c:pt>
                <c:pt idx="1">
                  <c:v>Western Union</c:v>
                </c:pt>
                <c:pt idx="2">
                  <c:v>Юнистрим</c:v>
                </c:pt>
                <c:pt idx="3">
                  <c:v>Contact</c:v>
                </c:pt>
                <c:pt idx="4">
                  <c:v>Быстрая почта</c:v>
                </c:pt>
                <c:pt idx="5">
                  <c:v>Coinstar Money Transfer</c:v>
                </c:pt>
                <c:pt idx="6">
                  <c:v>Лидер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1.4</c:v>
                </c:pt>
                <c:pt idx="1">
                  <c:v>0.9</c:v>
                </c:pt>
                <c:pt idx="2">
                  <c:v>0.3</c:v>
                </c:pt>
                <c:pt idx="3">
                  <c:v>0.3</c:v>
                </c:pt>
                <c:pt idx="4">
                  <c:v>0.1</c:v>
                </c:pt>
                <c:pt idx="5">
                  <c:v>2E-3</c:v>
                </c:pt>
                <c:pt idx="6">
                  <c:v>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65-4B48-A342-958DCB59A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2822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3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тенге</a:t>
                </a:r>
              </a:p>
            </c:rich>
          </c:tx>
          <c:layout>
            <c:manualLayout>
              <c:xMode val="edge"/>
              <c:yMode val="edge"/>
              <c:x val="0.16024653312788906"/>
              <c:y val="0.12849162011173185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8229552"/>
        <c:crosses val="autoZero"/>
        <c:crossBetween val="between"/>
        <c:majorUnit val="60"/>
        <c:minorUnit val="4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.4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0.96456086286594767"/>
              <c:y val="0.11173184357541899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807395993836673"/>
          <c:y val="5.909090909090909E-2"/>
          <c:w val="0.68567026194144842"/>
          <c:h val="0.695454545454545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Объем переводов (млрд. тенге)</c:v>
                </c:pt>
              </c:strCache>
            </c:strRef>
          </c:tx>
          <c:spPr>
            <a:solidFill>
              <a:srgbClr val="A0E0E0"/>
            </a:solidFill>
            <a:ln w="25400">
              <a:solidFill>
                <a:srgbClr val="000080"/>
              </a:solidFill>
              <a:prstDash val="solid"/>
            </a:ln>
          </c:spPr>
          <c:invertIfNegative val="0"/>
          <c:cat>
            <c:numRef>
              <c:f>Sheet1!$A$2:$A$23</c:f>
              <c:numCache>
                <c:formatCode>mmm\-yy</c:formatCode>
                <c:ptCount val="22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</c:numCache>
            </c:numRef>
          </c:cat>
          <c:val>
            <c:numRef>
              <c:f>Sheet1!$B$2:$B$23</c:f>
              <c:numCache>
                <c:formatCode>General</c:formatCode>
                <c:ptCount val="22"/>
                <c:pt idx="0">
                  <c:v>12.1</c:v>
                </c:pt>
                <c:pt idx="1">
                  <c:v>11.5</c:v>
                </c:pt>
                <c:pt idx="2">
                  <c:v>13.7</c:v>
                </c:pt>
                <c:pt idx="3">
                  <c:v>14.1</c:v>
                </c:pt>
                <c:pt idx="4">
                  <c:v>17.8</c:v>
                </c:pt>
                <c:pt idx="5">
                  <c:v>17.8</c:v>
                </c:pt>
                <c:pt idx="6">
                  <c:v>19.100000000000001</c:v>
                </c:pt>
                <c:pt idx="7">
                  <c:v>21</c:v>
                </c:pt>
                <c:pt idx="8">
                  <c:v>19.100000000000001</c:v>
                </c:pt>
                <c:pt idx="9">
                  <c:v>20.9</c:v>
                </c:pt>
                <c:pt idx="10">
                  <c:v>19.100000000000001</c:v>
                </c:pt>
                <c:pt idx="11">
                  <c:v>18.2</c:v>
                </c:pt>
                <c:pt idx="12">
                  <c:v>13.4</c:v>
                </c:pt>
                <c:pt idx="13">
                  <c:v>13.9</c:v>
                </c:pt>
                <c:pt idx="14">
                  <c:v>15.2</c:v>
                </c:pt>
                <c:pt idx="15">
                  <c:v>19.600000000000001</c:v>
                </c:pt>
                <c:pt idx="16">
                  <c:v>20.399999999999999</c:v>
                </c:pt>
                <c:pt idx="17">
                  <c:v>20.3</c:v>
                </c:pt>
                <c:pt idx="18">
                  <c:v>23.2</c:v>
                </c:pt>
                <c:pt idx="19">
                  <c:v>23.1</c:v>
                </c:pt>
                <c:pt idx="20">
                  <c:v>24.3</c:v>
                </c:pt>
                <c:pt idx="21">
                  <c:v>23.2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D7-46CA-BD91-9AFA128A6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9286592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Сумма одного платежа (тыс. тенге)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Sheet1!$A$2:$A$23</c:f>
              <c:numCache>
                <c:formatCode>mmm\-yy</c:formatCode>
                <c:ptCount val="22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</c:numCache>
            </c:num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128</c:v>
                </c:pt>
                <c:pt idx="1">
                  <c:v>109.9</c:v>
                </c:pt>
                <c:pt idx="2">
                  <c:v>111.2</c:v>
                </c:pt>
                <c:pt idx="3">
                  <c:v>115.5</c:v>
                </c:pt>
                <c:pt idx="4">
                  <c:v>120.8</c:v>
                </c:pt>
                <c:pt idx="5">
                  <c:v>127.5</c:v>
                </c:pt>
                <c:pt idx="6">
                  <c:v>137.6</c:v>
                </c:pt>
                <c:pt idx="7">
                  <c:v>143.6</c:v>
                </c:pt>
                <c:pt idx="8">
                  <c:v>142.69999999999999</c:v>
                </c:pt>
                <c:pt idx="9">
                  <c:v>137.5</c:v>
                </c:pt>
                <c:pt idx="10">
                  <c:v>135.69999999999999</c:v>
                </c:pt>
                <c:pt idx="11">
                  <c:v>119.6</c:v>
                </c:pt>
                <c:pt idx="12">
                  <c:v>120.2</c:v>
                </c:pt>
                <c:pt idx="13">
                  <c:v>112.8</c:v>
                </c:pt>
                <c:pt idx="14">
                  <c:v>119.2</c:v>
                </c:pt>
                <c:pt idx="15">
                  <c:v>122.6</c:v>
                </c:pt>
                <c:pt idx="16">
                  <c:v>131.4</c:v>
                </c:pt>
                <c:pt idx="17">
                  <c:v>132.6</c:v>
                </c:pt>
                <c:pt idx="18">
                  <c:v>146.1</c:v>
                </c:pt>
                <c:pt idx="19">
                  <c:v>151.1</c:v>
                </c:pt>
                <c:pt idx="20">
                  <c:v>148.4</c:v>
                </c:pt>
                <c:pt idx="21">
                  <c:v>140.4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D7-46CA-BD91-9AFA128A6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292865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3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 тенге</a:t>
                </a:r>
              </a:p>
            </c:rich>
          </c:tx>
          <c:layout>
            <c:manualLayout>
              <c:xMode val="edge"/>
              <c:yMode val="edge"/>
              <c:x val="7.7041602465331274E-2"/>
              <c:y val="4.545454545454545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9286592"/>
        <c:crosses val="autoZero"/>
        <c:crossBetween val="between"/>
        <c:majorUnit val="6"/>
        <c:minorUnit val="4"/>
      </c:valAx>
      <c:dateAx>
        <c:axId val="3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4"/>
        <c:crosses val="autoZero"/>
        <c:auto val="1"/>
        <c:lblOffset val="100"/>
        <c:baseTimeUnit val="months"/>
      </c:date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тенге</a:t>
                </a:r>
              </a:p>
            </c:rich>
          </c:tx>
          <c:layout>
            <c:manualLayout>
              <c:xMode val="edge"/>
              <c:yMode val="edge"/>
              <c:x val="0.963020030816641"/>
              <c:y val="0.240909090909090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895424836601302E-2"/>
          <c:y val="0.1641025641025641"/>
          <c:w val="0.85620915032679734"/>
          <c:h val="0.53333333333333333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F988-4C4B-9EF6-FAD3C670126B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988-4C4B-9EF6-FAD3C670126B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988-4C4B-9EF6-FAD3C670126B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988-4C4B-9EF6-FAD3C670126B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F988-4C4B-9EF6-FAD3C670126B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988-4C4B-9EF6-FAD3C670126B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988-4C4B-9EF6-FAD3C670126B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988-4C4B-9EF6-FAD3C670126B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81372549019607843"/>
                  <c:y val="0.58974358974358976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88-4C4B-9EF6-FAD3C670126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"/>
                  <c:y val="0.6512820512820513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88-4C4B-9EF6-FAD3C670126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5032679738562091"/>
                  <c:y val="5.1282051282051282E-3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88-4C4B-9EF6-FAD3C670126B}"/>
                </c:ext>
              </c:extLst>
            </c:dLbl>
            <c:dLbl>
              <c:idx val="3"/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88-4C4B-9EF6-FAD3C670126B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66666666666663"/>
                  <c:y val="1.0256410256410256E-2"/>
                </c:manualLayout>
              </c:layout>
              <c:numFmt formatCode="0.0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88-4C4B-9EF6-FAD3C670126B}"/>
                </c:ext>
              </c:extLst>
            </c:dLbl>
            <c:numFmt formatCode="0.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USD</c:v>
                </c:pt>
                <c:pt idx="1">
                  <c:v>RUB</c:v>
                </c:pt>
                <c:pt idx="2">
                  <c:v>KZT</c:v>
                </c:pt>
                <c:pt idx="3">
                  <c:v>EUR</c:v>
                </c:pt>
                <c:pt idx="4">
                  <c:v>Прочие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284.10000000000002</c:v>
                </c:pt>
                <c:pt idx="1">
                  <c:v>359.5</c:v>
                </c:pt>
                <c:pt idx="2">
                  <c:v>34.5</c:v>
                </c:pt>
                <c:pt idx="3">
                  <c:v>8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88-4C4B-9EF6-FAD3C670126B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5359477124183007"/>
          <c:y val="0.87692307692307692"/>
          <c:w val="0.78104575163398693"/>
          <c:h val="0.1282051282051281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825503355704702E-2"/>
          <c:y val="0.16315789473684211"/>
          <c:w val="0.8523489932885906"/>
          <c:h val="0.53157894736842104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7A4A-4C90-A315-84454C1936E9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A4A-4C90-A315-84454C1936E9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7A4A-4C90-A315-84454C1936E9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A4A-4C90-A315-84454C1936E9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7A4A-4C90-A315-84454C1936E9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A4A-4C90-A315-84454C1936E9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7A4A-4C90-A315-84454C1936E9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A4A-4C90-A315-84454C1936E9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7651006711409396"/>
                  <c:y val="0.6315789473684210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4A-4C90-A315-84454C1936E9}"/>
                </c:ext>
              </c:extLst>
            </c:dLbl>
            <c:dLbl>
              <c:idx val="1"/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4A-4C90-A315-84454C1936E9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7785234899328858"/>
                  <c:y val="5.263157894736842E-3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4A-4C90-A315-84454C1936E9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43624161073825501"/>
                  <c:y val="1.0526315789473684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4A-4C90-A315-84454C1936E9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778523489932884"/>
                  <c:y val="4.2105263157894736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4A-4C90-A315-84454C1936E9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USD</c:v>
                </c:pt>
                <c:pt idx="1">
                  <c:v>RUB</c:v>
                </c:pt>
                <c:pt idx="2">
                  <c:v>KZT</c:v>
                </c:pt>
                <c:pt idx="3">
                  <c:v>EUR</c:v>
                </c:pt>
                <c:pt idx="4">
                  <c:v>Прочие</c:v>
                </c:pt>
              </c:strCache>
            </c:strRef>
          </c:cat>
          <c:val>
            <c:numRef>
              <c:f>Sheet1!$B$2:$B$6</c:f>
              <c:numCache>
                <c:formatCode>#,##0.00</c:formatCode>
                <c:ptCount val="5"/>
                <c:pt idx="0">
                  <c:v>45276.7</c:v>
                </c:pt>
                <c:pt idx="1">
                  <c:v>25486.2</c:v>
                </c:pt>
                <c:pt idx="2">
                  <c:v>2599.6999999999998</c:v>
                </c:pt>
                <c:pt idx="3" formatCode="General">
                  <c:v>837.4</c:v>
                </c:pt>
                <c:pt idx="4" formatCode="General">
                  <c:v>12.8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4A-4C90-A315-84454C1936E9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0.14429530201342283"/>
          <c:y val="0.87368421052631584"/>
          <c:w val="0.80201342281879195"/>
          <c:h val="0.1315789473684210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807395993836673"/>
          <c:y val="5.909090909090909E-2"/>
          <c:w val="0.68567026194144842"/>
          <c:h val="0.695454545454545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Объем переводов (млрд. тенге)</c:v>
                </c:pt>
              </c:strCache>
            </c:strRef>
          </c:tx>
          <c:spPr>
            <a:solidFill>
              <a:srgbClr val="A0E0E0"/>
            </a:solidFill>
            <a:ln w="25400">
              <a:solidFill>
                <a:srgbClr val="000080"/>
              </a:solidFill>
              <a:prstDash val="solid"/>
            </a:ln>
          </c:spPr>
          <c:invertIfNegative val="0"/>
          <c:cat>
            <c:numRef>
              <c:f>Sheet1!$A$2:$A$23</c:f>
              <c:numCache>
                <c:formatCode>mmm\-yy</c:formatCode>
                <c:ptCount val="22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</c:numCache>
            </c:numRef>
          </c:cat>
          <c:val>
            <c:numRef>
              <c:f>Sheet1!$B$2:$B$23</c:f>
              <c:numCache>
                <c:formatCode>General</c:formatCode>
                <c:ptCount val="22"/>
                <c:pt idx="0">
                  <c:v>2.1</c:v>
                </c:pt>
                <c:pt idx="1">
                  <c:v>2.4</c:v>
                </c:pt>
                <c:pt idx="2">
                  <c:v>2.5</c:v>
                </c:pt>
                <c:pt idx="3">
                  <c:v>2.9</c:v>
                </c:pt>
                <c:pt idx="4">
                  <c:v>2.7</c:v>
                </c:pt>
                <c:pt idx="5">
                  <c:v>2.7</c:v>
                </c:pt>
                <c:pt idx="6">
                  <c:v>10.6</c:v>
                </c:pt>
                <c:pt idx="7">
                  <c:v>3</c:v>
                </c:pt>
                <c:pt idx="8">
                  <c:v>3.2</c:v>
                </c:pt>
                <c:pt idx="9">
                  <c:v>3.9</c:v>
                </c:pt>
                <c:pt idx="10">
                  <c:v>3.9</c:v>
                </c:pt>
                <c:pt idx="11">
                  <c:v>4</c:v>
                </c:pt>
                <c:pt idx="12">
                  <c:v>2.8</c:v>
                </c:pt>
                <c:pt idx="13">
                  <c:v>2.5</c:v>
                </c:pt>
                <c:pt idx="14">
                  <c:v>2.5</c:v>
                </c:pt>
                <c:pt idx="15">
                  <c:v>3.3</c:v>
                </c:pt>
                <c:pt idx="16">
                  <c:v>3.3</c:v>
                </c:pt>
                <c:pt idx="17">
                  <c:v>3.1</c:v>
                </c:pt>
                <c:pt idx="18">
                  <c:v>3.7</c:v>
                </c:pt>
                <c:pt idx="19">
                  <c:v>3.6</c:v>
                </c:pt>
                <c:pt idx="20">
                  <c:v>4</c:v>
                </c:pt>
                <c:pt idx="21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A-4C8D-8233-45AC3E286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5944080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Сумма одного платежа (тыс. тенге)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Sheet1!$A$2:$A$23</c:f>
              <c:numCache>
                <c:formatCode>mmm\-yy</c:formatCode>
                <c:ptCount val="22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</c:numCache>
            </c:num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31.1</c:v>
                </c:pt>
                <c:pt idx="1">
                  <c:v>34.200000000000003</c:v>
                </c:pt>
                <c:pt idx="2">
                  <c:v>36.6</c:v>
                </c:pt>
                <c:pt idx="3">
                  <c:v>39.9</c:v>
                </c:pt>
                <c:pt idx="4">
                  <c:v>53.3</c:v>
                </c:pt>
                <c:pt idx="5">
                  <c:v>55.2</c:v>
                </c:pt>
                <c:pt idx="6">
                  <c:v>227.2</c:v>
                </c:pt>
                <c:pt idx="7">
                  <c:v>61.1</c:v>
                </c:pt>
                <c:pt idx="8">
                  <c:v>71.5</c:v>
                </c:pt>
                <c:pt idx="9">
                  <c:v>77.7</c:v>
                </c:pt>
                <c:pt idx="10">
                  <c:v>82.1</c:v>
                </c:pt>
                <c:pt idx="11">
                  <c:v>55.2</c:v>
                </c:pt>
                <c:pt idx="12">
                  <c:v>67.3</c:v>
                </c:pt>
                <c:pt idx="13">
                  <c:v>79.599999999999994</c:v>
                </c:pt>
                <c:pt idx="14">
                  <c:v>102.9</c:v>
                </c:pt>
                <c:pt idx="15">
                  <c:v>65.8</c:v>
                </c:pt>
                <c:pt idx="16">
                  <c:v>69.7</c:v>
                </c:pt>
                <c:pt idx="17">
                  <c:v>69.8</c:v>
                </c:pt>
                <c:pt idx="18">
                  <c:v>80.7</c:v>
                </c:pt>
                <c:pt idx="19">
                  <c:v>82.8</c:v>
                </c:pt>
                <c:pt idx="20">
                  <c:v>89</c:v>
                </c:pt>
                <c:pt idx="21">
                  <c:v>61.4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0A-4C8D-8233-45AC3E286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259440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2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 тенге</a:t>
                </a:r>
              </a:p>
            </c:rich>
          </c:tx>
          <c:layout>
            <c:manualLayout>
              <c:xMode val="edge"/>
              <c:yMode val="edge"/>
              <c:x val="7.7041602465331274E-2"/>
              <c:y val="4.545454545454545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5944080"/>
        <c:crosses val="autoZero"/>
        <c:crossBetween val="between"/>
        <c:majorUnit val="3"/>
        <c:minorUnit val="1"/>
      </c:valAx>
      <c:dateAx>
        <c:axId val="3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4"/>
        <c:crosses val="autoZero"/>
        <c:auto val="1"/>
        <c:lblOffset val="100"/>
        <c:baseTimeUnit val="months"/>
      </c:date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тенге</a:t>
                </a:r>
              </a:p>
            </c:rich>
          </c:tx>
          <c:layout>
            <c:manualLayout>
              <c:xMode val="edge"/>
              <c:yMode val="edge"/>
              <c:x val="0.963020030816641"/>
              <c:y val="0.240909090909090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23545706371191"/>
          <c:y val="0.15469613259668508"/>
          <c:w val="0.69806094182825484"/>
          <c:h val="0.5524861878453039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C2A1-4E86-98DE-83DE665167E1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C2A1-4E86-98DE-83DE665167E1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2A1-4E86-98DE-83DE665167E1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C2A1-4E86-98DE-83DE665167E1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C2A1-4E86-98DE-83DE665167E1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C2A1-4E86-98DE-83DE665167E1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C2A1-4E86-98DE-83DE665167E1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2A1-4E86-98DE-83DE665167E1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42382271468144045"/>
                  <c:y val="0.6850828729281768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A1-4E86-98DE-83DE665167E1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5512465373961218"/>
                  <c:y val="5.5248618784530384E-3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A1-4E86-98DE-83DE665167E1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099722991689751"/>
                  <c:y val="0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A1-4E86-98DE-83DE665167E1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75623268698060941"/>
                  <c:y val="1.1049723756906077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A1-4E86-98DE-83DE665167E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0664819944598336"/>
                  <c:y val="0.19337016574585636"/>
                </c:manualLayout>
              </c:layout>
              <c:numFmt formatCode="0.0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A1-4E86-98DE-83DE665167E1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1440443213296399"/>
                  <c:y val="1.1049723756906077E-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A1-4E86-98DE-83DE665167E1}"/>
                </c:ext>
              </c:extLst>
            </c:dLbl>
            <c:dLbl>
              <c:idx val="7"/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A1-4E86-98DE-83DE665167E1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Платежное поручение</c:v>
                </c:pt>
                <c:pt idx="1">
                  <c:v>Платежное извещение</c:v>
                </c:pt>
                <c:pt idx="2">
                  <c:v>Платежный ордер</c:v>
                </c:pt>
                <c:pt idx="3">
                  <c:v>Иные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#,##0.00">
                  <c:v>141393.18</c:v>
                </c:pt>
                <c:pt idx="1">
                  <c:v>292.19</c:v>
                </c:pt>
                <c:pt idx="2">
                  <c:v>207.4</c:v>
                </c:pt>
                <c:pt idx="3">
                  <c:v>193.6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A1-4E86-98DE-83DE665167E1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5.817174515235457E-2"/>
          <c:y val="0.77348066298342544"/>
          <c:w val="0.91135734072022156"/>
          <c:h val="0.1878453038674033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789473684210525"/>
          <c:y val="0.11428571428571428"/>
          <c:w val="0.73961218836565101"/>
          <c:h val="0.60571428571428576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73B6-476A-885B-B65D08CD74B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3B6-476A-885B-B65D08CD74B5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73B6-476A-885B-B65D08CD74B5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3B6-476A-885B-B65D08CD74B5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73B6-476A-885B-B65D08CD74B5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3B6-476A-885B-B65D08CD74B5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73B6-476A-885B-B65D08CD74B5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3B6-476A-885B-B65D08CD74B5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81994459833795019"/>
                  <c:y val="0.50285714285714289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B6-476A-885B-B65D08CD74B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4.9861495844875349E-2"/>
                  <c:y val="0.15428571428571428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B6-476A-885B-B65D08CD74B5}"/>
                </c:ext>
              </c:extLst>
            </c:dLbl>
            <c:dLbl>
              <c:idx val="2"/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B6-476A-885B-B65D08CD74B5}"/>
                </c:ext>
              </c:extLst>
            </c:dLbl>
            <c:dLbl>
              <c:idx val="3"/>
              <c:numFmt formatCode="0.0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B6-476A-885B-B65D08CD74B5}"/>
                </c:ext>
              </c:extLst>
            </c:dLbl>
            <c:numFmt formatCode="0.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Иные (заявления на перевод денег)</c:v>
                </c:pt>
                <c:pt idx="1">
                  <c:v>Платежные поручения</c:v>
                </c:pt>
                <c:pt idx="2">
                  <c:v>Почтовые переводы денег</c:v>
                </c:pt>
                <c:pt idx="3">
                  <c:v>Иные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47.75</c:v>
                </c:pt>
                <c:pt idx="1">
                  <c:v>7.12</c:v>
                </c:pt>
                <c:pt idx="2">
                  <c:v>2.3199999999999998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3B6-476A-885B-B65D08CD74B5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3.3240997229916899E-2"/>
          <c:y val="0.70857142857142852"/>
          <c:w val="0.91135734072022156"/>
          <c:h val="0.2971428571428571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455696202531639E-2"/>
          <c:y val="0.23502304147465439"/>
          <c:w val="0.50632911392405067"/>
          <c:h val="0.58525345622119818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7CC-4590-8563-169A7C858834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7CC-4590-8563-169A7C858834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7CC-4590-8563-169A7C858834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7CC-4590-8563-169A7C858834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F7CC-4590-8563-169A7C858834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7CC-4590-8563-169A7C858834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7CC-4590-8563-169A7C858834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7CC-4590-8563-169A7C858834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F7CC-4590-8563-169A7C858834}"/>
              </c:ext>
            </c:extLst>
          </c:dPt>
          <c:dLbls>
            <c:dLbl>
              <c:idx val="3"/>
              <c:layout>
                <c:manualLayout>
                  <c:xMode val="edge"/>
                  <c:yMode val="edge"/>
                  <c:x val="0.51898734177215189"/>
                  <c:y val="0.801843317972350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CC-4590-8563-169A7C858834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39556962025316456"/>
                  <c:y val="0.83410138248847931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CC-4590-8563-169A7C858834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Специфические переводы</c:v>
                </c:pt>
                <c:pt idx="1">
                  <c:v>Операции с ин.валютой  и драг.металлами</c:v>
                </c:pt>
                <c:pt idx="2">
                  <c:v>Депозиты</c:v>
                </c:pt>
                <c:pt idx="3">
                  <c:v>Займы</c:v>
                </c:pt>
                <c:pt idx="4">
                  <c:v>ЦБ, векселя  нерезидентов РК</c:v>
                </c:pt>
                <c:pt idx="5">
                  <c:v>ЦБ, векселя резидентов РК</c:v>
                </c:pt>
                <c:pt idx="6">
                  <c:v>Товары </c:v>
                </c:pt>
                <c:pt idx="7">
                  <c:v>Услуги</c:v>
                </c:pt>
                <c:pt idx="8">
                  <c:v>Прочие платежи**</c:v>
                </c:pt>
              </c:strCache>
            </c:strRef>
          </c:cat>
          <c:val>
            <c:numRef>
              <c:f>Sheet1!$B$2:$B$10</c:f>
              <c:numCache>
                <c:formatCode>#,##0.00</c:formatCode>
                <c:ptCount val="9"/>
                <c:pt idx="0">
                  <c:v>3622.05</c:v>
                </c:pt>
                <c:pt idx="1">
                  <c:v>26806.400000000001</c:v>
                </c:pt>
                <c:pt idx="2">
                  <c:v>40529.68</c:v>
                </c:pt>
                <c:pt idx="3">
                  <c:v>2404.7399999999998</c:v>
                </c:pt>
                <c:pt idx="4" formatCode="General">
                  <c:v>171.32</c:v>
                </c:pt>
                <c:pt idx="5">
                  <c:v>69268.240000000005</c:v>
                </c:pt>
                <c:pt idx="6">
                  <c:v>13956.58</c:v>
                </c:pt>
                <c:pt idx="7">
                  <c:v>11117.71</c:v>
                </c:pt>
                <c:pt idx="8">
                  <c:v>14271.04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7CC-4590-8563-169A7C858834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20253164556962"/>
          <c:y val="4.1474654377880185E-2"/>
          <c:w val="0.37816455696202533"/>
          <c:h val="0.8894009216589862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620253164556958E-2"/>
          <c:y val="0.25"/>
          <c:w val="0.39398734177215189"/>
          <c:h val="0.53804347826086951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964-49DD-AAE6-2607662B294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964-49DD-AAE6-2607662B2945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964-49DD-AAE6-2607662B2945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964-49DD-AAE6-2607662B2945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964-49DD-AAE6-2607662B2945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964-49DD-AAE6-2607662B2945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964-49DD-AAE6-2607662B2945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964-49DD-AAE6-2607662B2945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D964-49DD-AAE6-2607662B2945}"/>
              </c:ext>
            </c:extLst>
          </c:dPt>
          <c:dPt>
            <c:idx val="9"/>
            <c:bubble3D val="0"/>
            <c:spPr>
              <a:solidFill>
                <a:srgbClr val="FFFFC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964-49DD-AAE6-2607662B2945}"/>
              </c:ext>
            </c:extLst>
          </c:dPt>
          <c:dPt>
            <c:idx val="10"/>
            <c:bubble3D val="0"/>
            <c:spPr>
              <a:solidFill>
                <a:srgbClr val="FF8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D964-49DD-AAE6-2607662B2945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22784810126582278"/>
                  <c:y val="2.1739130434782608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64-49DD-AAE6-2607662B294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0854430379746833"/>
                  <c:y val="1.0869565217391304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64-49DD-AAE6-2607662B294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0189873417721517"/>
                  <c:y val="0.11413043478260869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64-49DD-AAE6-2607662B2945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0316455696202533"/>
                  <c:y val="0.30978260869565216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64-49DD-AAE6-2607662B2945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6044303797468356"/>
                  <c:y val="0.65217391304347827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64-49DD-AAE6-2607662B294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64-49DD-AAE6-2607662B2945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49208860759493672"/>
                  <c:y val="0.5"/>
                </c:manualLayout>
              </c:layout>
              <c:numFmt formatCode="0.0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964-49DD-AAE6-2607662B2945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40822784810126583"/>
                  <c:y val="0.73913043478260865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64-49DD-AAE6-2607662B2945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31962025316455694"/>
                  <c:y val="0.7445652173913043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964-49DD-AAE6-2607662B2945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10759493670886076"/>
                  <c:y val="9.782608695652174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964-49DD-AAE6-2607662B2945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Пенсионные платежи и пособия</c:v>
                </c:pt>
                <c:pt idx="1">
                  <c:v>Специфические переводы</c:v>
                </c:pt>
                <c:pt idx="2">
                  <c:v>Операции с ин.валютой  и драг.металлами</c:v>
                </c:pt>
                <c:pt idx="3">
                  <c:v>Депозиты</c:v>
                </c:pt>
                <c:pt idx="4">
                  <c:v>Займы</c:v>
                </c:pt>
                <c:pt idx="5">
                  <c:v>ЦБ, векселя  нерезидентов РК</c:v>
                </c:pt>
                <c:pt idx="6">
                  <c:v>ЦБ, векселя резидентов РК</c:v>
                </c:pt>
                <c:pt idx="7">
                  <c:v>Товары </c:v>
                </c:pt>
                <c:pt idx="8">
                  <c:v>Услуги</c:v>
                </c:pt>
                <c:pt idx="9">
                  <c:v>Налоговые платежи</c:v>
                </c:pt>
                <c:pt idx="10">
                  <c:v>Прочие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17.8</c:v>
                </c:pt>
                <c:pt idx="1">
                  <c:v>7.48</c:v>
                </c:pt>
                <c:pt idx="2">
                  <c:v>71.209999999999994</c:v>
                </c:pt>
                <c:pt idx="3">
                  <c:v>12.78</c:v>
                </c:pt>
                <c:pt idx="4">
                  <c:v>0.19</c:v>
                </c:pt>
                <c:pt idx="5">
                  <c:v>0</c:v>
                </c:pt>
                <c:pt idx="6">
                  <c:v>0.01</c:v>
                </c:pt>
                <c:pt idx="7">
                  <c:v>0.67</c:v>
                </c:pt>
                <c:pt idx="8">
                  <c:v>5.27</c:v>
                </c:pt>
                <c:pt idx="9">
                  <c:v>290.26</c:v>
                </c:pt>
                <c:pt idx="10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964-49DD-AAE6-2607662B2945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0126582278481011"/>
          <c:y val="2.717391304347826E-2"/>
          <c:w val="0.39873417721518989"/>
          <c:h val="0.9782608695652174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215189873417722E-2"/>
          <c:y val="0.24102564102564103"/>
          <c:w val="0.43037974683544306"/>
          <c:h val="0.55384615384615388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269E-48E8-A78E-B9FF3E8CEA02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69E-48E8-A78E-B9FF3E8CEA02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69E-48E8-A78E-B9FF3E8CEA02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69E-48E8-A78E-B9FF3E8CEA02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69E-48E8-A78E-B9FF3E8CEA02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69E-48E8-A78E-B9FF3E8CEA02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69E-48E8-A78E-B9FF3E8CEA02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269E-48E8-A78E-B9FF3E8CEA02}"/>
              </c:ext>
            </c:extLst>
          </c:dPt>
          <c:dPt>
            <c:idx val="8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69E-48E8-A78E-B9FF3E8CEA02}"/>
              </c:ext>
            </c:extLst>
          </c:dPt>
          <c:dPt>
            <c:idx val="9"/>
            <c:bubble3D val="0"/>
            <c:spPr>
              <a:solidFill>
                <a:srgbClr val="FFFFC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269E-48E8-A78E-B9FF3E8CEA02}"/>
              </c:ext>
            </c:extLst>
          </c:dPt>
          <c:dPt>
            <c:idx val="10"/>
            <c:bubble3D val="0"/>
            <c:spPr>
              <a:solidFill>
                <a:srgbClr val="FF8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269E-48E8-A78E-B9FF3E8CEA02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9E-48E8-A78E-B9FF3E8CEA02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7215189873417722"/>
                  <c:y val="2.0512820512820513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9E-48E8-A78E-B9FF3E8CEA02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36075949367088606"/>
                  <c:y val="3.5897435897435895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9E-48E8-A78E-B9FF3E8CEA02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44620253164556961"/>
                  <c:y val="0.18974358974358974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9E-48E8-A78E-B9FF3E8CEA02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26424050632911394"/>
                  <c:y val="0.80512820512820515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9E-48E8-A78E-B9FF3E8CEA0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9E-48E8-A78E-B9FF3E8CEA02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2.0569620253164556E-2"/>
                  <c:y val="0.14358974358974358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9E-48E8-A78E-B9FF3E8CEA02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8.7025316455696208E-2"/>
                  <c:y val="6.6666666666666666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9E-48E8-A78E-B9FF3E8CEA02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19778481012658228"/>
                  <c:y val="1.0256410256410256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9E-48E8-A78E-B9FF3E8CEA02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9.9683544303797472E-2"/>
                  <c:y val="9.7435897435897437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9E-48E8-A78E-B9FF3E8CEA02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Пенсионные платежи и пособия</c:v>
                </c:pt>
                <c:pt idx="1">
                  <c:v>Специфические переводы</c:v>
                </c:pt>
                <c:pt idx="2">
                  <c:v>Операции с ин.валютой  и драг.металлами</c:v>
                </c:pt>
                <c:pt idx="3">
                  <c:v>Депозиты</c:v>
                </c:pt>
                <c:pt idx="4">
                  <c:v>Займы</c:v>
                </c:pt>
                <c:pt idx="5">
                  <c:v>ЦБ, векселя резидентов РК</c:v>
                </c:pt>
                <c:pt idx="6">
                  <c:v>Товары </c:v>
                </c:pt>
                <c:pt idx="7">
                  <c:v>Услуги</c:v>
                </c:pt>
                <c:pt idx="8">
                  <c:v>Налоговые платежи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2.0999999999999999E-3</c:v>
                </c:pt>
                <c:pt idx="1">
                  <c:v>0.18260000000000001</c:v>
                </c:pt>
                <c:pt idx="2">
                  <c:v>9.4399999999999998E-2</c:v>
                </c:pt>
                <c:pt idx="3">
                  <c:v>6.1899999999999997E-2</c:v>
                </c:pt>
                <c:pt idx="4">
                  <c:v>3.9058999999999999</c:v>
                </c:pt>
                <c:pt idx="5">
                  <c:v>1.23E-2</c:v>
                </c:pt>
                <c:pt idx="6">
                  <c:v>0.12130000000000001</c:v>
                </c:pt>
                <c:pt idx="7">
                  <c:v>0.42180000000000001</c:v>
                </c:pt>
                <c:pt idx="8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69E-48E8-A78E-B9FF3E8CEA02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2183544303797467"/>
          <c:y val="1.5384615384615385E-2"/>
          <c:w val="0.37816455696202533"/>
          <c:h val="0.9897435897435897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797468354430382E-2"/>
          <c:y val="0.24102564102564103"/>
          <c:w val="0.42721518987341772"/>
          <c:h val="0.55384615384615388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F02A-4A13-80AB-1BA2525F0591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02A-4A13-80AB-1BA2525F0591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02A-4A13-80AB-1BA2525F0591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02A-4A13-80AB-1BA2525F0591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F02A-4A13-80AB-1BA2525F0591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02A-4A13-80AB-1BA2525F0591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02A-4A13-80AB-1BA2525F0591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02A-4A13-80AB-1BA2525F0591}"/>
              </c:ext>
            </c:extLst>
          </c:dPt>
          <c:dPt>
            <c:idx val="8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F02A-4A13-80AB-1BA2525F0591}"/>
              </c:ext>
            </c:extLst>
          </c:dPt>
          <c:dPt>
            <c:idx val="9"/>
            <c:bubble3D val="0"/>
            <c:spPr>
              <a:solidFill>
                <a:srgbClr val="FFFFC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F02A-4A13-80AB-1BA2525F0591}"/>
              </c:ext>
            </c:extLst>
          </c:dPt>
          <c:dPt>
            <c:idx val="10"/>
            <c:bubble3D val="0"/>
            <c:spPr>
              <a:solidFill>
                <a:srgbClr val="FF8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F02A-4A13-80AB-1BA2525F0591}"/>
              </c:ext>
            </c:extLst>
          </c:dPt>
          <c:dLbls>
            <c:dLbl>
              <c:idx val="3"/>
              <c:layout>
                <c:manualLayout>
                  <c:xMode val="edge"/>
                  <c:yMode val="edge"/>
                  <c:x val="2.3734177215189875E-2"/>
                  <c:y val="0.80512820512820515"/>
                </c:manualLayout>
              </c:layout>
              <c:numFmt formatCode="0.00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2A-4A13-80AB-1BA2525F059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1.5822784810126582E-3"/>
                  <c:y val="0.6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2A-4A13-80AB-1BA2525F0591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1.5822784810126582E-3"/>
                  <c:y val="0.12820512820512819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2A-4A13-80AB-1BA2525F0591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11550632911392406"/>
                  <c:y val="8.7179487179487175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2A-4A13-80AB-1BA2525F0591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26582278481012656"/>
                  <c:y val="3.0769230769230771E-2"/>
                </c:manualLayout>
              </c:layout>
              <c:numFmt formatCode="0.000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2A-4A13-80AB-1BA2525F0591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Пенсионные платежи и пособия</c:v>
                </c:pt>
                <c:pt idx="1">
                  <c:v>Специфические переводы</c:v>
                </c:pt>
                <c:pt idx="2">
                  <c:v>Операции с ин.валютой  и драг.металлами</c:v>
                </c:pt>
                <c:pt idx="3">
                  <c:v>Депозиты</c:v>
                </c:pt>
                <c:pt idx="4">
                  <c:v>Займы</c:v>
                </c:pt>
                <c:pt idx="5">
                  <c:v>ЦБ, векселя резидентов РК</c:v>
                </c:pt>
                <c:pt idx="6">
                  <c:v>Товары </c:v>
                </c:pt>
                <c:pt idx="7">
                  <c:v>Услуги</c:v>
                </c:pt>
                <c:pt idx="8">
                  <c:v>Налоговые платежи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898.15779999999995</c:v>
                </c:pt>
                <c:pt idx="1">
                  <c:v>2.4018000000000002</c:v>
                </c:pt>
                <c:pt idx="2" formatCode="#,##0.00">
                  <c:v>1501.4974</c:v>
                </c:pt>
                <c:pt idx="3">
                  <c:v>4.0000000000000001E-3</c:v>
                </c:pt>
                <c:pt idx="4">
                  <c:v>15.34</c:v>
                </c:pt>
                <c:pt idx="5">
                  <c:v>990.9624</c:v>
                </c:pt>
                <c:pt idx="6">
                  <c:v>15.0595</c:v>
                </c:pt>
                <c:pt idx="7">
                  <c:v>104.8291</c:v>
                </c:pt>
                <c:pt idx="8">
                  <c:v>4.0000000000000002E-4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02A-4A13-80AB-1BA2525F0591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2183544303797467"/>
          <c:y val="0"/>
          <c:w val="0.37816455696202533"/>
          <c:h val="0.9897435897435897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0.22368421052631579"/>
          <c:w val="0.72483221476510062"/>
          <c:h val="0.37719298245614036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64A9-4239-ABFA-A0060FE0B2B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4A9-4239-ABFA-A0060FE0B2BD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64A9-4239-ABFA-A0060FE0B2BD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4A9-4239-ABFA-A0060FE0B2BD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64A9-4239-ABFA-A0060FE0B2BD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64A9-4239-ABFA-A0060FE0B2BD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64A9-4239-ABFA-A0060FE0B2BD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64A9-4239-ABFA-A0060FE0B2BD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73154362416107388"/>
                  <c:y val="0.10526315789473684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A9-4239-ABFA-A0060FE0B2BD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7.7181208053691275E-2"/>
                  <c:y val="0.43859649122807015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A9-4239-ABFA-A0060FE0B2BD}"/>
                </c:ext>
              </c:extLst>
            </c:dLbl>
            <c:dLbl>
              <c:idx val="3"/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64A9-4239-ABFA-A0060FE0B2BD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Китай</c:v>
                </c:pt>
                <c:pt idx="3">
                  <c:v>Кыргызстан</c:v>
                </c:pt>
                <c:pt idx="4">
                  <c:v>Украина</c:v>
                </c:pt>
                <c:pt idx="5">
                  <c:v>Прочие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701.9</c:v>
                </c:pt>
                <c:pt idx="1">
                  <c:v>285.3</c:v>
                </c:pt>
                <c:pt idx="2">
                  <c:v>34.1</c:v>
                </c:pt>
                <c:pt idx="3">
                  <c:v>122.5</c:v>
                </c:pt>
                <c:pt idx="4">
                  <c:v>48.1</c:v>
                </c:pt>
                <c:pt idx="5">
                  <c:v>235.5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A9-4239-ABFA-A0060FE0B2BD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81140350877192979"/>
          <c:w val="0.94966442953020136"/>
          <c:h val="0.1929824561403508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0.22368421052631579"/>
          <c:w val="0.72483221476510062"/>
          <c:h val="0.37719298245614036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0F4C-47C9-806B-FA54B776D424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F4C-47C9-806B-FA54B776D424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0F4C-47C9-806B-FA54B776D424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F4C-47C9-806B-FA54B776D424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0F4C-47C9-806B-FA54B776D424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F4C-47C9-806B-FA54B776D424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0F4C-47C9-806B-FA54B776D424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0F4C-47C9-806B-FA54B776D424}"/>
              </c:ext>
            </c:extLst>
          </c:dPt>
          <c:dLbls>
            <c:dLbl>
              <c:idx val="0"/>
              <c:layout>
                <c:manualLayout>
                  <c:xMode val="edge"/>
                  <c:yMode val="edge"/>
                  <c:x val="0.72147651006711411"/>
                  <c:y val="8.771929824561403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4C-47C9-806B-FA54B776D424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7.0469798657718116E-2"/>
                  <c:y val="0.55263157894736847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4C-47C9-806B-FA54B776D424}"/>
                </c:ext>
              </c:extLst>
            </c:dLbl>
            <c:dLbl>
              <c:idx val="3"/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F4C-47C9-806B-FA54B776D424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Китай</c:v>
                </c:pt>
                <c:pt idx="3">
                  <c:v>Кыргызстан</c:v>
                </c:pt>
                <c:pt idx="4">
                  <c:v>Украина</c:v>
                </c:pt>
                <c:pt idx="5">
                  <c:v>Прочие</c:v>
                </c:pt>
              </c:strCache>
            </c:strRef>
          </c:cat>
          <c:val>
            <c:numRef>
              <c:f>Sheet1!$B$2:$B$7</c:f>
              <c:numCache>
                <c:formatCode>#,##0.00</c:formatCode>
                <c:ptCount val="6"/>
                <c:pt idx="0">
                  <c:v>82973.100000000006</c:v>
                </c:pt>
                <c:pt idx="1">
                  <c:v>33037.9</c:v>
                </c:pt>
                <c:pt idx="2">
                  <c:v>19047.2</c:v>
                </c:pt>
                <c:pt idx="3">
                  <c:v>11933.5</c:v>
                </c:pt>
                <c:pt idx="4">
                  <c:v>5817.1</c:v>
                </c:pt>
                <c:pt idx="5">
                  <c:v>36765.1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F4C-47C9-806B-FA54B776D424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81140350877192979"/>
          <c:w val="0.94966442953020136"/>
          <c:h val="0.1929824561403508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05369127516779"/>
          <c:y val="0.16292134831460675"/>
          <c:w val="0.68120805369127513"/>
          <c:h val="0.4550561797752809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442A-453A-B9E8-CA3EA9639F8C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42A-453A-B9E8-CA3EA9639F8C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42A-453A-B9E8-CA3EA9639F8C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442A-453A-B9E8-CA3EA9639F8C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442A-453A-B9E8-CA3EA9639F8C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442A-453A-B9E8-CA3EA9639F8C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442A-453A-B9E8-CA3EA9639F8C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700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442A-453A-B9E8-CA3EA9639F8C}"/>
              </c:ext>
            </c:extLst>
          </c:dPt>
          <c:dLbls>
            <c:dLbl>
              <c:idx val="0"/>
              <c:numFmt formatCode="0.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2A-453A-B9E8-CA3EA9639F8C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5771812080536912"/>
                  <c:y val="5.6179775280898875E-2"/>
                </c:manualLayout>
              </c:layout>
              <c:numFmt formatCode="0.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42A-453A-B9E8-CA3EA9639F8C}"/>
                </c:ext>
              </c:extLst>
            </c:dLbl>
            <c:dLbl>
              <c:idx val="3"/>
              <c:numFmt formatCode="0.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442A-453A-B9E8-CA3EA9639F8C}"/>
                </c:ext>
              </c:extLst>
            </c:dLbl>
            <c:numFmt formatCode="0.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Прочие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11.8</c:v>
                </c:pt>
                <c:pt idx="1">
                  <c:v>11.6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42A-453A-B9E8-CA3EA9639F8C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7584269662921348"/>
          <c:w val="0.94966442953020136"/>
          <c:h val="0.2471910112359550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05369127516779"/>
          <c:y val="0.16201117318435754"/>
          <c:w val="0.68120805369127513"/>
          <c:h val="0.45251396648044695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801F-4335-8835-CDCA7B46FC2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01F-4335-8835-CDCA7B46FC2D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01F-4335-8835-CDCA7B46FC2D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01F-4335-8835-CDCA7B46FC2D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01F-4335-8835-CDCA7B46FC2D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01F-4335-8835-CDCA7B46FC2D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01F-4335-8835-CDCA7B46FC2D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01F-4335-8835-CDCA7B46FC2D}"/>
              </c:ext>
            </c:extLst>
          </c:dPt>
          <c:dLbls>
            <c:dLbl>
              <c:idx val="0"/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1F-4335-8835-CDCA7B46FC2D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7.0469798657718116E-2"/>
                  <c:y val="0.16759776536312848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1F-4335-8835-CDCA7B46FC2D}"/>
                </c:ext>
              </c:extLst>
            </c:dLbl>
            <c:dLbl>
              <c:idx val="3"/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801F-4335-8835-CDCA7B46FC2D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Прочие</c:v>
                </c:pt>
              </c:strCache>
            </c:strRef>
          </c:cat>
          <c:val>
            <c:numRef>
              <c:f>Sheet1!$B$2:$B$4</c:f>
              <c:numCache>
                <c:formatCode>#,##0.00</c:formatCode>
                <c:ptCount val="3"/>
                <c:pt idx="0">
                  <c:v>1801.8</c:v>
                </c:pt>
                <c:pt idx="1">
                  <c:v>1457.4</c:v>
                </c:pt>
                <c:pt idx="2" formatCode="#,##0">
                  <c:v>1679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1F-4335-8835-CDCA7B46FC2D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75977653631284914"/>
          <c:w val="0.94966442953020136"/>
          <c:h val="0.2458100558659217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25731895223421"/>
          <c:y val="7.2625698324022353E-2"/>
          <c:w val="0.72265023112480742"/>
          <c:h val="0.56983240223463683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 Сумма (млн.тенге )</c:v>
                </c:pt>
              </c:strCache>
            </c:strRef>
          </c:tx>
          <c:spPr>
            <a:solidFill>
              <a:srgbClr val="FF000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Быстрая почта</c:v>
                </c:pt>
                <c:pt idx="1">
                  <c:v>Contact</c:v>
                </c:pt>
                <c:pt idx="2">
                  <c:v>Western Union</c:v>
                </c:pt>
                <c:pt idx="3">
                  <c:v>Блиц</c:v>
                </c:pt>
                <c:pt idx="4">
                  <c:v>InterBanking</c:v>
                </c:pt>
                <c:pt idx="5">
                  <c:v>Юнистрим</c:v>
                </c:pt>
                <c:pt idx="6">
                  <c:v>Лидер</c:v>
                </c:pt>
              </c:strCache>
            </c:strRef>
          </c:cat>
          <c:val>
            <c:numRef>
              <c:f>Sheet1!$C$2:$C$8</c:f>
              <c:numCache>
                <c:formatCode>#\ ##0.0</c:formatCode>
                <c:ptCount val="7"/>
                <c:pt idx="0">
                  <c:v>1391.1</c:v>
                </c:pt>
                <c:pt idx="1">
                  <c:v>1239.3</c:v>
                </c:pt>
                <c:pt idx="2">
                  <c:v>1000.8</c:v>
                </c:pt>
                <c:pt idx="3" formatCode="General">
                  <c:v>972.6</c:v>
                </c:pt>
                <c:pt idx="4" formatCode="General">
                  <c:v>322.39999999999998</c:v>
                </c:pt>
                <c:pt idx="5" formatCode="General">
                  <c:v>11.1</c:v>
                </c:pt>
                <c:pt idx="6" formatCode="General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3-4667-9BEC-D6A2DBDA1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9288672"/>
        <c:axId val="1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Кол-во (тыс.тр.)</c:v>
                </c:pt>
              </c:strCache>
            </c:strRef>
          </c:tx>
          <c:spPr>
            <a:ln w="25398">
              <a:solidFill>
                <a:srgbClr val="000080"/>
              </a:solidFill>
              <a:prstDash val="solid"/>
            </a:ln>
          </c:spPr>
          <c:marker>
            <c:symbol val="diamond"/>
            <c:size val="10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Sheet1!$A$2:$A$8</c:f>
              <c:strCache>
                <c:ptCount val="7"/>
                <c:pt idx="0">
                  <c:v>Быстрая почта</c:v>
                </c:pt>
                <c:pt idx="1">
                  <c:v>Contact</c:v>
                </c:pt>
                <c:pt idx="2">
                  <c:v>Western Union</c:v>
                </c:pt>
                <c:pt idx="3">
                  <c:v>Блиц</c:v>
                </c:pt>
                <c:pt idx="4">
                  <c:v>InterBanking</c:v>
                </c:pt>
                <c:pt idx="5">
                  <c:v>Юнистрим</c:v>
                </c:pt>
                <c:pt idx="6">
                  <c:v>Лидер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9.1999999999999993</c:v>
                </c:pt>
                <c:pt idx="1">
                  <c:v>8.8000000000000007</c:v>
                </c:pt>
                <c:pt idx="2">
                  <c:v>6.2</c:v>
                </c:pt>
                <c:pt idx="3">
                  <c:v>6.8</c:v>
                </c:pt>
                <c:pt idx="4">
                  <c:v>0.4</c:v>
                </c:pt>
                <c:pt idx="5">
                  <c:v>0.03</c:v>
                </c:pt>
                <c:pt idx="6">
                  <c:v>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13-4667-9BEC-D6A2DBDA1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2928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4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тенге</a:t>
                </a:r>
              </a:p>
            </c:rich>
          </c:tx>
          <c:layout>
            <c:manualLayout>
              <c:xMode val="edge"/>
              <c:yMode val="edge"/>
              <c:x val="0.16024653312788906"/>
              <c:y val="0.13966480446927373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9288672"/>
        <c:crosses val="autoZero"/>
        <c:crossBetween val="between"/>
        <c:majorUnit val="300"/>
        <c:minorUnit val="4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0.96456086286594767"/>
              <c:y val="0.12290502793296089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791946308724833"/>
          <c:y val="5.2631578947368418E-2"/>
          <c:w val="0.72483221476510062"/>
          <c:h val="0.45263157894736844"/>
        </c:manualLayout>
      </c:layout>
      <c:pie3D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2013 г.</c:v>
                </c:pt>
              </c:strCache>
            </c:strRef>
          </c:tx>
          <c:spPr>
            <a:solidFill>
              <a:srgbClr val="FF0000"/>
            </a:solidFill>
            <a:ln w="12699">
              <a:solidFill>
                <a:srgbClr val="FF00FF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9AC-4E81-BC82-BCCE015E16B3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9AC-4E81-BC82-BCCE015E16B3}"/>
              </c:ext>
            </c:extLst>
          </c:dPt>
          <c:dPt>
            <c:idx val="2"/>
            <c:bubble3D val="0"/>
            <c:spPr>
              <a:solidFill>
                <a:srgbClr val="339933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A9AC-4E81-BC82-BCCE015E16B3}"/>
              </c:ext>
            </c:extLst>
          </c:dPt>
          <c:dPt>
            <c:idx val="3"/>
            <c:bubble3D val="0"/>
            <c:spPr>
              <a:solidFill>
                <a:srgbClr val="FF00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9AC-4E81-BC82-BCCE015E16B3}"/>
              </c:ext>
            </c:extLst>
          </c:dPt>
          <c:dPt>
            <c:idx val="4"/>
            <c:bubble3D val="0"/>
            <c:spPr>
              <a:solidFill>
                <a:srgbClr val="00FFFF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A9AC-4E81-BC82-BCCE015E16B3}"/>
              </c:ext>
            </c:extLst>
          </c:dPt>
          <c:dPt>
            <c:idx val="5"/>
            <c:bubble3D val="0"/>
            <c:spPr>
              <a:solidFill>
                <a:srgbClr val="60008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9AC-4E81-BC82-BCCE015E16B3}"/>
              </c:ext>
            </c:extLst>
          </c:dPt>
          <c:dPt>
            <c:idx val="6"/>
            <c:bubble3D val="0"/>
            <c:spPr>
              <a:solidFill>
                <a:srgbClr val="A6CAF0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A9AC-4E81-BC82-BCCE015E16B3}"/>
              </c:ext>
            </c:extLst>
          </c:dPt>
          <c:dPt>
            <c:idx val="7"/>
            <c:bubble3D val="0"/>
            <c:spPr>
              <a:solidFill>
                <a:srgbClr val="CC9CCC"/>
              </a:solidFill>
              <a:ln w="12699">
                <a:solidFill>
                  <a:srgbClr val="FF00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A9AC-4E81-BC82-BCCE015E16B3}"/>
              </c:ext>
            </c:extLst>
          </c:dPt>
          <c:dLbls>
            <c:dLbl>
              <c:idx val="0"/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AC-4E81-BC82-BCCE015E16B3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5906040268456374"/>
                  <c:y val="0.53157894736842104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AC-4E81-BC82-BCCE015E16B3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8456375838926176"/>
                  <c:y val="0.5210526315789473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AC-4E81-BC82-BCCE015E16B3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5.7046979865771813E-2"/>
                  <c:y val="0.43684210526315792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AC-4E81-BC82-BCCE015E16B3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2.0134228187919462E-2"/>
                  <c:y val="0.30526315789473685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AC-4E81-BC82-BCCE015E16B3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1.0067114093959731E-2"/>
                  <c:y val="0.19473684210526315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AC-4E81-BC82-BCCE015E16B3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18456375838926176"/>
                  <c:y val="5.263157894736842E-3"/>
                </c:manualLayout>
              </c:layout>
              <c:numFmt formatCode="0.0%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AC-4E81-BC82-BCCE015E16B3}"/>
                </c:ext>
              </c:extLst>
            </c:dLbl>
            <c:numFmt formatCode="0.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Российская Федерация</c:v>
                </c:pt>
                <c:pt idx="1">
                  <c:v>Узбекистан</c:v>
                </c:pt>
                <c:pt idx="2">
                  <c:v>Индия</c:v>
                </c:pt>
                <c:pt idx="3">
                  <c:v>Китай</c:v>
                </c:pt>
                <c:pt idx="4">
                  <c:v>Украина</c:v>
                </c:pt>
                <c:pt idx="5">
                  <c:v>Германия</c:v>
                </c:pt>
                <c:pt idx="6">
                  <c:v>Соединенные Штаты</c:v>
                </c:pt>
                <c:pt idx="7">
                  <c:v>Прочие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97</c:v>
                </c:pt>
                <c:pt idx="1">
                  <c:v>10.6</c:v>
                </c:pt>
                <c:pt idx="2">
                  <c:v>8.6999999999999993</c:v>
                </c:pt>
                <c:pt idx="3">
                  <c:v>7.8</c:v>
                </c:pt>
                <c:pt idx="4">
                  <c:v>7.8</c:v>
                </c:pt>
                <c:pt idx="5">
                  <c:v>6.7</c:v>
                </c:pt>
                <c:pt idx="6">
                  <c:v>6.3</c:v>
                </c:pt>
                <c:pt idx="7">
                  <c:v>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AC-4E81-BC82-BCCE015E16B3}"/>
            </c:ext>
          </c:extLst>
        </c:ser>
        <c:dLbls>
          <c:showLegendKey val="1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3.0201342281879196E-2"/>
          <c:y val="0.7"/>
          <c:w val="0.94966442953020136"/>
          <c:h val="0.3052631578947368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25731895223421"/>
          <c:y val="7.4712643678160925E-2"/>
          <c:w val="0.71802773497688754"/>
          <c:h val="0.55747126436781613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 Сумма (млн.тенге )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Contact</c:v>
                </c:pt>
                <c:pt idx="1">
                  <c:v>Western Union</c:v>
                </c:pt>
                <c:pt idx="2">
                  <c:v>Юнистрим</c:v>
                </c:pt>
                <c:pt idx="3">
                  <c:v>InterBanking</c:v>
                </c:pt>
                <c:pt idx="4">
                  <c:v>Быстрая почта</c:v>
                </c:pt>
                <c:pt idx="5">
                  <c:v>Блиц</c:v>
                </c:pt>
                <c:pt idx="6">
                  <c:v>Лидер</c:v>
                </c:pt>
              </c:strCache>
            </c:strRef>
          </c:cat>
          <c:val>
            <c:numRef>
              <c:f>Sheet1!$C$2:$C$8</c:f>
              <c:numCache>
                <c:formatCode>0.0</c:formatCode>
                <c:ptCount val="7"/>
                <c:pt idx="0" formatCode="General">
                  <c:v>112.1</c:v>
                </c:pt>
                <c:pt idx="1">
                  <c:v>34</c:v>
                </c:pt>
                <c:pt idx="2">
                  <c:v>12.2</c:v>
                </c:pt>
                <c:pt idx="3">
                  <c:v>8.6</c:v>
                </c:pt>
                <c:pt idx="4">
                  <c:v>5</c:v>
                </c:pt>
                <c:pt idx="5">
                  <c:v>4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51-4040-9137-A4CF980A4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9286592"/>
        <c:axId val="1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Кол-во (тыс.тр.)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11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Sheet1!$A$2:$A$8</c:f>
              <c:strCache>
                <c:ptCount val="7"/>
                <c:pt idx="0">
                  <c:v>Contact</c:v>
                </c:pt>
                <c:pt idx="1">
                  <c:v>Western Union</c:v>
                </c:pt>
                <c:pt idx="2">
                  <c:v>Юнистрим</c:v>
                </c:pt>
                <c:pt idx="3">
                  <c:v>InterBanking</c:v>
                </c:pt>
                <c:pt idx="4">
                  <c:v>Быстрая почта</c:v>
                </c:pt>
                <c:pt idx="5">
                  <c:v>Блиц</c:v>
                </c:pt>
                <c:pt idx="6">
                  <c:v>Лидер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0.3</c:v>
                </c:pt>
                <c:pt idx="2">
                  <c:v>0.11</c:v>
                </c:pt>
                <c:pt idx="3" formatCode="0.00">
                  <c:v>0.01</c:v>
                </c:pt>
                <c:pt idx="4" formatCode="0.00">
                  <c:v>0.03</c:v>
                </c:pt>
                <c:pt idx="5" formatCode="0.00">
                  <c:v>0.04</c:v>
                </c:pt>
                <c:pt idx="6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51-4040-9137-A4CF980A4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2928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2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тенге</a:t>
                </a:r>
              </a:p>
            </c:rich>
          </c:tx>
          <c:layout>
            <c:manualLayout>
              <c:xMode val="edge"/>
              <c:yMode val="edge"/>
              <c:x val="0.16024653312788906"/>
              <c:y val="0.12643678160919541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9286592"/>
        <c:crosses val="autoZero"/>
        <c:crossBetween val="between"/>
        <c:majorUnit val="30"/>
        <c:minorUnit val="4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0.96456086286594767"/>
              <c:y val="0.114942528735632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5B5C-4D6C-455D-BFC8-5D04DD5E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Тасхожаеву Е</vt:lpstr>
    </vt:vector>
  </TitlesOfParts>
  <Company>Microsoft</Company>
  <LinksUpToDate>false</LinksUpToDate>
  <CharactersWithSpaces>24761</CharactersWithSpaces>
  <SharedDoc>false</SharedDoc>
  <HLinks>
    <vt:vector size="12" baseType="variant">
      <vt:variant>
        <vt:i4>5373977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http://ru.wikipedia.org/wiki/%D0%9F%D0%BB%D0%B0%D1%82%D1%91%D0%B6</vt:lpwstr>
      </vt:variant>
      <vt:variant>
        <vt:lpwstr/>
      </vt:variant>
      <vt:variant>
        <vt:i4>123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http://ru.wikipedia.org/wiki/%D0%94%D0%B5%D0%BD%D0%B5%D0%B6%D0%BD%D1%8B%D0%B5_%D0%BF%D0%B5%D1%80%D0%B5%D0%B2%D0%BE%D0%B4%D1%8B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Тасхожаеву Е</dc:title>
  <dc:subject/>
  <dc:creator>PS_Gulsana_D</dc:creator>
  <cp:keywords/>
  <cp:lastModifiedBy>Владимир Мушегов</cp:lastModifiedBy>
  <cp:revision>2</cp:revision>
  <cp:lastPrinted>2013-07-23T08:54:00Z</cp:lastPrinted>
  <dcterms:created xsi:type="dcterms:W3CDTF">2019-11-14T10:32:00Z</dcterms:created>
  <dcterms:modified xsi:type="dcterms:W3CDTF">2019-11-14T10:32:00Z</dcterms:modified>
</cp:coreProperties>
</file>