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14" w:rsidRPr="00BE73B7" w:rsidRDefault="007B01C6" w:rsidP="007B01C6">
      <w:pPr>
        <w:jc w:val="center"/>
        <w:rPr>
          <w:b/>
          <w:snapToGrid w:val="0"/>
          <w:sz w:val="28"/>
          <w:szCs w:val="28"/>
          <w:lang w:val="kk-KZ"/>
        </w:rPr>
      </w:pPr>
      <w:bookmarkStart w:id="0" w:name="Итоги"/>
      <w:bookmarkStart w:id="1" w:name="_GoBack"/>
      <w:bookmarkEnd w:id="1"/>
      <w:r w:rsidRPr="00BE73B7">
        <w:rPr>
          <w:b/>
          <w:snapToGrid w:val="0"/>
          <w:sz w:val="28"/>
          <w:szCs w:val="28"/>
          <w:lang w:val="kk-KZ"/>
        </w:rPr>
        <w:t>ҚАЗАҚСТАННЫҢ ТӨЛЕМ ЖҮЙЕЛЕРІНІҢ ДАМУЫН ТАЛДАУ</w:t>
      </w:r>
    </w:p>
    <w:p w:rsidR="006E28CB" w:rsidRPr="00BE73B7" w:rsidRDefault="006E28CB" w:rsidP="00837D8C">
      <w:pPr>
        <w:pStyle w:val="a7"/>
        <w:rPr>
          <w:sz w:val="28"/>
          <w:szCs w:val="28"/>
          <w:lang w:val="kk-KZ"/>
        </w:rPr>
      </w:pPr>
      <w:r w:rsidRPr="00BE73B7">
        <w:rPr>
          <w:sz w:val="28"/>
          <w:szCs w:val="28"/>
          <w:lang w:val="kk-KZ"/>
        </w:rPr>
        <w:tab/>
      </w:r>
    </w:p>
    <w:p w:rsidR="00CB346B" w:rsidRPr="00BE73B7" w:rsidRDefault="007B01C6" w:rsidP="00013942">
      <w:pPr>
        <w:ind w:firstLine="709"/>
        <w:jc w:val="both"/>
        <w:rPr>
          <w:sz w:val="28"/>
          <w:szCs w:val="28"/>
          <w:lang w:val="kk-KZ"/>
        </w:rPr>
      </w:pPr>
      <w:r w:rsidRPr="00BE73B7">
        <w:rPr>
          <w:sz w:val="28"/>
          <w:szCs w:val="28"/>
          <w:lang w:val="kk-KZ"/>
        </w:rPr>
        <w:t>2013 жылғы қаңтар – қарашада Қазақстанның төлем жүйелері (Банкаралық ақша аудару жүйесі және Банкаралық клиринг жүйесі) арқылы 156 534,9 млрд. теңге</w:t>
      </w:r>
      <w:r w:rsidR="00013942" w:rsidRPr="00BE73B7">
        <w:rPr>
          <w:sz w:val="28"/>
          <w:szCs w:val="28"/>
          <w:lang w:val="kk-KZ"/>
        </w:rPr>
        <w:t xml:space="preserve"> сомаға 32,0 млн. транзакция жүргізілді. 2012 жылдың осындай кезеңімен салыстырғанда төлем жүйелеріне жүргізілген төлемдердің саны 8,6% (2 543,5 мың транзакция) өсті, ал төлемдердің сомасы 3,0% (4 614,4 млрд. теңге) ұлғайды</w:t>
      </w:r>
      <w:r w:rsidR="007C052F" w:rsidRPr="00BE73B7">
        <w:rPr>
          <w:sz w:val="28"/>
          <w:szCs w:val="28"/>
          <w:lang w:val="kk-KZ"/>
        </w:rPr>
        <w:t xml:space="preserve"> (1</w:t>
      </w:r>
      <w:r w:rsidR="00013942" w:rsidRPr="00BE73B7">
        <w:rPr>
          <w:sz w:val="28"/>
          <w:szCs w:val="28"/>
          <w:lang w:val="kk-KZ"/>
        </w:rPr>
        <w:t>-сурет</w:t>
      </w:r>
      <w:r w:rsidR="007C052F" w:rsidRPr="00BE73B7">
        <w:rPr>
          <w:sz w:val="28"/>
          <w:szCs w:val="28"/>
          <w:lang w:val="kk-KZ"/>
        </w:rPr>
        <w:t>.).</w:t>
      </w:r>
    </w:p>
    <w:p w:rsidR="00982643" w:rsidRPr="00BE73B7" w:rsidRDefault="00982643" w:rsidP="007C052F">
      <w:pPr>
        <w:ind w:firstLine="709"/>
        <w:jc w:val="right"/>
        <w:rPr>
          <w:b/>
          <w:sz w:val="28"/>
          <w:szCs w:val="28"/>
          <w:lang w:val="kk-KZ"/>
        </w:rPr>
      </w:pPr>
    </w:p>
    <w:p w:rsidR="007C052F" w:rsidRPr="00BE73B7" w:rsidRDefault="007C052F" w:rsidP="007C052F">
      <w:pPr>
        <w:ind w:firstLine="709"/>
        <w:jc w:val="right"/>
        <w:rPr>
          <w:b/>
          <w:lang w:val="kk-KZ"/>
        </w:rPr>
      </w:pPr>
      <w:r w:rsidRPr="00BE73B7">
        <w:rPr>
          <w:b/>
          <w:lang w:val="kk-KZ"/>
        </w:rPr>
        <w:t>1</w:t>
      </w:r>
      <w:r w:rsidR="00013942" w:rsidRPr="00BE73B7">
        <w:rPr>
          <w:b/>
          <w:lang w:val="kk-KZ"/>
        </w:rPr>
        <w:t>-сурет</w:t>
      </w:r>
    </w:p>
    <w:p w:rsidR="007C052F" w:rsidRPr="00BE73B7" w:rsidRDefault="006258EB" w:rsidP="007C052F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val="kk-KZ" w:eastAsia="ja-JP"/>
        </w:rPr>
      </w:pPr>
      <w:r w:rsidRPr="00BE73B7">
        <w:rPr>
          <w:rFonts w:eastAsia="MS Mincho"/>
          <w:b/>
          <w:color w:val="000000"/>
          <w:sz w:val="28"/>
          <w:szCs w:val="28"/>
          <w:lang w:val="kk-KZ" w:eastAsia="ja-JP"/>
        </w:rPr>
        <w:t>Т</w:t>
      </w:r>
      <w:r w:rsidR="00013942" w:rsidRPr="00BE73B7">
        <w:rPr>
          <w:rFonts w:eastAsia="MS Mincho"/>
          <w:b/>
          <w:color w:val="000000"/>
          <w:sz w:val="28"/>
          <w:szCs w:val="28"/>
          <w:lang w:val="kk-KZ" w:eastAsia="ja-JP"/>
        </w:rPr>
        <w:t>өлем жүйелеріндегі төлемдер ағындарының 2004 жыл – 2013 жылғы қаңтар – қараша аралығындағы динамикасы</w:t>
      </w:r>
    </w:p>
    <w:p w:rsidR="007C052F" w:rsidRPr="00BE73B7" w:rsidRDefault="00522A28" w:rsidP="007C052F">
      <w:pPr>
        <w:jc w:val="both"/>
        <w:rPr>
          <w:sz w:val="28"/>
          <w:szCs w:val="28"/>
          <w:lang w:val="kk-KZ"/>
        </w:rPr>
      </w:pPr>
      <w:r w:rsidRPr="00BE73B7">
        <w:rPr>
          <w:noProof/>
          <w:sz w:val="28"/>
          <w:szCs w:val="28"/>
        </w:rPr>
        <w:drawing>
          <wp:inline distT="0" distB="0" distL="0" distR="0">
            <wp:extent cx="6115050" cy="27717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1DE2" w:rsidRPr="00BE73B7" w:rsidRDefault="00BD43BA" w:rsidP="00BD43BA">
      <w:pPr>
        <w:ind w:firstLine="709"/>
        <w:jc w:val="both"/>
        <w:rPr>
          <w:sz w:val="28"/>
          <w:szCs w:val="28"/>
          <w:lang w:val="kk-KZ"/>
        </w:rPr>
      </w:pPr>
      <w:r w:rsidRPr="00BE73B7">
        <w:rPr>
          <w:sz w:val="28"/>
          <w:szCs w:val="28"/>
          <w:lang w:val="kk-KZ"/>
        </w:rPr>
        <w:t>2013 жылғы қаңтар – қарашада Қазақстанның төлем жүйелері арқылы орташа алғанда бір күні 705,9 млрд. теңге сомаға 141,6 мың транзакция жүргізілді, бұл 2012 жылдың осындай кезеңімен салыстырғанда саны бойынша 10,5% және сомасы бойынша 4,5% көп</w:t>
      </w:r>
      <w:r w:rsidR="00BD1DE2" w:rsidRPr="00BE73B7">
        <w:rPr>
          <w:sz w:val="28"/>
          <w:szCs w:val="28"/>
          <w:lang w:val="kk-KZ"/>
        </w:rPr>
        <w:t>.</w:t>
      </w:r>
    </w:p>
    <w:p w:rsidR="00BD43BA" w:rsidRPr="00BE73B7" w:rsidRDefault="00BD43BA" w:rsidP="00BD43BA">
      <w:pPr>
        <w:ind w:firstLine="709"/>
        <w:jc w:val="both"/>
        <w:rPr>
          <w:sz w:val="28"/>
          <w:szCs w:val="28"/>
          <w:lang w:val="kk-KZ"/>
        </w:rPr>
      </w:pPr>
    </w:p>
    <w:p w:rsidR="009326C9" w:rsidRPr="00BE73B7" w:rsidRDefault="009326C9" w:rsidP="00F35FCE">
      <w:pPr>
        <w:ind w:left="7080" w:firstLine="708"/>
        <w:rPr>
          <w:b/>
          <w:lang w:val="kk-KZ"/>
        </w:rPr>
      </w:pPr>
      <w:r w:rsidRPr="00BE73B7">
        <w:rPr>
          <w:b/>
          <w:lang w:val="kk-KZ"/>
        </w:rPr>
        <w:t>2</w:t>
      </w:r>
      <w:r w:rsidR="00BD43BA" w:rsidRPr="00BE73B7">
        <w:rPr>
          <w:b/>
          <w:lang w:val="kk-KZ"/>
        </w:rPr>
        <w:t>-сурет</w:t>
      </w:r>
    </w:p>
    <w:p w:rsidR="009326C9" w:rsidRPr="00BE73B7" w:rsidRDefault="00BD43BA" w:rsidP="009326C9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val="kk-KZ" w:eastAsia="ja-JP"/>
        </w:rPr>
      </w:pPr>
      <w:r w:rsidRPr="00BE73B7">
        <w:rPr>
          <w:rFonts w:eastAsia="MS Mincho"/>
          <w:b/>
          <w:color w:val="000000"/>
          <w:sz w:val="28"/>
          <w:szCs w:val="28"/>
          <w:lang w:val="kk-KZ" w:eastAsia="ja-JP"/>
        </w:rPr>
        <w:t>Төлем жүйелеріндегі орташа алғанда бір күнгі төлемдер ағындарының 2009 жыл – 2013 жылғы қаңтар – қараша аралығындағы динамикасы</w:t>
      </w:r>
    </w:p>
    <w:p w:rsidR="009326C9" w:rsidRPr="00BE73B7" w:rsidRDefault="00522A28" w:rsidP="000416B6">
      <w:pPr>
        <w:ind w:firstLine="709"/>
        <w:jc w:val="center"/>
        <w:rPr>
          <w:sz w:val="28"/>
          <w:szCs w:val="28"/>
          <w:lang w:val="kk-KZ"/>
        </w:rPr>
      </w:pPr>
      <w:r w:rsidRPr="00BE73B7">
        <w:rPr>
          <w:noProof/>
          <w:sz w:val="28"/>
          <w:szCs w:val="28"/>
        </w:rPr>
        <w:drawing>
          <wp:inline distT="0" distB="0" distL="0" distR="0">
            <wp:extent cx="4067175" cy="22764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A3F14" w:rsidRPr="00BE73B7" w:rsidRDefault="00980980" w:rsidP="00023710">
      <w:pPr>
        <w:ind w:firstLine="709"/>
        <w:jc w:val="both"/>
        <w:rPr>
          <w:sz w:val="28"/>
          <w:szCs w:val="28"/>
          <w:lang w:val="kk-KZ"/>
        </w:rPr>
      </w:pPr>
      <w:r w:rsidRPr="00BE73B7">
        <w:rPr>
          <w:sz w:val="28"/>
          <w:szCs w:val="28"/>
          <w:lang w:val="kk-KZ"/>
        </w:rPr>
        <w:lastRenderedPageBreak/>
        <w:t xml:space="preserve">Қаржы секторы субъектілерінің Қазақстанның төлем жүйелері арқылы ақша төлемі мен аударымын жүзеге асыру кезіндегі неғұрлым белсенділігі 2013 жылы </w:t>
      </w:r>
      <w:r w:rsidR="00FF1CF7" w:rsidRPr="00BE73B7">
        <w:rPr>
          <w:sz w:val="28"/>
          <w:szCs w:val="28"/>
          <w:lang w:val="kk-KZ"/>
        </w:rPr>
        <w:t>Қазақстан Республикасының резиденттері шығарған бағалы қағаздармен және вексельдермен операциялар (төлемдердің жалпы көлемінің 44,7%) жүргізу кезінде байқалды</w:t>
      </w:r>
      <w:r w:rsidR="006A3F14" w:rsidRPr="00BE73B7">
        <w:rPr>
          <w:sz w:val="28"/>
          <w:szCs w:val="28"/>
          <w:lang w:val="kk-KZ"/>
        </w:rPr>
        <w:t xml:space="preserve">. </w:t>
      </w:r>
    </w:p>
    <w:p w:rsidR="000416B6" w:rsidRPr="00BE73B7" w:rsidRDefault="000416B6" w:rsidP="000416B6">
      <w:pPr>
        <w:pStyle w:val="ad"/>
        <w:ind w:firstLine="709"/>
        <w:jc w:val="center"/>
        <w:rPr>
          <w:b/>
          <w:sz w:val="28"/>
          <w:szCs w:val="28"/>
          <w:lang w:val="kk-KZ"/>
        </w:rPr>
      </w:pPr>
    </w:p>
    <w:p w:rsidR="00C83CDB" w:rsidRPr="00BE73B7" w:rsidRDefault="00CD25DC" w:rsidP="00CD25DC">
      <w:pPr>
        <w:pStyle w:val="ad"/>
        <w:ind w:firstLine="709"/>
        <w:jc w:val="center"/>
        <w:rPr>
          <w:b/>
          <w:sz w:val="28"/>
          <w:szCs w:val="28"/>
          <w:lang w:val="kk-KZ"/>
        </w:rPr>
      </w:pPr>
      <w:r w:rsidRPr="00BE73B7">
        <w:rPr>
          <w:b/>
          <w:sz w:val="28"/>
          <w:szCs w:val="28"/>
          <w:lang w:val="kk-KZ"/>
        </w:rPr>
        <w:t>БААЖ және БКЖ төлемдері мақсатының түрлері бойынша төлемдердің көлемі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1122"/>
        <w:gridCol w:w="935"/>
        <w:gridCol w:w="1047"/>
        <w:gridCol w:w="953"/>
        <w:gridCol w:w="917"/>
        <w:gridCol w:w="823"/>
      </w:tblGrid>
      <w:tr w:rsidR="00C83CDB" w:rsidRPr="00BE73B7" w:rsidTr="006222CD">
        <w:trPr>
          <w:trHeight w:val="311"/>
        </w:trPr>
        <w:tc>
          <w:tcPr>
            <w:tcW w:w="4035" w:type="dxa"/>
            <w:vMerge w:val="restart"/>
            <w:shd w:val="clear" w:color="auto" w:fill="99CCFF"/>
            <w:vAlign w:val="center"/>
          </w:tcPr>
          <w:p w:rsidR="00C83CDB" w:rsidRPr="00BE73B7" w:rsidRDefault="00CD25DC" w:rsidP="00CD25DC">
            <w:pPr>
              <w:ind w:firstLine="709"/>
              <w:jc w:val="center"/>
              <w:rPr>
                <w:b/>
                <w:sz w:val="20"/>
                <w:szCs w:val="20"/>
                <w:lang w:val="kk-KZ"/>
              </w:rPr>
            </w:pPr>
            <w:r w:rsidRPr="00BE73B7">
              <w:rPr>
                <w:b/>
                <w:sz w:val="20"/>
                <w:szCs w:val="20"/>
                <w:lang w:val="kk-KZ"/>
              </w:rPr>
              <w:t>Көрсеткіштің атауы</w:t>
            </w:r>
          </w:p>
        </w:tc>
        <w:tc>
          <w:tcPr>
            <w:tcW w:w="2057" w:type="dxa"/>
            <w:gridSpan w:val="2"/>
            <w:shd w:val="clear" w:color="auto" w:fill="99CCFF"/>
            <w:vAlign w:val="center"/>
          </w:tcPr>
          <w:p w:rsidR="00C83CDB" w:rsidRPr="00BE73B7" w:rsidRDefault="00C83CDB" w:rsidP="00CD25D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E73B7">
              <w:rPr>
                <w:b/>
                <w:sz w:val="20"/>
                <w:szCs w:val="20"/>
                <w:lang w:val="kk-KZ"/>
              </w:rPr>
              <w:t xml:space="preserve">2012 </w:t>
            </w:r>
            <w:r w:rsidR="00CD25DC" w:rsidRPr="00BE73B7">
              <w:rPr>
                <w:b/>
                <w:sz w:val="20"/>
                <w:szCs w:val="20"/>
                <w:lang w:val="kk-KZ"/>
              </w:rPr>
              <w:t>жылғы 11 ай</w:t>
            </w:r>
          </w:p>
        </w:tc>
        <w:tc>
          <w:tcPr>
            <w:tcW w:w="2000" w:type="dxa"/>
            <w:gridSpan w:val="2"/>
            <w:shd w:val="clear" w:color="auto" w:fill="99CCFF"/>
            <w:vAlign w:val="center"/>
          </w:tcPr>
          <w:p w:rsidR="00C83CDB" w:rsidRPr="00BE73B7" w:rsidRDefault="00CD25DC" w:rsidP="00CD25D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E73B7">
              <w:rPr>
                <w:b/>
                <w:sz w:val="20"/>
                <w:szCs w:val="20"/>
                <w:lang w:val="kk-KZ"/>
              </w:rPr>
              <w:t xml:space="preserve">2013 жылғы 11 ай </w:t>
            </w:r>
          </w:p>
        </w:tc>
        <w:tc>
          <w:tcPr>
            <w:tcW w:w="1740" w:type="dxa"/>
            <w:gridSpan w:val="2"/>
            <w:shd w:val="clear" w:color="auto" w:fill="99CCFF"/>
            <w:vAlign w:val="center"/>
          </w:tcPr>
          <w:p w:rsidR="00C83CDB" w:rsidRPr="00BE73B7" w:rsidRDefault="00CD25DC" w:rsidP="00CD25D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E73B7">
              <w:rPr>
                <w:b/>
                <w:sz w:val="20"/>
                <w:szCs w:val="20"/>
                <w:lang w:val="kk-KZ"/>
              </w:rPr>
              <w:t xml:space="preserve">Өзгеріс </w:t>
            </w:r>
          </w:p>
        </w:tc>
      </w:tr>
      <w:tr w:rsidR="00C83CDB" w:rsidRPr="00BE73B7" w:rsidTr="006222CD">
        <w:trPr>
          <w:trHeight w:val="369"/>
        </w:trPr>
        <w:tc>
          <w:tcPr>
            <w:tcW w:w="4035" w:type="dxa"/>
            <w:vMerge/>
            <w:shd w:val="clear" w:color="auto" w:fill="99CCFF"/>
            <w:vAlign w:val="center"/>
          </w:tcPr>
          <w:p w:rsidR="00C83CDB" w:rsidRPr="00BE73B7" w:rsidRDefault="00C83CDB" w:rsidP="006222CD">
            <w:pPr>
              <w:ind w:firstLine="709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22" w:type="dxa"/>
            <w:shd w:val="clear" w:color="auto" w:fill="99CCFF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 xml:space="preserve">млрд. </w:t>
            </w:r>
            <w:r w:rsidR="007B01C6" w:rsidRPr="00BE73B7">
              <w:rPr>
                <w:sz w:val="20"/>
                <w:szCs w:val="20"/>
                <w:lang w:val="kk-KZ"/>
              </w:rPr>
              <w:t>теңге</w:t>
            </w:r>
          </w:p>
        </w:tc>
        <w:tc>
          <w:tcPr>
            <w:tcW w:w="935" w:type="dxa"/>
            <w:shd w:val="clear" w:color="auto" w:fill="99CCFF"/>
            <w:vAlign w:val="center"/>
          </w:tcPr>
          <w:p w:rsidR="00C83CDB" w:rsidRPr="00BE73B7" w:rsidRDefault="00CD25DC" w:rsidP="00CD25DC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BE73B7">
              <w:rPr>
                <w:i/>
                <w:sz w:val="20"/>
                <w:szCs w:val="20"/>
                <w:lang w:val="kk-KZ"/>
              </w:rPr>
              <w:t xml:space="preserve">жалпы көлем-нің </w:t>
            </w:r>
            <w:r w:rsidR="00C83CDB" w:rsidRPr="00BE73B7">
              <w:rPr>
                <w:i/>
                <w:sz w:val="20"/>
                <w:szCs w:val="20"/>
                <w:lang w:val="kk-KZ"/>
              </w:rPr>
              <w:t>%</w:t>
            </w:r>
          </w:p>
        </w:tc>
        <w:tc>
          <w:tcPr>
            <w:tcW w:w="1047" w:type="dxa"/>
            <w:shd w:val="clear" w:color="auto" w:fill="99CCFF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 xml:space="preserve">млрд. </w:t>
            </w:r>
            <w:r w:rsidR="007B01C6" w:rsidRPr="00BE73B7">
              <w:rPr>
                <w:sz w:val="20"/>
                <w:szCs w:val="20"/>
                <w:lang w:val="kk-KZ"/>
              </w:rPr>
              <w:t>теңге</w:t>
            </w:r>
          </w:p>
        </w:tc>
        <w:tc>
          <w:tcPr>
            <w:tcW w:w="953" w:type="dxa"/>
            <w:shd w:val="clear" w:color="auto" w:fill="99CCFF"/>
            <w:vAlign w:val="center"/>
          </w:tcPr>
          <w:p w:rsidR="00C83CDB" w:rsidRPr="00BE73B7" w:rsidRDefault="00CD25DC" w:rsidP="006222CD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BE73B7">
              <w:rPr>
                <w:i/>
                <w:sz w:val="20"/>
                <w:szCs w:val="20"/>
                <w:lang w:val="kk-KZ"/>
              </w:rPr>
              <w:t>жалпы көлем-нің %</w:t>
            </w:r>
          </w:p>
        </w:tc>
        <w:tc>
          <w:tcPr>
            <w:tcW w:w="917" w:type="dxa"/>
            <w:shd w:val="clear" w:color="auto" w:fill="99CCFF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 xml:space="preserve">млрд. </w:t>
            </w:r>
            <w:r w:rsidR="007B01C6" w:rsidRPr="00BE73B7">
              <w:rPr>
                <w:sz w:val="20"/>
                <w:szCs w:val="20"/>
                <w:lang w:val="kk-KZ"/>
              </w:rPr>
              <w:t>теңге</w:t>
            </w:r>
          </w:p>
        </w:tc>
        <w:tc>
          <w:tcPr>
            <w:tcW w:w="823" w:type="dxa"/>
            <w:shd w:val="clear" w:color="auto" w:fill="99CCFF"/>
            <w:vAlign w:val="center"/>
          </w:tcPr>
          <w:p w:rsidR="00C83CDB" w:rsidRPr="00BE73B7" w:rsidRDefault="00C83CDB" w:rsidP="006222CD">
            <w:pPr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BE73B7">
              <w:rPr>
                <w:b/>
                <w:i/>
                <w:sz w:val="20"/>
                <w:szCs w:val="20"/>
                <w:lang w:val="kk-KZ"/>
              </w:rPr>
              <w:t>%</w:t>
            </w:r>
          </w:p>
        </w:tc>
      </w:tr>
      <w:tr w:rsidR="00C83CDB" w:rsidRPr="00BE73B7" w:rsidTr="006222CD">
        <w:tc>
          <w:tcPr>
            <w:tcW w:w="4035" w:type="dxa"/>
            <w:shd w:val="clear" w:color="auto" w:fill="99CCFF"/>
            <w:vAlign w:val="bottom"/>
          </w:tcPr>
          <w:p w:rsidR="00C83CDB" w:rsidRPr="00BE73B7" w:rsidRDefault="00CD25DC" w:rsidP="00CD25DC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Шетел валютасымен және бағалы металдармен операциялар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23 903,0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15,4%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23 172,6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14,5%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-730,4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-3,1%</w:t>
            </w:r>
          </w:p>
        </w:tc>
      </w:tr>
      <w:tr w:rsidR="00C83CDB" w:rsidRPr="00BE73B7" w:rsidTr="006222CD">
        <w:trPr>
          <w:trHeight w:val="185"/>
        </w:trPr>
        <w:tc>
          <w:tcPr>
            <w:tcW w:w="4035" w:type="dxa"/>
            <w:shd w:val="clear" w:color="auto" w:fill="99CCFF"/>
            <w:vAlign w:val="bottom"/>
          </w:tcPr>
          <w:p w:rsidR="00C83CDB" w:rsidRPr="00BE73B7" w:rsidRDefault="00CD25DC" w:rsidP="006222CD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Депозиттер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23 385,7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15,1%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21 021,3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13,2%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-2 364,4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-10,1%</w:t>
            </w:r>
          </w:p>
        </w:tc>
      </w:tr>
      <w:tr w:rsidR="00C83CDB" w:rsidRPr="00BE73B7" w:rsidTr="006222CD">
        <w:tc>
          <w:tcPr>
            <w:tcW w:w="4035" w:type="dxa"/>
            <w:shd w:val="clear" w:color="auto" w:fill="99CCFF"/>
            <w:vAlign w:val="bottom"/>
          </w:tcPr>
          <w:p w:rsidR="00C83CDB" w:rsidRPr="00BE73B7" w:rsidRDefault="00CD25DC" w:rsidP="00CD25DC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 xml:space="preserve">Қарыздар 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1 766,3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1,1%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2 114,6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1,3%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348,3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19,7%</w:t>
            </w:r>
          </w:p>
        </w:tc>
      </w:tr>
      <w:tr w:rsidR="00C83CDB" w:rsidRPr="00BE73B7" w:rsidTr="006222CD">
        <w:trPr>
          <w:trHeight w:val="254"/>
        </w:trPr>
        <w:tc>
          <w:tcPr>
            <w:tcW w:w="4035" w:type="dxa"/>
            <w:shd w:val="clear" w:color="auto" w:fill="99CCFF"/>
            <w:vAlign w:val="bottom"/>
          </w:tcPr>
          <w:p w:rsidR="00C83CDB" w:rsidRPr="00BE73B7" w:rsidRDefault="00CD25DC" w:rsidP="00CD25DC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ҚР резидент еместері шығарған бағалы қағаздар, вексельдер және депозиттік сертификаттар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189,8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0,1%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152,0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0,1%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-37,9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-19,9%</w:t>
            </w:r>
          </w:p>
        </w:tc>
      </w:tr>
      <w:tr w:rsidR="00C83CDB" w:rsidRPr="00BE73B7" w:rsidTr="006222CD">
        <w:trPr>
          <w:trHeight w:val="227"/>
        </w:trPr>
        <w:tc>
          <w:tcPr>
            <w:tcW w:w="4035" w:type="dxa"/>
            <w:shd w:val="clear" w:color="auto" w:fill="99CCFF"/>
            <w:vAlign w:val="bottom"/>
          </w:tcPr>
          <w:p w:rsidR="00C83CDB" w:rsidRPr="00BE73B7" w:rsidRDefault="00CD25DC" w:rsidP="00FC792D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ҚР резидент еместері шығарған бағалы қағаздар</w:t>
            </w:r>
            <w:r w:rsidR="00FC792D" w:rsidRPr="00BE73B7">
              <w:rPr>
                <w:sz w:val="20"/>
                <w:szCs w:val="20"/>
                <w:lang w:val="kk-KZ"/>
              </w:rPr>
              <w:t xml:space="preserve"> және</w:t>
            </w:r>
            <w:r w:rsidRPr="00BE73B7">
              <w:rPr>
                <w:sz w:val="20"/>
                <w:szCs w:val="20"/>
                <w:lang w:val="kk-KZ"/>
              </w:rPr>
              <w:t xml:space="preserve"> вексельдер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66 121,8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42,7%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71 324,3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44,7%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5 202,5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7,9%</w:t>
            </w:r>
          </w:p>
        </w:tc>
      </w:tr>
      <w:tr w:rsidR="00C83CDB" w:rsidRPr="00BE73B7" w:rsidTr="006222CD">
        <w:trPr>
          <w:trHeight w:val="225"/>
        </w:trPr>
        <w:tc>
          <w:tcPr>
            <w:tcW w:w="4035" w:type="dxa"/>
            <w:shd w:val="clear" w:color="auto" w:fill="99CCFF"/>
            <w:vAlign w:val="bottom"/>
          </w:tcPr>
          <w:p w:rsidR="00C83CDB" w:rsidRPr="00BE73B7" w:rsidRDefault="00C83CDB" w:rsidP="00FC792D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Т</w:t>
            </w:r>
            <w:r w:rsidR="00FC792D" w:rsidRPr="00BE73B7">
              <w:rPr>
                <w:sz w:val="20"/>
                <w:szCs w:val="20"/>
                <w:lang w:val="kk-KZ"/>
              </w:rPr>
              <w:t>ау</w:t>
            </w:r>
            <w:r w:rsidRPr="00BE73B7">
              <w:rPr>
                <w:sz w:val="20"/>
                <w:szCs w:val="20"/>
                <w:lang w:val="kk-KZ"/>
              </w:rPr>
              <w:t>ар</w:t>
            </w:r>
            <w:r w:rsidR="00FC792D" w:rsidRPr="00BE73B7">
              <w:rPr>
                <w:sz w:val="20"/>
                <w:szCs w:val="20"/>
                <w:lang w:val="kk-KZ"/>
              </w:rPr>
              <w:t>лар және</w:t>
            </w:r>
            <w:r w:rsidRPr="00BE73B7">
              <w:rPr>
                <w:sz w:val="20"/>
                <w:szCs w:val="20"/>
                <w:lang w:val="kk-KZ"/>
              </w:rPr>
              <w:t xml:space="preserve"> материал</w:t>
            </w:r>
            <w:r w:rsidR="00FC792D" w:rsidRPr="00BE73B7">
              <w:rPr>
                <w:sz w:val="20"/>
                <w:szCs w:val="20"/>
                <w:lang w:val="kk-KZ"/>
              </w:rPr>
              <w:t>дық емес</w:t>
            </w:r>
            <w:r w:rsidRPr="00BE73B7">
              <w:rPr>
                <w:sz w:val="20"/>
                <w:szCs w:val="20"/>
                <w:lang w:val="kk-KZ"/>
              </w:rPr>
              <w:t xml:space="preserve"> актив</w:t>
            </w:r>
            <w:r w:rsidR="00FC792D" w:rsidRPr="00BE73B7">
              <w:rPr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11 451,1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7,4%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12 155,6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7,6%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704,5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6,2%</w:t>
            </w:r>
          </w:p>
        </w:tc>
      </w:tr>
      <w:tr w:rsidR="00C83CDB" w:rsidRPr="00BE73B7" w:rsidTr="006222CD">
        <w:trPr>
          <w:trHeight w:val="241"/>
        </w:trPr>
        <w:tc>
          <w:tcPr>
            <w:tcW w:w="4035" w:type="dxa"/>
            <w:shd w:val="clear" w:color="auto" w:fill="99CCFF"/>
            <w:vAlign w:val="bottom"/>
          </w:tcPr>
          <w:p w:rsidR="00C83CDB" w:rsidRPr="00BE73B7" w:rsidRDefault="00FC792D" w:rsidP="00FC792D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Қызмет көрсетулер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8 670,7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5,6%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9 840,8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6,2%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1 170,1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13,5%</w:t>
            </w:r>
          </w:p>
        </w:tc>
      </w:tr>
      <w:tr w:rsidR="00C83CDB" w:rsidRPr="00BE73B7" w:rsidTr="006222CD">
        <w:trPr>
          <w:trHeight w:val="253"/>
        </w:trPr>
        <w:tc>
          <w:tcPr>
            <w:tcW w:w="4035" w:type="dxa"/>
            <w:shd w:val="clear" w:color="auto" w:fill="99CCFF"/>
            <w:vAlign w:val="bottom"/>
          </w:tcPr>
          <w:p w:rsidR="00C83CDB" w:rsidRPr="00BE73B7" w:rsidRDefault="00FC792D" w:rsidP="00FC792D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Басқа да төлемдер</w:t>
            </w:r>
            <w:r w:rsidR="00C83CDB" w:rsidRPr="00BE73B7">
              <w:rPr>
                <w:sz w:val="20"/>
                <w:szCs w:val="20"/>
                <w:lang w:val="kk-KZ"/>
              </w:rPr>
              <w:t>*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19 431,9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12,5%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19 753,7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12,4%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321,8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i/>
                <w:iCs/>
                <w:sz w:val="20"/>
                <w:szCs w:val="20"/>
                <w:lang w:val="kk-KZ"/>
              </w:rPr>
              <w:t>1,7%</w:t>
            </w:r>
          </w:p>
        </w:tc>
      </w:tr>
      <w:tr w:rsidR="00C83CDB" w:rsidRPr="00BE73B7" w:rsidTr="006222CD">
        <w:trPr>
          <w:trHeight w:val="245"/>
        </w:trPr>
        <w:tc>
          <w:tcPr>
            <w:tcW w:w="4035" w:type="dxa"/>
            <w:shd w:val="clear" w:color="auto" w:fill="99CCFF"/>
            <w:vAlign w:val="bottom"/>
          </w:tcPr>
          <w:p w:rsidR="00C83CDB" w:rsidRPr="00BE73B7" w:rsidRDefault="00FC792D" w:rsidP="00FC792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E73B7">
              <w:rPr>
                <w:b/>
                <w:bCs/>
                <w:sz w:val="20"/>
                <w:szCs w:val="20"/>
                <w:lang w:val="kk-KZ"/>
              </w:rPr>
              <w:t>Жиынтығы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E73B7">
              <w:rPr>
                <w:b/>
                <w:bCs/>
                <w:sz w:val="20"/>
                <w:szCs w:val="20"/>
                <w:lang w:val="kk-KZ"/>
              </w:rPr>
              <w:t>154 920,5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b/>
                <w:bCs/>
                <w:i/>
                <w:iCs/>
                <w:sz w:val="20"/>
                <w:szCs w:val="20"/>
                <w:lang w:val="kk-KZ"/>
              </w:rPr>
              <w:t>100,0%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E73B7">
              <w:rPr>
                <w:b/>
                <w:bCs/>
                <w:sz w:val="20"/>
                <w:szCs w:val="20"/>
                <w:lang w:val="kk-KZ"/>
              </w:rPr>
              <w:t>159 534,9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b/>
                <w:bCs/>
                <w:i/>
                <w:iCs/>
                <w:sz w:val="20"/>
                <w:szCs w:val="20"/>
                <w:lang w:val="kk-KZ"/>
              </w:rPr>
              <w:t>100,0%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E73B7">
              <w:rPr>
                <w:b/>
                <w:bCs/>
                <w:sz w:val="20"/>
                <w:szCs w:val="20"/>
                <w:lang w:val="kk-KZ"/>
              </w:rPr>
              <w:t>4 614,4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BE73B7" w:rsidRDefault="00C83CDB" w:rsidP="006222CD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BE73B7">
              <w:rPr>
                <w:b/>
                <w:bCs/>
                <w:i/>
                <w:iCs/>
                <w:sz w:val="20"/>
                <w:szCs w:val="20"/>
                <w:lang w:val="kk-KZ"/>
              </w:rPr>
              <w:t>3,0%</w:t>
            </w:r>
          </w:p>
        </w:tc>
      </w:tr>
    </w:tbl>
    <w:p w:rsidR="00C83CDB" w:rsidRPr="00BE73B7" w:rsidRDefault="00C83CDB" w:rsidP="00234317">
      <w:pPr>
        <w:rPr>
          <w:i/>
          <w:sz w:val="20"/>
          <w:szCs w:val="20"/>
          <w:lang w:val="kk-KZ"/>
        </w:rPr>
      </w:pPr>
      <w:r w:rsidRPr="00BE73B7">
        <w:rPr>
          <w:i/>
          <w:sz w:val="20"/>
          <w:szCs w:val="20"/>
          <w:lang w:val="kk-KZ"/>
        </w:rPr>
        <w:t xml:space="preserve">* </w:t>
      </w:r>
      <w:r w:rsidR="00234317" w:rsidRPr="00BE73B7">
        <w:rPr>
          <w:i/>
          <w:sz w:val="20"/>
          <w:szCs w:val="20"/>
          <w:lang w:val="kk-KZ"/>
        </w:rPr>
        <w:t>зейнетақы төлемдері мен жәрдемақылар, арнайы аударымдар, бюджетке төлемдер мен бюджеттен төлемдер кіреді</w:t>
      </w:r>
      <w:r w:rsidRPr="00BE73B7">
        <w:rPr>
          <w:i/>
          <w:sz w:val="20"/>
          <w:szCs w:val="20"/>
          <w:lang w:val="kk-KZ"/>
        </w:rPr>
        <w:t>.</w:t>
      </w:r>
    </w:p>
    <w:p w:rsidR="00836A0A" w:rsidRPr="00BE73B7" w:rsidRDefault="00FA5F4E" w:rsidP="00B60E0E">
      <w:pPr>
        <w:ind w:firstLine="708"/>
        <w:jc w:val="both"/>
        <w:rPr>
          <w:sz w:val="28"/>
          <w:szCs w:val="28"/>
          <w:lang w:val="kk-KZ"/>
        </w:rPr>
      </w:pPr>
      <w:r w:rsidRPr="00BE73B7">
        <w:rPr>
          <w:sz w:val="28"/>
          <w:szCs w:val="28"/>
          <w:lang w:val="kk-KZ"/>
        </w:rPr>
        <w:t xml:space="preserve">Төлем жүйелеріндегі төлемдер көлемінің өсуіне Қазақстан резиденттерінің бағалы қағаздарымен операциялар бойынша төлемдер көлемінің (атап айтқанда, РЕПО операциялары бойынша төлемдер сомасының 15% өсуі), тауарлар үшін төлемдердің 6,7% өсуі, сондай-ақ </w:t>
      </w:r>
      <w:r w:rsidR="00B60E0E" w:rsidRPr="00BE73B7">
        <w:rPr>
          <w:sz w:val="28"/>
          <w:szCs w:val="28"/>
          <w:lang w:val="kk-KZ"/>
        </w:rPr>
        <w:t>бюджетке есепке жазылған (есептелген) және өзге міндеттемелердің төлемдердің 5,4% өсуі себепші болды</w:t>
      </w:r>
      <w:r w:rsidR="00D819F0" w:rsidRPr="00BE73B7">
        <w:rPr>
          <w:sz w:val="28"/>
          <w:szCs w:val="28"/>
          <w:lang w:val="kk-KZ"/>
        </w:rPr>
        <w:t>.</w:t>
      </w:r>
    </w:p>
    <w:p w:rsidR="00D819F0" w:rsidRPr="00BE73B7" w:rsidRDefault="00D819F0" w:rsidP="00D819F0">
      <w:pPr>
        <w:ind w:firstLine="708"/>
        <w:jc w:val="both"/>
        <w:rPr>
          <w:lang w:val="kk-KZ"/>
        </w:rPr>
      </w:pPr>
    </w:p>
    <w:p w:rsidR="00D819F0" w:rsidRPr="00BE73B7" w:rsidRDefault="00B60E0E" w:rsidP="00B60E0E">
      <w:pPr>
        <w:ind w:firstLine="708"/>
        <w:jc w:val="center"/>
        <w:rPr>
          <w:b/>
          <w:sz w:val="28"/>
          <w:szCs w:val="28"/>
          <w:lang w:val="kk-KZ"/>
        </w:rPr>
      </w:pPr>
      <w:r w:rsidRPr="00BE73B7">
        <w:rPr>
          <w:b/>
          <w:sz w:val="28"/>
          <w:szCs w:val="28"/>
          <w:lang w:val="kk-KZ"/>
        </w:rPr>
        <w:t>Төлемдердің өсуіне себепші болған негізгі көрсеткіштер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1362"/>
        <w:gridCol w:w="1267"/>
        <w:gridCol w:w="1117"/>
        <w:gridCol w:w="999"/>
        <w:gridCol w:w="12"/>
      </w:tblGrid>
      <w:tr w:rsidR="00CE0FF6" w:rsidRPr="00BE73B7" w:rsidTr="009E1246">
        <w:trPr>
          <w:trHeight w:val="314"/>
        </w:trPr>
        <w:tc>
          <w:tcPr>
            <w:tcW w:w="4898" w:type="dxa"/>
            <w:vMerge w:val="restart"/>
            <w:shd w:val="clear" w:color="auto" w:fill="99CCFF"/>
            <w:vAlign w:val="center"/>
          </w:tcPr>
          <w:p w:rsidR="00CE0FF6" w:rsidRPr="00BE73B7" w:rsidRDefault="00CE0FF6" w:rsidP="00966CF9">
            <w:pPr>
              <w:ind w:firstLine="709"/>
              <w:jc w:val="center"/>
              <w:rPr>
                <w:b/>
                <w:sz w:val="20"/>
                <w:szCs w:val="20"/>
                <w:lang w:val="kk-KZ"/>
              </w:rPr>
            </w:pPr>
            <w:r w:rsidRPr="00BE73B7">
              <w:rPr>
                <w:b/>
                <w:sz w:val="20"/>
                <w:szCs w:val="20"/>
                <w:lang w:val="kk-KZ"/>
              </w:rPr>
              <w:t>Көрсеткіштің атауы</w:t>
            </w:r>
          </w:p>
        </w:tc>
        <w:tc>
          <w:tcPr>
            <w:tcW w:w="1362" w:type="dxa"/>
            <w:shd w:val="clear" w:color="auto" w:fill="99CCFF"/>
            <w:vAlign w:val="center"/>
          </w:tcPr>
          <w:p w:rsidR="00CE0FF6" w:rsidRPr="00BE73B7" w:rsidRDefault="00CE0FF6" w:rsidP="000E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E73B7">
              <w:rPr>
                <w:b/>
                <w:sz w:val="20"/>
                <w:szCs w:val="20"/>
                <w:lang w:val="kk-KZ"/>
              </w:rPr>
              <w:t>2012 жылғы 11 ай</w:t>
            </w:r>
          </w:p>
        </w:tc>
        <w:tc>
          <w:tcPr>
            <w:tcW w:w="1267" w:type="dxa"/>
            <w:shd w:val="clear" w:color="auto" w:fill="99CCFF"/>
            <w:vAlign w:val="center"/>
          </w:tcPr>
          <w:p w:rsidR="00CE0FF6" w:rsidRPr="00BE73B7" w:rsidRDefault="00CE0FF6" w:rsidP="000E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E73B7">
              <w:rPr>
                <w:b/>
                <w:sz w:val="20"/>
                <w:szCs w:val="20"/>
                <w:lang w:val="kk-KZ"/>
              </w:rPr>
              <w:t xml:space="preserve">2013 жылғы 11 ай </w:t>
            </w:r>
          </w:p>
        </w:tc>
        <w:tc>
          <w:tcPr>
            <w:tcW w:w="2128" w:type="dxa"/>
            <w:gridSpan w:val="3"/>
            <w:shd w:val="clear" w:color="auto" w:fill="99CCFF"/>
            <w:vAlign w:val="center"/>
          </w:tcPr>
          <w:p w:rsidR="00CE0FF6" w:rsidRPr="00BE73B7" w:rsidRDefault="00CE0FF6" w:rsidP="000E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E73B7">
              <w:rPr>
                <w:b/>
                <w:sz w:val="20"/>
                <w:szCs w:val="20"/>
                <w:lang w:val="kk-KZ"/>
              </w:rPr>
              <w:t xml:space="preserve">Өзгеріс </w:t>
            </w:r>
          </w:p>
        </w:tc>
      </w:tr>
      <w:tr w:rsidR="009E1246" w:rsidRPr="00BE73B7" w:rsidTr="009E1246">
        <w:trPr>
          <w:gridAfter w:val="1"/>
          <w:wAfter w:w="12" w:type="dxa"/>
          <w:trHeight w:val="373"/>
        </w:trPr>
        <w:tc>
          <w:tcPr>
            <w:tcW w:w="4898" w:type="dxa"/>
            <w:vMerge/>
            <w:shd w:val="clear" w:color="auto" w:fill="99CCFF"/>
            <w:vAlign w:val="center"/>
          </w:tcPr>
          <w:p w:rsidR="009E1246" w:rsidRPr="00BE73B7" w:rsidRDefault="009E1246" w:rsidP="00966CF9">
            <w:pPr>
              <w:ind w:firstLine="709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62" w:type="dxa"/>
            <w:shd w:val="clear" w:color="auto" w:fill="99CCFF"/>
            <w:vAlign w:val="center"/>
          </w:tcPr>
          <w:p w:rsidR="009E1246" w:rsidRPr="00BE73B7" w:rsidRDefault="009E1246" w:rsidP="00966CF9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 xml:space="preserve">млрд. </w:t>
            </w:r>
            <w:r w:rsidR="007B01C6" w:rsidRPr="00BE73B7">
              <w:rPr>
                <w:sz w:val="20"/>
                <w:szCs w:val="20"/>
                <w:lang w:val="kk-KZ"/>
              </w:rPr>
              <w:t>теңге</w:t>
            </w:r>
          </w:p>
        </w:tc>
        <w:tc>
          <w:tcPr>
            <w:tcW w:w="1267" w:type="dxa"/>
            <w:shd w:val="clear" w:color="auto" w:fill="99CCFF"/>
            <w:vAlign w:val="center"/>
          </w:tcPr>
          <w:p w:rsidR="009E1246" w:rsidRPr="00BE73B7" w:rsidRDefault="009E1246" w:rsidP="00966CF9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 xml:space="preserve">млрд. </w:t>
            </w:r>
            <w:r w:rsidR="007B01C6" w:rsidRPr="00BE73B7">
              <w:rPr>
                <w:sz w:val="20"/>
                <w:szCs w:val="20"/>
                <w:lang w:val="kk-KZ"/>
              </w:rPr>
              <w:t>теңге</w:t>
            </w:r>
          </w:p>
        </w:tc>
        <w:tc>
          <w:tcPr>
            <w:tcW w:w="1117" w:type="dxa"/>
            <w:shd w:val="clear" w:color="auto" w:fill="99CCFF"/>
            <w:vAlign w:val="center"/>
          </w:tcPr>
          <w:p w:rsidR="009E1246" w:rsidRPr="00BE73B7" w:rsidRDefault="009E1246" w:rsidP="00966CF9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 xml:space="preserve">млрд. </w:t>
            </w:r>
            <w:r w:rsidR="007B01C6" w:rsidRPr="00BE73B7">
              <w:rPr>
                <w:sz w:val="20"/>
                <w:szCs w:val="20"/>
                <w:lang w:val="kk-KZ"/>
              </w:rPr>
              <w:t>теңге</w:t>
            </w:r>
          </w:p>
        </w:tc>
        <w:tc>
          <w:tcPr>
            <w:tcW w:w="999" w:type="dxa"/>
            <w:shd w:val="clear" w:color="auto" w:fill="99CCFF"/>
            <w:vAlign w:val="center"/>
          </w:tcPr>
          <w:p w:rsidR="009E1246" w:rsidRPr="00BE73B7" w:rsidRDefault="009E1246" w:rsidP="00966CF9">
            <w:pPr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BE73B7">
              <w:rPr>
                <w:b/>
                <w:i/>
                <w:sz w:val="20"/>
                <w:szCs w:val="20"/>
                <w:lang w:val="kk-KZ"/>
              </w:rPr>
              <w:t>%</w:t>
            </w:r>
          </w:p>
        </w:tc>
      </w:tr>
      <w:tr w:rsidR="000416B6" w:rsidRPr="00BE73B7" w:rsidTr="00CE21CB">
        <w:trPr>
          <w:gridAfter w:val="1"/>
          <w:wAfter w:w="12" w:type="dxa"/>
          <w:trHeight w:val="373"/>
        </w:trPr>
        <w:tc>
          <w:tcPr>
            <w:tcW w:w="9643" w:type="dxa"/>
            <w:gridSpan w:val="5"/>
            <w:shd w:val="clear" w:color="auto" w:fill="99CCFF"/>
            <w:vAlign w:val="center"/>
          </w:tcPr>
          <w:p w:rsidR="000416B6" w:rsidRPr="00BE73B7" w:rsidRDefault="00CE0FF6" w:rsidP="00CE0FF6">
            <w:pPr>
              <w:rPr>
                <w:b/>
                <w:i/>
                <w:sz w:val="20"/>
                <w:szCs w:val="20"/>
                <w:lang w:val="kk-KZ"/>
              </w:rPr>
            </w:pPr>
            <w:r w:rsidRPr="00BE73B7">
              <w:rPr>
                <w:b/>
                <w:sz w:val="20"/>
                <w:szCs w:val="20"/>
                <w:lang w:val="kk-KZ"/>
              </w:rPr>
              <w:t>Қазақстанның резиденттерінің бағалы қағаздарымен операциялар бойынша төлемдер</w:t>
            </w:r>
          </w:p>
        </w:tc>
      </w:tr>
      <w:tr w:rsidR="009E1246" w:rsidRPr="00BE73B7" w:rsidTr="00D54D38">
        <w:trPr>
          <w:gridAfter w:val="1"/>
          <w:wAfter w:w="12" w:type="dxa"/>
          <w:trHeight w:val="233"/>
        </w:trPr>
        <w:tc>
          <w:tcPr>
            <w:tcW w:w="4898" w:type="dxa"/>
            <w:shd w:val="clear" w:color="auto" w:fill="99CCFF"/>
            <w:vAlign w:val="bottom"/>
          </w:tcPr>
          <w:p w:rsidR="009E1246" w:rsidRPr="00BE73B7" w:rsidRDefault="00CE0FF6" w:rsidP="00CE0FF6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Мемлекеттік БҚ-мен кері РЕПО операцияларын ашу</w:t>
            </w:r>
          </w:p>
        </w:tc>
        <w:tc>
          <w:tcPr>
            <w:tcW w:w="1362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17 766,0</w:t>
            </w:r>
          </w:p>
        </w:tc>
        <w:tc>
          <w:tcPr>
            <w:tcW w:w="126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20 711,9</w:t>
            </w:r>
          </w:p>
        </w:tc>
        <w:tc>
          <w:tcPr>
            <w:tcW w:w="111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2 945,9</w:t>
            </w:r>
          </w:p>
        </w:tc>
        <w:tc>
          <w:tcPr>
            <w:tcW w:w="999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16,6%</w:t>
            </w:r>
          </w:p>
        </w:tc>
      </w:tr>
      <w:tr w:rsidR="009E1246" w:rsidRPr="00BE73B7" w:rsidTr="00D54D38">
        <w:trPr>
          <w:gridAfter w:val="1"/>
          <w:wAfter w:w="12" w:type="dxa"/>
          <w:trHeight w:val="187"/>
        </w:trPr>
        <w:tc>
          <w:tcPr>
            <w:tcW w:w="4898" w:type="dxa"/>
            <w:shd w:val="clear" w:color="auto" w:fill="99CCFF"/>
            <w:vAlign w:val="bottom"/>
          </w:tcPr>
          <w:p w:rsidR="009E1246" w:rsidRPr="00BE73B7" w:rsidRDefault="00CE0FF6" w:rsidP="00CE0FF6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Мемлекеттік емес БҚ-мен кері РЕПО операцияларын ашу</w:t>
            </w:r>
          </w:p>
        </w:tc>
        <w:tc>
          <w:tcPr>
            <w:tcW w:w="1362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10 792,7</w:t>
            </w:r>
          </w:p>
        </w:tc>
        <w:tc>
          <w:tcPr>
            <w:tcW w:w="126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12 119,0</w:t>
            </w:r>
          </w:p>
        </w:tc>
        <w:tc>
          <w:tcPr>
            <w:tcW w:w="111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1 326,3</w:t>
            </w:r>
          </w:p>
        </w:tc>
        <w:tc>
          <w:tcPr>
            <w:tcW w:w="999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12,3%</w:t>
            </w:r>
          </w:p>
        </w:tc>
      </w:tr>
      <w:tr w:rsidR="009E1246" w:rsidRPr="00BE73B7" w:rsidTr="00D54D38">
        <w:trPr>
          <w:gridAfter w:val="1"/>
          <w:wAfter w:w="12" w:type="dxa"/>
          <w:trHeight w:val="233"/>
        </w:trPr>
        <w:tc>
          <w:tcPr>
            <w:tcW w:w="4898" w:type="dxa"/>
            <w:shd w:val="clear" w:color="auto" w:fill="99CCFF"/>
            <w:vAlign w:val="bottom"/>
          </w:tcPr>
          <w:p w:rsidR="009E1246" w:rsidRPr="00BE73B7" w:rsidRDefault="00CE0FF6" w:rsidP="00CE0FF6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Мемлекеттік БҚ-мен тікелей РЕПО операцияларын жабу</w:t>
            </w:r>
          </w:p>
        </w:tc>
        <w:tc>
          <w:tcPr>
            <w:tcW w:w="1362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17 615,1</w:t>
            </w:r>
          </w:p>
        </w:tc>
        <w:tc>
          <w:tcPr>
            <w:tcW w:w="126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20 535,8</w:t>
            </w:r>
          </w:p>
        </w:tc>
        <w:tc>
          <w:tcPr>
            <w:tcW w:w="111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2 920,7</w:t>
            </w:r>
          </w:p>
        </w:tc>
        <w:tc>
          <w:tcPr>
            <w:tcW w:w="999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16,6%</w:t>
            </w:r>
          </w:p>
        </w:tc>
      </w:tr>
      <w:tr w:rsidR="009E1246" w:rsidRPr="00BE73B7" w:rsidTr="00D54D38">
        <w:trPr>
          <w:gridAfter w:val="1"/>
          <w:wAfter w:w="12" w:type="dxa"/>
          <w:trHeight w:val="256"/>
        </w:trPr>
        <w:tc>
          <w:tcPr>
            <w:tcW w:w="4898" w:type="dxa"/>
            <w:shd w:val="clear" w:color="auto" w:fill="99CCFF"/>
            <w:vAlign w:val="bottom"/>
          </w:tcPr>
          <w:p w:rsidR="009E1246" w:rsidRPr="00BE73B7" w:rsidRDefault="00CE0FF6" w:rsidP="00CE0FF6">
            <w:pPr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Мемлекеттік емес БҚ-мен тікелей РЕПО операцияларын жабу</w:t>
            </w:r>
          </w:p>
        </w:tc>
        <w:tc>
          <w:tcPr>
            <w:tcW w:w="1362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10 605,4</w:t>
            </w:r>
          </w:p>
        </w:tc>
        <w:tc>
          <w:tcPr>
            <w:tcW w:w="126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11 947,8</w:t>
            </w:r>
          </w:p>
        </w:tc>
        <w:tc>
          <w:tcPr>
            <w:tcW w:w="111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1 342,4</w:t>
            </w:r>
          </w:p>
        </w:tc>
        <w:tc>
          <w:tcPr>
            <w:tcW w:w="999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12,7%</w:t>
            </w:r>
          </w:p>
        </w:tc>
      </w:tr>
      <w:tr w:rsidR="009E1246" w:rsidRPr="00BE73B7" w:rsidTr="00D54D38">
        <w:trPr>
          <w:gridAfter w:val="1"/>
          <w:wAfter w:w="12" w:type="dxa"/>
          <w:trHeight w:val="229"/>
        </w:trPr>
        <w:tc>
          <w:tcPr>
            <w:tcW w:w="4898" w:type="dxa"/>
            <w:shd w:val="clear" w:color="auto" w:fill="99CCFF"/>
            <w:vAlign w:val="bottom"/>
          </w:tcPr>
          <w:p w:rsidR="009E1246" w:rsidRPr="00BE73B7" w:rsidRDefault="00CE0FF6" w:rsidP="00CE0FF6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BE73B7">
              <w:rPr>
                <w:i/>
                <w:sz w:val="20"/>
                <w:szCs w:val="20"/>
                <w:lang w:val="kk-KZ"/>
              </w:rPr>
              <w:t xml:space="preserve">РЕПО </w:t>
            </w:r>
            <w:r w:rsidR="009E1246" w:rsidRPr="00BE73B7">
              <w:rPr>
                <w:i/>
                <w:sz w:val="20"/>
                <w:szCs w:val="20"/>
                <w:lang w:val="kk-KZ"/>
              </w:rPr>
              <w:t>операци</w:t>
            </w:r>
            <w:r w:rsidR="00836A0A" w:rsidRPr="00BE73B7">
              <w:rPr>
                <w:i/>
                <w:sz w:val="20"/>
                <w:szCs w:val="20"/>
                <w:lang w:val="kk-KZ"/>
              </w:rPr>
              <w:t>я</w:t>
            </w:r>
            <w:r w:rsidRPr="00BE73B7">
              <w:rPr>
                <w:i/>
                <w:sz w:val="20"/>
                <w:szCs w:val="20"/>
                <w:lang w:val="kk-KZ"/>
              </w:rPr>
              <w:t>лары бойынша жиынтығы</w:t>
            </w:r>
          </w:p>
        </w:tc>
        <w:tc>
          <w:tcPr>
            <w:tcW w:w="1362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BE73B7">
              <w:rPr>
                <w:i/>
                <w:sz w:val="20"/>
                <w:szCs w:val="20"/>
                <w:lang w:val="kk-KZ"/>
              </w:rPr>
              <w:t>56 779,2</w:t>
            </w:r>
          </w:p>
        </w:tc>
        <w:tc>
          <w:tcPr>
            <w:tcW w:w="126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BE73B7">
              <w:rPr>
                <w:i/>
                <w:sz w:val="20"/>
                <w:szCs w:val="20"/>
                <w:lang w:val="kk-KZ"/>
              </w:rPr>
              <w:t>65 314,5</w:t>
            </w:r>
          </w:p>
        </w:tc>
        <w:tc>
          <w:tcPr>
            <w:tcW w:w="111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BE73B7">
              <w:rPr>
                <w:i/>
                <w:sz w:val="20"/>
                <w:szCs w:val="20"/>
                <w:lang w:val="kk-KZ"/>
              </w:rPr>
              <w:t>8 535,3</w:t>
            </w:r>
          </w:p>
        </w:tc>
        <w:tc>
          <w:tcPr>
            <w:tcW w:w="999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BE73B7">
              <w:rPr>
                <w:i/>
                <w:sz w:val="20"/>
                <w:szCs w:val="20"/>
                <w:lang w:val="kk-KZ"/>
              </w:rPr>
              <w:t>15,0%</w:t>
            </w:r>
          </w:p>
        </w:tc>
      </w:tr>
      <w:tr w:rsidR="000416B6" w:rsidRPr="00BE73B7" w:rsidTr="00CE21CB">
        <w:trPr>
          <w:gridAfter w:val="1"/>
          <w:wAfter w:w="12" w:type="dxa"/>
          <w:trHeight w:val="229"/>
        </w:trPr>
        <w:tc>
          <w:tcPr>
            <w:tcW w:w="9643" w:type="dxa"/>
            <w:gridSpan w:val="5"/>
            <w:shd w:val="clear" w:color="auto" w:fill="99CCFF"/>
            <w:vAlign w:val="bottom"/>
          </w:tcPr>
          <w:p w:rsidR="000416B6" w:rsidRPr="00BE73B7" w:rsidRDefault="00CE0FF6" w:rsidP="00CE0FF6">
            <w:pPr>
              <w:rPr>
                <w:b/>
                <w:sz w:val="20"/>
                <w:szCs w:val="20"/>
                <w:lang w:val="kk-KZ"/>
              </w:rPr>
            </w:pPr>
            <w:r w:rsidRPr="00BE73B7">
              <w:rPr>
                <w:b/>
                <w:sz w:val="20"/>
                <w:szCs w:val="20"/>
                <w:lang w:val="kk-KZ"/>
              </w:rPr>
              <w:t xml:space="preserve">Басқа да төлемдер </w:t>
            </w:r>
          </w:p>
        </w:tc>
      </w:tr>
      <w:tr w:rsidR="009E1246" w:rsidRPr="00BE73B7" w:rsidTr="00D54D38">
        <w:trPr>
          <w:gridAfter w:val="1"/>
          <w:wAfter w:w="12" w:type="dxa"/>
          <w:trHeight w:val="229"/>
        </w:trPr>
        <w:tc>
          <w:tcPr>
            <w:tcW w:w="4898" w:type="dxa"/>
            <w:shd w:val="clear" w:color="auto" w:fill="99CCFF"/>
            <w:vAlign w:val="bottom"/>
          </w:tcPr>
          <w:p w:rsidR="009E1246" w:rsidRPr="00BE73B7" w:rsidRDefault="00610D19" w:rsidP="00610D19">
            <w:pPr>
              <w:jc w:val="both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Жылжымайтын мүлікті қоспағанда тауарлар үшін төлемдер</w:t>
            </w:r>
          </w:p>
        </w:tc>
        <w:tc>
          <w:tcPr>
            <w:tcW w:w="1362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10 706,5</w:t>
            </w:r>
          </w:p>
        </w:tc>
        <w:tc>
          <w:tcPr>
            <w:tcW w:w="126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11 419,3</w:t>
            </w:r>
          </w:p>
        </w:tc>
        <w:tc>
          <w:tcPr>
            <w:tcW w:w="111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712,8</w:t>
            </w:r>
          </w:p>
        </w:tc>
        <w:tc>
          <w:tcPr>
            <w:tcW w:w="999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6,7%</w:t>
            </w:r>
          </w:p>
        </w:tc>
      </w:tr>
      <w:tr w:rsidR="009E1246" w:rsidRPr="00BE73B7" w:rsidTr="00D54D38">
        <w:trPr>
          <w:gridAfter w:val="1"/>
          <w:wAfter w:w="12" w:type="dxa"/>
          <w:trHeight w:val="227"/>
        </w:trPr>
        <w:tc>
          <w:tcPr>
            <w:tcW w:w="4898" w:type="dxa"/>
            <w:shd w:val="clear" w:color="auto" w:fill="99CCFF"/>
            <w:vAlign w:val="bottom"/>
          </w:tcPr>
          <w:p w:rsidR="009E1246" w:rsidRPr="00BE73B7" w:rsidRDefault="00610D19" w:rsidP="00610D19">
            <w:pPr>
              <w:jc w:val="both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Бюджетке есепке жазылған (есептелген) және өзге міндеттемелер</w:t>
            </w:r>
          </w:p>
        </w:tc>
        <w:tc>
          <w:tcPr>
            <w:tcW w:w="1362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6 668,7</w:t>
            </w:r>
          </w:p>
        </w:tc>
        <w:tc>
          <w:tcPr>
            <w:tcW w:w="126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7 026,5</w:t>
            </w:r>
          </w:p>
        </w:tc>
        <w:tc>
          <w:tcPr>
            <w:tcW w:w="1117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357,8</w:t>
            </w:r>
          </w:p>
        </w:tc>
        <w:tc>
          <w:tcPr>
            <w:tcW w:w="999" w:type="dxa"/>
            <w:shd w:val="clear" w:color="auto" w:fill="auto"/>
          </w:tcPr>
          <w:p w:rsidR="009E1246" w:rsidRPr="00BE73B7" w:rsidRDefault="009E1246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5,4%</w:t>
            </w:r>
          </w:p>
        </w:tc>
      </w:tr>
      <w:tr w:rsidR="00836A0A" w:rsidRPr="00BE73B7" w:rsidTr="00D54D38">
        <w:trPr>
          <w:gridAfter w:val="1"/>
          <w:wAfter w:w="12" w:type="dxa"/>
          <w:trHeight w:val="227"/>
        </w:trPr>
        <w:tc>
          <w:tcPr>
            <w:tcW w:w="4898" w:type="dxa"/>
            <w:shd w:val="clear" w:color="auto" w:fill="99CCFF"/>
            <w:vAlign w:val="bottom"/>
          </w:tcPr>
          <w:p w:rsidR="00836A0A" w:rsidRPr="00BE73B7" w:rsidRDefault="00610D19" w:rsidP="00610D19">
            <w:pPr>
              <w:jc w:val="both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lastRenderedPageBreak/>
              <w:t>Қарыз беру</w:t>
            </w:r>
          </w:p>
        </w:tc>
        <w:tc>
          <w:tcPr>
            <w:tcW w:w="1362" w:type="dxa"/>
            <w:shd w:val="clear" w:color="auto" w:fill="auto"/>
          </w:tcPr>
          <w:p w:rsidR="00836A0A" w:rsidRPr="00BE73B7" w:rsidRDefault="00836A0A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877,8</w:t>
            </w:r>
          </w:p>
        </w:tc>
        <w:tc>
          <w:tcPr>
            <w:tcW w:w="1267" w:type="dxa"/>
            <w:shd w:val="clear" w:color="auto" w:fill="auto"/>
          </w:tcPr>
          <w:p w:rsidR="00836A0A" w:rsidRPr="00BE73B7" w:rsidRDefault="00836A0A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1 212,3</w:t>
            </w:r>
          </w:p>
        </w:tc>
        <w:tc>
          <w:tcPr>
            <w:tcW w:w="1117" w:type="dxa"/>
            <w:shd w:val="clear" w:color="auto" w:fill="auto"/>
          </w:tcPr>
          <w:p w:rsidR="00836A0A" w:rsidRPr="00BE73B7" w:rsidRDefault="00836A0A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334,5</w:t>
            </w:r>
          </w:p>
        </w:tc>
        <w:tc>
          <w:tcPr>
            <w:tcW w:w="999" w:type="dxa"/>
            <w:shd w:val="clear" w:color="auto" w:fill="auto"/>
          </w:tcPr>
          <w:p w:rsidR="00836A0A" w:rsidRPr="00BE73B7" w:rsidRDefault="00836A0A" w:rsidP="00D54D38">
            <w:pPr>
              <w:jc w:val="center"/>
              <w:rPr>
                <w:sz w:val="20"/>
                <w:szCs w:val="20"/>
                <w:lang w:val="kk-KZ"/>
              </w:rPr>
            </w:pPr>
            <w:r w:rsidRPr="00BE73B7">
              <w:rPr>
                <w:sz w:val="20"/>
                <w:szCs w:val="20"/>
                <w:lang w:val="kk-KZ"/>
              </w:rPr>
              <w:t>38,1%</w:t>
            </w:r>
          </w:p>
        </w:tc>
      </w:tr>
    </w:tbl>
    <w:p w:rsidR="00D819F0" w:rsidRPr="00BE73B7" w:rsidRDefault="00D819F0" w:rsidP="00D819F0">
      <w:pPr>
        <w:ind w:firstLine="708"/>
        <w:jc w:val="both"/>
        <w:rPr>
          <w:szCs w:val="28"/>
          <w:lang w:val="kk-KZ"/>
        </w:rPr>
      </w:pPr>
    </w:p>
    <w:p w:rsidR="000416B6" w:rsidRPr="00BE73B7" w:rsidRDefault="000416B6" w:rsidP="00D819F0">
      <w:pPr>
        <w:ind w:firstLine="708"/>
        <w:jc w:val="both"/>
        <w:rPr>
          <w:szCs w:val="28"/>
          <w:lang w:val="kk-KZ"/>
        </w:rPr>
      </w:pPr>
    </w:p>
    <w:p w:rsidR="006A3F14" w:rsidRPr="00BE73B7" w:rsidRDefault="00610D19" w:rsidP="00610D19">
      <w:pPr>
        <w:pStyle w:val="13"/>
        <w:spacing w:line="233" w:lineRule="auto"/>
        <w:ind w:firstLine="709"/>
        <w:jc w:val="center"/>
        <w:rPr>
          <w:bCs/>
          <w:sz w:val="28"/>
          <w:szCs w:val="28"/>
          <w:lang w:val="kk-KZ"/>
        </w:rPr>
      </w:pPr>
      <w:r w:rsidRPr="00BE73B7">
        <w:rPr>
          <w:b/>
          <w:sz w:val="28"/>
          <w:szCs w:val="28"/>
          <w:lang w:val="kk-KZ"/>
        </w:rPr>
        <w:t>БАНКАРАЛЫҚ АҚША АУДАРУ ЖҮЙЕСІ</w:t>
      </w:r>
    </w:p>
    <w:bookmarkEnd w:id="0"/>
    <w:p w:rsidR="004B2DEA" w:rsidRPr="00BE73B7" w:rsidRDefault="00450914" w:rsidP="00FB1653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BE73B7">
        <w:rPr>
          <w:sz w:val="28"/>
          <w:szCs w:val="28"/>
          <w:lang w:val="kk-KZ"/>
        </w:rPr>
        <w:tab/>
      </w:r>
      <w:r w:rsidR="004D714F" w:rsidRPr="00BE73B7">
        <w:rPr>
          <w:sz w:val="28"/>
          <w:szCs w:val="28"/>
          <w:lang w:val="kk-KZ"/>
        </w:rPr>
        <w:t xml:space="preserve">Жалпы алғанда, 2013 жылғы қаңтар – қарашада БААЖ арқылы 155 221,3 млрд.теңге сомаға 12,6 млн. транзакция жүргізілді. </w:t>
      </w:r>
      <w:r w:rsidR="00FB1653" w:rsidRPr="00BE73B7">
        <w:rPr>
          <w:sz w:val="28"/>
          <w:szCs w:val="28"/>
          <w:lang w:val="kk-KZ"/>
        </w:rPr>
        <w:t>2012 жылдың осындай кезеңімен салыстырғанда төлемдердің саны 13,1% (1 453,7 мың транзакцияға), ал төлемдердің сомасы 2,7% (4 103,7 млрд. теңгеге) ұлғайды</w:t>
      </w:r>
      <w:r w:rsidR="009326C9" w:rsidRPr="00BE73B7">
        <w:rPr>
          <w:sz w:val="28"/>
          <w:szCs w:val="28"/>
          <w:lang w:val="kk-KZ"/>
        </w:rPr>
        <w:t xml:space="preserve"> (3</w:t>
      </w:r>
      <w:r w:rsidR="00FB1653" w:rsidRPr="00BE73B7">
        <w:rPr>
          <w:sz w:val="28"/>
          <w:szCs w:val="28"/>
          <w:lang w:val="kk-KZ"/>
        </w:rPr>
        <w:t>-сурет</w:t>
      </w:r>
      <w:r w:rsidR="009326C9" w:rsidRPr="00BE73B7">
        <w:rPr>
          <w:sz w:val="28"/>
          <w:szCs w:val="28"/>
          <w:lang w:val="kk-KZ"/>
        </w:rPr>
        <w:t>)</w:t>
      </w:r>
      <w:r w:rsidR="00233C30" w:rsidRPr="00BE73B7">
        <w:rPr>
          <w:sz w:val="28"/>
          <w:szCs w:val="28"/>
          <w:lang w:val="kk-KZ"/>
        </w:rPr>
        <w:t>.</w:t>
      </w:r>
      <w:r w:rsidR="00DA078D" w:rsidRPr="00BE73B7">
        <w:rPr>
          <w:sz w:val="28"/>
          <w:szCs w:val="28"/>
          <w:lang w:val="kk-KZ"/>
        </w:rPr>
        <w:t xml:space="preserve"> </w:t>
      </w:r>
    </w:p>
    <w:p w:rsidR="009326C9" w:rsidRPr="00BE73B7" w:rsidRDefault="009326C9" w:rsidP="009326C9">
      <w:pPr>
        <w:widowControl w:val="0"/>
        <w:ind w:firstLine="709"/>
        <w:jc w:val="right"/>
        <w:rPr>
          <w:rFonts w:eastAsia="MS Mincho"/>
          <w:b/>
          <w:color w:val="000000"/>
          <w:lang w:val="kk-KZ" w:eastAsia="ja-JP"/>
        </w:rPr>
      </w:pPr>
      <w:r w:rsidRPr="00BE73B7">
        <w:rPr>
          <w:rFonts w:eastAsia="MS Mincho"/>
          <w:b/>
          <w:color w:val="000000"/>
          <w:lang w:val="kk-KZ" w:eastAsia="ja-JP"/>
        </w:rPr>
        <w:t>3</w:t>
      </w:r>
      <w:r w:rsidR="00FB1653" w:rsidRPr="00BE73B7">
        <w:rPr>
          <w:rFonts w:eastAsia="MS Mincho"/>
          <w:b/>
          <w:color w:val="000000"/>
          <w:lang w:val="kk-KZ" w:eastAsia="ja-JP"/>
        </w:rPr>
        <w:t>-сурет</w:t>
      </w:r>
      <w:r w:rsidRPr="00BE73B7">
        <w:rPr>
          <w:rFonts w:eastAsia="MS Mincho"/>
          <w:b/>
          <w:color w:val="000000"/>
          <w:lang w:val="kk-KZ" w:eastAsia="ja-JP"/>
        </w:rPr>
        <w:t>.</w:t>
      </w:r>
    </w:p>
    <w:p w:rsidR="00FB1653" w:rsidRPr="00BE73B7" w:rsidRDefault="00327640" w:rsidP="009326C9">
      <w:pPr>
        <w:tabs>
          <w:tab w:val="left" w:pos="993"/>
        </w:tabs>
        <w:ind w:firstLine="709"/>
        <w:jc w:val="center"/>
        <w:rPr>
          <w:rFonts w:eastAsia="MS Mincho"/>
          <w:b/>
          <w:color w:val="000000"/>
          <w:sz w:val="28"/>
          <w:szCs w:val="28"/>
          <w:lang w:val="kk-KZ" w:eastAsia="ja-JP"/>
        </w:rPr>
      </w:pPr>
      <w:r w:rsidRPr="00BE73B7">
        <w:rPr>
          <w:rFonts w:eastAsia="MS Mincho"/>
          <w:b/>
          <w:color w:val="000000"/>
          <w:sz w:val="28"/>
          <w:szCs w:val="28"/>
          <w:lang w:val="kk-KZ" w:eastAsia="ja-JP"/>
        </w:rPr>
        <w:t>БААЖ-ғы төлемдер ағындарының 2004 жыл – 2013 жылғы қаңтар – қараша аралығындағы динамикасы</w:t>
      </w:r>
    </w:p>
    <w:p w:rsidR="009326C9" w:rsidRPr="00BE73B7" w:rsidRDefault="009326C9" w:rsidP="009326C9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BE73B7" w:rsidRPr="00BE73B7" w:rsidRDefault="00522A28" w:rsidP="00BE73B7">
      <w:pPr>
        <w:jc w:val="both"/>
        <w:rPr>
          <w:sz w:val="28"/>
          <w:szCs w:val="28"/>
          <w:lang w:val="kk-KZ"/>
        </w:rPr>
      </w:pPr>
      <w:r w:rsidRPr="00BE73B7">
        <w:rPr>
          <w:noProof/>
          <w:sz w:val="28"/>
          <w:szCs w:val="28"/>
        </w:rPr>
        <w:drawing>
          <wp:inline distT="0" distB="0" distL="0" distR="0">
            <wp:extent cx="5943600" cy="298132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33D13" w:rsidRPr="00BE73B7">
        <w:rPr>
          <w:sz w:val="28"/>
          <w:szCs w:val="28"/>
          <w:lang w:val="kk-KZ"/>
        </w:rPr>
        <w:tab/>
      </w:r>
      <w:r w:rsidR="00BE73B7" w:rsidRPr="00BE73B7">
        <w:rPr>
          <w:sz w:val="28"/>
          <w:szCs w:val="28"/>
          <w:lang w:val="kk-KZ"/>
        </w:rPr>
        <w:t>2013 жылғы қаңтар – қарашада БААЖ арқылы орташа алғанда бір күні 686,8 млрд. теңге сомаға 55,6 мың транзакция жүргізілді, бұл 2012 жылдың осындай кезеңімен салыстырғанда саны бойынша 14,6% және сомасы бойынша 4,1% көп.</w:t>
      </w:r>
      <w:r w:rsidR="003F215D" w:rsidRPr="00BE73B7">
        <w:rPr>
          <w:sz w:val="28"/>
          <w:szCs w:val="28"/>
          <w:lang w:val="kk-KZ"/>
        </w:rPr>
        <w:tab/>
      </w:r>
      <w:r w:rsidR="00BE73B7" w:rsidRPr="00BE73B7">
        <w:rPr>
          <w:sz w:val="28"/>
          <w:szCs w:val="28"/>
          <w:lang w:val="kk-KZ"/>
        </w:rPr>
        <w:t>Бұл ретте БААЖ-дағы бір төлем құжатының орташа сомасы 2013 жылғы қаңтар – қарашада 12,3 млн. теңгені құрады және 2012 жылдың осындай кезеңімен салыстырғанда 9,2% (1 244,2 мың теңгеге) азайды</w:t>
      </w:r>
      <w:r w:rsidR="00233C30" w:rsidRPr="00BE73B7">
        <w:rPr>
          <w:sz w:val="28"/>
          <w:szCs w:val="28"/>
          <w:lang w:val="kk-KZ"/>
        </w:rPr>
        <w:t>.</w:t>
      </w:r>
    </w:p>
    <w:p w:rsidR="00E71F74" w:rsidRDefault="00E71F74" w:rsidP="00BE73B7">
      <w:pPr>
        <w:jc w:val="both"/>
        <w:rPr>
          <w:sz w:val="28"/>
          <w:szCs w:val="28"/>
          <w:lang w:val="kk-KZ"/>
        </w:rPr>
      </w:pPr>
      <w:r w:rsidRPr="00BE73B7">
        <w:rPr>
          <w:sz w:val="28"/>
          <w:szCs w:val="28"/>
          <w:lang w:val="kk-KZ"/>
        </w:rPr>
        <w:t xml:space="preserve"> </w:t>
      </w:r>
    </w:p>
    <w:p w:rsidR="002E0AD7" w:rsidRPr="008F76D1" w:rsidRDefault="00CA09D5" w:rsidP="002E0AD7">
      <w:pPr>
        <w:ind w:firstLine="709"/>
        <w:jc w:val="right"/>
        <w:rPr>
          <w:b/>
          <w:lang w:val="kk-KZ"/>
        </w:rPr>
      </w:pPr>
      <w:r>
        <w:rPr>
          <w:b/>
          <w:lang w:val="kk-KZ"/>
        </w:rPr>
        <w:br w:type="page"/>
      </w:r>
      <w:r w:rsidR="002E0AD7">
        <w:rPr>
          <w:b/>
          <w:lang w:val="kk-KZ"/>
        </w:rPr>
        <w:lastRenderedPageBreak/>
        <w:t>4-сурет</w:t>
      </w:r>
    </w:p>
    <w:p w:rsidR="002E0AD7" w:rsidRDefault="002E0AD7" w:rsidP="002E0AD7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val="kk-KZ" w:eastAsia="ja-JP"/>
        </w:rPr>
      </w:pPr>
    </w:p>
    <w:p w:rsidR="002E0AD7" w:rsidRPr="006E2104" w:rsidRDefault="002E0AD7" w:rsidP="002E0AD7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val="kk-KZ" w:eastAsia="ja-JP"/>
        </w:rPr>
      </w:pPr>
      <w:r>
        <w:rPr>
          <w:rFonts w:eastAsia="MS Mincho"/>
          <w:b/>
          <w:color w:val="000000"/>
          <w:sz w:val="28"/>
          <w:szCs w:val="28"/>
          <w:lang w:val="kk-KZ" w:eastAsia="ja-JP"/>
        </w:rPr>
        <w:t>2009 жылдан бастап  2013 жылғы қаңтар-қараша аралығында БААЖ-да орташа алғанда бір күн ішіндегі төлемдер ағындарының динамикасы</w:t>
      </w:r>
    </w:p>
    <w:p w:rsidR="002E0AD7" w:rsidRPr="006E2104" w:rsidRDefault="002E0AD7" w:rsidP="002E0AD7">
      <w:pPr>
        <w:ind w:firstLine="709"/>
        <w:jc w:val="both"/>
        <w:rPr>
          <w:sz w:val="28"/>
          <w:szCs w:val="28"/>
          <w:lang w:val="kk-KZ"/>
        </w:rPr>
      </w:pPr>
    </w:p>
    <w:p w:rsidR="002E0AD7" w:rsidRPr="0052692F" w:rsidRDefault="00522A28" w:rsidP="002E0AD7">
      <w:pPr>
        <w:ind w:firstLine="709"/>
        <w:jc w:val="center"/>
        <w:rPr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4067175" cy="227647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0AD7" w:rsidRDefault="002E0AD7" w:rsidP="002E0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Ірі бес банктің төлемдеріне клиенттердің  бір  банктегі өз шотынан басқа  банктегі  өз шотына аударымдарына  байланысты төлемдер </w:t>
      </w:r>
      <w:r>
        <w:rPr>
          <w:sz w:val="28"/>
          <w:szCs w:val="28"/>
        </w:rPr>
        <w:t xml:space="preserve">– 17,4% </w:t>
      </w:r>
      <w:r>
        <w:rPr>
          <w:sz w:val="28"/>
          <w:szCs w:val="28"/>
          <w:lang w:val="kk-KZ"/>
        </w:rPr>
        <w:t>және тауарлар үшін төлемдер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жылжымайтын мүлік үшін төлемдерді қоспағанда</w:t>
      </w:r>
      <w:r>
        <w:rPr>
          <w:sz w:val="28"/>
          <w:szCs w:val="28"/>
        </w:rPr>
        <w:t>)</w:t>
      </w:r>
      <w:r w:rsidRPr="00D7174E">
        <w:rPr>
          <w:sz w:val="28"/>
          <w:szCs w:val="28"/>
        </w:rPr>
        <w:t xml:space="preserve"> – 17,0%</w:t>
      </w:r>
      <w:r>
        <w:rPr>
          <w:sz w:val="28"/>
          <w:szCs w:val="28"/>
          <w:lang w:val="kk-KZ"/>
        </w:rPr>
        <w:t xml:space="preserve"> тиесілі</w:t>
      </w:r>
      <w:r>
        <w:rPr>
          <w:sz w:val="28"/>
          <w:szCs w:val="28"/>
        </w:rPr>
        <w:t>.</w:t>
      </w:r>
    </w:p>
    <w:p w:rsidR="002E0AD7" w:rsidRDefault="002E0AD7" w:rsidP="002E0AD7">
      <w:pPr>
        <w:ind w:firstLine="709"/>
        <w:jc w:val="both"/>
        <w:rPr>
          <w:sz w:val="28"/>
          <w:szCs w:val="28"/>
        </w:rPr>
      </w:pPr>
    </w:p>
    <w:p w:rsidR="002E0AD7" w:rsidRPr="00D7174E" w:rsidRDefault="002E0AD7" w:rsidP="002E0AD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Ірі бес банктің төлемдер ағыны</w:t>
      </w:r>
    </w:p>
    <w:tbl>
      <w:tblPr>
        <w:tblW w:w="7972" w:type="dxa"/>
        <w:tblInd w:w="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1405"/>
        <w:gridCol w:w="1135"/>
      </w:tblGrid>
      <w:tr w:rsidR="002E0AD7" w:rsidRPr="001F015E" w:rsidTr="00D67F45">
        <w:trPr>
          <w:trHeight w:val="313"/>
        </w:trPr>
        <w:tc>
          <w:tcPr>
            <w:tcW w:w="5432" w:type="dxa"/>
            <w:vMerge w:val="restart"/>
            <w:shd w:val="clear" w:color="auto" w:fill="99CCFF"/>
            <w:vAlign w:val="center"/>
          </w:tcPr>
          <w:p w:rsidR="002E0AD7" w:rsidRPr="00560143" w:rsidRDefault="002E0AD7" w:rsidP="00D67F45">
            <w:pPr>
              <w:ind w:firstLine="7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Банктердің атауы</w:t>
            </w:r>
          </w:p>
        </w:tc>
        <w:tc>
          <w:tcPr>
            <w:tcW w:w="1405" w:type="dxa"/>
            <w:shd w:val="clear" w:color="auto" w:fill="99CCFF"/>
            <w:vAlign w:val="center"/>
          </w:tcPr>
          <w:p w:rsidR="002E0AD7" w:rsidRPr="00560143" w:rsidRDefault="002E0AD7" w:rsidP="00D67F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2013 жылғы </w:t>
            </w:r>
            <w:r w:rsidRPr="00560143">
              <w:rPr>
                <w:b/>
                <w:sz w:val="20"/>
                <w:szCs w:val="20"/>
              </w:rPr>
              <w:t xml:space="preserve">11 </w:t>
            </w:r>
            <w:r>
              <w:rPr>
                <w:b/>
                <w:sz w:val="20"/>
                <w:szCs w:val="20"/>
                <w:lang w:val="kk-KZ"/>
              </w:rPr>
              <w:t>ай</w:t>
            </w:r>
          </w:p>
        </w:tc>
        <w:tc>
          <w:tcPr>
            <w:tcW w:w="1135" w:type="dxa"/>
            <w:shd w:val="clear" w:color="auto" w:fill="99CCFF"/>
            <w:vAlign w:val="center"/>
          </w:tcPr>
          <w:p w:rsidR="002E0AD7" w:rsidRPr="00560143" w:rsidRDefault="002E0AD7" w:rsidP="00D67F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Өзгерту</w:t>
            </w:r>
          </w:p>
        </w:tc>
      </w:tr>
      <w:tr w:rsidR="002E0AD7" w:rsidRPr="001F015E" w:rsidTr="00D67F45">
        <w:trPr>
          <w:trHeight w:val="371"/>
        </w:trPr>
        <w:tc>
          <w:tcPr>
            <w:tcW w:w="5432" w:type="dxa"/>
            <w:vMerge/>
            <w:shd w:val="clear" w:color="auto" w:fill="99CCFF"/>
            <w:vAlign w:val="center"/>
          </w:tcPr>
          <w:p w:rsidR="002E0AD7" w:rsidRPr="00560143" w:rsidRDefault="002E0AD7" w:rsidP="00D67F45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99CCFF"/>
            <w:vAlign w:val="center"/>
          </w:tcPr>
          <w:p w:rsidR="002E0AD7" w:rsidRPr="00560143" w:rsidRDefault="002E0AD7" w:rsidP="00D67F45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млрд. те</w:t>
            </w:r>
            <w:r>
              <w:rPr>
                <w:sz w:val="20"/>
                <w:szCs w:val="20"/>
                <w:lang w:val="kk-KZ"/>
              </w:rPr>
              <w:t>ң</w:t>
            </w:r>
            <w:r w:rsidRPr="00560143">
              <w:rPr>
                <w:sz w:val="20"/>
                <w:szCs w:val="20"/>
              </w:rPr>
              <w:t>ге</w:t>
            </w:r>
          </w:p>
        </w:tc>
        <w:tc>
          <w:tcPr>
            <w:tcW w:w="1135" w:type="dxa"/>
            <w:shd w:val="clear" w:color="auto" w:fill="99CCFF"/>
            <w:vAlign w:val="center"/>
          </w:tcPr>
          <w:p w:rsidR="002E0AD7" w:rsidRPr="00625B62" w:rsidRDefault="002E0AD7" w:rsidP="00D67F45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681E03">
              <w:rPr>
                <w:i/>
                <w:sz w:val="20"/>
                <w:szCs w:val="20"/>
              </w:rPr>
              <w:t xml:space="preserve"> %</w:t>
            </w:r>
            <w:r>
              <w:rPr>
                <w:i/>
                <w:sz w:val="20"/>
                <w:szCs w:val="20"/>
                <w:lang w:val="kk-KZ"/>
              </w:rPr>
              <w:t xml:space="preserve"> үлесі</w:t>
            </w:r>
          </w:p>
        </w:tc>
      </w:tr>
      <w:tr w:rsidR="002E0AD7" w:rsidRPr="001F015E" w:rsidTr="00D67F45">
        <w:trPr>
          <w:trHeight w:val="232"/>
        </w:trPr>
        <w:tc>
          <w:tcPr>
            <w:tcW w:w="5432" w:type="dxa"/>
            <w:shd w:val="clear" w:color="auto" w:fill="99CCFF"/>
            <w:vAlign w:val="bottom"/>
          </w:tcPr>
          <w:p w:rsidR="002E0AD7" w:rsidRPr="00681E03" w:rsidRDefault="002E0AD7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Клиенттердің өз шотынан басқа  банктегі  өз шотына аударымдары 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2E0AD7" w:rsidRPr="00D7174E" w:rsidRDefault="002E0AD7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7174E">
              <w:rPr>
                <w:sz w:val="20"/>
                <w:szCs w:val="20"/>
              </w:rPr>
              <w:t>4 614,8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2E0AD7" w:rsidRPr="00D7174E" w:rsidRDefault="002E0AD7" w:rsidP="00D67F45">
            <w:pPr>
              <w:jc w:val="center"/>
              <w:rPr>
                <w:i/>
                <w:sz w:val="20"/>
                <w:szCs w:val="20"/>
              </w:rPr>
            </w:pPr>
            <w:r w:rsidRPr="00D7174E">
              <w:rPr>
                <w:i/>
                <w:sz w:val="20"/>
                <w:szCs w:val="20"/>
              </w:rPr>
              <w:t>17,4%</w:t>
            </w:r>
          </w:p>
        </w:tc>
      </w:tr>
      <w:tr w:rsidR="002E0AD7" w:rsidRPr="001F015E" w:rsidTr="00D67F45">
        <w:trPr>
          <w:trHeight w:val="186"/>
        </w:trPr>
        <w:tc>
          <w:tcPr>
            <w:tcW w:w="5432" w:type="dxa"/>
            <w:shd w:val="clear" w:color="auto" w:fill="99CCFF"/>
            <w:vAlign w:val="bottom"/>
          </w:tcPr>
          <w:p w:rsidR="002E0AD7" w:rsidRPr="00681E03" w:rsidRDefault="002E0AD7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Жылжымайтын мүлікті қоспағанда тауарлар  үшін төлемдер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2E0AD7" w:rsidRPr="00D7174E" w:rsidRDefault="002E0AD7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7174E">
              <w:rPr>
                <w:sz w:val="20"/>
                <w:szCs w:val="20"/>
              </w:rPr>
              <w:t>4 505,1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2E0AD7" w:rsidRPr="00D7174E" w:rsidRDefault="002E0AD7" w:rsidP="00D67F45">
            <w:pPr>
              <w:jc w:val="center"/>
              <w:rPr>
                <w:i/>
                <w:sz w:val="20"/>
                <w:szCs w:val="20"/>
              </w:rPr>
            </w:pPr>
            <w:r w:rsidRPr="00D7174E">
              <w:rPr>
                <w:i/>
                <w:sz w:val="20"/>
                <w:szCs w:val="20"/>
              </w:rPr>
              <w:t>17,0%</w:t>
            </w:r>
          </w:p>
        </w:tc>
      </w:tr>
      <w:tr w:rsidR="002E0AD7" w:rsidRPr="001F015E" w:rsidTr="00D67F45">
        <w:trPr>
          <w:trHeight w:val="232"/>
        </w:trPr>
        <w:tc>
          <w:tcPr>
            <w:tcW w:w="5432" w:type="dxa"/>
            <w:shd w:val="clear" w:color="auto" w:fill="99CCFF"/>
            <w:vAlign w:val="bottom"/>
          </w:tcPr>
          <w:p w:rsidR="002E0AD7" w:rsidRPr="00681E03" w:rsidRDefault="002E0AD7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Есепке  жазу  (есептеу) және бюджетке  өзге де  міндеттемелер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2E0AD7" w:rsidRPr="00D7174E" w:rsidRDefault="002E0AD7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7174E">
              <w:rPr>
                <w:sz w:val="20"/>
                <w:szCs w:val="20"/>
              </w:rPr>
              <w:t>3 168,8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2E0AD7" w:rsidRPr="00D7174E" w:rsidRDefault="002E0AD7" w:rsidP="00D67F45">
            <w:pPr>
              <w:jc w:val="center"/>
              <w:rPr>
                <w:i/>
                <w:sz w:val="20"/>
                <w:szCs w:val="20"/>
              </w:rPr>
            </w:pPr>
            <w:r w:rsidRPr="00D7174E">
              <w:rPr>
                <w:i/>
                <w:sz w:val="20"/>
                <w:szCs w:val="20"/>
              </w:rPr>
              <w:t>12,0%</w:t>
            </w:r>
          </w:p>
        </w:tc>
      </w:tr>
      <w:tr w:rsidR="002E0AD7" w:rsidRPr="001F015E" w:rsidTr="00D67F45">
        <w:trPr>
          <w:trHeight w:val="255"/>
        </w:trPr>
        <w:tc>
          <w:tcPr>
            <w:tcW w:w="5432" w:type="dxa"/>
            <w:shd w:val="clear" w:color="auto" w:fill="99CCFF"/>
            <w:vAlign w:val="bottom"/>
          </w:tcPr>
          <w:p w:rsidR="002E0AD7" w:rsidRPr="00681E03" w:rsidRDefault="002E0AD7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Биржада шетел валютасын теңгемен сатып алу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2E0AD7" w:rsidRPr="00D7174E" w:rsidRDefault="002E0AD7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7174E">
              <w:rPr>
                <w:sz w:val="20"/>
                <w:szCs w:val="20"/>
              </w:rPr>
              <w:t>2 352,8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2E0AD7" w:rsidRPr="00D7174E" w:rsidRDefault="002E0AD7" w:rsidP="00D67F45">
            <w:pPr>
              <w:jc w:val="center"/>
              <w:rPr>
                <w:i/>
                <w:sz w:val="20"/>
                <w:szCs w:val="20"/>
              </w:rPr>
            </w:pPr>
            <w:r w:rsidRPr="00D7174E">
              <w:rPr>
                <w:i/>
                <w:sz w:val="20"/>
                <w:szCs w:val="20"/>
              </w:rPr>
              <w:t>8,9%</w:t>
            </w:r>
          </w:p>
        </w:tc>
      </w:tr>
      <w:tr w:rsidR="002E0AD7" w:rsidRPr="001F015E" w:rsidTr="00D67F45">
        <w:trPr>
          <w:trHeight w:val="228"/>
        </w:trPr>
        <w:tc>
          <w:tcPr>
            <w:tcW w:w="5432" w:type="dxa"/>
            <w:shd w:val="clear" w:color="auto" w:fill="99CCFF"/>
            <w:vAlign w:val="bottom"/>
          </w:tcPr>
          <w:p w:rsidR="002E0AD7" w:rsidRPr="00681E03" w:rsidRDefault="002E0AD7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Биржадан тыс шетел валютасын теңгемен сатып алу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2E0AD7" w:rsidRPr="00D7174E" w:rsidRDefault="002E0AD7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7174E">
              <w:rPr>
                <w:sz w:val="20"/>
                <w:szCs w:val="20"/>
              </w:rPr>
              <w:t>1 740,0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2E0AD7" w:rsidRPr="00D7174E" w:rsidRDefault="002E0AD7" w:rsidP="00D67F45">
            <w:pPr>
              <w:jc w:val="center"/>
              <w:rPr>
                <w:i/>
                <w:sz w:val="20"/>
                <w:szCs w:val="20"/>
              </w:rPr>
            </w:pPr>
            <w:r w:rsidRPr="00D7174E">
              <w:rPr>
                <w:i/>
                <w:sz w:val="20"/>
                <w:szCs w:val="20"/>
              </w:rPr>
              <w:t>6,6%</w:t>
            </w:r>
          </w:p>
        </w:tc>
      </w:tr>
      <w:tr w:rsidR="002E0AD7" w:rsidRPr="001F015E" w:rsidTr="00D67F45">
        <w:trPr>
          <w:trHeight w:val="228"/>
        </w:trPr>
        <w:tc>
          <w:tcPr>
            <w:tcW w:w="5432" w:type="dxa"/>
            <w:shd w:val="clear" w:color="auto" w:fill="99CCFF"/>
            <w:vAlign w:val="bottom"/>
          </w:tcPr>
          <w:p w:rsidR="002E0AD7" w:rsidRPr="00D54D38" w:rsidRDefault="002E0AD7" w:rsidP="00D67F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405" w:type="dxa"/>
            <w:shd w:val="clear" w:color="auto" w:fill="auto"/>
          </w:tcPr>
          <w:p w:rsidR="002E0AD7" w:rsidRPr="00D7174E" w:rsidRDefault="002E0AD7" w:rsidP="00D67F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D7174E">
              <w:rPr>
                <w:b/>
                <w:sz w:val="20"/>
                <w:szCs w:val="20"/>
              </w:rPr>
              <w:t>26 511,1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2E0AD7" w:rsidRPr="000416B6" w:rsidRDefault="002E0AD7" w:rsidP="00D67F45">
            <w:pPr>
              <w:jc w:val="center"/>
              <w:rPr>
                <w:b/>
                <w:i/>
                <w:sz w:val="20"/>
                <w:szCs w:val="20"/>
              </w:rPr>
            </w:pPr>
            <w:r w:rsidRPr="000416B6">
              <w:rPr>
                <w:b/>
                <w:i/>
                <w:sz w:val="20"/>
                <w:szCs w:val="20"/>
              </w:rPr>
              <w:t>100%</w:t>
            </w:r>
          </w:p>
        </w:tc>
      </w:tr>
    </w:tbl>
    <w:p w:rsidR="002E0AD7" w:rsidRPr="0052692F" w:rsidRDefault="002E0AD7" w:rsidP="002E0AD7">
      <w:pPr>
        <w:pStyle w:val="a7"/>
        <w:ind w:firstLine="709"/>
        <w:rPr>
          <w:sz w:val="28"/>
          <w:szCs w:val="28"/>
        </w:rPr>
      </w:pPr>
    </w:p>
    <w:p w:rsidR="002E0AD7" w:rsidRPr="0021054F" w:rsidRDefault="002E0AD7" w:rsidP="002E0AD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Бұл ретте елдің жүйелік маңызы бар төлем  жүйесі  БААЖ арқылы қаржы секторының операциялары бойынша </w:t>
      </w:r>
      <w:r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Қазақстан резиденттерінің  бағалы  қағаздарымен операциялар бойынша төлемдердің үлесі</w:t>
      </w:r>
      <w:r>
        <w:rPr>
          <w:sz w:val="28"/>
          <w:szCs w:val="28"/>
        </w:rPr>
        <w:t xml:space="preserve"> 45,9%, </w:t>
      </w:r>
      <w:r>
        <w:rPr>
          <w:sz w:val="28"/>
          <w:szCs w:val="28"/>
          <w:lang w:val="kk-KZ"/>
        </w:rPr>
        <w:t>шетел валютасымен және бағалы металмен операциялар бойынша</w:t>
      </w:r>
      <w:r>
        <w:rPr>
          <w:sz w:val="28"/>
          <w:szCs w:val="28"/>
        </w:rPr>
        <w:t xml:space="preserve"> – 14,9%, депозит</w:t>
      </w:r>
      <w:r>
        <w:rPr>
          <w:sz w:val="28"/>
          <w:szCs w:val="28"/>
          <w:lang w:val="kk-KZ"/>
        </w:rPr>
        <w:t>тер бойынша</w:t>
      </w:r>
      <w:r>
        <w:rPr>
          <w:sz w:val="28"/>
          <w:szCs w:val="28"/>
        </w:rPr>
        <w:t xml:space="preserve"> – 13,4%</w:t>
      </w:r>
      <w:r>
        <w:rPr>
          <w:sz w:val="28"/>
          <w:szCs w:val="28"/>
          <w:lang w:val="kk-KZ"/>
        </w:rPr>
        <w:t xml:space="preserve"> құрады</w:t>
      </w:r>
      <w:r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 xml:space="preserve"> анағұрлым ірі және мерзімді төлемдер жүргізіледі. Осы жүйе арқылы 2013 жылдың қаңтар –қарашасында елдің қолма-қол ақшасыз төлем жалпы сомасының</w:t>
      </w:r>
      <w:r w:rsidRPr="0021054F">
        <w:rPr>
          <w:sz w:val="28"/>
          <w:szCs w:val="28"/>
          <w:lang w:val="kk-KZ"/>
        </w:rPr>
        <w:t xml:space="preserve"> 97,3% </w:t>
      </w:r>
      <w:r>
        <w:rPr>
          <w:sz w:val="28"/>
          <w:szCs w:val="28"/>
          <w:lang w:val="kk-KZ"/>
        </w:rPr>
        <w:t>және олардың  жалпы көлемінің</w:t>
      </w:r>
      <w:r w:rsidRPr="0021054F">
        <w:rPr>
          <w:sz w:val="28"/>
          <w:szCs w:val="28"/>
          <w:lang w:val="kk-KZ"/>
        </w:rPr>
        <w:t xml:space="preserve"> 39,3% </w:t>
      </w:r>
      <w:r>
        <w:rPr>
          <w:sz w:val="28"/>
          <w:szCs w:val="28"/>
          <w:lang w:val="kk-KZ"/>
        </w:rPr>
        <w:t xml:space="preserve"> жүргізілді</w:t>
      </w:r>
      <w:r w:rsidRPr="0021054F">
        <w:rPr>
          <w:sz w:val="28"/>
          <w:szCs w:val="28"/>
          <w:lang w:val="kk-KZ"/>
        </w:rPr>
        <w:t>.</w:t>
      </w:r>
    </w:p>
    <w:p w:rsidR="002E0AD7" w:rsidRDefault="002E0AD7" w:rsidP="002E0AD7">
      <w:pPr>
        <w:pStyle w:val="a7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БААЖ төлемдері көлемінің өсуі негізінен Қазақстан Республикасының резиденттері шығарған бағалы қағаздар мен вексельдермен операциялар бойынша төлемдер сомасының </w:t>
      </w:r>
      <w:r w:rsidRPr="00E37EF5">
        <w:rPr>
          <w:sz w:val="28"/>
          <w:szCs w:val="28"/>
          <w:lang w:val="kk-KZ"/>
        </w:rPr>
        <w:t>7,9%</w:t>
      </w:r>
      <w:r>
        <w:rPr>
          <w:sz w:val="28"/>
          <w:szCs w:val="28"/>
          <w:lang w:val="kk-KZ"/>
        </w:rPr>
        <w:t>-ға</w:t>
      </w:r>
      <w:r w:rsidRPr="00E37EF5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сондай-ақ тауарлар мен  қызметтер үшін  төлемдердің </w:t>
      </w:r>
      <w:r w:rsidRPr="00E37EF5">
        <w:rPr>
          <w:sz w:val="28"/>
          <w:szCs w:val="28"/>
          <w:lang w:val="kk-KZ"/>
        </w:rPr>
        <w:t>8,8%</w:t>
      </w:r>
      <w:r>
        <w:rPr>
          <w:sz w:val="28"/>
          <w:szCs w:val="28"/>
          <w:lang w:val="kk-KZ"/>
        </w:rPr>
        <w:t>-ға</w:t>
      </w:r>
      <w:r w:rsidRPr="00E37EF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ұлғаюымен байланысты.</w:t>
      </w:r>
    </w:p>
    <w:p w:rsidR="002E0AD7" w:rsidRPr="005D1497" w:rsidRDefault="002E0AD7" w:rsidP="002E0AD7">
      <w:pPr>
        <w:jc w:val="center"/>
        <w:rPr>
          <w:b/>
          <w:sz w:val="28"/>
          <w:szCs w:val="28"/>
          <w:lang w:val="kk-KZ"/>
        </w:rPr>
      </w:pPr>
    </w:p>
    <w:p w:rsidR="002E0AD7" w:rsidRPr="008F76D1" w:rsidRDefault="002E0AD7" w:rsidP="002E0AD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БААЖ-да төлем мақсатының  түрлері  бойынша төлемдер  көлемі</w:t>
      </w:r>
    </w:p>
    <w:tbl>
      <w:tblPr>
        <w:tblW w:w="10280" w:type="dxa"/>
        <w:tblInd w:w="-452" w:type="dxa"/>
        <w:tblLook w:val="04A0" w:firstRow="1" w:lastRow="0" w:firstColumn="1" w:lastColumn="0" w:noHBand="0" w:noVBand="1"/>
      </w:tblPr>
      <w:tblGrid>
        <w:gridCol w:w="3670"/>
        <w:gridCol w:w="940"/>
        <w:gridCol w:w="1350"/>
        <w:gridCol w:w="1200"/>
        <w:gridCol w:w="1100"/>
        <w:gridCol w:w="1200"/>
        <w:gridCol w:w="820"/>
      </w:tblGrid>
      <w:tr w:rsidR="002E0AD7" w:rsidTr="00D67F45">
        <w:trPr>
          <w:trHeight w:val="255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2E0AD7" w:rsidRPr="007C1E7E" w:rsidRDefault="002E0AD7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Көрсеткіштің атауы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2012 жылғы </w:t>
            </w:r>
            <w:r w:rsidRPr="00560143">
              <w:rPr>
                <w:b/>
                <w:sz w:val="20"/>
                <w:szCs w:val="20"/>
              </w:rPr>
              <w:t xml:space="preserve">11 </w:t>
            </w:r>
            <w:r>
              <w:rPr>
                <w:b/>
                <w:sz w:val="20"/>
                <w:szCs w:val="20"/>
                <w:lang w:val="kk-KZ"/>
              </w:rPr>
              <w:t>ай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2013 жылғы </w:t>
            </w:r>
            <w:r w:rsidRPr="00560143">
              <w:rPr>
                <w:b/>
                <w:sz w:val="20"/>
                <w:szCs w:val="20"/>
              </w:rPr>
              <w:t xml:space="preserve">11 </w:t>
            </w:r>
            <w:r>
              <w:rPr>
                <w:b/>
                <w:sz w:val="20"/>
                <w:szCs w:val="20"/>
                <w:lang w:val="kk-KZ"/>
              </w:rPr>
              <w:t>ай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Өзгеруі</w:t>
            </w:r>
          </w:p>
        </w:tc>
      </w:tr>
      <w:tr w:rsidR="002E0AD7" w:rsidTr="00D67F45">
        <w:trPr>
          <w:trHeight w:val="765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D7" w:rsidRPr="007C1E7E" w:rsidRDefault="002E0AD7" w:rsidP="00D67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 xml:space="preserve"> млрд. те</w:t>
            </w:r>
            <w:r>
              <w:rPr>
                <w:sz w:val="20"/>
                <w:szCs w:val="20"/>
                <w:lang w:val="kk-KZ"/>
              </w:rPr>
              <w:t>ң</w:t>
            </w:r>
            <w:r w:rsidRPr="007C1E7E">
              <w:rPr>
                <w:sz w:val="20"/>
                <w:szCs w:val="20"/>
              </w:rPr>
              <w:t>ге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kk-KZ"/>
              </w:rPr>
              <w:t xml:space="preserve">жалпы көлемге </w:t>
            </w:r>
            <w:r w:rsidRPr="007C1E7E">
              <w:rPr>
                <w:i/>
                <w:iCs/>
                <w:sz w:val="20"/>
                <w:szCs w:val="20"/>
              </w:rPr>
              <w:t xml:space="preserve"> 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млрд. те</w:t>
            </w:r>
            <w:r>
              <w:rPr>
                <w:sz w:val="20"/>
                <w:szCs w:val="20"/>
                <w:lang w:val="kk-KZ"/>
              </w:rPr>
              <w:t>ң</w:t>
            </w:r>
            <w:r w:rsidRPr="007C1E7E">
              <w:rPr>
                <w:sz w:val="20"/>
                <w:szCs w:val="20"/>
              </w:rPr>
              <w:t>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kk-KZ"/>
              </w:rPr>
              <w:t xml:space="preserve">жалпы көлемге </w:t>
            </w:r>
            <w:r w:rsidRPr="007C1E7E">
              <w:rPr>
                <w:i/>
                <w:iCs/>
                <w:sz w:val="20"/>
                <w:szCs w:val="20"/>
              </w:rPr>
              <w:t xml:space="preserve"> 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млрд. те</w:t>
            </w:r>
            <w:r>
              <w:rPr>
                <w:sz w:val="20"/>
                <w:szCs w:val="20"/>
                <w:lang w:val="kk-KZ"/>
              </w:rPr>
              <w:t>ң</w:t>
            </w:r>
            <w:r w:rsidRPr="007C1E7E">
              <w:rPr>
                <w:sz w:val="20"/>
                <w:szCs w:val="20"/>
              </w:rPr>
              <w:t>ге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 xml:space="preserve"> %</w:t>
            </w:r>
            <w:r>
              <w:rPr>
                <w:i/>
                <w:iCs/>
                <w:sz w:val="20"/>
                <w:szCs w:val="20"/>
                <w:lang w:val="kk-KZ"/>
              </w:rPr>
              <w:t>-бен</w:t>
            </w:r>
            <w:r w:rsidRPr="007C1E7E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E0AD7" w:rsidTr="00D67F45">
        <w:trPr>
          <w:trHeight w:val="51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2E0AD7" w:rsidRPr="007C1E7E" w:rsidRDefault="002E0AD7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Шетел валютасымен және  </w:t>
            </w:r>
            <w:r w:rsidRPr="00EC2D8A">
              <w:rPr>
                <w:sz w:val="20"/>
                <w:szCs w:val="20"/>
                <w:lang w:val="kk-KZ"/>
              </w:rPr>
              <w:t>бағалы  металдармен</w:t>
            </w:r>
            <w:r>
              <w:rPr>
                <w:sz w:val="20"/>
                <w:szCs w:val="20"/>
                <w:lang w:val="kk-KZ"/>
              </w:rPr>
              <w:t xml:space="preserve"> операциялар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23 903,0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23 172,5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-730,5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-3,1%</w:t>
            </w:r>
          </w:p>
        </w:tc>
      </w:tr>
      <w:tr w:rsidR="002E0AD7" w:rsidTr="00D67F45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2E0AD7" w:rsidRPr="007C1E7E" w:rsidRDefault="002E0AD7" w:rsidP="00D67F45">
            <w:pPr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Депозит</w:t>
            </w:r>
            <w:r>
              <w:rPr>
                <w:sz w:val="20"/>
                <w:szCs w:val="20"/>
                <w:lang w:val="kk-KZ"/>
              </w:rPr>
              <w:t>тер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23 219,5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20 833,5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-2 386,0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-10,3%</w:t>
            </w:r>
          </w:p>
        </w:tc>
      </w:tr>
      <w:tr w:rsidR="002E0AD7" w:rsidTr="00D67F45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2E0AD7" w:rsidRPr="007C1E7E" w:rsidRDefault="002E0AD7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Қарыздар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1 687,2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1 974,9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287,7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17,1%</w:t>
            </w:r>
          </w:p>
        </w:tc>
      </w:tr>
      <w:tr w:rsidR="002E0AD7" w:rsidTr="00D67F45">
        <w:trPr>
          <w:trHeight w:val="76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2E0AD7" w:rsidRPr="007C1E7E" w:rsidRDefault="002E0AD7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ҚР резидент еместері шығарған бағалы қағаздар</w:t>
            </w:r>
            <w:r w:rsidRPr="007C1E7E">
              <w:rPr>
                <w:sz w:val="20"/>
                <w:szCs w:val="20"/>
              </w:rPr>
              <w:t>, вексел</w:t>
            </w:r>
            <w:r>
              <w:rPr>
                <w:sz w:val="20"/>
                <w:szCs w:val="20"/>
                <w:lang w:val="kk-KZ"/>
              </w:rPr>
              <w:t>ьдер және</w:t>
            </w:r>
            <w:r w:rsidRPr="007C1E7E">
              <w:rPr>
                <w:sz w:val="20"/>
                <w:szCs w:val="20"/>
              </w:rPr>
              <w:t xml:space="preserve"> депозит</w:t>
            </w:r>
            <w:r>
              <w:rPr>
                <w:sz w:val="20"/>
                <w:szCs w:val="20"/>
                <w:lang w:val="kk-KZ"/>
              </w:rPr>
              <w:t>тік</w:t>
            </w:r>
            <w:r w:rsidRPr="007C1E7E">
              <w:rPr>
                <w:sz w:val="20"/>
                <w:szCs w:val="20"/>
              </w:rPr>
              <w:t xml:space="preserve"> сертификат</w:t>
            </w:r>
            <w:r>
              <w:rPr>
                <w:sz w:val="20"/>
                <w:szCs w:val="20"/>
                <w:lang w:val="kk-KZ"/>
              </w:rPr>
              <w:t>тар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189,4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151,6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-37,8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-20,0%</w:t>
            </w:r>
          </w:p>
        </w:tc>
      </w:tr>
      <w:tr w:rsidR="002E0AD7" w:rsidTr="00D67F45">
        <w:trPr>
          <w:trHeight w:val="51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2E0AD7" w:rsidRPr="007C1E7E" w:rsidRDefault="002E0AD7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ҚР резиденттері шығарған бағалы қағаздар</w:t>
            </w:r>
            <w:r w:rsidRPr="007C1E7E">
              <w:rPr>
                <w:sz w:val="20"/>
                <w:szCs w:val="20"/>
              </w:rPr>
              <w:t>, вексел</w:t>
            </w:r>
            <w:r>
              <w:rPr>
                <w:sz w:val="20"/>
                <w:szCs w:val="20"/>
                <w:lang w:val="kk-KZ"/>
              </w:rPr>
              <w:t>ьдер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66 119,0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43,8%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71 321,5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5 202,5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7,9%</w:t>
            </w:r>
          </w:p>
        </w:tc>
      </w:tr>
      <w:tr w:rsidR="002E0AD7" w:rsidTr="00D67F45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2E0AD7" w:rsidRPr="007C1E7E" w:rsidRDefault="002E0AD7" w:rsidP="00D67F45">
            <w:pPr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kk-KZ"/>
              </w:rPr>
              <w:t xml:space="preserve">ауарлар  және </w:t>
            </w:r>
            <w:r w:rsidRPr="007C1E7E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  <w:lang w:val="kk-KZ"/>
              </w:rPr>
              <w:t>дық емес</w:t>
            </w:r>
            <w:r w:rsidRPr="007C1E7E">
              <w:rPr>
                <w:sz w:val="20"/>
                <w:szCs w:val="20"/>
              </w:rPr>
              <w:t xml:space="preserve"> актив</w:t>
            </w:r>
            <w:r>
              <w:rPr>
                <w:sz w:val="20"/>
                <w:szCs w:val="20"/>
                <w:lang w:val="kk-KZ"/>
              </w:rPr>
              <w:t>тер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10 200,2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10 764,4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564,3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5,5%</w:t>
            </w:r>
          </w:p>
        </w:tc>
      </w:tr>
      <w:tr w:rsidR="002E0AD7" w:rsidTr="00D67F45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2E0AD7" w:rsidRPr="00F23759" w:rsidRDefault="002E0AD7" w:rsidP="00D67F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Қызметтер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7 660,9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8 675,1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1 014,2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13,2%</w:t>
            </w:r>
          </w:p>
        </w:tc>
      </w:tr>
      <w:tr w:rsidR="002E0AD7" w:rsidTr="00D67F45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2E0AD7" w:rsidRPr="007C1E7E" w:rsidRDefault="002E0AD7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Басқа  төлемдер</w:t>
            </w:r>
            <w:r w:rsidRPr="007C1E7E">
              <w:rPr>
                <w:sz w:val="20"/>
                <w:szCs w:val="20"/>
              </w:rPr>
              <w:t>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18 138,4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18 327,8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11,8%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189,3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1,0%</w:t>
            </w:r>
          </w:p>
        </w:tc>
      </w:tr>
      <w:tr w:rsidR="002E0AD7" w:rsidTr="00D67F45">
        <w:trPr>
          <w:trHeight w:val="27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bottom"/>
          </w:tcPr>
          <w:p w:rsidR="002E0AD7" w:rsidRPr="007C1E7E" w:rsidRDefault="002E0AD7" w:rsidP="00D67F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Жиынтығы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 w:rsidRPr="007C1E7E">
              <w:rPr>
                <w:b/>
                <w:bCs/>
                <w:sz w:val="20"/>
                <w:szCs w:val="20"/>
              </w:rPr>
              <w:t>151 117,6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 w:rsidRPr="007C1E7E">
              <w:rPr>
                <w:b/>
                <w:bCs/>
                <w:sz w:val="20"/>
                <w:szCs w:val="20"/>
              </w:rPr>
              <w:t>155 221,3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 w:rsidRPr="007C1E7E">
              <w:rPr>
                <w:b/>
                <w:bCs/>
                <w:sz w:val="20"/>
                <w:szCs w:val="20"/>
              </w:rPr>
              <w:t>4 103,7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D7" w:rsidRPr="007C1E7E" w:rsidRDefault="002E0AD7" w:rsidP="00D67F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C1E7E">
              <w:rPr>
                <w:b/>
                <w:bCs/>
                <w:i/>
                <w:iCs/>
                <w:sz w:val="20"/>
                <w:szCs w:val="20"/>
              </w:rPr>
              <w:t>2,7%</w:t>
            </w:r>
          </w:p>
        </w:tc>
      </w:tr>
    </w:tbl>
    <w:p w:rsidR="002E0AD7" w:rsidRPr="00BE231D" w:rsidRDefault="002E0AD7" w:rsidP="002E0AD7">
      <w:pPr>
        <w:jc w:val="both"/>
        <w:rPr>
          <w:i/>
          <w:sz w:val="20"/>
          <w:szCs w:val="20"/>
        </w:rPr>
      </w:pPr>
      <w:r w:rsidRPr="00BE231D">
        <w:rPr>
          <w:i/>
          <w:sz w:val="20"/>
          <w:szCs w:val="20"/>
        </w:rPr>
        <w:t xml:space="preserve">* </w:t>
      </w:r>
      <w:r>
        <w:rPr>
          <w:i/>
          <w:sz w:val="20"/>
          <w:szCs w:val="20"/>
          <w:lang w:val="kk-KZ"/>
        </w:rPr>
        <w:t>зейнетақы төлемдері және жәрдемақылар, ерекше аударымдар, бюджетке төлемдер және  бюджеттен  төлемдер</w:t>
      </w:r>
      <w:r w:rsidRPr="00BE231D">
        <w:rPr>
          <w:i/>
          <w:sz w:val="20"/>
          <w:szCs w:val="20"/>
        </w:rPr>
        <w:t xml:space="preserve">. </w:t>
      </w:r>
    </w:p>
    <w:p w:rsidR="002E0AD7" w:rsidRDefault="002E0AD7" w:rsidP="002E0AD7">
      <w:pPr>
        <w:ind w:firstLine="708"/>
        <w:jc w:val="both"/>
        <w:rPr>
          <w:sz w:val="28"/>
          <w:szCs w:val="28"/>
        </w:rPr>
      </w:pPr>
    </w:p>
    <w:p w:rsidR="002E0AD7" w:rsidRPr="0052692F" w:rsidRDefault="002E0AD7" w:rsidP="002E0A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2013 жылғы қаңтар-қарашада сомалар аралығы бойынша төлемдердің анағұрлым көп саны</w:t>
      </w:r>
      <w:r w:rsidRPr="0052692F">
        <w:rPr>
          <w:sz w:val="28"/>
          <w:szCs w:val="28"/>
        </w:rPr>
        <w:t xml:space="preserve"> 3 млн. те</w:t>
      </w:r>
      <w:r>
        <w:rPr>
          <w:sz w:val="28"/>
          <w:szCs w:val="28"/>
          <w:lang w:val="kk-KZ"/>
        </w:rPr>
        <w:t>ң</w:t>
      </w:r>
      <w:r w:rsidRPr="0052692F">
        <w:rPr>
          <w:sz w:val="28"/>
          <w:szCs w:val="28"/>
        </w:rPr>
        <w:t>ге (</w:t>
      </w:r>
      <w:r>
        <w:rPr>
          <w:sz w:val="28"/>
          <w:szCs w:val="28"/>
          <w:lang w:val="kk-KZ"/>
        </w:rPr>
        <w:t>үлесі</w:t>
      </w:r>
      <w:r w:rsidRPr="0052692F">
        <w:rPr>
          <w:sz w:val="28"/>
          <w:szCs w:val="28"/>
        </w:rPr>
        <w:t xml:space="preserve"> 89,7%)</w:t>
      </w:r>
      <w:r>
        <w:rPr>
          <w:sz w:val="28"/>
          <w:szCs w:val="28"/>
          <w:lang w:val="kk-KZ"/>
        </w:rPr>
        <w:t xml:space="preserve"> аралығында,</w:t>
      </w:r>
      <w:r w:rsidRPr="0052692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ал ең азы</w:t>
      </w:r>
      <w:r w:rsidRPr="0052692F">
        <w:rPr>
          <w:sz w:val="28"/>
          <w:szCs w:val="28"/>
        </w:rPr>
        <w:t xml:space="preserve"> – 1 млрд. те</w:t>
      </w:r>
      <w:r>
        <w:rPr>
          <w:sz w:val="28"/>
          <w:szCs w:val="28"/>
          <w:lang w:val="kk-KZ"/>
        </w:rPr>
        <w:t>ңгеден астам</w:t>
      </w:r>
      <w:r w:rsidRPr="0052692F"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үлесі</w:t>
      </w:r>
      <w:r w:rsidRPr="0052692F">
        <w:rPr>
          <w:sz w:val="28"/>
          <w:szCs w:val="28"/>
        </w:rPr>
        <w:t xml:space="preserve"> 0,3%) </w:t>
      </w:r>
      <w:r>
        <w:rPr>
          <w:sz w:val="28"/>
          <w:szCs w:val="28"/>
          <w:lang w:val="kk-KZ"/>
        </w:rPr>
        <w:t xml:space="preserve">және </w:t>
      </w:r>
      <w:r w:rsidRPr="0052692F">
        <w:rPr>
          <w:sz w:val="28"/>
          <w:szCs w:val="28"/>
        </w:rPr>
        <w:t xml:space="preserve">500 </w:t>
      </w:r>
      <w:r>
        <w:rPr>
          <w:sz w:val="28"/>
          <w:szCs w:val="28"/>
          <w:lang w:val="kk-KZ"/>
        </w:rPr>
        <w:t>мыңнан</w:t>
      </w:r>
      <w:r w:rsidRPr="0052692F">
        <w:rPr>
          <w:sz w:val="28"/>
          <w:szCs w:val="28"/>
        </w:rPr>
        <w:t xml:space="preserve"> 1 млрд. те</w:t>
      </w:r>
      <w:r>
        <w:rPr>
          <w:sz w:val="28"/>
          <w:szCs w:val="28"/>
          <w:lang w:val="kk-KZ"/>
        </w:rPr>
        <w:t>ңгеге дейін</w:t>
      </w:r>
      <w:r w:rsidRPr="0052692F">
        <w:rPr>
          <w:sz w:val="28"/>
          <w:szCs w:val="28"/>
        </w:rPr>
        <w:t xml:space="preserve"> (0,2%)</w:t>
      </w:r>
      <w:r>
        <w:rPr>
          <w:sz w:val="28"/>
          <w:szCs w:val="28"/>
          <w:lang w:val="kk-KZ"/>
        </w:rPr>
        <w:t xml:space="preserve"> байқалды</w:t>
      </w:r>
      <w:r w:rsidRPr="0052692F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Уақыт аралығы бойынша  төлемдердің  ең көп саны мен сомасы сағат </w:t>
      </w:r>
      <w:r w:rsidRPr="0052692F">
        <w:rPr>
          <w:sz w:val="28"/>
          <w:szCs w:val="28"/>
        </w:rPr>
        <w:t>15:00</w:t>
      </w:r>
      <w:r>
        <w:rPr>
          <w:sz w:val="28"/>
          <w:szCs w:val="28"/>
          <w:lang w:val="kk-KZ"/>
        </w:rPr>
        <w:t>-тен</w:t>
      </w:r>
      <w:r w:rsidRPr="0052692F">
        <w:rPr>
          <w:sz w:val="28"/>
          <w:szCs w:val="28"/>
        </w:rPr>
        <w:t xml:space="preserve"> 18:00</w:t>
      </w:r>
      <w:r>
        <w:rPr>
          <w:sz w:val="28"/>
          <w:szCs w:val="28"/>
          <w:lang w:val="kk-KZ"/>
        </w:rPr>
        <w:t>-ға дейінгі</w:t>
      </w:r>
      <w:r w:rsidRPr="0052692F"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 xml:space="preserve">БААЖ арқылы  өткізілген төлемдердің  жалпы санының </w:t>
      </w:r>
      <w:r w:rsidRPr="0052692F">
        <w:rPr>
          <w:sz w:val="28"/>
          <w:szCs w:val="28"/>
        </w:rPr>
        <w:t xml:space="preserve">60,5% </w:t>
      </w:r>
      <w:r>
        <w:rPr>
          <w:sz w:val="28"/>
          <w:szCs w:val="28"/>
          <w:lang w:val="kk-KZ"/>
        </w:rPr>
        <w:t>және  жалпы сомасының</w:t>
      </w:r>
      <w:r w:rsidRPr="0052692F">
        <w:rPr>
          <w:sz w:val="28"/>
          <w:szCs w:val="28"/>
        </w:rPr>
        <w:t xml:space="preserve"> 50,8%) </w:t>
      </w:r>
      <w:r>
        <w:rPr>
          <w:sz w:val="28"/>
          <w:szCs w:val="28"/>
          <w:lang w:val="kk-KZ"/>
        </w:rPr>
        <w:t xml:space="preserve">уақыт аралығында  жүргізілді </w:t>
      </w:r>
      <w:r w:rsidRPr="0052692F"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5-сурет</w:t>
      </w:r>
      <w:r w:rsidRPr="0052692F">
        <w:rPr>
          <w:sz w:val="28"/>
          <w:szCs w:val="28"/>
        </w:rPr>
        <w:t>).</w:t>
      </w:r>
    </w:p>
    <w:p w:rsidR="002E0AD7" w:rsidRPr="009A0443" w:rsidRDefault="002E0AD7" w:rsidP="002E0AD7">
      <w:pPr>
        <w:pStyle w:val="a7"/>
        <w:ind w:firstLine="709"/>
        <w:jc w:val="right"/>
        <w:rPr>
          <w:b/>
          <w:sz w:val="24"/>
          <w:szCs w:val="24"/>
        </w:rPr>
      </w:pPr>
      <w:r w:rsidRPr="009A0443">
        <w:rPr>
          <w:b/>
          <w:sz w:val="24"/>
          <w:szCs w:val="24"/>
        </w:rPr>
        <w:t>5</w:t>
      </w:r>
      <w:r>
        <w:rPr>
          <w:b/>
          <w:sz w:val="24"/>
          <w:szCs w:val="24"/>
          <w:lang w:val="kk-KZ"/>
        </w:rPr>
        <w:t>-сурет</w:t>
      </w:r>
      <w:r w:rsidRPr="009A0443">
        <w:rPr>
          <w:b/>
          <w:sz w:val="24"/>
          <w:szCs w:val="24"/>
        </w:rPr>
        <w:t>.</w:t>
      </w:r>
    </w:p>
    <w:p w:rsidR="002E0AD7" w:rsidRDefault="002E0AD7" w:rsidP="002E0AD7">
      <w:pPr>
        <w:pStyle w:val="6"/>
        <w:ind w:firstLine="709"/>
        <w:rPr>
          <w:sz w:val="28"/>
          <w:szCs w:val="28"/>
          <w:lang w:val="kk-KZ"/>
        </w:rPr>
      </w:pPr>
      <w:bookmarkStart w:id="2" w:name="_Toc289769421"/>
    </w:p>
    <w:p w:rsidR="002E0AD7" w:rsidRPr="007B486A" w:rsidRDefault="002E0AD7" w:rsidP="002E0AD7">
      <w:pPr>
        <w:pStyle w:val="6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БААЖ-ға  уақыт  және  сомалар аралығы бойынша төлемдер</w:t>
      </w:r>
      <w:bookmarkEnd w:id="2"/>
    </w:p>
    <w:tbl>
      <w:tblPr>
        <w:tblW w:w="10019" w:type="dxa"/>
        <w:tblLayout w:type="fixed"/>
        <w:tblLook w:val="01E0" w:firstRow="1" w:lastRow="1" w:firstColumn="1" w:lastColumn="1" w:noHBand="0" w:noVBand="0"/>
      </w:tblPr>
      <w:tblGrid>
        <w:gridCol w:w="4961"/>
        <w:gridCol w:w="9"/>
        <w:gridCol w:w="5049"/>
      </w:tblGrid>
      <w:tr w:rsidR="002E0AD7" w:rsidRPr="00C869AF" w:rsidTr="00D67F45">
        <w:trPr>
          <w:trHeight w:val="3656"/>
        </w:trPr>
        <w:tc>
          <w:tcPr>
            <w:tcW w:w="4961" w:type="dxa"/>
            <w:shd w:val="clear" w:color="auto" w:fill="auto"/>
          </w:tcPr>
          <w:p w:rsidR="002E0AD7" w:rsidRPr="007B486A" w:rsidRDefault="002E0AD7" w:rsidP="00D67F4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2E0AD7" w:rsidRPr="004613AB" w:rsidRDefault="002E0AD7" w:rsidP="00D67F4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Сомалар аралығы бойынша  төлемдер саны</w:t>
            </w:r>
          </w:p>
          <w:p w:rsidR="002E0AD7" w:rsidRPr="00C869AF" w:rsidRDefault="00522A28" w:rsidP="00D67F45">
            <w:pPr>
              <w:rPr>
                <w:sz w:val="28"/>
                <w:szCs w:val="28"/>
              </w:rPr>
            </w:pPr>
            <w:r w:rsidRPr="00C869AF">
              <w:rPr>
                <w:noProof/>
                <w:sz w:val="28"/>
                <w:szCs w:val="28"/>
              </w:rPr>
              <w:drawing>
                <wp:inline distT="0" distB="0" distL="0" distR="0">
                  <wp:extent cx="3095625" cy="1914525"/>
                  <wp:effectExtent l="0" t="0" r="0" b="0"/>
                  <wp:docPr id="5" name="Объект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058" w:type="dxa"/>
            <w:gridSpan w:val="2"/>
            <w:shd w:val="clear" w:color="auto" w:fill="auto"/>
          </w:tcPr>
          <w:p w:rsidR="002E0AD7" w:rsidRPr="00C869AF" w:rsidRDefault="002E0AD7" w:rsidP="00D67F45">
            <w:pPr>
              <w:jc w:val="center"/>
              <w:rPr>
                <w:b/>
                <w:sz w:val="28"/>
                <w:szCs w:val="28"/>
              </w:rPr>
            </w:pPr>
          </w:p>
          <w:p w:rsidR="002E0AD7" w:rsidRPr="00C869AF" w:rsidRDefault="002E0AD7" w:rsidP="00D67F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Сомалар аралығы бойынша  төлемдер сомалары</w:t>
            </w:r>
          </w:p>
          <w:p w:rsidR="002E0AD7" w:rsidRPr="00C869AF" w:rsidRDefault="002E0AD7" w:rsidP="00D67F45">
            <w:pPr>
              <w:jc w:val="center"/>
              <w:rPr>
                <w:b/>
                <w:sz w:val="28"/>
                <w:szCs w:val="28"/>
              </w:rPr>
            </w:pPr>
          </w:p>
          <w:p w:rsidR="002E0AD7" w:rsidRPr="00C869AF" w:rsidRDefault="002E0AD7" w:rsidP="00D67F45">
            <w:pPr>
              <w:jc w:val="center"/>
              <w:rPr>
                <w:b/>
                <w:sz w:val="28"/>
                <w:szCs w:val="28"/>
              </w:rPr>
            </w:pPr>
            <w:r w:rsidRPr="00C869AF">
              <w:rPr>
                <w:sz w:val="28"/>
                <w:szCs w:val="28"/>
              </w:rPr>
              <w:object w:dxaOrig="4550" w:dyaOrig="30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27.25pt;height:151.5pt" o:ole="" filled="t">
                  <v:imagedata r:id="rId12" o:title=""/>
                </v:shape>
                <o:OLEObject Type="Embed" ProgID="MSGraph.Chart.8" ShapeID="_x0000_i1030" DrawAspect="Content" ObjectID="_1635254036" r:id="rId13">
                  <o:FieldCodes>\s</o:FieldCodes>
                </o:OLEObject>
              </w:object>
            </w:r>
          </w:p>
        </w:tc>
      </w:tr>
      <w:tr w:rsidR="002E0AD7" w:rsidRPr="00C869AF" w:rsidTr="00D67F45">
        <w:trPr>
          <w:trHeight w:val="90"/>
        </w:trPr>
        <w:tc>
          <w:tcPr>
            <w:tcW w:w="4970" w:type="dxa"/>
            <w:gridSpan w:val="2"/>
            <w:shd w:val="clear" w:color="auto" w:fill="auto"/>
          </w:tcPr>
          <w:p w:rsidR="002E0AD7" w:rsidRDefault="002E0AD7" w:rsidP="00D67F4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Уақыт аралығы бойынша  </w:t>
            </w:r>
          </w:p>
          <w:p w:rsidR="002E0AD7" w:rsidRPr="00C869AF" w:rsidRDefault="002E0AD7" w:rsidP="00D67F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төлемдер саны</w:t>
            </w:r>
          </w:p>
          <w:p w:rsidR="002E0AD7" w:rsidRPr="00C869AF" w:rsidRDefault="00522A28" w:rsidP="00D67F45">
            <w:pPr>
              <w:jc w:val="center"/>
              <w:rPr>
                <w:sz w:val="28"/>
                <w:szCs w:val="28"/>
              </w:rPr>
            </w:pPr>
            <w:r w:rsidRPr="00C869AF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133725" cy="1752600"/>
                  <wp:effectExtent l="0" t="0" r="0" b="0"/>
                  <wp:docPr id="7" name="Объект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5049" w:type="dxa"/>
            <w:shd w:val="clear" w:color="auto" w:fill="auto"/>
          </w:tcPr>
          <w:p w:rsidR="002E0AD7" w:rsidRDefault="002E0AD7" w:rsidP="00D67F4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Уақыт аралығы бойынша  </w:t>
            </w:r>
          </w:p>
          <w:p w:rsidR="002E0AD7" w:rsidRPr="00C869AF" w:rsidRDefault="002E0AD7" w:rsidP="00D67F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төлемдер сомалары</w:t>
            </w:r>
          </w:p>
          <w:p w:rsidR="002E0AD7" w:rsidRPr="00C869AF" w:rsidRDefault="00522A28" w:rsidP="00D67F45">
            <w:pPr>
              <w:rPr>
                <w:sz w:val="28"/>
                <w:szCs w:val="28"/>
              </w:rPr>
            </w:pPr>
            <w:r w:rsidRPr="00C869AF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86075" cy="1790700"/>
                  <wp:effectExtent l="0" t="0" r="0" b="0"/>
                  <wp:docPr id="8" name="Объект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2E0AD7" w:rsidRDefault="002E0AD7" w:rsidP="002E0AD7">
      <w:pPr>
        <w:pStyle w:val="a3"/>
        <w:ind w:firstLine="709"/>
        <w:jc w:val="left"/>
        <w:rPr>
          <w:sz w:val="28"/>
          <w:szCs w:val="28"/>
          <w:u w:val="single"/>
          <w:lang w:val="kk-KZ"/>
        </w:rPr>
      </w:pPr>
    </w:p>
    <w:p w:rsidR="00350C48" w:rsidRPr="0052692F" w:rsidRDefault="00350C48" w:rsidP="00350C48">
      <w:pPr>
        <w:pStyle w:val="a3"/>
        <w:ind w:firstLine="709"/>
        <w:jc w:val="left"/>
        <w:rPr>
          <w:sz w:val="28"/>
          <w:szCs w:val="28"/>
        </w:rPr>
      </w:pPr>
      <w:r>
        <w:rPr>
          <w:sz w:val="28"/>
          <w:szCs w:val="28"/>
          <w:u w:val="single"/>
          <w:lang w:val="kk-KZ"/>
        </w:rPr>
        <w:t>Тәуекелдер және оларды басқару әдістері</w:t>
      </w:r>
    </w:p>
    <w:p w:rsidR="00350C48" w:rsidRPr="0052692F" w:rsidRDefault="00350C48" w:rsidP="00350C48">
      <w:pPr>
        <w:pStyle w:val="ad"/>
        <w:ind w:firstLine="709"/>
        <w:rPr>
          <w:sz w:val="28"/>
          <w:szCs w:val="28"/>
        </w:rPr>
      </w:pPr>
    </w:p>
    <w:p w:rsidR="00350C48" w:rsidRPr="0052692F" w:rsidRDefault="00350C48" w:rsidP="0035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Елдің қаржы жүйесінің тұрақтылығына айтарлықтай ықпал ететін өтімділік тәуекелін</w:t>
      </w:r>
      <w:r w:rsidRPr="0052692F">
        <w:rPr>
          <w:sz w:val="28"/>
          <w:szCs w:val="28"/>
          <w:vertAlign w:val="superscript"/>
        </w:rPr>
        <w:footnoteReference w:id="1"/>
      </w:r>
      <w:r w:rsidRPr="0052692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және</w:t>
      </w:r>
      <w:r w:rsidRPr="0052692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жүйелік тәуекелді</w:t>
      </w:r>
      <w:r w:rsidRPr="0052692F">
        <w:rPr>
          <w:sz w:val="28"/>
          <w:szCs w:val="28"/>
          <w:vertAlign w:val="superscript"/>
        </w:rPr>
        <w:footnoteReference w:id="2"/>
      </w:r>
      <w:r>
        <w:rPr>
          <w:sz w:val="28"/>
          <w:szCs w:val="28"/>
          <w:lang w:val="kk-KZ"/>
        </w:rPr>
        <w:t xml:space="preserve"> басқару мақсатында Ұлттық </w:t>
      </w:r>
      <w:r w:rsidRPr="0052692F">
        <w:rPr>
          <w:sz w:val="28"/>
          <w:szCs w:val="28"/>
        </w:rPr>
        <w:t xml:space="preserve"> Банк</w:t>
      </w:r>
      <w:r>
        <w:rPr>
          <w:sz w:val="28"/>
          <w:szCs w:val="28"/>
          <w:lang w:val="kk-KZ"/>
        </w:rPr>
        <w:t xml:space="preserve"> және төлем жүйесін пайдаланушылар тұрақты негізде  пайдаланушылардың жүйелердегі </w:t>
      </w:r>
      <w:r w:rsidRPr="0052692F">
        <w:rPr>
          <w:sz w:val="28"/>
          <w:szCs w:val="28"/>
        </w:rPr>
        <w:t>позици</w:t>
      </w:r>
      <w:r>
        <w:rPr>
          <w:sz w:val="28"/>
          <w:szCs w:val="28"/>
          <w:lang w:val="kk-KZ"/>
        </w:rPr>
        <w:t xml:space="preserve">яларына </w:t>
      </w:r>
      <w:r w:rsidRPr="0052692F">
        <w:rPr>
          <w:sz w:val="28"/>
          <w:szCs w:val="28"/>
        </w:rPr>
        <w:t xml:space="preserve">мониторинг </w:t>
      </w:r>
      <w:r>
        <w:rPr>
          <w:sz w:val="28"/>
          <w:szCs w:val="28"/>
          <w:lang w:val="kk-KZ"/>
        </w:rPr>
        <w:t>және бақылау жүргізді</w:t>
      </w:r>
      <w:r w:rsidRPr="0052692F">
        <w:rPr>
          <w:sz w:val="28"/>
          <w:szCs w:val="28"/>
        </w:rPr>
        <w:t xml:space="preserve">. </w:t>
      </w:r>
    </w:p>
    <w:p w:rsidR="00350C48" w:rsidRPr="0052692F" w:rsidRDefault="00350C48" w:rsidP="0035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БААЖ</w:t>
      </w:r>
      <w:r>
        <w:rPr>
          <w:sz w:val="28"/>
          <w:szCs w:val="28"/>
          <w:lang w:val="kk-KZ"/>
        </w:rPr>
        <w:t xml:space="preserve">-де осы тәуекелдерді басқару үшін кезекті басқару тетігі </w:t>
      </w:r>
      <w:r w:rsidRPr="0052692F"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төлем құжаттарын орындаудың басымдықтарын белгілеу және төлем құжаттарындағы кезектілікті өзгерту</w:t>
      </w:r>
      <w:r w:rsidRPr="0052692F"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 xml:space="preserve"> пайдаланылады</w:t>
      </w:r>
      <w:r w:rsidRPr="0052692F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пайдаланушының </w:t>
      </w:r>
      <w:r w:rsidRPr="0052692F">
        <w:rPr>
          <w:sz w:val="28"/>
          <w:szCs w:val="28"/>
        </w:rPr>
        <w:t>корреспондент</w:t>
      </w:r>
      <w:r>
        <w:rPr>
          <w:sz w:val="28"/>
          <w:szCs w:val="28"/>
          <w:lang w:val="kk-KZ"/>
        </w:rPr>
        <w:t xml:space="preserve">тік шотынан оның жүйедегі </w:t>
      </w:r>
      <w:r w:rsidRPr="0052692F">
        <w:rPr>
          <w:sz w:val="28"/>
          <w:szCs w:val="28"/>
        </w:rPr>
        <w:t>позици</w:t>
      </w:r>
      <w:r>
        <w:rPr>
          <w:sz w:val="28"/>
          <w:szCs w:val="28"/>
          <w:lang w:val="kk-KZ"/>
        </w:rPr>
        <w:t>ясына қосымша аударымдар жүзеге асырылады</w:t>
      </w:r>
      <w:r w:rsidRPr="0052692F">
        <w:rPr>
          <w:sz w:val="28"/>
          <w:szCs w:val="28"/>
        </w:rPr>
        <w:t>.</w:t>
      </w:r>
    </w:p>
    <w:p w:rsidR="00350C48" w:rsidRDefault="00350C48" w:rsidP="00350C48">
      <w:pPr>
        <w:tabs>
          <w:tab w:val="left" w:pos="993"/>
        </w:tabs>
        <w:ind w:firstLine="709"/>
        <w:jc w:val="right"/>
        <w:rPr>
          <w:b/>
        </w:rPr>
      </w:pPr>
    </w:p>
    <w:p w:rsidR="00350C48" w:rsidRPr="009A0443" w:rsidRDefault="00350C48" w:rsidP="00350C48">
      <w:pPr>
        <w:tabs>
          <w:tab w:val="left" w:pos="993"/>
        </w:tabs>
        <w:ind w:firstLine="709"/>
        <w:jc w:val="right"/>
        <w:rPr>
          <w:b/>
        </w:rPr>
      </w:pPr>
      <w:r>
        <w:rPr>
          <w:b/>
        </w:rPr>
        <w:t>6</w:t>
      </w:r>
      <w:r>
        <w:rPr>
          <w:b/>
          <w:lang w:val="kk-KZ"/>
        </w:rPr>
        <w:t>-сурет</w:t>
      </w:r>
      <w:r w:rsidRPr="009A0443">
        <w:rPr>
          <w:b/>
        </w:rPr>
        <w:t>.</w:t>
      </w:r>
    </w:p>
    <w:p w:rsidR="00350C48" w:rsidRDefault="00350C48" w:rsidP="00350C48">
      <w:pPr>
        <w:jc w:val="center"/>
        <w:rPr>
          <w:b/>
          <w:sz w:val="28"/>
          <w:szCs w:val="28"/>
          <w:lang w:val="kk-KZ"/>
        </w:rPr>
      </w:pPr>
    </w:p>
    <w:p w:rsidR="00350C48" w:rsidRDefault="00350C48" w:rsidP="00350C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БААЖ</w:t>
      </w:r>
      <w:r>
        <w:rPr>
          <w:b/>
          <w:sz w:val="28"/>
          <w:szCs w:val="28"/>
          <w:lang w:val="kk-KZ"/>
        </w:rPr>
        <w:t>-дегі пайдаланушылардың өтімділігінің</w:t>
      </w:r>
      <w:r w:rsidRPr="002E46C5">
        <w:rPr>
          <w:b/>
          <w:sz w:val="28"/>
          <w:szCs w:val="28"/>
        </w:rPr>
        <w:t xml:space="preserve"> </w:t>
      </w:r>
    </w:p>
    <w:p w:rsidR="00350C48" w:rsidRPr="00634B6D" w:rsidRDefault="00350C48" w:rsidP="00350C48">
      <w:pPr>
        <w:jc w:val="center"/>
        <w:rPr>
          <w:b/>
          <w:sz w:val="28"/>
          <w:szCs w:val="28"/>
          <w:lang w:val="kk-KZ"/>
        </w:rPr>
      </w:pPr>
      <w:r w:rsidRPr="00634B6D">
        <w:rPr>
          <w:b/>
          <w:sz w:val="28"/>
          <w:szCs w:val="28"/>
          <w:lang w:val="kk-KZ"/>
        </w:rPr>
        <w:t xml:space="preserve">2013 </w:t>
      </w:r>
      <w:r w:rsidRPr="002E46C5">
        <w:rPr>
          <w:b/>
          <w:sz w:val="28"/>
          <w:szCs w:val="28"/>
          <w:lang w:val="kk-KZ"/>
        </w:rPr>
        <w:t xml:space="preserve">жылғы қаңтар </w:t>
      </w:r>
      <w:r w:rsidRPr="00634B6D">
        <w:rPr>
          <w:b/>
          <w:sz w:val="28"/>
          <w:szCs w:val="28"/>
          <w:lang w:val="kk-KZ"/>
        </w:rPr>
        <w:t>–</w:t>
      </w:r>
      <w:r w:rsidRPr="002E46C5">
        <w:rPr>
          <w:b/>
          <w:sz w:val="28"/>
          <w:szCs w:val="28"/>
          <w:lang w:val="kk-KZ"/>
        </w:rPr>
        <w:t xml:space="preserve"> қарашадағы </w:t>
      </w:r>
      <w:r>
        <w:rPr>
          <w:b/>
          <w:sz w:val="28"/>
          <w:szCs w:val="28"/>
          <w:lang w:val="kk-KZ"/>
        </w:rPr>
        <w:t>көрсеткіштері</w:t>
      </w:r>
    </w:p>
    <w:p w:rsidR="00350C48" w:rsidRPr="008F76D1" w:rsidRDefault="00522A28" w:rsidP="00350C48">
      <w:pPr>
        <w:jc w:val="both"/>
        <w:rPr>
          <w:spacing w:val="-4"/>
          <w:sz w:val="28"/>
          <w:szCs w:val="28"/>
          <w:lang w:val="kk-KZ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6057900" cy="2428875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350C48" w:rsidRPr="00634B6D">
        <w:rPr>
          <w:sz w:val="28"/>
          <w:szCs w:val="28"/>
          <w:lang w:val="kk-KZ"/>
        </w:rPr>
        <w:t xml:space="preserve"> </w:t>
      </w:r>
      <w:r w:rsidR="00350C48" w:rsidRPr="00634B6D">
        <w:rPr>
          <w:spacing w:val="-4"/>
          <w:sz w:val="28"/>
          <w:szCs w:val="28"/>
          <w:lang w:val="kk-KZ"/>
        </w:rPr>
        <w:tab/>
      </w:r>
      <w:r w:rsidR="00350C48">
        <w:rPr>
          <w:spacing w:val="-4"/>
          <w:sz w:val="28"/>
          <w:szCs w:val="28"/>
          <w:lang w:val="kk-KZ"/>
        </w:rPr>
        <w:t xml:space="preserve">Жүйедегі өтімділіктің орташа күндік көлемі </w:t>
      </w:r>
      <w:r w:rsidR="00350C48" w:rsidRPr="00634B6D">
        <w:rPr>
          <w:spacing w:val="-4"/>
          <w:sz w:val="28"/>
          <w:szCs w:val="28"/>
          <w:lang w:val="kk-KZ"/>
        </w:rPr>
        <w:t>(</w:t>
      </w:r>
      <w:r w:rsidR="00350C48">
        <w:rPr>
          <w:spacing w:val="-4"/>
          <w:sz w:val="28"/>
          <w:szCs w:val="28"/>
          <w:lang w:val="kk-KZ"/>
        </w:rPr>
        <w:t>пайдаланушылардың ақша төлемі мен аударымын жүзеге асыру үшін жүйеге аударатын ақша сомасы</w:t>
      </w:r>
      <w:r w:rsidR="00350C48" w:rsidRPr="00634B6D">
        <w:rPr>
          <w:spacing w:val="-4"/>
          <w:sz w:val="28"/>
          <w:szCs w:val="28"/>
          <w:lang w:val="kk-KZ"/>
        </w:rPr>
        <w:t xml:space="preserve">) 2013 </w:t>
      </w:r>
      <w:r w:rsidR="00350C48">
        <w:rPr>
          <w:spacing w:val="-4"/>
          <w:sz w:val="28"/>
          <w:szCs w:val="28"/>
          <w:lang w:val="kk-KZ"/>
        </w:rPr>
        <w:t>жылғы қаңтар - қарашада</w:t>
      </w:r>
      <w:r w:rsidR="00350C48" w:rsidRPr="00634B6D">
        <w:rPr>
          <w:spacing w:val="-4"/>
          <w:sz w:val="28"/>
          <w:szCs w:val="28"/>
          <w:lang w:val="kk-KZ"/>
        </w:rPr>
        <w:t xml:space="preserve"> 927,1 млрд. теңге</w:t>
      </w:r>
      <w:r w:rsidR="00350C48">
        <w:rPr>
          <w:spacing w:val="-4"/>
          <w:sz w:val="28"/>
          <w:szCs w:val="28"/>
          <w:lang w:val="kk-KZ"/>
        </w:rPr>
        <w:t xml:space="preserve"> болды</w:t>
      </w:r>
      <w:r w:rsidR="00350C48" w:rsidRPr="00634B6D">
        <w:rPr>
          <w:spacing w:val="-4"/>
          <w:sz w:val="28"/>
          <w:szCs w:val="28"/>
          <w:lang w:val="kk-KZ"/>
        </w:rPr>
        <w:t xml:space="preserve">, </w:t>
      </w:r>
      <w:r w:rsidR="00350C48">
        <w:rPr>
          <w:spacing w:val="-4"/>
          <w:sz w:val="28"/>
          <w:szCs w:val="28"/>
          <w:lang w:val="kk-KZ"/>
        </w:rPr>
        <w:t xml:space="preserve">ол </w:t>
      </w:r>
      <w:r w:rsidR="00350C48" w:rsidRPr="00634B6D">
        <w:rPr>
          <w:spacing w:val="-4"/>
          <w:sz w:val="28"/>
          <w:szCs w:val="28"/>
          <w:lang w:val="kk-KZ"/>
        </w:rPr>
        <w:t xml:space="preserve"> 2012 </w:t>
      </w:r>
      <w:r w:rsidR="00350C48">
        <w:rPr>
          <w:spacing w:val="-4"/>
          <w:sz w:val="28"/>
          <w:szCs w:val="28"/>
          <w:lang w:val="kk-KZ"/>
        </w:rPr>
        <w:t xml:space="preserve">жылмен салыстырғанда </w:t>
      </w:r>
      <w:r w:rsidR="00350C48" w:rsidRPr="00634B6D">
        <w:rPr>
          <w:spacing w:val="-4"/>
          <w:sz w:val="28"/>
          <w:szCs w:val="28"/>
          <w:lang w:val="kk-KZ"/>
        </w:rPr>
        <w:t>2,5%</w:t>
      </w:r>
      <w:r w:rsidR="00350C48">
        <w:rPr>
          <w:spacing w:val="-4"/>
          <w:sz w:val="28"/>
          <w:szCs w:val="28"/>
          <w:lang w:val="kk-KZ"/>
        </w:rPr>
        <w:t>-ға</w:t>
      </w:r>
      <w:r w:rsidR="00350C48" w:rsidRPr="00634B6D">
        <w:rPr>
          <w:spacing w:val="-4"/>
          <w:sz w:val="28"/>
          <w:szCs w:val="28"/>
          <w:lang w:val="kk-KZ"/>
        </w:rPr>
        <w:t xml:space="preserve"> (22,9 млрд. теңге)</w:t>
      </w:r>
      <w:r w:rsidR="00350C48">
        <w:rPr>
          <w:spacing w:val="-4"/>
          <w:sz w:val="28"/>
          <w:szCs w:val="28"/>
          <w:lang w:val="kk-KZ"/>
        </w:rPr>
        <w:t xml:space="preserve"> ұлғайды</w:t>
      </w:r>
      <w:r w:rsidR="00350C48" w:rsidRPr="00634B6D">
        <w:rPr>
          <w:spacing w:val="-4"/>
          <w:sz w:val="28"/>
          <w:szCs w:val="28"/>
          <w:lang w:val="kk-KZ"/>
        </w:rPr>
        <w:t xml:space="preserve">. </w:t>
      </w:r>
      <w:r w:rsidR="00350C48" w:rsidRPr="008F76D1">
        <w:rPr>
          <w:spacing w:val="-4"/>
          <w:sz w:val="28"/>
          <w:szCs w:val="28"/>
          <w:lang w:val="kk-KZ"/>
        </w:rPr>
        <w:t xml:space="preserve">2004 </w:t>
      </w:r>
      <w:r w:rsidR="00350C48">
        <w:rPr>
          <w:spacing w:val="-4"/>
          <w:sz w:val="28"/>
          <w:szCs w:val="28"/>
          <w:lang w:val="kk-KZ"/>
        </w:rPr>
        <w:t xml:space="preserve">жылмен </w:t>
      </w:r>
      <w:r w:rsidR="00350C48">
        <w:rPr>
          <w:spacing w:val="-4"/>
          <w:sz w:val="28"/>
          <w:szCs w:val="28"/>
          <w:lang w:val="kk-KZ"/>
        </w:rPr>
        <w:lastRenderedPageBreak/>
        <w:t xml:space="preserve">салыстырғанда жүйедегі өтімділік </w:t>
      </w:r>
      <w:r w:rsidR="00350C48" w:rsidRPr="008F76D1">
        <w:rPr>
          <w:spacing w:val="-4"/>
          <w:sz w:val="28"/>
          <w:szCs w:val="28"/>
          <w:lang w:val="kk-KZ"/>
        </w:rPr>
        <w:t xml:space="preserve">11 </w:t>
      </w:r>
      <w:r w:rsidR="00350C48">
        <w:rPr>
          <w:spacing w:val="-4"/>
          <w:sz w:val="28"/>
          <w:szCs w:val="28"/>
          <w:lang w:val="kk-KZ"/>
        </w:rPr>
        <w:t>еседен астамға өсті</w:t>
      </w:r>
      <w:r w:rsidR="00350C48" w:rsidRPr="008F76D1">
        <w:rPr>
          <w:spacing w:val="-4"/>
          <w:sz w:val="28"/>
          <w:szCs w:val="28"/>
          <w:lang w:val="kk-KZ"/>
        </w:rPr>
        <w:t xml:space="preserve">, </w:t>
      </w:r>
      <w:r w:rsidR="00350C48">
        <w:rPr>
          <w:spacing w:val="-4"/>
          <w:sz w:val="28"/>
          <w:szCs w:val="28"/>
          <w:lang w:val="kk-KZ"/>
        </w:rPr>
        <w:t xml:space="preserve">бұл </w:t>
      </w:r>
      <w:r w:rsidR="00350C48" w:rsidRPr="008F76D1">
        <w:rPr>
          <w:spacing w:val="-4"/>
          <w:sz w:val="28"/>
          <w:szCs w:val="28"/>
          <w:lang w:val="kk-KZ"/>
        </w:rPr>
        <w:t>кредит</w:t>
      </w:r>
      <w:r w:rsidR="00350C48">
        <w:rPr>
          <w:spacing w:val="-4"/>
          <w:sz w:val="28"/>
          <w:szCs w:val="28"/>
          <w:lang w:val="kk-KZ"/>
        </w:rPr>
        <w:t>тік және өтімділік тәуекелдерінің айтарлықтай төмендеуіне ықпал етті</w:t>
      </w:r>
      <w:r w:rsidR="00350C48" w:rsidRPr="008F76D1">
        <w:rPr>
          <w:spacing w:val="-4"/>
          <w:sz w:val="28"/>
          <w:szCs w:val="28"/>
          <w:lang w:val="kk-KZ"/>
        </w:rPr>
        <w:t>.</w:t>
      </w:r>
    </w:p>
    <w:p w:rsidR="00350C48" w:rsidRPr="008F76D1" w:rsidRDefault="00350C48" w:rsidP="00350C48">
      <w:pPr>
        <w:ind w:firstLine="708"/>
        <w:jc w:val="both"/>
        <w:rPr>
          <w:spacing w:val="-4"/>
          <w:sz w:val="28"/>
          <w:szCs w:val="28"/>
          <w:lang w:val="kk-KZ"/>
        </w:rPr>
      </w:pPr>
      <w:r>
        <w:rPr>
          <w:spacing w:val="-4"/>
          <w:sz w:val="28"/>
          <w:szCs w:val="28"/>
          <w:lang w:val="kk-KZ"/>
        </w:rPr>
        <w:t>Тұтастай алғанда</w:t>
      </w:r>
      <w:r w:rsidRPr="008F76D1">
        <w:rPr>
          <w:spacing w:val="-4"/>
          <w:sz w:val="28"/>
          <w:szCs w:val="28"/>
          <w:lang w:val="kk-KZ"/>
        </w:rPr>
        <w:t xml:space="preserve"> 2013 </w:t>
      </w:r>
      <w:r>
        <w:rPr>
          <w:spacing w:val="-4"/>
          <w:sz w:val="28"/>
          <w:szCs w:val="28"/>
          <w:lang w:val="kk-KZ"/>
        </w:rPr>
        <w:t xml:space="preserve">жылғы қаңтар – қарашада </w:t>
      </w:r>
      <w:r w:rsidRPr="008F76D1">
        <w:rPr>
          <w:spacing w:val="-4"/>
          <w:sz w:val="28"/>
          <w:szCs w:val="28"/>
          <w:lang w:val="kk-KZ"/>
        </w:rPr>
        <w:t xml:space="preserve"> </w:t>
      </w:r>
      <w:r>
        <w:rPr>
          <w:spacing w:val="-4"/>
          <w:sz w:val="28"/>
          <w:szCs w:val="28"/>
          <w:lang w:val="kk-KZ"/>
        </w:rPr>
        <w:t xml:space="preserve">пайдаланушылардың </w:t>
      </w:r>
      <w:r w:rsidRPr="008F76D1">
        <w:rPr>
          <w:spacing w:val="-4"/>
          <w:sz w:val="28"/>
          <w:szCs w:val="28"/>
          <w:lang w:val="kk-KZ"/>
        </w:rPr>
        <w:t xml:space="preserve"> БААЖ</w:t>
      </w:r>
      <w:r>
        <w:rPr>
          <w:spacing w:val="-4"/>
          <w:sz w:val="28"/>
          <w:szCs w:val="28"/>
          <w:lang w:val="kk-KZ"/>
        </w:rPr>
        <w:t xml:space="preserve">-дегі өтімділігінің орташа күндік көлемі төлемдердің орташа күндік сомасынан </w:t>
      </w:r>
      <w:r w:rsidRPr="008F76D1">
        <w:rPr>
          <w:spacing w:val="-4"/>
          <w:sz w:val="28"/>
          <w:szCs w:val="28"/>
          <w:lang w:val="kk-KZ"/>
        </w:rPr>
        <w:t>135,0%</w:t>
      </w:r>
      <w:r>
        <w:rPr>
          <w:spacing w:val="-4"/>
          <w:sz w:val="28"/>
          <w:szCs w:val="28"/>
          <w:lang w:val="kk-KZ"/>
        </w:rPr>
        <w:t xml:space="preserve"> болды</w:t>
      </w:r>
      <w:r w:rsidRPr="008F76D1">
        <w:rPr>
          <w:spacing w:val="-4"/>
          <w:sz w:val="28"/>
          <w:szCs w:val="28"/>
          <w:lang w:val="kk-KZ"/>
        </w:rPr>
        <w:t xml:space="preserve">, </w:t>
      </w:r>
      <w:r>
        <w:rPr>
          <w:spacing w:val="-4"/>
          <w:sz w:val="28"/>
          <w:szCs w:val="28"/>
          <w:lang w:val="kk-KZ"/>
        </w:rPr>
        <w:t>бұл жүйені пайдаланушылардың төлемдерді жүргізу үшін барынша қамтамасыздықты сипаттайды</w:t>
      </w:r>
      <w:r w:rsidRPr="008F76D1">
        <w:rPr>
          <w:spacing w:val="-4"/>
          <w:sz w:val="28"/>
          <w:szCs w:val="28"/>
          <w:lang w:val="kk-KZ"/>
        </w:rPr>
        <w:t xml:space="preserve"> (7</w:t>
      </w:r>
      <w:r>
        <w:rPr>
          <w:spacing w:val="-4"/>
          <w:sz w:val="28"/>
          <w:szCs w:val="28"/>
          <w:lang w:val="kk-KZ"/>
        </w:rPr>
        <w:t>-сурет</w:t>
      </w:r>
      <w:r w:rsidRPr="008F76D1">
        <w:rPr>
          <w:spacing w:val="-4"/>
          <w:sz w:val="28"/>
          <w:szCs w:val="28"/>
          <w:lang w:val="kk-KZ"/>
        </w:rPr>
        <w:t>).</w:t>
      </w:r>
    </w:p>
    <w:p w:rsidR="008F76D1" w:rsidRDefault="008F76D1" w:rsidP="00350C48">
      <w:pPr>
        <w:ind w:firstLine="709"/>
        <w:jc w:val="right"/>
        <w:rPr>
          <w:b/>
          <w:lang w:val="kk-KZ"/>
        </w:rPr>
      </w:pPr>
    </w:p>
    <w:p w:rsidR="00350C48" w:rsidRPr="008F76D1" w:rsidRDefault="00350C48" w:rsidP="00350C48">
      <w:pPr>
        <w:ind w:firstLine="709"/>
        <w:jc w:val="right"/>
        <w:rPr>
          <w:b/>
          <w:lang w:val="kk-KZ"/>
        </w:rPr>
      </w:pPr>
      <w:r w:rsidRPr="008F76D1">
        <w:rPr>
          <w:b/>
          <w:lang w:val="kk-KZ"/>
        </w:rPr>
        <w:t>7</w:t>
      </w:r>
      <w:r>
        <w:rPr>
          <w:b/>
          <w:lang w:val="kk-KZ"/>
        </w:rPr>
        <w:t>-сурет</w:t>
      </w:r>
      <w:r w:rsidRPr="008F76D1">
        <w:rPr>
          <w:b/>
          <w:lang w:val="kk-KZ"/>
        </w:rPr>
        <w:t xml:space="preserve">. </w:t>
      </w:r>
    </w:p>
    <w:p w:rsidR="00350C48" w:rsidRDefault="00350C48" w:rsidP="00350C48">
      <w:pPr>
        <w:jc w:val="center"/>
        <w:rPr>
          <w:b/>
          <w:sz w:val="28"/>
          <w:szCs w:val="28"/>
          <w:lang w:val="kk-KZ"/>
        </w:rPr>
      </w:pPr>
      <w:r w:rsidRPr="008F76D1">
        <w:rPr>
          <w:b/>
          <w:sz w:val="28"/>
          <w:szCs w:val="28"/>
          <w:lang w:val="kk-KZ"/>
        </w:rPr>
        <w:t xml:space="preserve">2013 </w:t>
      </w:r>
      <w:r w:rsidRPr="002E46C5">
        <w:rPr>
          <w:b/>
          <w:sz w:val="28"/>
          <w:szCs w:val="28"/>
          <w:lang w:val="kk-KZ"/>
        </w:rPr>
        <w:t xml:space="preserve">жылғы қаңтар </w:t>
      </w:r>
      <w:r w:rsidRPr="008F76D1">
        <w:rPr>
          <w:b/>
          <w:sz w:val="28"/>
          <w:szCs w:val="28"/>
          <w:lang w:val="kk-KZ"/>
        </w:rPr>
        <w:t>–</w:t>
      </w:r>
      <w:r w:rsidRPr="002E46C5">
        <w:rPr>
          <w:b/>
          <w:sz w:val="28"/>
          <w:szCs w:val="28"/>
          <w:lang w:val="kk-KZ"/>
        </w:rPr>
        <w:t xml:space="preserve"> қарашадағы </w:t>
      </w:r>
      <w:r w:rsidRPr="008F76D1">
        <w:rPr>
          <w:b/>
          <w:sz w:val="28"/>
          <w:szCs w:val="28"/>
          <w:lang w:val="kk-KZ"/>
        </w:rPr>
        <w:t>БААЖ</w:t>
      </w:r>
      <w:r>
        <w:rPr>
          <w:b/>
          <w:sz w:val="28"/>
          <w:szCs w:val="28"/>
          <w:lang w:val="kk-KZ"/>
        </w:rPr>
        <w:t xml:space="preserve">-дегі </w:t>
      </w:r>
    </w:p>
    <w:p w:rsidR="00350C48" w:rsidRPr="008F76D1" w:rsidRDefault="00350C48" w:rsidP="00350C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пайдаланушылардың өтімділігінің өзгеру динамикасы </w:t>
      </w:r>
      <w:r w:rsidRPr="008F76D1">
        <w:rPr>
          <w:b/>
          <w:sz w:val="28"/>
          <w:szCs w:val="28"/>
          <w:lang w:val="kk-KZ"/>
        </w:rPr>
        <w:t xml:space="preserve"> </w:t>
      </w:r>
    </w:p>
    <w:p w:rsidR="00350C48" w:rsidRPr="008F76D1" w:rsidRDefault="00350C48" w:rsidP="00350C48">
      <w:pPr>
        <w:jc w:val="both"/>
        <w:rPr>
          <w:sz w:val="28"/>
          <w:szCs w:val="28"/>
          <w:lang w:val="kk-KZ"/>
        </w:rPr>
      </w:pPr>
      <w:r w:rsidRPr="0052692F">
        <w:rPr>
          <w:sz w:val="28"/>
          <w:szCs w:val="28"/>
        </w:rPr>
        <w:object w:dxaOrig="9540" w:dyaOrig="2325">
          <v:shape id="_x0000_i1034" type="#_x0000_t75" style="width:477pt;height:116.25pt" o:ole="" filled="t">
            <v:imagedata r:id="rId17" o:title=""/>
          </v:shape>
          <o:OLEObject Type="Embed" ProgID="MSGraph.Chart.8" ShapeID="_x0000_i1034" DrawAspect="Content" ObjectID="_1635254037" r:id="rId18">
            <o:FieldCodes>\s</o:FieldCodes>
          </o:OLEObject>
        </w:object>
      </w:r>
      <w:r w:rsidRPr="008F76D1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Ақша айналымдылығының орташа күндік </w:t>
      </w:r>
      <w:r w:rsidRPr="008F76D1">
        <w:rPr>
          <w:sz w:val="28"/>
          <w:szCs w:val="28"/>
          <w:lang w:val="kk-KZ"/>
        </w:rPr>
        <w:t>коэффициент</w:t>
      </w:r>
      <w:r>
        <w:rPr>
          <w:sz w:val="28"/>
          <w:szCs w:val="28"/>
          <w:lang w:val="kk-KZ"/>
        </w:rPr>
        <w:t>і</w:t>
      </w:r>
      <w:r w:rsidRPr="003F215D">
        <w:rPr>
          <w:sz w:val="28"/>
          <w:szCs w:val="28"/>
          <w:vertAlign w:val="superscript"/>
        </w:rPr>
        <w:footnoteReference w:id="3"/>
      </w:r>
      <w:r w:rsidRPr="008F76D1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АА</w:t>
      </w:r>
      <w:r w:rsidRPr="008F76D1">
        <w:rPr>
          <w:sz w:val="28"/>
          <w:szCs w:val="28"/>
          <w:lang w:val="kk-KZ"/>
        </w:rPr>
        <w:t>К)  БААЖ</w:t>
      </w:r>
      <w:r>
        <w:rPr>
          <w:sz w:val="28"/>
          <w:szCs w:val="28"/>
          <w:lang w:val="kk-KZ"/>
        </w:rPr>
        <w:t xml:space="preserve">-де </w:t>
      </w:r>
      <w:r w:rsidRPr="008F76D1">
        <w:rPr>
          <w:sz w:val="28"/>
          <w:szCs w:val="28"/>
          <w:lang w:val="kk-KZ"/>
        </w:rPr>
        <w:t>0,76</w:t>
      </w:r>
      <w:r>
        <w:rPr>
          <w:sz w:val="28"/>
          <w:szCs w:val="28"/>
          <w:lang w:val="kk-KZ"/>
        </w:rPr>
        <w:t xml:space="preserve"> б</w:t>
      </w:r>
      <w:r w:rsidRPr="008F76D1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ақша өтімділігінің </w:t>
      </w:r>
      <w:r w:rsidRPr="008F76D1">
        <w:rPr>
          <w:sz w:val="28"/>
          <w:szCs w:val="28"/>
          <w:lang w:val="kk-KZ"/>
        </w:rPr>
        <w:t>коэ</w:t>
      </w:r>
      <w:r w:rsidRPr="008F76D1">
        <w:rPr>
          <w:sz w:val="28"/>
          <w:szCs w:val="28"/>
          <w:lang w:val="kk-KZ"/>
        </w:rPr>
        <w:t>ф</w:t>
      </w:r>
      <w:r w:rsidRPr="008F76D1">
        <w:rPr>
          <w:sz w:val="28"/>
          <w:szCs w:val="28"/>
          <w:lang w:val="kk-KZ"/>
        </w:rPr>
        <w:t>фициент</w:t>
      </w:r>
      <w:r>
        <w:rPr>
          <w:sz w:val="28"/>
          <w:szCs w:val="28"/>
          <w:lang w:val="kk-KZ"/>
        </w:rPr>
        <w:t>і</w:t>
      </w:r>
      <w:r w:rsidRPr="008F76D1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АӨ</w:t>
      </w:r>
      <w:r w:rsidRPr="008F76D1">
        <w:rPr>
          <w:sz w:val="28"/>
          <w:szCs w:val="28"/>
          <w:lang w:val="kk-KZ"/>
        </w:rPr>
        <w:t xml:space="preserve">К) - 1,47, </w:t>
      </w:r>
      <w:r>
        <w:rPr>
          <w:sz w:val="28"/>
          <w:szCs w:val="28"/>
          <w:lang w:val="kk-KZ"/>
        </w:rPr>
        <w:t xml:space="preserve">бұл </w:t>
      </w:r>
      <w:r w:rsidRPr="008F76D1">
        <w:rPr>
          <w:sz w:val="28"/>
          <w:szCs w:val="28"/>
          <w:lang w:val="kk-KZ"/>
        </w:rPr>
        <w:t xml:space="preserve"> кредит</w:t>
      </w:r>
      <w:r>
        <w:rPr>
          <w:sz w:val="28"/>
          <w:szCs w:val="28"/>
          <w:lang w:val="kk-KZ"/>
        </w:rPr>
        <w:t>тік</w:t>
      </w:r>
      <w:r w:rsidRPr="008F76D1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өтімді және жүйелік тәуекелдері барынша аз мәндерге сәйкес келеді</w:t>
      </w:r>
      <w:r w:rsidRPr="008F76D1">
        <w:rPr>
          <w:sz w:val="28"/>
          <w:szCs w:val="28"/>
          <w:lang w:val="kk-KZ"/>
        </w:rPr>
        <w:t>.</w:t>
      </w:r>
    </w:p>
    <w:p w:rsidR="00350C48" w:rsidRPr="008F76D1" w:rsidRDefault="00350C48" w:rsidP="00350C48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8F76D1">
        <w:rPr>
          <w:sz w:val="28"/>
          <w:szCs w:val="28"/>
          <w:lang w:val="kk-KZ"/>
        </w:rPr>
        <w:t xml:space="preserve">2013 </w:t>
      </w:r>
      <w:r>
        <w:rPr>
          <w:sz w:val="28"/>
          <w:szCs w:val="28"/>
          <w:lang w:val="kk-KZ"/>
        </w:rPr>
        <w:t xml:space="preserve">жылғы қаңтар – қараша ішінде </w:t>
      </w:r>
      <w:r w:rsidRPr="008F76D1">
        <w:rPr>
          <w:sz w:val="28"/>
          <w:szCs w:val="28"/>
          <w:lang w:val="kk-KZ"/>
        </w:rPr>
        <w:t>БААЖ</w:t>
      </w:r>
      <w:r>
        <w:rPr>
          <w:sz w:val="28"/>
          <w:szCs w:val="28"/>
          <w:lang w:val="kk-KZ"/>
        </w:rPr>
        <w:t xml:space="preserve"> жұмыс қабілеті </w:t>
      </w:r>
      <w:r w:rsidRPr="008F76D1">
        <w:rPr>
          <w:sz w:val="28"/>
          <w:szCs w:val="28"/>
          <w:lang w:val="kk-KZ"/>
        </w:rPr>
        <w:t xml:space="preserve"> коэффициент</w:t>
      </w:r>
      <w:r>
        <w:rPr>
          <w:sz w:val="28"/>
          <w:szCs w:val="28"/>
          <w:lang w:val="kk-KZ"/>
        </w:rPr>
        <w:t xml:space="preserve">терінің мәні </w:t>
      </w:r>
      <w:r w:rsidRPr="008F76D1">
        <w:rPr>
          <w:sz w:val="28"/>
          <w:szCs w:val="28"/>
          <w:lang w:val="kk-KZ"/>
        </w:rPr>
        <w:t>99%</w:t>
      </w:r>
      <w:r>
        <w:rPr>
          <w:sz w:val="28"/>
          <w:szCs w:val="28"/>
          <w:lang w:val="kk-KZ"/>
        </w:rPr>
        <w:t xml:space="preserve"> жоғары деңгейде сақталды</w:t>
      </w:r>
      <w:r w:rsidRPr="008F76D1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бұл қойылған мақсатқа сәйкес келеді</w:t>
      </w:r>
      <w:r w:rsidRPr="008F76D1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Орташа алғанда </w:t>
      </w:r>
      <w:r w:rsidRPr="008F76D1">
        <w:rPr>
          <w:sz w:val="28"/>
          <w:szCs w:val="28"/>
          <w:lang w:val="kk-KZ"/>
        </w:rPr>
        <w:t xml:space="preserve">2013 </w:t>
      </w:r>
      <w:r>
        <w:rPr>
          <w:sz w:val="28"/>
          <w:szCs w:val="28"/>
          <w:lang w:val="kk-KZ"/>
        </w:rPr>
        <w:t xml:space="preserve">жылғы қаңтар – қарашада </w:t>
      </w:r>
      <w:r w:rsidRPr="008F76D1">
        <w:rPr>
          <w:sz w:val="28"/>
          <w:szCs w:val="28"/>
          <w:lang w:val="kk-KZ"/>
        </w:rPr>
        <w:t xml:space="preserve">БААЖ </w:t>
      </w:r>
      <w:r>
        <w:rPr>
          <w:sz w:val="28"/>
          <w:szCs w:val="28"/>
          <w:lang w:val="kk-KZ"/>
        </w:rPr>
        <w:t xml:space="preserve">жұмыс қабілеттілігінің </w:t>
      </w:r>
      <w:r w:rsidRPr="008F76D1">
        <w:rPr>
          <w:sz w:val="28"/>
          <w:szCs w:val="28"/>
          <w:lang w:val="kk-KZ"/>
        </w:rPr>
        <w:t>коэффициент</w:t>
      </w:r>
      <w:r>
        <w:rPr>
          <w:sz w:val="28"/>
          <w:szCs w:val="28"/>
          <w:lang w:val="kk-KZ"/>
        </w:rPr>
        <w:t xml:space="preserve">і </w:t>
      </w:r>
      <w:r w:rsidRPr="008F76D1">
        <w:rPr>
          <w:sz w:val="28"/>
          <w:szCs w:val="28"/>
          <w:lang w:val="kk-KZ"/>
        </w:rPr>
        <w:t xml:space="preserve"> 99,93%</w:t>
      </w:r>
      <w:r>
        <w:rPr>
          <w:sz w:val="28"/>
          <w:szCs w:val="28"/>
          <w:lang w:val="kk-KZ"/>
        </w:rPr>
        <w:t xml:space="preserve"> болды</w:t>
      </w:r>
      <w:r w:rsidRPr="008F76D1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бұл осы төлем жүйесінің жұмыс істеуінің жоғары тиімділігін сипаттайды </w:t>
      </w:r>
      <w:r w:rsidRPr="008F76D1">
        <w:rPr>
          <w:sz w:val="28"/>
          <w:szCs w:val="28"/>
          <w:lang w:val="kk-KZ"/>
        </w:rPr>
        <w:t>(8</w:t>
      </w:r>
      <w:r>
        <w:rPr>
          <w:sz w:val="28"/>
          <w:szCs w:val="28"/>
          <w:lang w:val="kk-KZ"/>
        </w:rPr>
        <w:t>-сурет</w:t>
      </w:r>
      <w:r w:rsidRPr="008F76D1">
        <w:rPr>
          <w:sz w:val="28"/>
          <w:szCs w:val="28"/>
          <w:lang w:val="kk-KZ"/>
        </w:rPr>
        <w:t xml:space="preserve">). </w:t>
      </w:r>
    </w:p>
    <w:p w:rsidR="00350C48" w:rsidRPr="008F76D1" w:rsidRDefault="00350C48" w:rsidP="00350C4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Төлем жүйесіне рұқсатсыз кіру жағдайлары анықталған жоқ</w:t>
      </w:r>
      <w:r w:rsidRPr="008F76D1">
        <w:rPr>
          <w:sz w:val="28"/>
          <w:szCs w:val="28"/>
          <w:lang w:val="kk-KZ"/>
        </w:rPr>
        <w:t>.</w:t>
      </w:r>
    </w:p>
    <w:p w:rsidR="00350C48" w:rsidRDefault="00350C48" w:rsidP="00350C48">
      <w:pPr>
        <w:ind w:firstLine="709"/>
        <w:jc w:val="right"/>
        <w:rPr>
          <w:b/>
          <w:lang w:val="kk-KZ"/>
        </w:rPr>
      </w:pPr>
      <w:r w:rsidRPr="008F76D1">
        <w:rPr>
          <w:b/>
          <w:lang w:val="kk-KZ"/>
        </w:rPr>
        <w:t xml:space="preserve"> </w:t>
      </w:r>
    </w:p>
    <w:p w:rsidR="00350C48" w:rsidRPr="008F76D1" w:rsidRDefault="00350C48" w:rsidP="00350C48">
      <w:pPr>
        <w:ind w:firstLine="709"/>
        <w:jc w:val="right"/>
        <w:rPr>
          <w:b/>
          <w:lang w:val="kk-KZ"/>
        </w:rPr>
      </w:pPr>
      <w:r w:rsidRPr="008F76D1">
        <w:rPr>
          <w:b/>
          <w:lang w:val="kk-KZ"/>
        </w:rPr>
        <w:t>8</w:t>
      </w:r>
      <w:r>
        <w:rPr>
          <w:b/>
          <w:lang w:val="kk-KZ"/>
        </w:rPr>
        <w:t>-сурет</w:t>
      </w:r>
      <w:r w:rsidRPr="008F76D1">
        <w:rPr>
          <w:b/>
          <w:lang w:val="kk-KZ"/>
        </w:rPr>
        <w:t>.</w:t>
      </w:r>
    </w:p>
    <w:p w:rsidR="00350C48" w:rsidRPr="002E46C5" w:rsidRDefault="00350C48" w:rsidP="00350C48">
      <w:pPr>
        <w:ind w:firstLine="709"/>
        <w:jc w:val="center"/>
        <w:rPr>
          <w:b/>
          <w:sz w:val="28"/>
          <w:szCs w:val="28"/>
          <w:lang w:val="kk-KZ"/>
        </w:rPr>
      </w:pPr>
      <w:r w:rsidRPr="008F76D1">
        <w:rPr>
          <w:b/>
          <w:sz w:val="28"/>
          <w:szCs w:val="28"/>
          <w:lang w:val="kk-KZ"/>
        </w:rPr>
        <w:t xml:space="preserve">2013 </w:t>
      </w:r>
      <w:r w:rsidRPr="002E46C5">
        <w:rPr>
          <w:b/>
          <w:sz w:val="28"/>
          <w:szCs w:val="28"/>
          <w:lang w:val="kk-KZ"/>
        </w:rPr>
        <w:t xml:space="preserve">жылғы қаңтар </w:t>
      </w:r>
      <w:r w:rsidRPr="008F76D1">
        <w:rPr>
          <w:b/>
          <w:sz w:val="28"/>
          <w:szCs w:val="28"/>
          <w:lang w:val="kk-KZ"/>
        </w:rPr>
        <w:t>–</w:t>
      </w:r>
      <w:r w:rsidRPr="002E46C5">
        <w:rPr>
          <w:b/>
          <w:sz w:val="28"/>
          <w:szCs w:val="28"/>
          <w:lang w:val="kk-KZ"/>
        </w:rPr>
        <w:t xml:space="preserve"> қарашадағы </w:t>
      </w:r>
      <w:r w:rsidRPr="008F76D1">
        <w:rPr>
          <w:b/>
          <w:sz w:val="28"/>
          <w:szCs w:val="28"/>
          <w:lang w:val="kk-KZ"/>
        </w:rPr>
        <w:t>БААЖ</w:t>
      </w:r>
      <w:r w:rsidRPr="002E46C5">
        <w:rPr>
          <w:b/>
          <w:sz w:val="28"/>
          <w:szCs w:val="28"/>
          <w:lang w:val="kk-KZ"/>
        </w:rPr>
        <w:t xml:space="preserve"> жұмыс қабілеті </w:t>
      </w:r>
      <w:r w:rsidRPr="008F76D1">
        <w:rPr>
          <w:b/>
          <w:sz w:val="28"/>
          <w:szCs w:val="28"/>
          <w:lang w:val="kk-KZ"/>
        </w:rPr>
        <w:t xml:space="preserve"> коэффициент</w:t>
      </w:r>
      <w:r w:rsidRPr="002E46C5">
        <w:rPr>
          <w:b/>
          <w:sz w:val="28"/>
          <w:szCs w:val="28"/>
          <w:lang w:val="kk-KZ"/>
        </w:rPr>
        <w:t>інің өзгеру динамикасы</w:t>
      </w:r>
    </w:p>
    <w:p w:rsidR="00350C48" w:rsidRPr="0052692F" w:rsidRDefault="00522A28" w:rsidP="00350C48">
      <w:pPr>
        <w:tabs>
          <w:tab w:val="left" w:pos="993"/>
        </w:tabs>
        <w:jc w:val="both"/>
        <w:rPr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6057900" cy="160020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350C48">
        <w:rPr>
          <w:sz w:val="28"/>
          <w:szCs w:val="28"/>
        </w:rPr>
        <w:tab/>
      </w:r>
      <w:r w:rsidR="00350C48" w:rsidRPr="0052692F">
        <w:rPr>
          <w:sz w:val="28"/>
          <w:szCs w:val="28"/>
        </w:rPr>
        <w:t xml:space="preserve"> </w:t>
      </w:r>
    </w:p>
    <w:p w:rsidR="00350C48" w:rsidRPr="0052692F" w:rsidRDefault="00350C48" w:rsidP="00350C4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Төлем жүйелерінің үздіксіз жұмыс істеуін қамтамасыз ету және </w:t>
      </w:r>
      <w:r w:rsidRPr="0052692F">
        <w:rPr>
          <w:sz w:val="28"/>
          <w:szCs w:val="28"/>
        </w:rPr>
        <w:t>резерв</w:t>
      </w:r>
      <w:r>
        <w:rPr>
          <w:sz w:val="28"/>
          <w:szCs w:val="28"/>
          <w:lang w:val="kk-KZ"/>
        </w:rPr>
        <w:t xml:space="preserve">тік орталықтың үнемі дайын болуын қолдау мақсатында </w:t>
      </w:r>
      <w:r w:rsidRPr="0052692F"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ҚРҰБ ҚБЕО</w:t>
      </w:r>
      <w:r w:rsidRPr="0052692F"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РМК </w:t>
      </w:r>
      <w:r w:rsidRPr="0052692F">
        <w:rPr>
          <w:sz w:val="28"/>
          <w:szCs w:val="28"/>
        </w:rPr>
        <w:t xml:space="preserve"> 2013 </w:t>
      </w:r>
      <w:r>
        <w:rPr>
          <w:sz w:val="28"/>
          <w:szCs w:val="28"/>
          <w:lang w:val="kk-KZ"/>
        </w:rPr>
        <w:t xml:space="preserve">жылғы қаңтар </w:t>
      </w:r>
      <w:r w:rsidRPr="0052692F">
        <w:rPr>
          <w:sz w:val="28"/>
          <w:szCs w:val="28"/>
        </w:rPr>
        <w:t xml:space="preserve"> –</w:t>
      </w:r>
      <w:r>
        <w:rPr>
          <w:sz w:val="28"/>
          <w:szCs w:val="28"/>
          <w:lang w:val="kk-KZ"/>
        </w:rPr>
        <w:t xml:space="preserve"> қарашаның ішінде төлем жүйелерінің жұмысын </w:t>
      </w:r>
      <w:r w:rsidRPr="0052692F">
        <w:rPr>
          <w:sz w:val="28"/>
          <w:szCs w:val="28"/>
        </w:rPr>
        <w:t>резерв</w:t>
      </w:r>
      <w:r>
        <w:rPr>
          <w:sz w:val="28"/>
          <w:szCs w:val="28"/>
          <w:lang w:val="kk-KZ"/>
        </w:rPr>
        <w:t>тік орталықтың бағдарламалық-техникалық кешеніне аударуды жүзеге асырды</w:t>
      </w:r>
      <w:r w:rsidRPr="0052692F">
        <w:rPr>
          <w:sz w:val="28"/>
          <w:szCs w:val="28"/>
        </w:rPr>
        <w:t xml:space="preserve">. </w:t>
      </w:r>
    </w:p>
    <w:p w:rsidR="00E60E94" w:rsidRDefault="00E60E94" w:rsidP="00E60E94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ОПЕРАЦИЯЛЫҚ КҮНДІ СОЗУ </w:t>
      </w:r>
    </w:p>
    <w:p w:rsidR="00E60E94" w:rsidRDefault="00E60E94" w:rsidP="00E60E94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E60E94" w:rsidRPr="00DC7B70" w:rsidRDefault="00E60E94" w:rsidP="00E60E94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2013 жылғы қаңтар-қараша кезеңі ішінде БААЖ операциялық күнін созудың жиынтық уақыты 41 сағат 48 минут болды, оның ішінде ең ұзақ созу уақыты </w:t>
      </w:r>
      <w:r w:rsidRPr="0037262E">
        <w:rPr>
          <w:sz w:val="28"/>
          <w:szCs w:val="28"/>
        </w:rPr>
        <w:t xml:space="preserve">– </w:t>
      </w:r>
      <w:r>
        <w:rPr>
          <w:sz w:val="28"/>
          <w:szCs w:val="28"/>
        </w:rPr>
        <w:t>240</w:t>
      </w:r>
      <w:r w:rsidRPr="0037262E">
        <w:rPr>
          <w:sz w:val="28"/>
          <w:szCs w:val="28"/>
        </w:rPr>
        <w:t xml:space="preserve"> мин</w:t>
      </w:r>
      <w:r>
        <w:rPr>
          <w:sz w:val="28"/>
          <w:szCs w:val="28"/>
          <w:lang w:val="kk-KZ"/>
        </w:rPr>
        <w:t xml:space="preserve">, ал ең азы – 10 мин. болды. Ұзарту кезінде жүргізілген төлемдер сомасы </w:t>
      </w:r>
      <w:r w:rsidRPr="008F76D1">
        <w:rPr>
          <w:sz w:val="28"/>
          <w:szCs w:val="28"/>
          <w:lang w:val="kk-KZ"/>
        </w:rPr>
        <w:t>52,5 млрд. те</w:t>
      </w:r>
      <w:r>
        <w:rPr>
          <w:sz w:val="28"/>
          <w:szCs w:val="28"/>
          <w:lang w:val="kk-KZ"/>
        </w:rPr>
        <w:t>ң</w:t>
      </w:r>
      <w:r w:rsidRPr="008F76D1">
        <w:rPr>
          <w:sz w:val="28"/>
          <w:szCs w:val="28"/>
          <w:lang w:val="kk-KZ"/>
        </w:rPr>
        <w:t>ге</w:t>
      </w:r>
      <w:r>
        <w:rPr>
          <w:sz w:val="28"/>
          <w:szCs w:val="28"/>
          <w:lang w:val="kk-KZ"/>
        </w:rPr>
        <w:t xml:space="preserve">, жүргізілген төлемдер саны </w:t>
      </w:r>
      <w:r w:rsidRPr="008F76D1">
        <w:rPr>
          <w:sz w:val="28"/>
          <w:szCs w:val="28"/>
          <w:lang w:val="kk-KZ"/>
        </w:rPr>
        <w:t xml:space="preserve">– 16 129 </w:t>
      </w:r>
      <w:r>
        <w:rPr>
          <w:sz w:val="28"/>
          <w:szCs w:val="28"/>
          <w:lang w:val="kk-KZ"/>
        </w:rPr>
        <w:t>мың</w:t>
      </w:r>
      <w:r w:rsidRPr="008F76D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төлем</w:t>
      </w:r>
      <w:r w:rsidRPr="001225E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болды.</w:t>
      </w:r>
    </w:p>
    <w:p w:rsidR="00E60E94" w:rsidRPr="008F76D1" w:rsidRDefault="00E60E94" w:rsidP="00E60E94">
      <w:pPr>
        <w:rPr>
          <w:sz w:val="28"/>
          <w:szCs w:val="28"/>
          <w:lang w:val="kk-KZ"/>
        </w:rPr>
      </w:pPr>
    </w:p>
    <w:p w:rsidR="00E60E94" w:rsidRPr="008F76D1" w:rsidRDefault="00CA09D5" w:rsidP="00E60E94">
      <w:pPr>
        <w:pStyle w:val="6"/>
        <w:widowControl w:val="0"/>
        <w:ind w:firstLine="709"/>
        <w:rPr>
          <w:kern w:val="16"/>
          <w:sz w:val="28"/>
          <w:szCs w:val="28"/>
          <w:lang w:val="kk-KZ"/>
        </w:rPr>
      </w:pPr>
      <w:bookmarkStart w:id="3" w:name="СМК"/>
      <w:bookmarkStart w:id="4" w:name="_Toc289769422"/>
      <w:r>
        <w:rPr>
          <w:kern w:val="16"/>
          <w:sz w:val="28"/>
          <w:szCs w:val="28"/>
          <w:lang w:val="kk-KZ"/>
        </w:rPr>
        <w:br w:type="page"/>
      </w:r>
      <w:r w:rsidR="00E60E94">
        <w:rPr>
          <w:kern w:val="16"/>
          <w:sz w:val="28"/>
          <w:szCs w:val="28"/>
          <w:lang w:val="kk-KZ"/>
        </w:rPr>
        <w:lastRenderedPageBreak/>
        <w:t>БАНКАРАЛЫҚ КЛИРИНГ ЖҮЙЕСІ</w:t>
      </w:r>
      <w:bookmarkEnd w:id="4"/>
    </w:p>
    <w:bookmarkEnd w:id="3"/>
    <w:p w:rsidR="00E60E94" w:rsidRPr="008F76D1" w:rsidRDefault="00E60E94" w:rsidP="00E60E94">
      <w:pPr>
        <w:ind w:firstLine="709"/>
        <w:rPr>
          <w:sz w:val="28"/>
          <w:szCs w:val="28"/>
          <w:lang w:val="kk-KZ"/>
        </w:rPr>
      </w:pPr>
    </w:p>
    <w:p w:rsidR="00E60E94" w:rsidRPr="005D1525" w:rsidRDefault="00E60E94" w:rsidP="00E60E94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 жүйе бойынша статистикалық деректер оның аз сомаларға бөлшек төлемдердің негізгі ағының жүргізудегі өзінің міндетін орындағанын дәлелдейді (тауарлар мен қызметтер үшін төлемдер төлемдердің жалпы көлемінің </w:t>
      </w:r>
      <w:r w:rsidRPr="008F76D1">
        <w:rPr>
          <w:sz w:val="28"/>
          <w:szCs w:val="28"/>
          <w:lang w:val="kk-KZ"/>
        </w:rPr>
        <w:t>59,3%</w:t>
      </w:r>
      <w:r>
        <w:rPr>
          <w:sz w:val="28"/>
          <w:szCs w:val="28"/>
          <w:lang w:val="kk-KZ"/>
        </w:rPr>
        <w:t xml:space="preserve"> құрады, зейнетақы төлемдері және жәрдемақылар мен ерекше аударымдар, оның ішінде, өтеусіз аударымдар – </w:t>
      </w:r>
      <w:r w:rsidRPr="008F76D1">
        <w:rPr>
          <w:sz w:val="28"/>
          <w:szCs w:val="28"/>
          <w:lang w:val="kk-KZ"/>
        </w:rPr>
        <w:t>33,1%</w:t>
      </w:r>
      <w:r>
        <w:rPr>
          <w:sz w:val="28"/>
          <w:szCs w:val="28"/>
          <w:lang w:val="kk-KZ"/>
        </w:rPr>
        <w:t xml:space="preserve"> болды</w:t>
      </w:r>
      <w:r w:rsidRPr="008F76D1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. Мәселен, 2013 жылғы қаңтар-қарашада осы жүйе арқылы барлық өтеусіз төлемдердің жалпы санының </w:t>
      </w:r>
      <w:r w:rsidRPr="008F76D1">
        <w:rPr>
          <w:sz w:val="28"/>
          <w:szCs w:val="28"/>
          <w:lang w:val="kk-KZ"/>
        </w:rPr>
        <w:t>60,7%</w:t>
      </w:r>
      <w:r>
        <w:rPr>
          <w:sz w:val="28"/>
          <w:szCs w:val="28"/>
          <w:lang w:val="kk-KZ"/>
        </w:rPr>
        <w:t xml:space="preserve"> және жалпы көлемнің </w:t>
      </w:r>
      <w:r w:rsidRPr="008F76D1">
        <w:rPr>
          <w:sz w:val="28"/>
          <w:szCs w:val="28"/>
          <w:lang w:val="kk-KZ"/>
        </w:rPr>
        <w:t>2,7%</w:t>
      </w:r>
      <w:r>
        <w:rPr>
          <w:sz w:val="28"/>
          <w:szCs w:val="28"/>
          <w:lang w:val="kk-KZ"/>
        </w:rPr>
        <w:t xml:space="preserve"> өңделді.</w:t>
      </w:r>
    </w:p>
    <w:p w:rsidR="00E60E94" w:rsidRDefault="00E60E94" w:rsidP="00E60E94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E60E94" w:rsidRPr="008F76D1" w:rsidRDefault="00E60E94" w:rsidP="00E60E94">
      <w:pPr>
        <w:tabs>
          <w:tab w:val="left" w:pos="993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Төлем мақсатының түрлері бойынша БКЖ-дағы төлемдердің көлемі</w:t>
      </w:r>
    </w:p>
    <w:tbl>
      <w:tblPr>
        <w:tblW w:w="10280" w:type="dxa"/>
        <w:tblInd w:w="-450" w:type="dxa"/>
        <w:tblLook w:val="04A0" w:firstRow="1" w:lastRow="0" w:firstColumn="1" w:lastColumn="0" w:noHBand="0" w:noVBand="1"/>
      </w:tblPr>
      <w:tblGrid>
        <w:gridCol w:w="3717"/>
        <w:gridCol w:w="993"/>
        <w:gridCol w:w="1250"/>
        <w:gridCol w:w="1200"/>
        <w:gridCol w:w="1100"/>
        <w:gridCol w:w="1200"/>
        <w:gridCol w:w="820"/>
      </w:tblGrid>
      <w:tr w:rsidR="00E60E94" w:rsidTr="00D67F45">
        <w:trPr>
          <w:trHeight w:val="255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60E94" w:rsidRDefault="00E60E94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Көрсеткіштің атауы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E60E94" w:rsidRDefault="00E60E94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2012 жылғы </w:t>
            </w:r>
            <w:r>
              <w:rPr>
                <w:b/>
                <w:bCs/>
                <w:sz w:val="20"/>
                <w:szCs w:val="20"/>
              </w:rPr>
              <w:t xml:space="preserve">11 </w:t>
            </w:r>
            <w:r>
              <w:rPr>
                <w:b/>
                <w:bCs/>
                <w:sz w:val="20"/>
                <w:szCs w:val="20"/>
                <w:lang w:val="kk-KZ"/>
              </w:rPr>
              <w:t>ай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E60E94" w:rsidRDefault="00E60E94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2013 жылғы </w:t>
            </w:r>
            <w:r>
              <w:rPr>
                <w:b/>
                <w:bCs/>
                <w:sz w:val="20"/>
                <w:szCs w:val="20"/>
              </w:rPr>
              <w:t xml:space="preserve">11 </w:t>
            </w:r>
            <w:r>
              <w:rPr>
                <w:b/>
                <w:bCs/>
                <w:sz w:val="20"/>
                <w:szCs w:val="20"/>
                <w:lang w:val="kk-KZ"/>
              </w:rPr>
              <w:t>ай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E60E94" w:rsidRDefault="00E60E94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Өзгеріс</w:t>
            </w:r>
          </w:p>
        </w:tc>
      </w:tr>
      <w:tr w:rsidR="00E60E94" w:rsidTr="00D67F45">
        <w:trPr>
          <w:trHeight w:val="765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94" w:rsidRDefault="00E60E94" w:rsidP="00D67F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60E94" w:rsidRPr="003F2671" w:rsidRDefault="00E60E94" w:rsidP="00D67F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млрд. те</w:t>
            </w:r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>ге</w:t>
            </w:r>
            <w:r>
              <w:rPr>
                <w:sz w:val="20"/>
                <w:szCs w:val="20"/>
                <w:lang w:val="kk-KZ"/>
              </w:rPr>
              <w:t>мен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kk-KZ"/>
              </w:rPr>
              <w:t xml:space="preserve">жалпы көлеміне </w:t>
            </w:r>
            <w:r>
              <w:rPr>
                <w:i/>
                <w:iCs/>
                <w:sz w:val="20"/>
                <w:szCs w:val="20"/>
              </w:rPr>
              <w:t xml:space="preserve"> %</w:t>
            </w:r>
            <w:r>
              <w:rPr>
                <w:i/>
                <w:iCs/>
                <w:sz w:val="20"/>
                <w:szCs w:val="20"/>
                <w:lang w:val="kk-KZ"/>
              </w:rPr>
              <w:t>-бен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млрд. те</w:t>
            </w:r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>ге</w:t>
            </w:r>
            <w:r>
              <w:rPr>
                <w:sz w:val="20"/>
                <w:szCs w:val="20"/>
                <w:lang w:val="kk-KZ"/>
              </w:rPr>
              <w:t>мен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kk-KZ"/>
              </w:rPr>
              <w:t xml:space="preserve">жалпы көлеміне </w:t>
            </w:r>
            <w:r>
              <w:rPr>
                <w:i/>
                <w:iCs/>
                <w:sz w:val="20"/>
                <w:szCs w:val="20"/>
              </w:rPr>
              <w:t xml:space="preserve"> %</w:t>
            </w:r>
            <w:r>
              <w:rPr>
                <w:i/>
                <w:iCs/>
                <w:sz w:val="20"/>
                <w:szCs w:val="20"/>
                <w:lang w:val="kk-KZ"/>
              </w:rPr>
              <w:t>-бен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млрд. те</w:t>
            </w:r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>ге</w:t>
            </w:r>
            <w:r>
              <w:rPr>
                <w:sz w:val="20"/>
                <w:szCs w:val="20"/>
                <w:lang w:val="kk-KZ"/>
              </w:rPr>
              <w:t>мен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%</w:t>
            </w:r>
            <w:r>
              <w:rPr>
                <w:i/>
                <w:iCs/>
                <w:sz w:val="20"/>
                <w:szCs w:val="20"/>
                <w:lang w:val="kk-KZ"/>
              </w:rPr>
              <w:t>-бен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60E94" w:rsidTr="00D67F45">
        <w:trPr>
          <w:trHeight w:val="51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60E94" w:rsidRDefault="00E60E94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Шетел валютасымен және бағалы металдармен операциялар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66,5%</w:t>
            </w:r>
          </w:p>
        </w:tc>
      </w:tr>
      <w:tr w:rsidR="00E60E94" w:rsidTr="00D67F45">
        <w:trPr>
          <w:trHeight w:val="2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60E94" w:rsidRDefault="00E60E94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</w:t>
            </w:r>
            <w:r>
              <w:rPr>
                <w:sz w:val="20"/>
                <w:szCs w:val="20"/>
                <w:lang w:val="kk-KZ"/>
              </w:rPr>
              <w:t>тер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13,0%</w:t>
            </w:r>
          </w:p>
        </w:tc>
      </w:tr>
      <w:tr w:rsidR="00E60E94" w:rsidTr="00D67F45">
        <w:trPr>
          <w:trHeight w:val="2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60E94" w:rsidRDefault="00E60E94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Қарыздар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76,5%</w:t>
            </w:r>
          </w:p>
        </w:tc>
      </w:tr>
      <w:tr w:rsidR="00E60E94" w:rsidTr="00D67F45">
        <w:trPr>
          <w:trHeight w:val="76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60E94" w:rsidRDefault="00E60E94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ҚР резидент еместері шығарған бағалы қағаздар, вексельдер мен депозиттік сертификаттар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-7,1%</w:t>
            </w:r>
          </w:p>
        </w:tc>
      </w:tr>
      <w:tr w:rsidR="00E60E94" w:rsidTr="00D67F45">
        <w:trPr>
          <w:trHeight w:val="51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60E94" w:rsidRDefault="00E60E94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ҚР резиденттері шығарған бағалы қағаздар және вексельдер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0,5%</w:t>
            </w:r>
          </w:p>
        </w:tc>
      </w:tr>
      <w:tr w:rsidR="00E60E94" w:rsidTr="00D67F45">
        <w:trPr>
          <w:trHeight w:val="2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60E94" w:rsidRDefault="00E60E94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Тауарлар және материалдық емес активтер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11,2%</w:t>
            </w:r>
          </w:p>
        </w:tc>
      </w:tr>
      <w:tr w:rsidR="00E60E94" w:rsidTr="00D67F45">
        <w:trPr>
          <w:trHeight w:val="2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60E94" w:rsidRDefault="00E60E94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Қызметтер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1 009,9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26,6%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15,4%</w:t>
            </w:r>
          </w:p>
        </w:tc>
      </w:tr>
      <w:tr w:rsidR="00E60E94" w:rsidTr="00D67F45">
        <w:trPr>
          <w:trHeight w:val="2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E60E94" w:rsidRDefault="00E60E94" w:rsidP="00D6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Басқа да төлемдер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1 293,5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Default="00E60E94" w:rsidP="00D67F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10,2%</w:t>
            </w:r>
          </w:p>
        </w:tc>
      </w:tr>
      <w:tr w:rsidR="00E60E94" w:rsidTr="00D67F45">
        <w:trPr>
          <w:trHeight w:val="27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bottom"/>
          </w:tcPr>
          <w:p w:rsidR="00E60E94" w:rsidRDefault="00E60E94" w:rsidP="00D67F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Жиынтығы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Pr="00C12A92" w:rsidRDefault="00E60E94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 w:rsidRPr="00C12A92">
              <w:rPr>
                <w:b/>
                <w:bCs/>
                <w:sz w:val="20"/>
                <w:szCs w:val="20"/>
              </w:rPr>
              <w:t>3 803,0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Pr="00C12A92" w:rsidRDefault="00E60E94" w:rsidP="00D67F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2A92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Pr="00C12A92" w:rsidRDefault="00E60E94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 w:rsidRPr="00C12A92">
              <w:rPr>
                <w:b/>
                <w:bCs/>
                <w:sz w:val="20"/>
                <w:szCs w:val="20"/>
              </w:rPr>
              <w:t>4 313,7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Pr="00C12A92" w:rsidRDefault="00E60E94" w:rsidP="00D67F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2A92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Pr="00C12A92" w:rsidRDefault="00E60E94" w:rsidP="00D67F45">
            <w:pPr>
              <w:jc w:val="center"/>
              <w:rPr>
                <w:b/>
                <w:bCs/>
                <w:sz w:val="20"/>
                <w:szCs w:val="20"/>
              </w:rPr>
            </w:pPr>
            <w:r w:rsidRPr="00C12A92">
              <w:rPr>
                <w:b/>
                <w:bCs/>
                <w:sz w:val="20"/>
                <w:szCs w:val="20"/>
              </w:rPr>
              <w:t>510,7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E94" w:rsidRPr="00C12A92" w:rsidRDefault="00E60E94" w:rsidP="00D67F4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2A92">
              <w:rPr>
                <w:b/>
                <w:bCs/>
                <w:i/>
                <w:iCs/>
                <w:sz w:val="20"/>
                <w:szCs w:val="20"/>
              </w:rPr>
              <w:t>13,4%</w:t>
            </w:r>
          </w:p>
        </w:tc>
      </w:tr>
    </w:tbl>
    <w:p w:rsidR="00E60E94" w:rsidRDefault="00E60E94" w:rsidP="00E60E94">
      <w:pPr>
        <w:tabs>
          <w:tab w:val="left" w:pos="993"/>
        </w:tabs>
        <w:jc w:val="right"/>
        <w:rPr>
          <w:rFonts w:eastAsia="MS Mincho"/>
          <w:b/>
          <w:color w:val="000000"/>
          <w:lang w:val="kk-KZ" w:eastAsia="ja-JP"/>
        </w:rPr>
      </w:pPr>
    </w:p>
    <w:p w:rsidR="00E60E94" w:rsidRPr="00B46A0A" w:rsidRDefault="00E60E94" w:rsidP="00E60E94">
      <w:pPr>
        <w:tabs>
          <w:tab w:val="left" w:pos="993"/>
        </w:tabs>
        <w:jc w:val="right"/>
        <w:rPr>
          <w:rFonts w:eastAsia="MS Mincho"/>
          <w:b/>
          <w:color w:val="000000"/>
          <w:lang w:eastAsia="ja-JP"/>
        </w:rPr>
      </w:pPr>
      <w:r>
        <w:rPr>
          <w:rFonts w:eastAsia="MS Mincho"/>
          <w:b/>
          <w:color w:val="000000"/>
          <w:lang w:eastAsia="ja-JP"/>
        </w:rPr>
        <w:t>9</w:t>
      </w:r>
      <w:r>
        <w:rPr>
          <w:rFonts w:eastAsia="MS Mincho"/>
          <w:b/>
          <w:color w:val="000000"/>
          <w:lang w:val="kk-KZ" w:eastAsia="ja-JP"/>
        </w:rPr>
        <w:t>-сурет</w:t>
      </w:r>
      <w:r w:rsidRPr="00B46A0A">
        <w:rPr>
          <w:rFonts w:eastAsia="MS Mincho"/>
          <w:b/>
          <w:color w:val="000000"/>
          <w:lang w:eastAsia="ja-JP"/>
        </w:rPr>
        <w:t>.</w:t>
      </w:r>
    </w:p>
    <w:p w:rsidR="00E60E94" w:rsidRPr="0052692F" w:rsidRDefault="00E60E94" w:rsidP="00E60E94">
      <w:pPr>
        <w:tabs>
          <w:tab w:val="left" w:pos="993"/>
        </w:tabs>
        <w:ind w:firstLine="709"/>
        <w:jc w:val="right"/>
        <w:rPr>
          <w:rFonts w:eastAsia="MS Mincho"/>
          <w:b/>
          <w:color w:val="000000"/>
          <w:sz w:val="28"/>
          <w:szCs w:val="28"/>
          <w:lang w:eastAsia="ja-JP"/>
        </w:rPr>
      </w:pPr>
    </w:p>
    <w:p w:rsidR="00E60E94" w:rsidRDefault="00E60E94" w:rsidP="00E60E94">
      <w:pPr>
        <w:tabs>
          <w:tab w:val="left" w:pos="993"/>
        </w:tabs>
        <w:ind w:firstLine="709"/>
        <w:jc w:val="center"/>
        <w:rPr>
          <w:rFonts w:eastAsia="MS Mincho"/>
          <w:b/>
          <w:color w:val="000000"/>
          <w:sz w:val="28"/>
          <w:szCs w:val="28"/>
          <w:lang w:val="kk-KZ" w:eastAsia="ja-JP"/>
        </w:rPr>
      </w:pPr>
      <w:r>
        <w:rPr>
          <w:rFonts w:eastAsia="MS Mincho"/>
          <w:b/>
          <w:color w:val="000000"/>
          <w:sz w:val="28"/>
          <w:szCs w:val="28"/>
          <w:lang w:val="kk-KZ" w:eastAsia="ja-JP"/>
        </w:rPr>
        <w:t>2004 жылдан бастап 2013 жылғы қаңтар-қарашаға дейінгі</w:t>
      </w:r>
    </w:p>
    <w:p w:rsidR="00E60E94" w:rsidRPr="008F76D1" w:rsidRDefault="00E60E94" w:rsidP="00E60E94">
      <w:pPr>
        <w:tabs>
          <w:tab w:val="left" w:pos="993"/>
        </w:tabs>
        <w:ind w:firstLine="709"/>
        <w:jc w:val="center"/>
        <w:rPr>
          <w:rFonts w:eastAsia="MS Mincho"/>
          <w:b/>
          <w:color w:val="000000"/>
          <w:sz w:val="28"/>
          <w:szCs w:val="28"/>
          <w:lang w:val="kk-KZ" w:eastAsia="ja-JP"/>
        </w:rPr>
      </w:pPr>
      <w:r>
        <w:rPr>
          <w:rFonts w:eastAsia="MS Mincho"/>
          <w:b/>
          <w:color w:val="000000"/>
          <w:sz w:val="28"/>
          <w:szCs w:val="28"/>
          <w:lang w:val="kk-KZ" w:eastAsia="ja-JP"/>
        </w:rPr>
        <w:t xml:space="preserve">Банкаралық клиринг жүйесіндегі төлемдер ағындарының динамикасы </w:t>
      </w:r>
    </w:p>
    <w:p w:rsidR="00E60E94" w:rsidRPr="0052692F" w:rsidRDefault="00522A28" w:rsidP="00E60E94">
      <w:pPr>
        <w:tabs>
          <w:tab w:val="left" w:pos="993"/>
        </w:tabs>
        <w:rPr>
          <w:snapToGrid w:val="0"/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5943600" cy="2647950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60E94" w:rsidRPr="00EA6E6F" w:rsidRDefault="00E60E94" w:rsidP="00E60E94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2013 жылғы қаңтар-қарашада Банкаралық клиринг жүйесі арқылы </w:t>
      </w:r>
      <w:r w:rsidRPr="0052692F">
        <w:rPr>
          <w:sz w:val="28"/>
          <w:szCs w:val="28"/>
        </w:rPr>
        <w:t>4 313,7 млрд. те</w:t>
      </w:r>
      <w:r>
        <w:rPr>
          <w:sz w:val="28"/>
          <w:szCs w:val="28"/>
          <w:lang w:val="kk-KZ"/>
        </w:rPr>
        <w:t>ң</w:t>
      </w:r>
      <w:r w:rsidRPr="0052692F">
        <w:rPr>
          <w:sz w:val="28"/>
          <w:szCs w:val="28"/>
        </w:rPr>
        <w:t>ге</w:t>
      </w:r>
      <w:r>
        <w:rPr>
          <w:sz w:val="28"/>
          <w:szCs w:val="28"/>
          <w:lang w:val="kk-KZ"/>
        </w:rPr>
        <w:t xml:space="preserve"> сомасына </w:t>
      </w:r>
      <w:r w:rsidRPr="0052692F">
        <w:rPr>
          <w:sz w:val="28"/>
          <w:szCs w:val="28"/>
        </w:rPr>
        <w:t>19,4 млн.</w:t>
      </w:r>
      <w:r>
        <w:rPr>
          <w:sz w:val="28"/>
          <w:szCs w:val="28"/>
          <w:lang w:val="kk-KZ"/>
        </w:rPr>
        <w:t xml:space="preserve">төлем құжаты өткізілді. 2012 жылғы осындай кезеңмен салыстырғанда клиринг жүйесінде құжаттардың саны </w:t>
      </w:r>
      <w:r w:rsidRPr="008F76D1">
        <w:rPr>
          <w:sz w:val="28"/>
          <w:szCs w:val="28"/>
          <w:lang w:val="kk-KZ"/>
        </w:rPr>
        <w:t>5,9%</w:t>
      </w:r>
      <w:r>
        <w:rPr>
          <w:sz w:val="28"/>
          <w:szCs w:val="28"/>
          <w:lang w:val="kk-KZ"/>
        </w:rPr>
        <w:t>-ға (</w:t>
      </w:r>
      <w:r w:rsidRPr="008F76D1">
        <w:rPr>
          <w:sz w:val="28"/>
          <w:szCs w:val="28"/>
          <w:lang w:val="kk-KZ"/>
        </w:rPr>
        <w:t>1,1 млн</w:t>
      </w:r>
      <w:r>
        <w:rPr>
          <w:sz w:val="28"/>
          <w:szCs w:val="28"/>
          <w:lang w:val="kk-KZ"/>
        </w:rPr>
        <w:t xml:space="preserve">. құжатқа) өсті, төлемдер сомасы </w:t>
      </w:r>
      <w:r w:rsidRPr="008F76D1">
        <w:rPr>
          <w:sz w:val="28"/>
          <w:szCs w:val="28"/>
          <w:lang w:val="kk-KZ"/>
        </w:rPr>
        <w:t>13,4%</w:t>
      </w:r>
      <w:r>
        <w:rPr>
          <w:sz w:val="28"/>
          <w:szCs w:val="28"/>
          <w:lang w:val="kk-KZ"/>
        </w:rPr>
        <w:t xml:space="preserve">-ға </w:t>
      </w:r>
      <w:r w:rsidRPr="008F76D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8F76D1">
        <w:rPr>
          <w:sz w:val="28"/>
          <w:szCs w:val="28"/>
          <w:lang w:val="kk-KZ"/>
        </w:rPr>
        <w:t>(510,7 млрд. те</w:t>
      </w:r>
      <w:r>
        <w:rPr>
          <w:sz w:val="28"/>
          <w:szCs w:val="28"/>
          <w:lang w:val="kk-KZ"/>
        </w:rPr>
        <w:t>ң</w:t>
      </w:r>
      <w:r w:rsidRPr="008F76D1">
        <w:rPr>
          <w:sz w:val="28"/>
          <w:szCs w:val="28"/>
          <w:lang w:val="kk-KZ"/>
        </w:rPr>
        <w:t>ге</w:t>
      </w:r>
      <w:r>
        <w:rPr>
          <w:sz w:val="28"/>
          <w:szCs w:val="28"/>
          <w:lang w:val="kk-KZ"/>
        </w:rPr>
        <w:t>ге</w:t>
      </w:r>
      <w:r w:rsidRPr="008F76D1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өсті (9-сурет).</w:t>
      </w:r>
    </w:p>
    <w:p w:rsidR="00E60E94" w:rsidRPr="004E4D80" w:rsidRDefault="00E60E94" w:rsidP="00E60E94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2013 жылғы қаңтар-қарашада Банкаралық клиринг жүйесінде бір төлем құжатының орташа сомасы 2012 жылғы осындай кезеңмен салыстырғанда </w:t>
      </w:r>
      <w:r w:rsidRPr="008F76D1">
        <w:rPr>
          <w:sz w:val="28"/>
          <w:szCs w:val="28"/>
          <w:lang w:val="kk-KZ"/>
        </w:rPr>
        <w:t>7,1%</w:t>
      </w:r>
      <w:r>
        <w:rPr>
          <w:sz w:val="28"/>
          <w:szCs w:val="28"/>
          <w:lang w:val="kk-KZ"/>
        </w:rPr>
        <w:t>-ға</w:t>
      </w:r>
      <w:r w:rsidRPr="008F76D1">
        <w:rPr>
          <w:sz w:val="28"/>
          <w:szCs w:val="28"/>
          <w:lang w:val="kk-KZ"/>
        </w:rPr>
        <w:t xml:space="preserve"> (14,7 </w:t>
      </w:r>
      <w:r>
        <w:rPr>
          <w:sz w:val="28"/>
          <w:szCs w:val="28"/>
          <w:lang w:val="kk-KZ"/>
        </w:rPr>
        <w:t>мың</w:t>
      </w:r>
      <w:r w:rsidRPr="008F76D1">
        <w:rPr>
          <w:sz w:val="28"/>
          <w:szCs w:val="28"/>
          <w:lang w:val="kk-KZ"/>
        </w:rPr>
        <w:t xml:space="preserve"> те</w:t>
      </w:r>
      <w:r>
        <w:rPr>
          <w:sz w:val="28"/>
          <w:szCs w:val="28"/>
          <w:lang w:val="kk-KZ"/>
        </w:rPr>
        <w:t>ң</w:t>
      </w:r>
      <w:r w:rsidRPr="008F76D1">
        <w:rPr>
          <w:sz w:val="28"/>
          <w:szCs w:val="28"/>
          <w:lang w:val="kk-KZ"/>
        </w:rPr>
        <w:t>ге</w:t>
      </w:r>
      <w:r>
        <w:rPr>
          <w:sz w:val="28"/>
          <w:szCs w:val="28"/>
          <w:lang w:val="kk-KZ"/>
        </w:rPr>
        <w:t>ге</w:t>
      </w:r>
      <w:r w:rsidRPr="008F76D1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өсіп, </w:t>
      </w:r>
      <w:r w:rsidRPr="008F76D1">
        <w:rPr>
          <w:sz w:val="28"/>
          <w:szCs w:val="28"/>
          <w:lang w:val="kk-KZ"/>
        </w:rPr>
        <w:t xml:space="preserve">222,1 </w:t>
      </w:r>
      <w:r>
        <w:rPr>
          <w:sz w:val="28"/>
          <w:szCs w:val="28"/>
          <w:lang w:val="kk-KZ"/>
        </w:rPr>
        <w:t>мың</w:t>
      </w:r>
      <w:r w:rsidRPr="008F76D1">
        <w:rPr>
          <w:sz w:val="28"/>
          <w:szCs w:val="28"/>
          <w:lang w:val="kk-KZ"/>
        </w:rPr>
        <w:t xml:space="preserve"> те</w:t>
      </w:r>
      <w:r>
        <w:rPr>
          <w:sz w:val="28"/>
          <w:szCs w:val="28"/>
          <w:lang w:val="kk-KZ"/>
        </w:rPr>
        <w:t>ң</w:t>
      </w:r>
      <w:r w:rsidRPr="008F76D1">
        <w:rPr>
          <w:sz w:val="28"/>
          <w:szCs w:val="28"/>
          <w:lang w:val="kk-KZ"/>
        </w:rPr>
        <w:t>ге</w:t>
      </w:r>
      <w:r>
        <w:rPr>
          <w:sz w:val="28"/>
          <w:szCs w:val="28"/>
          <w:lang w:val="kk-KZ"/>
        </w:rPr>
        <w:t xml:space="preserve"> болды. 2013 жылғы қаңтар-қарашада клиринг жүйесі арқылы орташа алғанда бір күнде </w:t>
      </w:r>
      <w:r w:rsidRPr="008F76D1">
        <w:rPr>
          <w:sz w:val="28"/>
          <w:szCs w:val="28"/>
          <w:lang w:val="kk-KZ"/>
        </w:rPr>
        <w:t>19,1 млрд. те</w:t>
      </w:r>
      <w:r>
        <w:rPr>
          <w:sz w:val="28"/>
          <w:szCs w:val="28"/>
          <w:lang w:val="kk-KZ"/>
        </w:rPr>
        <w:t>ң</w:t>
      </w:r>
      <w:r w:rsidRPr="008F76D1">
        <w:rPr>
          <w:sz w:val="28"/>
          <w:szCs w:val="28"/>
          <w:lang w:val="kk-KZ"/>
        </w:rPr>
        <w:t>ге</w:t>
      </w:r>
      <w:r>
        <w:rPr>
          <w:sz w:val="28"/>
          <w:szCs w:val="28"/>
          <w:lang w:val="kk-KZ"/>
        </w:rPr>
        <w:t xml:space="preserve"> сомасына </w:t>
      </w:r>
      <w:r w:rsidRPr="008F76D1">
        <w:rPr>
          <w:sz w:val="28"/>
          <w:szCs w:val="28"/>
          <w:lang w:val="kk-KZ"/>
        </w:rPr>
        <w:t xml:space="preserve">86,0 </w:t>
      </w:r>
      <w:r>
        <w:rPr>
          <w:sz w:val="28"/>
          <w:szCs w:val="28"/>
          <w:lang w:val="kk-KZ"/>
        </w:rPr>
        <w:t xml:space="preserve">мың құжат өткізілді, бұл 2012 жылғы осындай кезеңдегі деңгейден төлемдер саны бойынша </w:t>
      </w:r>
      <w:r w:rsidRPr="008F76D1">
        <w:rPr>
          <w:sz w:val="28"/>
          <w:szCs w:val="28"/>
          <w:lang w:val="kk-KZ"/>
        </w:rPr>
        <w:t>7,3%</w:t>
      </w:r>
      <w:r>
        <w:rPr>
          <w:sz w:val="28"/>
          <w:szCs w:val="28"/>
          <w:lang w:val="kk-KZ"/>
        </w:rPr>
        <w:t>-ға</w:t>
      </w:r>
      <w:r w:rsidRPr="008F76D1">
        <w:rPr>
          <w:sz w:val="28"/>
          <w:szCs w:val="28"/>
          <w:lang w:val="kk-KZ"/>
        </w:rPr>
        <w:t xml:space="preserve"> (5,9 </w:t>
      </w:r>
      <w:r>
        <w:rPr>
          <w:sz w:val="28"/>
          <w:szCs w:val="28"/>
          <w:lang w:val="kk-KZ"/>
        </w:rPr>
        <w:t>мың</w:t>
      </w:r>
      <w:r w:rsidRPr="008F76D1">
        <w:rPr>
          <w:sz w:val="28"/>
          <w:szCs w:val="28"/>
          <w:lang w:val="kk-KZ"/>
        </w:rPr>
        <w:t xml:space="preserve"> транзакци</w:t>
      </w:r>
      <w:r>
        <w:rPr>
          <w:sz w:val="28"/>
          <w:szCs w:val="28"/>
          <w:lang w:val="kk-KZ"/>
        </w:rPr>
        <w:t xml:space="preserve">я) және төлемдер сомасы бойынша </w:t>
      </w:r>
      <w:r w:rsidRPr="008F76D1">
        <w:rPr>
          <w:sz w:val="28"/>
          <w:szCs w:val="28"/>
          <w:lang w:val="kk-KZ"/>
        </w:rPr>
        <w:t>14,9%</w:t>
      </w:r>
      <w:r>
        <w:rPr>
          <w:sz w:val="28"/>
          <w:szCs w:val="28"/>
          <w:lang w:val="kk-KZ"/>
        </w:rPr>
        <w:t>-ға</w:t>
      </w:r>
      <w:r w:rsidRPr="008F76D1">
        <w:rPr>
          <w:sz w:val="28"/>
          <w:szCs w:val="28"/>
          <w:lang w:val="kk-KZ"/>
        </w:rPr>
        <w:t xml:space="preserve"> (2,5 млрд. те</w:t>
      </w:r>
      <w:r>
        <w:rPr>
          <w:sz w:val="28"/>
          <w:szCs w:val="28"/>
          <w:lang w:val="kk-KZ"/>
        </w:rPr>
        <w:t>ң</w:t>
      </w:r>
      <w:r w:rsidRPr="008F76D1">
        <w:rPr>
          <w:sz w:val="28"/>
          <w:szCs w:val="28"/>
          <w:lang w:val="kk-KZ"/>
        </w:rPr>
        <w:t>ге</w:t>
      </w:r>
      <w:r>
        <w:rPr>
          <w:sz w:val="28"/>
          <w:szCs w:val="28"/>
          <w:lang w:val="kk-KZ"/>
        </w:rPr>
        <w:t>ге</w:t>
      </w:r>
      <w:r w:rsidRPr="008F76D1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жоғары</w:t>
      </w:r>
      <w:r w:rsidRPr="008F76D1">
        <w:rPr>
          <w:sz w:val="28"/>
          <w:szCs w:val="28"/>
          <w:lang w:val="kk-KZ"/>
        </w:rPr>
        <w:t>.</w:t>
      </w:r>
    </w:p>
    <w:p w:rsidR="00E60E94" w:rsidRPr="00030FDF" w:rsidRDefault="00E60E94" w:rsidP="00E60E94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Сомалар аралығы бойынша төлемдердің ең көп саны 2013 жылғы қаңтар – қараша айларында </w:t>
      </w:r>
      <w:r w:rsidRPr="008F76D1">
        <w:rPr>
          <w:sz w:val="28"/>
          <w:szCs w:val="28"/>
          <w:lang w:val="kk-KZ"/>
        </w:rPr>
        <w:t xml:space="preserve">10 </w:t>
      </w:r>
      <w:r w:rsidRPr="00C27474">
        <w:rPr>
          <w:sz w:val="28"/>
          <w:szCs w:val="28"/>
          <w:lang w:val="kk-KZ"/>
        </w:rPr>
        <w:t>мың</w:t>
      </w:r>
      <w:r w:rsidRPr="008F76D1">
        <w:rPr>
          <w:sz w:val="28"/>
          <w:szCs w:val="28"/>
          <w:lang w:val="kk-KZ"/>
        </w:rPr>
        <w:t xml:space="preserve"> те</w:t>
      </w:r>
      <w:r w:rsidRPr="00C27474">
        <w:rPr>
          <w:sz w:val="28"/>
          <w:szCs w:val="28"/>
          <w:lang w:val="kk-KZ"/>
        </w:rPr>
        <w:t>ң</w:t>
      </w:r>
      <w:r w:rsidRPr="008F76D1">
        <w:rPr>
          <w:sz w:val="28"/>
          <w:szCs w:val="28"/>
          <w:lang w:val="kk-KZ"/>
        </w:rPr>
        <w:t xml:space="preserve">ге </w:t>
      </w:r>
      <w:r>
        <w:rPr>
          <w:sz w:val="28"/>
          <w:szCs w:val="28"/>
          <w:lang w:val="kk-KZ"/>
        </w:rPr>
        <w:t xml:space="preserve">дейінгі </w:t>
      </w:r>
      <w:r w:rsidRPr="008F76D1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 xml:space="preserve">төлемдердің жалпы санының </w:t>
      </w:r>
      <w:r w:rsidRPr="008F76D1">
        <w:rPr>
          <w:sz w:val="28"/>
          <w:szCs w:val="28"/>
          <w:lang w:val="kk-KZ"/>
        </w:rPr>
        <w:t>52,5%)</w:t>
      </w:r>
      <w:r>
        <w:rPr>
          <w:sz w:val="28"/>
          <w:szCs w:val="28"/>
          <w:lang w:val="kk-KZ"/>
        </w:rPr>
        <w:t xml:space="preserve"> аралықта қалыптасты, ал ең аз саны – </w:t>
      </w:r>
      <w:r w:rsidRPr="008F76D1">
        <w:rPr>
          <w:sz w:val="28"/>
          <w:szCs w:val="28"/>
          <w:lang w:val="kk-KZ"/>
        </w:rPr>
        <w:t xml:space="preserve">500 </w:t>
      </w:r>
      <w:r>
        <w:rPr>
          <w:sz w:val="28"/>
          <w:szCs w:val="28"/>
          <w:lang w:val="kk-KZ"/>
        </w:rPr>
        <w:t>мың</w:t>
      </w:r>
      <w:r w:rsidRPr="008F76D1">
        <w:rPr>
          <w:sz w:val="28"/>
          <w:szCs w:val="28"/>
          <w:lang w:val="kk-KZ"/>
        </w:rPr>
        <w:t xml:space="preserve"> те</w:t>
      </w:r>
      <w:r>
        <w:rPr>
          <w:sz w:val="28"/>
          <w:szCs w:val="28"/>
          <w:lang w:val="kk-KZ"/>
        </w:rPr>
        <w:t>ң</w:t>
      </w:r>
      <w:r w:rsidRPr="008F76D1">
        <w:rPr>
          <w:sz w:val="28"/>
          <w:szCs w:val="28"/>
          <w:lang w:val="kk-KZ"/>
        </w:rPr>
        <w:t>ге</w:t>
      </w:r>
      <w:r>
        <w:rPr>
          <w:sz w:val="28"/>
          <w:szCs w:val="28"/>
          <w:lang w:val="kk-KZ"/>
        </w:rPr>
        <w:t>ден</w:t>
      </w:r>
      <w:r w:rsidRPr="008F76D1">
        <w:rPr>
          <w:sz w:val="28"/>
          <w:szCs w:val="28"/>
          <w:lang w:val="kk-KZ"/>
        </w:rPr>
        <w:t xml:space="preserve"> 1 млн. те</w:t>
      </w:r>
      <w:r>
        <w:rPr>
          <w:sz w:val="28"/>
          <w:szCs w:val="28"/>
          <w:lang w:val="kk-KZ"/>
        </w:rPr>
        <w:t>ң</w:t>
      </w:r>
      <w:r w:rsidRPr="008F76D1">
        <w:rPr>
          <w:sz w:val="28"/>
          <w:szCs w:val="28"/>
          <w:lang w:val="kk-KZ"/>
        </w:rPr>
        <w:t>ге</w:t>
      </w:r>
      <w:r>
        <w:rPr>
          <w:sz w:val="28"/>
          <w:szCs w:val="28"/>
          <w:lang w:val="kk-KZ"/>
        </w:rPr>
        <w:t>ге дейінгі</w:t>
      </w:r>
      <w:r w:rsidRPr="008F76D1">
        <w:rPr>
          <w:sz w:val="28"/>
          <w:szCs w:val="28"/>
          <w:lang w:val="kk-KZ"/>
        </w:rPr>
        <w:t xml:space="preserve"> (2,5%)</w:t>
      </w:r>
      <w:r>
        <w:rPr>
          <w:sz w:val="28"/>
          <w:szCs w:val="28"/>
          <w:lang w:val="kk-KZ"/>
        </w:rPr>
        <w:t xml:space="preserve"> аралықта қалыптасты. Сомалар аралығы бойынша төлемдердің ең көп сомасы 2013 жылғы қаңтар</w:t>
      </w:r>
      <w:r w:rsidRPr="00842F7E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 xml:space="preserve">қарашада </w:t>
      </w:r>
      <w:r w:rsidRPr="00842F7E">
        <w:rPr>
          <w:sz w:val="28"/>
          <w:szCs w:val="28"/>
          <w:lang w:val="kk-KZ"/>
        </w:rPr>
        <w:t>1 млн. те</w:t>
      </w:r>
      <w:r>
        <w:rPr>
          <w:sz w:val="28"/>
          <w:szCs w:val="28"/>
          <w:lang w:val="kk-KZ"/>
        </w:rPr>
        <w:t>ң</w:t>
      </w:r>
      <w:r w:rsidRPr="00842F7E">
        <w:rPr>
          <w:sz w:val="28"/>
          <w:szCs w:val="28"/>
          <w:lang w:val="kk-KZ"/>
        </w:rPr>
        <w:t>ге</w:t>
      </w:r>
      <w:r>
        <w:rPr>
          <w:sz w:val="28"/>
          <w:szCs w:val="28"/>
          <w:lang w:val="kk-KZ"/>
        </w:rPr>
        <w:t>ден</w:t>
      </w:r>
      <w:r w:rsidRPr="00842F7E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 xml:space="preserve">төлемдердің жалпы көлемінің </w:t>
      </w:r>
      <w:r w:rsidRPr="00842F7E">
        <w:rPr>
          <w:sz w:val="28"/>
          <w:szCs w:val="28"/>
          <w:lang w:val="kk-KZ"/>
        </w:rPr>
        <w:t>75,9%)</w:t>
      </w:r>
      <w:r>
        <w:rPr>
          <w:sz w:val="28"/>
          <w:szCs w:val="28"/>
          <w:lang w:val="kk-KZ"/>
        </w:rPr>
        <w:t xml:space="preserve"> астам аралықта</w:t>
      </w:r>
      <w:r w:rsidRPr="00842F7E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ал ең азы – </w:t>
      </w:r>
      <w:r w:rsidRPr="00030FDF">
        <w:rPr>
          <w:sz w:val="28"/>
          <w:szCs w:val="28"/>
          <w:lang w:val="kk-KZ"/>
        </w:rPr>
        <w:t xml:space="preserve">10 </w:t>
      </w:r>
      <w:r>
        <w:rPr>
          <w:sz w:val="28"/>
          <w:szCs w:val="28"/>
          <w:lang w:val="kk-KZ"/>
        </w:rPr>
        <w:t>мың теңгеге дейінгі</w:t>
      </w:r>
      <w:r w:rsidRPr="00030F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аралықта </w:t>
      </w:r>
      <w:r w:rsidRPr="00030FDF">
        <w:rPr>
          <w:sz w:val="28"/>
          <w:szCs w:val="28"/>
          <w:lang w:val="kk-KZ"/>
        </w:rPr>
        <w:t xml:space="preserve">(0,8%) </w:t>
      </w:r>
      <w:r>
        <w:rPr>
          <w:sz w:val="28"/>
          <w:szCs w:val="28"/>
          <w:lang w:val="kk-KZ"/>
        </w:rPr>
        <w:t>қалыптасты</w:t>
      </w:r>
      <w:r w:rsidRPr="00030FDF">
        <w:rPr>
          <w:sz w:val="28"/>
          <w:szCs w:val="28"/>
          <w:lang w:val="kk-KZ"/>
        </w:rPr>
        <w:t xml:space="preserve"> (10</w:t>
      </w:r>
      <w:r>
        <w:rPr>
          <w:sz w:val="28"/>
          <w:szCs w:val="28"/>
          <w:lang w:val="kk-KZ"/>
        </w:rPr>
        <w:t>-сурет</w:t>
      </w:r>
      <w:r w:rsidRPr="00030FDF">
        <w:rPr>
          <w:sz w:val="28"/>
          <w:szCs w:val="28"/>
          <w:lang w:val="kk-KZ"/>
        </w:rPr>
        <w:t xml:space="preserve">). </w:t>
      </w:r>
    </w:p>
    <w:p w:rsidR="00E60E94" w:rsidRPr="00842F7E" w:rsidRDefault="00E60E94" w:rsidP="00E60E94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E60E94" w:rsidRPr="00566DDF" w:rsidRDefault="00E60E94" w:rsidP="00E60E94">
      <w:pPr>
        <w:autoSpaceDE w:val="0"/>
        <w:autoSpaceDN w:val="0"/>
        <w:adjustRightInd w:val="0"/>
        <w:ind w:firstLine="709"/>
        <w:jc w:val="right"/>
        <w:rPr>
          <w:rFonts w:eastAsia="MS Mincho"/>
          <w:b/>
          <w:color w:val="000000"/>
          <w:lang w:eastAsia="ja-JP"/>
        </w:rPr>
      </w:pPr>
      <w:r w:rsidRPr="00566DDF">
        <w:rPr>
          <w:rFonts w:eastAsia="MS Mincho"/>
          <w:b/>
          <w:color w:val="000000"/>
          <w:lang w:eastAsia="ja-JP"/>
        </w:rPr>
        <w:t>1</w:t>
      </w:r>
      <w:r>
        <w:rPr>
          <w:rFonts w:eastAsia="MS Mincho"/>
          <w:b/>
          <w:color w:val="000000"/>
          <w:lang w:eastAsia="ja-JP"/>
        </w:rPr>
        <w:t>0</w:t>
      </w:r>
      <w:r>
        <w:rPr>
          <w:rFonts w:eastAsia="MS Mincho"/>
          <w:b/>
          <w:color w:val="000000"/>
          <w:lang w:val="kk-KZ" w:eastAsia="ja-JP"/>
        </w:rPr>
        <w:t>-сурет</w:t>
      </w:r>
      <w:r w:rsidRPr="00566DDF">
        <w:rPr>
          <w:rFonts w:eastAsia="MS Mincho"/>
          <w:b/>
          <w:color w:val="000000"/>
          <w:lang w:eastAsia="ja-JP"/>
        </w:rPr>
        <w:t>.</w:t>
      </w:r>
    </w:p>
    <w:p w:rsidR="00E60E94" w:rsidRPr="0052692F" w:rsidRDefault="00522A28" w:rsidP="00E60E94">
      <w:pPr>
        <w:pStyle w:val="a7"/>
        <w:ind w:right="-108"/>
        <w:jc w:val="left"/>
        <w:rPr>
          <w:b/>
          <w:kern w:val="16"/>
          <w:sz w:val="28"/>
          <w:szCs w:val="28"/>
          <w:u w:val="single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2857500" cy="1790700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E60E94" w:rsidRPr="0052692F">
        <w:rPr>
          <w:sz w:val="28"/>
          <w:szCs w:val="28"/>
        </w:rPr>
        <w:t xml:space="preserve"> </w:t>
      </w:r>
      <w:r w:rsidRPr="0052692F">
        <w:rPr>
          <w:noProof/>
          <w:sz w:val="28"/>
          <w:szCs w:val="28"/>
        </w:rPr>
        <w:drawing>
          <wp:inline distT="0" distB="0" distL="0" distR="0">
            <wp:extent cx="2857500" cy="1781175"/>
            <wp:effectExtent l="0" t="0" r="0" b="0"/>
            <wp:docPr id="14" name="Объект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60E94" w:rsidRPr="0052692F" w:rsidRDefault="00E60E94" w:rsidP="00E60E94">
      <w:pPr>
        <w:pStyle w:val="a7"/>
        <w:ind w:right="-108" w:firstLine="709"/>
        <w:jc w:val="left"/>
        <w:rPr>
          <w:b/>
          <w:kern w:val="16"/>
          <w:sz w:val="28"/>
          <w:szCs w:val="28"/>
          <w:u w:val="single"/>
        </w:rPr>
      </w:pPr>
    </w:p>
    <w:p w:rsidR="00E60E94" w:rsidRPr="0052692F" w:rsidRDefault="00E60E94" w:rsidP="00E60E94">
      <w:pPr>
        <w:pStyle w:val="a7"/>
        <w:ind w:right="-108" w:firstLine="709"/>
        <w:jc w:val="left"/>
        <w:rPr>
          <w:b/>
          <w:kern w:val="16"/>
          <w:sz w:val="28"/>
          <w:szCs w:val="28"/>
          <w:u w:val="single"/>
        </w:rPr>
      </w:pPr>
      <w:r>
        <w:rPr>
          <w:b/>
          <w:kern w:val="16"/>
          <w:sz w:val="28"/>
          <w:szCs w:val="28"/>
          <w:u w:val="single"/>
          <w:lang w:val="kk-KZ"/>
        </w:rPr>
        <w:t xml:space="preserve">Басқару тәуекелдері мен әдістері </w:t>
      </w:r>
    </w:p>
    <w:p w:rsidR="00E60E94" w:rsidRPr="0052692F" w:rsidRDefault="00E60E94" w:rsidP="00E60E94">
      <w:pPr>
        <w:pStyle w:val="a7"/>
        <w:ind w:right="-108" w:firstLine="709"/>
        <w:jc w:val="left"/>
        <w:rPr>
          <w:b/>
          <w:kern w:val="16"/>
          <w:sz w:val="28"/>
          <w:szCs w:val="28"/>
          <w:u w:val="single"/>
        </w:rPr>
      </w:pPr>
    </w:p>
    <w:p w:rsidR="00E60E94" w:rsidRPr="005B6EB6" w:rsidRDefault="00E60E94" w:rsidP="00E60E94">
      <w:pPr>
        <w:pStyle w:val="a7"/>
        <w:ind w:right="-108" w:firstLine="709"/>
        <w:rPr>
          <w:kern w:val="16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Өтімділік тәуекелін және жүйелі тәуекелді басқару мақсатында Банкаралық клиринг жүйесінде ААК (БКЖ ақша айналымының коэффициенті) есебі пайдаланылады, ол жүйеде ақшаның қарсы келген ағымы есебінен төлемдер қанша рет жүргізілгенін, сондай-ақ пайдаланушылардың таза позициясы сомасының талдамасын көрсетеді. Мәселен, 2013 жылғы қаңтар-қарашада орташа күндік ААК </w:t>
      </w:r>
      <w:r w:rsidRPr="00F214CC">
        <w:rPr>
          <w:kern w:val="16"/>
          <w:sz w:val="28"/>
          <w:szCs w:val="28"/>
          <w:lang w:val="kk-KZ"/>
        </w:rPr>
        <w:t>4,73</w:t>
      </w:r>
      <w:r>
        <w:rPr>
          <w:kern w:val="16"/>
          <w:sz w:val="28"/>
          <w:szCs w:val="28"/>
          <w:lang w:val="kk-KZ"/>
        </w:rPr>
        <w:t xml:space="preserve"> құрады</w:t>
      </w:r>
      <w:r w:rsidRPr="00F214CC">
        <w:rPr>
          <w:kern w:val="16"/>
          <w:sz w:val="28"/>
          <w:szCs w:val="28"/>
          <w:lang w:val="kk-KZ"/>
        </w:rPr>
        <w:t>,</w:t>
      </w:r>
      <w:r>
        <w:rPr>
          <w:kern w:val="16"/>
          <w:sz w:val="28"/>
          <w:szCs w:val="28"/>
          <w:lang w:val="kk-KZ"/>
        </w:rPr>
        <w:t xml:space="preserve"> ал 2012 жылғы осындай ұқсас кезеңде осы көрсеткіш </w:t>
      </w:r>
      <w:r w:rsidRPr="00F214CC">
        <w:rPr>
          <w:kern w:val="16"/>
          <w:sz w:val="28"/>
          <w:szCs w:val="28"/>
          <w:lang w:val="kk-KZ"/>
        </w:rPr>
        <w:t>4,89</w:t>
      </w:r>
      <w:r>
        <w:rPr>
          <w:kern w:val="16"/>
          <w:sz w:val="28"/>
          <w:szCs w:val="28"/>
          <w:lang w:val="kk-KZ"/>
        </w:rPr>
        <w:t xml:space="preserve"> болды. Бұл ретте пайдаланушылардың клиринг нәтижесі бойынша таза позициясының орташа күндік сомасы 2012 жылғы ұқсас кезеңмен салыстырғанда </w:t>
      </w:r>
      <w:r w:rsidRPr="009D2AF1">
        <w:rPr>
          <w:kern w:val="16"/>
          <w:sz w:val="28"/>
          <w:szCs w:val="28"/>
          <w:lang w:val="kk-KZ"/>
        </w:rPr>
        <w:t>16,2</w:t>
      </w:r>
      <w:r>
        <w:rPr>
          <w:kern w:val="16"/>
          <w:sz w:val="28"/>
          <w:szCs w:val="28"/>
          <w:lang w:val="kk-KZ"/>
        </w:rPr>
        <w:t>-ға ұлғайып, 4,2 млрд. тең</w:t>
      </w:r>
      <w:r w:rsidRPr="009D2AF1">
        <w:rPr>
          <w:kern w:val="16"/>
          <w:sz w:val="28"/>
          <w:szCs w:val="28"/>
          <w:lang w:val="kk-KZ"/>
        </w:rPr>
        <w:t>ге</w:t>
      </w:r>
      <w:r>
        <w:rPr>
          <w:kern w:val="16"/>
          <w:sz w:val="28"/>
          <w:szCs w:val="28"/>
          <w:lang w:val="kk-KZ"/>
        </w:rPr>
        <w:t xml:space="preserve">ні құрады. Пайдаланушылардың клирингтегі таза </w:t>
      </w:r>
      <w:r>
        <w:rPr>
          <w:kern w:val="16"/>
          <w:sz w:val="28"/>
          <w:szCs w:val="28"/>
          <w:lang w:val="kk-KZ"/>
        </w:rPr>
        <w:lastRenderedPageBreak/>
        <w:t>позициясы сомасының үлесі пайдаланушылардың БААЖ-дағы</w:t>
      </w:r>
      <w:r w:rsidRPr="0052692F">
        <w:rPr>
          <w:kern w:val="16"/>
          <w:sz w:val="28"/>
          <w:szCs w:val="28"/>
          <w:vertAlign w:val="superscript"/>
        </w:rPr>
        <w:footnoteReference w:id="4"/>
      </w:r>
      <w:r>
        <w:rPr>
          <w:kern w:val="16"/>
          <w:sz w:val="28"/>
          <w:szCs w:val="28"/>
          <w:lang w:val="kk-KZ"/>
        </w:rPr>
        <w:t xml:space="preserve"> орташа күндік айналымдары сомасының арақатынасы бойынша аздаған болып табылады - </w:t>
      </w:r>
      <w:r w:rsidRPr="005B6EB6">
        <w:rPr>
          <w:kern w:val="16"/>
          <w:sz w:val="28"/>
          <w:szCs w:val="28"/>
          <w:lang w:val="kk-KZ"/>
        </w:rPr>
        <w:t>0,7%,</w:t>
      </w:r>
      <w:r>
        <w:rPr>
          <w:kern w:val="16"/>
          <w:sz w:val="28"/>
          <w:szCs w:val="28"/>
          <w:lang w:val="kk-KZ"/>
        </w:rPr>
        <w:t xml:space="preserve"> бұл таза позицияларды БААЖ арқылы есептеу кезінде өтімділік тәуекелі төмендеуіне ықпал етеді </w:t>
      </w:r>
      <w:r w:rsidRPr="005B6EB6">
        <w:rPr>
          <w:kern w:val="16"/>
          <w:sz w:val="28"/>
          <w:szCs w:val="28"/>
          <w:lang w:val="kk-KZ"/>
        </w:rPr>
        <w:t>(11</w:t>
      </w:r>
      <w:r>
        <w:rPr>
          <w:kern w:val="16"/>
          <w:sz w:val="28"/>
          <w:szCs w:val="28"/>
          <w:lang w:val="kk-KZ"/>
        </w:rPr>
        <w:t>-сүрет</w:t>
      </w:r>
      <w:r w:rsidRPr="005B6EB6">
        <w:rPr>
          <w:kern w:val="16"/>
          <w:sz w:val="28"/>
          <w:szCs w:val="28"/>
          <w:lang w:val="kk-KZ"/>
        </w:rPr>
        <w:t>).</w:t>
      </w:r>
    </w:p>
    <w:p w:rsidR="008F76D1" w:rsidRDefault="008F76D1" w:rsidP="00E60E94">
      <w:pPr>
        <w:pStyle w:val="a7"/>
        <w:ind w:firstLine="709"/>
        <w:jc w:val="right"/>
        <w:rPr>
          <w:b/>
          <w:kern w:val="16"/>
          <w:sz w:val="24"/>
          <w:szCs w:val="24"/>
          <w:lang w:val="kk-KZ"/>
        </w:rPr>
      </w:pPr>
    </w:p>
    <w:p w:rsidR="00E60E94" w:rsidRPr="008F76D1" w:rsidRDefault="00E60E94" w:rsidP="00E60E94">
      <w:pPr>
        <w:pStyle w:val="a7"/>
        <w:ind w:firstLine="709"/>
        <w:jc w:val="right"/>
        <w:rPr>
          <w:b/>
          <w:kern w:val="16"/>
          <w:sz w:val="24"/>
          <w:szCs w:val="24"/>
          <w:lang w:val="kk-KZ"/>
        </w:rPr>
      </w:pPr>
      <w:r w:rsidRPr="008F76D1">
        <w:rPr>
          <w:b/>
          <w:kern w:val="16"/>
          <w:sz w:val="24"/>
          <w:szCs w:val="24"/>
          <w:lang w:val="kk-KZ"/>
        </w:rPr>
        <w:t>11</w:t>
      </w:r>
      <w:r>
        <w:rPr>
          <w:b/>
          <w:kern w:val="16"/>
          <w:sz w:val="24"/>
          <w:szCs w:val="24"/>
          <w:lang w:val="kk-KZ"/>
        </w:rPr>
        <w:t>-сурет</w:t>
      </w:r>
      <w:r w:rsidRPr="008F76D1">
        <w:rPr>
          <w:b/>
          <w:kern w:val="16"/>
          <w:sz w:val="24"/>
          <w:szCs w:val="24"/>
          <w:lang w:val="kk-KZ"/>
        </w:rPr>
        <w:t>.</w:t>
      </w:r>
    </w:p>
    <w:p w:rsidR="00E60E94" w:rsidRDefault="00E60E94" w:rsidP="00E60E94">
      <w:pPr>
        <w:pStyle w:val="a7"/>
        <w:ind w:firstLine="709"/>
        <w:jc w:val="center"/>
        <w:rPr>
          <w:b/>
          <w:kern w:val="16"/>
          <w:sz w:val="28"/>
          <w:szCs w:val="28"/>
          <w:lang w:val="kk-KZ"/>
        </w:rPr>
      </w:pPr>
      <w:r>
        <w:rPr>
          <w:b/>
          <w:kern w:val="16"/>
          <w:sz w:val="28"/>
          <w:szCs w:val="28"/>
          <w:lang w:val="kk-KZ"/>
        </w:rPr>
        <w:t>Банкаралық клиринг жүйесіндегі өтімділік пен айналымның көрсеткіштері</w:t>
      </w:r>
    </w:p>
    <w:p w:rsidR="00E60E94" w:rsidRPr="0052692F" w:rsidRDefault="00522A28" w:rsidP="00E60E94">
      <w:pPr>
        <w:pStyle w:val="a7"/>
        <w:rPr>
          <w:kern w:val="16"/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6115050" cy="1981200"/>
            <wp:effectExtent l="0" t="0" r="0" b="0"/>
            <wp:docPr id="15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60E94" w:rsidRPr="00FD768E" w:rsidRDefault="00E60E94" w:rsidP="00E60E9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Банкаралық клиринг жүйесінің жұмыс мүмкіндігінің орташа жылдық </w:t>
      </w:r>
      <w:r w:rsidRPr="0052692F">
        <w:rPr>
          <w:sz w:val="28"/>
          <w:szCs w:val="28"/>
        </w:rPr>
        <w:t>коэффициент</w:t>
      </w:r>
      <w:r>
        <w:rPr>
          <w:sz w:val="28"/>
          <w:szCs w:val="28"/>
          <w:lang w:val="kk-KZ"/>
        </w:rPr>
        <w:t xml:space="preserve">інің мәні </w:t>
      </w:r>
      <w:r w:rsidRPr="0052692F">
        <w:rPr>
          <w:sz w:val="28"/>
          <w:szCs w:val="28"/>
        </w:rPr>
        <w:t>(99,98%)</w:t>
      </w:r>
      <w:r>
        <w:rPr>
          <w:sz w:val="28"/>
          <w:szCs w:val="28"/>
          <w:lang w:val="kk-KZ"/>
        </w:rPr>
        <w:t xml:space="preserve"> осы төлем жүйесі қызмет етуінің жоғарғы тиімділігін және оның жұмыс мүмкіндігін қалпына келтірудің қолда бар әдістерінің сенімділігін сипаттайды </w:t>
      </w:r>
      <w:r w:rsidRPr="0052692F">
        <w:rPr>
          <w:sz w:val="28"/>
          <w:szCs w:val="28"/>
        </w:rPr>
        <w:t>(1</w:t>
      </w:r>
      <w:r>
        <w:rPr>
          <w:sz w:val="28"/>
          <w:szCs w:val="28"/>
        </w:rPr>
        <w:t>2</w:t>
      </w:r>
      <w:r>
        <w:rPr>
          <w:sz w:val="28"/>
          <w:szCs w:val="28"/>
          <w:lang w:val="kk-KZ"/>
        </w:rPr>
        <w:t>-сурет</w:t>
      </w:r>
      <w:r w:rsidRPr="0052692F"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>.</w:t>
      </w:r>
    </w:p>
    <w:p w:rsidR="00E60E94" w:rsidRPr="008F76D1" w:rsidRDefault="00E60E94" w:rsidP="00E60E94">
      <w:pPr>
        <w:ind w:firstLine="709"/>
        <w:jc w:val="right"/>
        <w:rPr>
          <w:b/>
          <w:lang w:val="kk-KZ"/>
        </w:rPr>
      </w:pPr>
      <w:r w:rsidRPr="008F76D1">
        <w:rPr>
          <w:b/>
          <w:lang w:val="kk-KZ"/>
        </w:rPr>
        <w:t>12</w:t>
      </w:r>
      <w:r>
        <w:rPr>
          <w:b/>
          <w:lang w:val="kk-KZ"/>
        </w:rPr>
        <w:t>-сурет</w:t>
      </w:r>
      <w:r w:rsidRPr="008F76D1">
        <w:rPr>
          <w:b/>
          <w:lang w:val="kk-KZ"/>
        </w:rPr>
        <w:t>.</w:t>
      </w:r>
    </w:p>
    <w:p w:rsidR="00E60E94" w:rsidRDefault="00E60E94" w:rsidP="00E60E94">
      <w:pPr>
        <w:ind w:firstLine="709"/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Банкаралық клиринг жүйесінің </w:t>
      </w:r>
      <w:r w:rsidRPr="0009032E">
        <w:rPr>
          <w:b/>
          <w:sz w:val="28"/>
          <w:szCs w:val="28"/>
          <w:lang w:val="kk-KZ"/>
        </w:rPr>
        <w:t>жұмыс мүмкіндігі</w:t>
      </w:r>
      <w:r>
        <w:rPr>
          <w:b/>
          <w:sz w:val="28"/>
          <w:szCs w:val="28"/>
          <w:lang w:val="kk-KZ"/>
        </w:rPr>
        <w:t xml:space="preserve"> </w:t>
      </w:r>
      <w:r w:rsidRPr="008F76D1">
        <w:rPr>
          <w:b/>
          <w:sz w:val="28"/>
          <w:szCs w:val="28"/>
          <w:lang w:val="kk-KZ"/>
        </w:rPr>
        <w:t>коэффициент</w:t>
      </w:r>
      <w:r>
        <w:rPr>
          <w:b/>
          <w:sz w:val="28"/>
          <w:szCs w:val="28"/>
          <w:lang w:val="kk-KZ"/>
        </w:rPr>
        <w:t>і</w:t>
      </w:r>
      <w:r w:rsidRPr="0009032E">
        <w:rPr>
          <w:b/>
          <w:sz w:val="28"/>
          <w:szCs w:val="28"/>
          <w:lang w:val="kk-KZ"/>
        </w:rPr>
        <w:t>нің</w:t>
      </w:r>
      <w:r>
        <w:rPr>
          <w:sz w:val="28"/>
          <w:szCs w:val="28"/>
          <w:lang w:val="kk-KZ"/>
        </w:rPr>
        <w:t xml:space="preserve"> </w:t>
      </w:r>
      <w:r w:rsidRPr="0009032E">
        <w:rPr>
          <w:b/>
          <w:sz w:val="28"/>
          <w:szCs w:val="28"/>
          <w:lang w:val="kk-KZ"/>
        </w:rPr>
        <w:t>2013 жылғы қаңтар-қараша аралағында өзгеру динамикасы</w:t>
      </w:r>
    </w:p>
    <w:p w:rsidR="00E60E94" w:rsidRPr="0052692F" w:rsidRDefault="00522A28" w:rsidP="00E60E94">
      <w:pPr>
        <w:jc w:val="center"/>
        <w:rPr>
          <w:b/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5753100" cy="1571625"/>
            <wp:effectExtent l="0" t="0" r="0" b="0"/>
            <wp:docPr id="16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60E94" w:rsidRDefault="00E60E94" w:rsidP="00E60E94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E60E94" w:rsidRPr="00C72C73" w:rsidRDefault="00E60E94" w:rsidP="00E60E94">
      <w:pPr>
        <w:jc w:val="both"/>
        <w:rPr>
          <w:sz w:val="28"/>
          <w:szCs w:val="28"/>
          <w:lang w:val="kk-KZ"/>
        </w:rPr>
      </w:pPr>
    </w:p>
    <w:p w:rsidR="00E60E94" w:rsidRDefault="00E60E94" w:rsidP="00E60E94"/>
    <w:p w:rsidR="00E60E94" w:rsidRPr="0052692F" w:rsidRDefault="00E60E94" w:rsidP="00E60E94">
      <w:pPr>
        <w:widowControl w:val="0"/>
        <w:ind w:firstLine="709"/>
        <w:jc w:val="both"/>
        <w:rPr>
          <w:sz w:val="28"/>
          <w:szCs w:val="28"/>
        </w:rPr>
      </w:pPr>
    </w:p>
    <w:p w:rsidR="00E60E94" w:rsidRPr="00E60E94" w:rsidRDefault="00E60E94" w:rsidP="002E0AD7">
      <w:pPr>
        <w:pStyle w:val="a3"/>
        <w:ind w:firstLine="709"/>
        <w:jc w:val="left"/>
        <w:rPr>
          <w:b w:val="0"/>
          <w:sz w:val="28"/>
          <w:szCs w:val="28"/>
          <w:lang w:val="kk-KZ"/>
        </w:rPr>
      </w:pPr>
    </w:p>
    <w:p w:rsidR="00BE73B7" w:rsidRPr="00BE73B7" w:rsidRDefault="00BE73B7" w:rsidP="00BE73B7">
      <w:pPr>
        <w:jc w:val="both"/>
        <w:rPr>
          <w:sz w:val="28"/>
          <w:szCs w:val="28"/>
          <w:lang w:val="kk-KZ"/>
        </w:rPr>
      </w:pPr>
    </w:p>
    <w:p w:rsidR="0035210D" w:rsidRPr="00BE73B7" w:rsidRDefault="0035210D" w:rsidP="00AE3C11">
      <w:pPr>
        <w:ind w:firstLine="709"/>
        <w:jc w:val="right"/>
        <w:rPr>
          <w:sz w:val="28"/>
          <w:szCs w:val="28"/>
          <w:lang w:val="kk-KZ"/>
        </w:rPr>
      </w:pPr>
    </w:p>
    <w:sectPr w:rsidR="0035210D" w:rsidRPr="00BE73B7" w:rsidSect="007F7295">
      <w:footerReference w:type="even" r:id="rId25"/>
      <w:footerReference w:type="default" r:id="rId26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A4" w:rsidRDefault="009077A4">
      <w:r>
        <w:separator/>
      </w:r>
    </w:p>
  </w:endnote>
  <w:endnote w:type="continuationSeparator" w:id="0">
    <w:p w:rsidR="009077A4" w:rsidRDefault="0090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9D5" w:rsidRDefault="00CA09D5" w:rsidP="005F07E8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24</w:t>
    </w:r>
    <w:r>
      <w:rPr>
        <w:rStyle w:val="af"/>
      </w:rPr>
      <w:fldChar w:fldCharType="end"/>
    </w:r>
  </w:p>
  <w:p w:rsidR="00CA09D5" w:rsidRDefault="00CA09D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9D5" w:rsidRDefault="00CA09D5" w:rsidP="005F07E8">
    <w:pPr>
      <w:pStyle w:val="af0"/>
      <w:framePr w:wrap="around" w:vAnchor="text" w:hAnchor="margin" w:xAlign="right" w:y="1"/>
      <w:tabs>
        <w:tab w:val="left" w:pos="9724"/>
      </w:tabs>
      <w:jc w:val="right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22A28">
      <w:rPr>
        <w:rStyle w:val="af"/>
        <w:noProof/>
      </w:rPr>
      <w:t>2</w:t>
    </w:r>
    <w:r>
      <w:rPr>
        <w:rStyle w:val="af"/>
      </w:rPr>
      <w:fldChar w:fldCharType="end"/>
    </w:r>
  </w:p>
  <w:p w:rsidR="00CA09D5" w:rsidRDefault="00CA09D5" w:rsidP="005F07E8">
    <w:pPr>
      <w:pStyle w:val="af0"/>
      <w:framePr w:wrap="around" w:vAnchor="text" w:hAnchor="margin" w:xAlign="right" w:y="1"/>
      <w:ind w:right="360"/>
      <w:rPr>
        <w:rStyle w:val="af"/>
      </w:rPr>
    </w:pPr>
  </w:p>
  <w:p w:rsidR="00CA09D5" w:rsidRDefault="00CA09D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A4" w:rsidRDefault="009077A4">
      <w:r>
        <w:separator/>
      </w:r>
    </w:p>
  </w:footnote>
  <w:footnote w:type="continuationSeparator" w:id="0">
    <w:p w:rsidR="009077A4" w:rsidRDefault="009077A4">
      <w:r>
        <w:continuationSeparator/>
      </w:r>
    </w:p>
  </w:footnote>
  <w:footnote w:id="1">
    <w:p w:rsidR="00CA09D5" w:rsidRPr="00DD6D77" w:rsidRDefault="00CA09D5" w:rsidP="00350C48">
      <w:pPr>
        <w:pStyle w:val="aa"/>
        <w:spacing w:line="235" w:lineRule="auto"/>
        <w:jc w:val="both"/>
        <w:rPr>
          <w:sz w:val="16"/>
          <w:szCs w:val="16"/>
        </w:rPr>
      </w:pPr>
      <w:r w:rsidRPr="00B47DF6">
        <w:rPr>
          <w:rStyle w:val="a5"/>
          <w:sz w:val="16"/>
          <w:szCs w:val="16"/>
        </w:rPr>
        <w:footnoteRef/>
      </w:r>
      <w:r w:rsidRPr="00B47DF6">
        <w:rPr>
          <w:sz w:val="16"/>
          <w:szCs w:val="16"/>
        </w:rPr>
        <w:t xml:space="preserve"> </w:t>
      </w:r>
      <w:r>
        <w:rPr>
          <w:sz w:val="16"/>
          <w:szCs w:val="16"/>
          <w:lang w:val="kk-KZ"/>
        </w:rPr>
        <w:t>Өтімділік тәуекелі</w:t>
      </w:r>
      <w:r w:rsidRPr="00DD6D77">
        <w:rPr>
          <w:sz w:val="16"/>
          <w:szCs w:val="16"/>
        </w:rPr>
        <w:t xml:space="preserve"> –</w:t>
      </w:r>
      <w:r>
        <w:rPr>
          <w:sz w:val="16"/>
          <w:szCs w:val="16"/>
          <w:lang w:val="kk-KZ"/>
        </w:rPr>
        <w:t xml:space="preserve"> төлемшінің ақша аудару бойынша оларды орындамау мүмкіндігіне байланысты тәуекелі</w:t>
      </w:r>
      <w:r w:rsidRPr="00DD6D77">
        <w:rPr>
          <w:sz w:val="16"/>
          <w:szCs w:val="16"/>
        </w:rPr>
        <w:t>.</w:t>
      </w:r>
    </w:p>
  </w:footnote>
  <w:footnote w:id="2">
    <w:p w:rsidR="00CA09D5" w:rsidRPr="00DD6D77" w:rsidRDefault="00CA09D5" w:rsidP="00350C48">
      <w:pPr>
        <w:pStyle w:val="aa"/>
        <w:spacing w:line="235" w:lineRule="auto"/>
        <w:jc w:val="both"/>
        <w:rPr>
          <w:sz w:val="16"/>
          <w:szCs w:val="16"/>
        </w:rPr>
      </w:pPr>
      <w:r w:rsidRPr="00DD6D77">
        <w:rPr>
          <w:rStyle w:val="a5"/>
          <w:sz w:val="16"/>
          <w:szCs w:val="16"/>
        </w:rPr>
        <w:footnoteRef/>
      </w:r>
      <w:r w:rsidRPr="00DD6D77">
        <w:rPr>
          <w:sz w:val="16"/>
          <w:szCs w:val="16"/>
        </w:rPr>
        <w:t xml:space="preserve"> </w:t>
      </w:r>
      <w:r>
        <w:rPr>
          <w:sz w:val="16"/>
          <w:szCs w:val="16"/>
          <w:lang w:val="kk-KZ"/>
        </w:rPr>
        <w:t xml:space="preserve">Жүйелік тәуекел </w:t>
      </w:r>
      <w:r w:rsidRPr="00DD6D77">
        <w:rPr>
          <w:sz w:val="16"/>
          <w:szCs w:val="16"/>
        </w:rPr>
        <w:t xml:space="preserve"> – </w:t>
      </w:r>
      <w:r>
        <w:rPr>
          <w:sz w:val="16"/>
          <w:szCs w:val="16"/>
          <w:lang w:val="kk-KZ"/>
        </w:rPr>
        <w:t>бұл төлем жүйесін пайдаланушының ақша аудару бойынша міндеттемелерді орындамауы төлем жүйесін пайдаланушыларының басқаларының (бір немесе бірнеше) өз міндеттемелерін орындамауына әкелетін тәуекел</w:t>
      </w:r>
      <w:r w:rsidRPr="00DD6D77">
        <w:rPr>
          <w:sz w:val="16"/>
          <w:szCs w:val="16"/>
        </w:rPr>
        <w:t>.</w:t>
      </w:r>
    </w:p>
  </w:footnote>
  <w:footnote w:id="3">
    <w:p w:rsidR="00CA09D5" w:rsidRPr="00D36D92" w:rsidRDefault="00CA09D5" w:rsidP="00350C48">
      <w:pPr>
        <w:pStyle w:val="aa"/>
        <w:spacing w:line="235" w:lineRule="auto"/>
        <w:jc w:val="both"/>
        <w:rPr>
          <w:sz w:val="16"/>
          <w:szCs w:val="16"/>
        </w:rPr>
      </w:pPr>
      <w:r w:rsidRPr="00D36D92"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kk-KZ"/>
        </w:rPr>
        <w:t>Ақша айналымдылығының к</w:t>
      </w:r>
      <w:r w:rsidRPr="00D36D92">
        <w:rPr>
          <w:sz w:val="16"/>
          <w:szCs w:val="16"/>
        </w:rPr>
        <w:t>оэффициент</w:t>
      </w:r>
      <w:r>
        <w:rPr>
          <w:sz w:val="16"/>
          <w:szCs w:val="16"/>
          <w:lang w:val="kk-KZ"/>
        </w:rPr>
        <w:t>і БААЖ дебеттік айналымның жүйе өтімділігіндегі қатынасына тең</w:t>
      </w:r>
      <w:r w:rsidRPr="00D36D92">
        <w:rPr>
          <w:sz w:val="16"/>
          <w:szCs w:val="16"/>
        </w:rPr>
        <w:t>.</w:t>
      </w:r>
    </w:p>
  </w:footnote>
  <w:footnote w:id="4">
    <w:p w:rsidR="00CA09D5" w:rsidRPr="00B07A2E" w:rsidRDefault="00CA09D5" w:rsidP="00E60E94">
      <w:pPr>
        <w:pStyle w:val="aa"/>
        <w:jc w:val="both"/>
        <w:rPr>
          <w:sz w:val="18"/>
          <w:szCs w:val="18"/>
        </w:rPr>
      </w:pPr>
      <w:r w:rsidRPr="008F7D09">
        <w:rPr>
          <w:rStyle w:val="a5"/>
          <w:sz w:val="16"/>
          <w:szCs w:val="16"/>
        </w:rPr>
        <w:footnoteRef/>
      </w:r>
      <w:r w:rsidRPr="008F7D09">
        <w:rPr>
          <w:sz w:val="16"/>
          <w:szCs w:val="16"/>
        </w:rPr>
        <w:t xml:space="preserve"> </w:t>
      </w:r>
      <w:r>
        <w:rPr>
          <w:sz w:val="16"/>
          <w:szCs w:val="16"/>
          <w:lang w:val="kk-KZ"/>
        </w:rPr>
        <w:t xml:space="preserve">Пайдаланушылардың таза дебет позицияларының орташа сомасы пайдаланушылардың БААЖ-дағы айналымдарының орташа күндік сомасына сәйкес келеді, өйткені клиринг пайдаланушыларының таза позицияларын есептеу пайдаланушылардың БААЖ-да бар қаражаты есебінен жүзеге асырылады.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BBC"/>
    <w:multiLevelType w:val="hybridMultilevel"/>
    <w:tmpl w:val="C966E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653E69"/>
    <w:multiLevelType w:val="hybridMultilevel"/>
    <w:tmpl w:val="92ECEE6A"/>
    <w:lvl w:ilvl="0" w:tplc="7F101F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B0636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3C45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960D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81230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CE4B3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734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3AC7E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192C03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676CAC"/>
    <w:multiLevelType w:val="hybridMultilevel"/>
    <w:tmpl w:val="9CAE600A"/>
    <w:lvl w:ilvl="0" w:tplc="83D608C8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D6ACD"/>
    <w:multiLevelType w:val="hybridMultilevel"/>
    <w:tmpl w:val="4FACE084"/>
    <w:lvl w:ilvl="0" w:tplc="A3F8F792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6981359"/>
    <w:multiLevelType w:val="multilevel"/>
    <w:tmpl w:val="E396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265390"/>
    <w:multiLevelType w:val="hybridMultilevel"/>
    <w:tmpl w:val="DE3C2F34"/>
    <w:lvl w:ilvl="0" w:tplc="6240B97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5739C1"/>
    <w:multiLevelType w:val="hybridMultilevel"/>
    <w:tmpl w:val="CAD60DAC"/>
    <w:lvl w:ilvl="0" w:tplc="83D608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8409A"/>
    <w:multiLevelType w:val="hybridMultilevel"/>
    <w:tmpl w:val="3ABE1102"/>
    <w:lvl w:ilvl="0" w:tplc="887804DE">
      <w:start w:val="1"/>
      <w:numFmt w:val="bullet"/>
      <w:lvlText w:val=""/>
      <w:lvlJc w:val="left"/>
      <w:pPr>
        <w:tabs>
          <w:tab w:val="num" w:pos="708"/>
        </w:tabs>
        <w:ind w:left="0" w:firstLine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34C0A64"/>
    <w:multiLevelType w:val="multilevel"/>
    <w:tmpl w:val="965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E34E9"/>
    <w:multiLevelType w:val="hybridMultilevel"/>
    <w:tmpl w:val="6CAEEB1A"/>
    <w:lvl w:ilvl="0" w:tplc="F0C419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D2E7A"/>
    <w:multiLevelType w:val="singleLevel"/>
    <w:tmpl w:val="C29A06BA"/>
    <w:lvl w:ilvl="0">
      <w:start w:val="3"/>
      <w:numFmt w:val="upperRoman"/>
      <w:pStyle w:val="3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</w:abstractNum>
  <w:abstractNum w:abstractNumId="11" w15:restartNumberingAfterBreak="0">
    <w:nsid w:val="1C0647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2780337"/>
    <w:multiLevelType w:val="hybridMultilevel"/>
    <w:tmpl w:val="03F63F44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2CB7F37"/>
    <w:multiLevelType w:val="hybridMultilevel"/>
    <w:tmpl w:val="5CFE09F8"/>
    <w:lvl w:ilvl="0" w:tplc="FFFFFFFF">
      <w:start w:val="1"/>
      <w:numFmt w:val="bullet"/>
      <w:lvlText w:val="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3AD5B66"/>
    <w:multiLevelType w:val="hybridMultilevel"/>
    <w:tmpl w:val="3AF8B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1254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010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E6B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3C71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21E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6D7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2041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4A33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10B83"/>
    <w:multiLevelType w:val="hybridMultilevel"/>
    <w:tmpl w:val="D3526940"/>
    <w:lvl w:ilvl="0" w:tplc="1A3E251A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858583E"/>
    <w:multiLevelType w:val="hybridMultilevel"/>
    <w:tmpl w:val="1DAE0BF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B33AD"/>
    <w:multiLevelType w:val="hybridMultilevel"/>
    <w:tmpl w:val="38767E7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BD31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24467E0"/>
    <w:multiLevelType w:val="hybridMultilevel"/>
    <w:tmpl w:val="A4F6E1E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C1547B"/>
    <w:multiLevelType w:val="hybridMultilevel"/>
    <w:tmpl w:val="32847A8C"/>
    <w:lvl w:ilvl="0" w:tplc="F20EC582">
      <w:start w:val="1"/>
      <w:numFmt w:val="decimal"/>
      <w:lvlText w:val="%1)"/>
      <w:lvlJc w:val="left"/>
      <w:pPr>
        <w:tabs>
          <w:tab w:val="num" w:pos="1177"/>
        </w:tabs>
        <w:ind w:left="1177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1" w15:restartNumberingAfterBreak="0">
    <w:nsid w:val="44D67E58"/>
    <w:multiLevelType w:val="hybridMultilevel"/>
    <w:tmpl w:val="E3DAA2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F39F7"/>
    <w:multiLevelType w:val="singleLevel"/>
    <w:tmpl w:val="9FCCC85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C923629"/>
    <w:multiLevelType w:val="hybridMultilevel"/>
    <w:tmpl w:val="7F1AAD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7B3201"/>
    <w:multiLevelType w:val="hybridMultilevel"/>
    <w:tmpl w:val="144280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D72712"/>
    <w:multiLevelType w:val="hybridMultilevel"/>
    <w:tmpl w:val="A45AB62A"/>
    <w:lvl w:ilvl="0" w:tplc="171A8284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6485040"/>
    <w:multiLevelType w:val="hybridMultilevel"/>
    <w:tmpl w:val="266663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80322E"/>
    <w:multiLevelType w:val="singleLevel"/>
    <w:tmpl w:val="9DD8D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8" w15:restartNumberingAfterBreak="0">
    <w:nsid w:val="5E0656A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247B5B"/>
    <w:multiLevelType w:val="singleLevel"/>
    <w:tmpl w:val="481E125E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0" w15:restartNumberingAfterBreak="0">
    <w:nsid w:val="67207A7D"/>
    <w:multiLevelType w:val="singleLevel"/>
    <w:tmpl w:val="9FCCC85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9441470"/>
    <w:multiLevelType w:val="hybridMultilevel"/>
    <w:tmpl w:val="5EB4B974"/>
    <w:lvl w:ilvl="0" w:tplc="0419000B">
      <w:start w:val="1"/>
      <w:numFmt w:val="bullet"/>
      <w:lvlText w:val="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2" w15:restartNumberingAfterBreak="0">
    <w:nsid w:val="6AA7640A"/>
    <w:multiLevelType w:val="singleLevel"/>
    <w:tmpl w:val="1B8E712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72213ABF"/>
    <w:multiLevelType w:val="hybridMultilevel"/>
    <w:tmpl w:val="D206E7D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E3C7E"/>
    <w:multiLevelType w:val="multilevel"/>
    <w:tmpl w:val="CBAC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615B3F"/>
    <w:multiLevelType w:val="hybridMultilevel"/>
    <w:tmpl w:val="ECB0BD08"/>
    <w:lvl w:ilvl="0" w:tplc="4524F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83D608C8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6E8625E"/>
    <w:multiLevelType w:val="hybridMultilevel"/>
    <w:tmpl w:val="01649B04"/>
    <w:lvl w:ilvl="0" w:tplc="EB0E40B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7B245C06"/>
    <w:multiLevelType w:val="hybridMultilevel"/>
    <w:tmpl w:val="6A6AE1DC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D301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0"/>
  </w:num>
  <w:num w:numId="4">
    <w:abstractNumId w:val="12"/>
  </w:num>
  <w:num w:numId="5">
    <w:abstractNumId w:val="28"/>
  </w:num>
  <w:num w:numId="6">
    <w:abstractNumId w:val="10"/>
  </w:num>
  <w:num w:numId="7">
    <w:abstractNumId w:val="32"/>
  </w:num>
  <w:num w:numId="8">
    <w:abstractNumId w:val="22"/>
  </w:num>
  <w:num w:numId="9">
    <w:abstractNumId w:val="37"/>
  </w:num>
  <w:num w:numId="10">
    <w:abstractNumId w:val="33"/>
  </w:num>
  <w:num w:numId="11">
    <w:abstractNumId w:val="16"/>
  </w:num>
  <w:num w:numId="12">
    <w:abstractNumId w:val="19"/>
  </w:num>
  <w:num w:numId="13">
    <w:abstractNumId w:val="27"/>
  </w:num>
  <w:num w:numId="14">
    <w:abstractNumId w:val="26"/>
  </w:num>
  <w:num w:numId="15">
    <w:abstractNumId w:val="21"/>
  </w:num>
  <w:num w:numId="16">
    <w:abstractNumId w:val="23"/>
  </w:num>
  <w:num w:numId="17">
    <w:abstractNumId w:val="1"/>
  </w:num>
  <w:num w:numId="18">
    <w:abstractNumId w:val="10"/>
  </w:num>
  <w:num w:numId="19">
    <w:abstractNumId w:val="3"/>
  </w:num>
  <w:num w:numId="20">
    <w:abstractNumId w:val="20"/>
  </w:num>
  <w:num w:numId="21">
    <w:abstractNumId w:val="4"/>
  </w:num>
  <w:num w:numId="22">
    <w:abstractNumId w:val="8"/>
  </w:num>
  <w:num w:numId="23">
    <w:abstractNumId w:val="34"/>
  </w:num>
  <w:num w:numId="24">
    <w:abstractNumId w:val="17"/>
  </w:num>
  <w:num w:numId="25">
    <w:abstractNumId w:val="0"/>
  </w:num>
  <w:num w:numId="26">
    <w:abstractNumId w:val="2"/>
  </w:num>
  <w:num w:numId="27">
    <w:abstractNumId w:val="6"/>
  </w:num>
  <w:num w:numId="28">
    <w:abstractNumId w:val="35"/>
  </w:num>
  <w:num w:numId="29">
    <w:abstractNumId w:val="9"/>
  </w:num>
  <w:num w:numId="30">
    <w:abstractNumId w:val="10"/>
  </w:num>
  <w:num w:numId="31">
    <w:abstractNumId w:val="15"/>
  </w:num>
  <w:num w:numId="32">
    <w:abstractNumId w:val="36"/>
  </w:num>
  <w:num w:numId="33">
    <w:abstractNumId w:val="5"/>
  </w:num>
  <w:num w:numId="34">
    <w:abstractNumId w:val="18"/>
  </w:num>
  <w:num w:numId="35">
    <w:abstractNumId w:val="11"/>
  </w:num>
  <w:num w:numId="36">
    <w:abstractNumId w:val="13"/>
  </w:num>
  <w:num w:numId="37">
    <w:abstractNumId w:val="25"/>
  </w:num>
  <w:num w:numId="38">
    <w:abstractNumId w:val="14"/>
  </w:num>
  <w:num w:numId="39">
    <w:abstractNumId w:val="38"/>
  </w:num>
  <w:num w:numId="40">
    <w:abstractNumId w:val="31"/>
  </w:num>
  <w:num w:numId="41">
    <w:abstractNumId w:val="7"/>
  </w:num>
  <w:num w:numId="42">
    <w:abstractNumId w:val="1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0"/>
    <w:rsid w:val="000008FF"/>
    <w:rsid w:val="00000F0F"/>
    <w:rsid w:val="00001440"/>
    <w:rsid w:val="00001689"/>
    <w:rsid w:val="00002FFF"/>
    <w:rsid w:val="000033BC"/>
    <w:rsid w:val="0000647B"/>
    <w:rsid w:val="00007708"/>
    <w:rsid w:val="000078FC"/>
    <w:rsid w:val="00007A9E"/>
    <w:rsid w:val="00013942"/>
    <w:rsid w:val="00016CCE"/>
    <w:rsid w:val="0002167E"/>
    <w:rsid w:val="00022498"/>
    <w:rsid w:val="00022E4F"/>
    <w:rsid w:val="00023710"/>
    <w:rsid w:val="00023855"/>
    <w:rsid w:val="00023EE1"/>
    <w:rsid w:val="0002466F"/>
    <w:rsid w:val="00024EBC"/>
    <w:rsid w:val="00026003"/>
    <w:rsid w:val="0002642F"/>
    <w:rsid w:val="0002789C"/>
    <w:rsid w:val="00027FD1"/>
    <w:rsid w:val="000309DA"/>
    <w:rsid w:val="00032701"/>
    <w:rsid w:val="00032C88"/>
    <w:rsid w:val="000332E3"/>
    <w:rsid w:val="00036E9D"/>
    <w:rsid w:val="00040C09"/>
    <w:rsid w:val="000416B6"/>
    <w:rsid w:val="000429FD"/>
    <w:rsid w:val="00042EF5"/>
    <w:rsid w:val="00043B97"/>
    <w:rsid w:val="00047AF9"/>
    <w:rsid w:val="00051C3E"/>
    <w:rsid w:val="00053BBA"/>
    <w:rsid w:val="000546F4"/>
    <w:rsid w:val="00054AD9"/>
    <w:rsid w:val="0005553C"/>
    <w:rsid w:val="00055DFB"/>
    <w:rsid w:val="000560B8"/>
    <w:rsid w:val="00057A21"/>
    <w:rsid w:val="00061CB2"/>
    <w:rsid w:val="00061CE3"/>
    <w:rsid w:val="00062215"/>
    <w:rsid w:val="000629D6"/>
    <w:rsid w:val="00062FF6"/>
    <w:rsid w:val="00063E95"/>
    <w:rsid w:val="000646E1"/>
    <w:rsid w:val="000653A5"/>
    <w:rsid w:val="00065B5E"/>
    <w:rsid w:val="0006697C"/>
    <w:rsid w:val="00067DF8"/>
    <w:rsid w:val="00070135"/>
    <w:rsid w:val="00070B11"/>
    <w:rsid w:val="0007239A"/>
    <w:rsid w:val="00073FD3"/>
    <w:rsid w:val="00074AAE"/>
    <w:rsid w:val="000754C1"/>
    <w:rsid w:val="000758CD"/>
    <w:rsid w:val="00075B6A"/>
    <w:rsid w:val="00076041"/>
    <w:rsid w:val="000818A5"/>
    <w:rsid w:val="00082770"/>
    <w:rsid w:val="00082DD0"/>
    <w:rsid w:val="000837C2"/>
    <w:rsid w:val="00084C65"/>
    <w:rsid w:val="00085C12"/>
    <w:rsid w:val="00087314"/>
    <w:rsid w:val="00087998"/>
    <w:rsid w:val="00087EFC"/>
    <w:rsid w:val="00091A7C"/>
    <w:rsid w:val="000923DA"/>
    <w:rsid w:val="00092907"/>
    <w:rsid w:val="00092B45"/>
    <w:rsid w:val="0009392A"/>
    <w:rsid w:val="000950D1"/>
    <w:rsid w:val="0009541E"/>
    <w:rsid w:val="00096737"/>
    <w:rsid w:val="00096C6F"/>
    <w:rsid w:val="000974BD"/>
    <w:rsid w:val="000A22D6"/>
    <w:rsid w:val="000A38DB"/>
    <w:rsid w:val="000A3DFB"/>
    <w:rsid w:val="000A5D36"/>
    <w:rsid w:val="000A6407"/>
    <w:rsid w:val="000A6766"/>
    <w:rsid w:val="000B4D0A"/>
    <w:rsid w:val="000B567E"/>
    <w:rsid w:val="000B5F6D"/>
    <w:rsid w:val="000B66CA"/>
    <w:rsid w:val="000B722A"/>
    <w:rsid w:val="000B7E3E"/>
    <w:rsid w:val="000C1DF7"/>
    <w:rsid w:val="000C20F1"/>
    <w:rsid w:val="000C254A"/>
    <w:rsid w:val="000C28C0"/>
    <w:rsid w:val="000C2B8B"/>
    <w:rsid w:val="000C2BC3"/>
    <w:rsid w:val="000C2E48"/>
    <w:rsid w:val="000C307F"/>
    <w:rsid w:val="000C34C3"/>
    <w:rsid w:val="000C37F1"/>
    <w:rsid w:val="000C4A36"/>
    <w:rsid w:val="000C5739"/>
    <w:rsid w:val="000C5B7B"/>
    <w:rsid w:val="000C7614"/>
    <w:rsid w:val="000D0AC3"/>
    <w:rsid w:val="000D0AFF"/>
    <w:rsid w:val="000D264B"/>
    <w:rsid w:val="000D2B42"/>
    <w:rsid w:val="000D33D2"/>
    <w:rsid w:val="000D404F"/>
    <w:rsid w:val="000D43D1"/>
    <w:rsid w:val="000D4747"/>
    <w:rsid w:val="000D69CA"/>
    <w:rsid w:val="000D7C31"/>
    <w:rsid w:val="000E3534"/>
    <w:rsid w:val="000E4869"/>
    <w:rsid w:val="000E49B9"/>
    <w:rsid w:val="000E74B6"/>
    <w:rsid w:val="000E7552"/>
    <w:rsid w:val="000E7838"/>
    <w:rsid w:val="000E7C96"/>
    <w:rsid w:val="000F08C3"/>
    <w:rsid w:val="000F350A"/>
    <w:rsid w:val="000F354E"/>
    <w:rsid w:val="000F5014"/>
    <w:rsid w:val="000F5D7E"/>
    <w:rsid w:val="000F67C1"/>
    <w:rsid w:val="00100BA9"/>
    <w:rsid w:val="0010186F"/>
    <w:rsid w:val="00102353"/>
    <w:rsid w:val="00103416"/>
    <w:rsid w:val="0010387F"/>
    <w:rsid w:val="00103CBA"/>
    <w:rsid w:val="00105CB1"/>
    <w:rsid w:val="001062EB"/>
    <w:rsid w:val="00107691"/>
    <w:rsid w:val="001078DE"/>
    <w:rsid w:val="00113506"/>
    <w:rsid w:val="00114475"/>
    <w:rsid w:val="00114A2D"/>
    <w:rsid w:val="00115E38"/>
    <w:rsid w:val="0011620D"/>
    <w:rsid w:val="00117FAB"/>
    <w:rsid w:val="0012062C"/>
    <w:rsid w:val="00124370"/>
    <w:rsid w:val="001251DE"/>
    <w:rsid w:val="0012696D"/>
    <w:rsid w:val="001323BD"/>
    <w:rsid w:val="001326BD"/>
    <w:rsid w:val="00132B7B"/>
    <w:rsid w:val="00132F10"/>
    <w:rsid w:val="0013434A"/>
    <w:rsid w:val="001352F0"/>
    <w:rsid w:val="00135E4D"/>
    <w:rsid w:val="00137017"/>
    <w:rsid w:val="00137296"/>
    <w:rsid w:val="0013769D"/>
    <w:rsid w:val="00137C49"/>
    <w:rsid w:val="001405EF"/>
    <w:rsid w:val="001413F0"/>
    <w:rsid w:val="001422E8"/>
    <w:rsid w:val="0014282F"/>
    <w:rsid w:val="001429BD"/>
    <w:rsid w:val="0014392F"/>
    <w:rsid w:val="001439B3"/>
    <w:rsid w:val="00144B75"/>
    <w:rsid w:val="00144C3B"/>
    <w:rsid w:val="00145B2A"/>
    <w:rsid w:val="00146E68"/>
    <w:rsid w:val="001540C6"/>
    <w:rsid w:val="00154DA6"/>
    <w:rsid w:val="00156E20"/>
    <w:rsid w:val="0015785C"/>
    <w:rsid w:val="00160FB5"/>
    <w:rsid w:val="001659F2"/>
    <w:rsid w:val="00165C44"/>
    <w:rsid w:val="0016770B"/>
    <w:rsid w:val="00167FF9"/>
    <w:rsid w:val="00170966"/>
    <w:rsid w:val="00170DE9"/>
    <w:rsid w:val="001733CC"/>
    <w:rsid w:val="001743AC"/>
    <w:rsid w:val="001744AD"/>
    <w:rsid w:val="001745DA"/>
    <w:rsid w:val="0017558A"/>
    <w:rsid w:val="001769AC"/>
    <w:rsid w:val="00177CE5"/>
    <w:rsid w:val="00177EB1"/>
    <w:rsid w:val="0018030D"/>
    <w:rsid w:val="00180A5D"/>
    <w:rsid w:val="00181B93"/>
    <w:rsid w:val="00182290"/>
    <w:rsid w:val="00182AB6"/>
    <w:rsid w:val="00182E22"/>
    <w:rsid w:val="00183A10"/>
    <w:rsid w:val="00184F54"/>
    <w:rsid w:val="00185DF4"/>
    <w:rsid w:val="001862D5"/>
    <w:rsid w:val="00186313"/>
    <w:rsid w:val="00187C13"/>
    <w:rsid w:val="00191AFE"/>
    <w:rsid w:val="00192F67"/>
    <w:rsid w:val="001954A9"/>
    <w:rsid w:val="0019667D"/>
    <w:rsid w:val="00196B65"/>
    <w:rsid w:val="001A08E5"/>
    <w:rsid w:val="001A49BF"/>
    <w:rsid w:val="001A4F18"/>
    <w:rsid w:val="001A60EA"/>
    <w:rsid w:val="001A7DFD"/>
    <w:rsid w:val="001B38C1"/>
    <w:rsid w:val="001B462F"/>
    <w:rsid w:val="001B6262"/>
    <w:rsid w:val="001C260B"/>
    <w:rsid w:val="001C4B27"/>
    <w:rsid w:val="001C65DF"/>
    <w:rsid w:val="001D0A9A"/>
    <w:rsid w:val="001D0F68"/>
    <w:rsid w:val="001D2061"/>
    <w:rsid w:val="001E1785"/>
    <w:rsid w:val="001E2739"/>
    <w:rsid w:val="001E6BE4"/>
    <w:rsid w:val="001E6CB1"/>
    <w:rsid w:val="001E6EC8"/>
    <w:rsid w:val="001E7864"/>
    <w:rsid w:val="001F04A6"/>
    <w:rsid w:val="001F3DC7"/>
    <w:rsid w:val="001F571A"/>
    <w:rsid w:val="001F6502"/>
    <w:rsid w:val="00200007"/>
    <w:rsid w:val="00200C3B"/>
    <w:rsid w:val="00203D9B"/>
    <w:rsid w:val="0020665F"/>
    <w:rsid w:val="00206E0D"/>
    <w:rsid w:val="00210F9C"/>
    <w:rsid w:val="00215902"/>
    <w:rsid w:val="002163D5"/>
    <w:rsid w:val="00217B6E"/>
    <w:rsid w:val="00220B85"/>
    <w:rsid w:val="002215D2"/>
    <w:rsid w:val="002261D6"/>
    <w:rsid w:val="002269BA"/>
    <w:rsid w:val="0022795D"/>
    <w:rsid w:val="0023175C"/>
    <w:rsid w:val="002317E8"/>
    <w:rsid w:val="00233C30"/>
    <w:rsid w:val="00234317"/>
    <w:rsid w:val="0023506F"/>
    <w:rsid w:val="00235614"/>
    <w:rsid w:val="00236208"/>
    <w:rsid w:val="00243A8C"/>
    <w:rsid w:val="002458C5"/>
    <w:rsid w:val="00246FC4"/>
    <w:rsid w:val="00251325"/>
    <w:rsid w:val="00256BD8"/>
    <w:rsid w:val="00260FEE"/>
    <w:rsid w:val="00263F94"/>
    <w:rsid w:val="002645B6"/>
    <w:rsid w:val="002649B2"/>
    <w:rsid w:val="0026766B"/>
    <w:rsid w:val="002701D7"/>
    <w:rsid w:val="00271078"/>
    <w:rsid w:val="00273239"/>
    <w:rsid w:val="00273286"/>
    <w:rsid w:val="002732D5"/>
    <w:rsid w:val="002735BC"/>
    <w:rsid w:val="00277E52"/>
    <w:rsid w:val="002806C6"/>
    <w:rsid w:val="00281862"/>
    <w:rsid w:val="002855D9"/>
    <w:rsid w:val="002871BE"/>
    <w:rsid w:val="002877CB"/>
    <w:rsid w:val="00293FFF"/>
    <w:rsid w:val="00297BF3"/>
    <w:rsid w:val="002A1108"/>
    <w:rsid w:val="002A1422"/>
    <w:rsid w:val="002A1B62"/>
    <w:rsid w:val="002A3654"/>
    <w:rsid w:val="002A393F"/>
    <w:rsid w:val="002A3F7C"/>
    <w:rsid w:val="002A4648"/>
    <w:rsid w:val="002A551F"/>
    <w:rsid w:val="002A5573"/>
    <w:rsid w:val="002A5B9E"/>
    <w:rsid w:val="002A5CF4"/>
    <w:rsid w:val="002A795B"/>
    <w:rsid w:val="002B04E5"/>
    <w:rsid w:val="002B07F1"/>
    <w:rsid w:val="002B1ABB"/>
    <w:rsid w:val="002B27CB"/>
    <w:rsid w:val="002B309D"/>
    <w:rsid w:val="002B3222"/>
    <w:rsid w:val="002B3347"/>
    <w:rsid w:val="002B3AB6"/>
    <w:rsid w:val="002B4414"/>
    <w:rsid w:val="002B58CA"/>
    <w:rsid w:val="002C0ABB"/>
    <w:rsid w:val="002C1C80"/>
    <w:rsid w:val="002C1F95"/>
    <w:rsid w:val="002C3030"/>
    <w:rsid w:val="002C3F16"/>
    <w:rsid w:val="002C4A69"/>
    <w:rsid w:val="002C67D8"/>
    <w:rsid w:val="002C6F8E"/>
    <w:rsid w:val="002D0E1F"/>
    <w:rsid w:val="002D11D3"/>
    <w:rsid w:val="002D24E7"/>
    <w:rsid w:val="002D2B46"/>
    <w:rsid w:val="002D36FB"/>
    <w:rsid w:val="002D3D8D"/>
    <w:rsid w:val="002D434B"/>
    <w:rsid w:val="002D4623"/>
    <w:rsid w:val="002D6B43"/>
    <w:rsid w:val="002E0AD7"/>
    <w:rsid w:val="002E139E"/>
    <w:rsid w:val="002E2139"/>
    <w:rsid w:val="002E4314"/>
    <w:rsid w:val="002E47D2"/>
    <w:rsid w:val="002E6B95"/>
    <w:rsid w:val="002E7D13"/>
    <w:rsid w:val="002F2ED9"/>
    <w:rsid w:val="002F3654"/>
    <w:rsid w:val="002F4F1B"/>
    <w:rsid w:val="002F5AF3"/>
    <w:rsid w:val="002F5B7F"/>
    <w:rsid w:val="002F64FF"/>
    <w:rsid w:val="002F6B5D"/>
    <w:rsid w:val="002F7C80"/>
    <w:rsid w:val="002F7E02"/>
    <w:rsid w:val="00300322"/>
    <w:rsid w:val="00300D3F"/>
    <w:rsid w:val="003027FD"/>
    <w:rsid w:val="003030BE"/>
    <w:rsid w:val="003043B4"/>
    <w:rsid w:val="00304D2A"/>
    <w:rsid w:val="00305AB1"/>
    <w:rsid w:val="00305DFA"/>
    <w:rsid w:val="00311191"/>
    <w:rsid w:val="00314606"/>
    <w:rsid w:val="003168BE"/>
    <w:rsid w:val="00316D08"/>
    <w:rsid w:val="00317CA8"/>
    <w:rsid w:val="00320F1C"/>
    <w:rsid w:val="00321F42"/>
    <w:rsid w:val="00321F5C"/>
    <w:rsid w:val="0032373F"/>
    <w:rsid w:val="00325472"/>
    <w:rsid w:val="00325964"/>
    <w:rsid w:val="00327640"/>
    <w:rsid w:val="00327F66"/>
    <w:rsid w:val="00331AAB"/>
    <w:rsid w:val="0033363A"/>
    <w:rsid w:val="0033371F"/>
    <w:rsid w:val="00334A5B"/>
    <w:rsid w:val="0033775A"/>
    <w:rsid w:val="00337FBE"/>
    <w:rsid w:val="00341604"/>
    <w:rsid w:val="00341F76"/>
    <w:rsid w:val="00342857"/>
    <w:rsid w:val="00344355"/>
    <w:rsid w:val="003455ED"/>
    <w:rsid w:val="0034726D"/>
    <w:rsid w:val="003473DD"/>
    <w:rsid w:val="00350C48"/>
    <w:rsid w:val="00351C74"/>
    <w:rsid w:val="00351C76"/>
    <w:rsid w:val="00351E89"/>
    <w:rsid w:val="00352042"/>
    <w:rsid w:val="0035210D"/>
    <w:rsid w:val="003525F8"/>
    <w:rsid w:val="003526B0"/>
    <w:rsid w:val="00357330"/>
    <w:rsid w:val="003576A1"/>
    <w:rsid w:val="003578D9"/>
    <w:rsid w:val="0036012D"/>
    <w:rsid w:val="00360A7C"/>
    <w:rsid w:val="00361848"/>
    <w:rsid w:val="00362E9C"/>
    <w:rsid w:val="00363079"/>
    <w:rsid w:val="00363951"/>
    <w:rsid w:val="00364AB1"/>
    <w:rsid w:val="0036580B"/>
    <w:rsid w:val="00365953"/>
    <w:rsid w:val="00366C48"/>
    <w:rsid w:val="003707AA"/>
    <w:rsid w:val="0037262E"/>
    <w:rsid w:val="00372D14"/>
    <w:rsid w:val="00376B2A"/>
    <w:rsid w:val="00380F0D"/>
    <w:rsid w:val="00381D04"/>
    <w:rsid w:val="00382DB8"/>
    <w:rsid w:val="00383E27"/>
    <w:rsid w:val="0038455D"/>
    <w:rsid w:val="00385EDD"/>
    <w:rsid w:val="00391FEC"/>
    <w:rsid w:val="003927CC"/>
    <w:rsid w:val="00396625"/>
    <w:rsid w:val="003966B3"/>
    <w:rsid w:val="00397178"/>
    <w:rsid w:val="003A1299"/>
    <w:rsid w:val="003A1915"/>
    <w:rsid w:val="003A1ECB"/>
    <w:rsid w:val="003A33D9"/>
    <w:rsid w:val="003A3A09"/>
    <w:rsid w:val="003A4697"/>
    <w:rsid w:val="003A4EA1"/>
    <w:rsid w:val="003A5433"/>
    <w:rsid w:val="003A5811"/>
    <w:rsid w:val="003A68A7"/>
    <w:rsid w:val="003A7670"/>
    <w:rsid w:val="003B0AEF"/>
    <w:rsid w:val="003B2419"/>
    <w:rsid w:val="003B3A5C"/>
    <w:rsid w:val="003B4F8A"/>
    <w:rsid w:val="003B673F"/>
    <w:rsid w:val="003B719E"/>
    <w:rsid w:val="003C054F"/>
    <w:rsid w:val="003C1AA7"/>
    <w:rsid w:val="003C37B5"/>
    <w:rsid w:val="003C6F2D"/>
    <w:rsid w:val="003D012B"/>
    <w:rsid w:val="003D0275"/>
    <w:rsid w:val="003D0716"/>
    <w:rsid w:val="003D1F60"/>
    <w:rsid w:val="003D25D4"/>
    <w:rsid w:val="003D31C0"/>
    <w:rsid w:val="003D3779"/>
    <w:rsid w:val="003D6C3F"/>
    <w:rsid w:val="003D7757"/>
    <w:rsid w:val="003D7AC5"/>
    <w:rsid w:val="003E04D3"/>
    <w:rsid w:val="003E2FCA"/>
    <w:rsid w:val="003E34EB"/>
    <w:rsid w:val="003E3AAC"/>
    <w:rsid w:val="003E491A"/>
    <w:rsid w:val="003E502C"/>
    <w:rsid w:val="003E74A5"/>
    <w:rsid w:val="003E76BC"/>
    <w:rsid w:val="003F0629"/>
    <w:rsid w:val="003F0914"/>
    <w:rsid w:val="003F151A"/>
    <w:rsid w:val="003F215D"/>
    <w:rsid w:val="003F21A0"/>
    <w:rsid w:val="003F42FB"/>
    <w:rsid w:val="003F61A5"/>
    <w:rsid w:val="004018CA"/>
    <w:rsid w:val="00405343"/>
    <w:rsid w:val="0040580D"/>
    <w:rsid w:val="00406D3D"/>
    <w:rsid w:val="0041103D"/>
    <w:rsid w:val="00411D9B"/>
    <w:rsid w:val="0041226D"/>
    <w:rsid w:val="00412AA0"/>
    <w:rsid w:val="00413637"/>
    <w:rsid w:val="0041387E"/>
    <w:rsid w:val="00414BA2"/>
    <w:rsid w:val="00414BF8"/>
    <w:rsid w:val="00414ED6"/>
    <w:rsid w:val="0041565D"/>
    <w:rsid w:val="00430441"/>
    <w:rsid w:val="00431776"/>
    <w:rsid w:val="00432E27"/>
    <w:rsid w:val="004349FE"/>
    <w:rsid w:val="00436328"/>
    <w:rsid w:val="00442912"/>
    <w:rsid w:val="00442952"/>
    <w:rsid w:val="00443402"/>
    <w:rsid w:val="00443671"/>
    <w:rsid w:val="004444DB"/>
    <w:rsid w:val="0044640A"/>
    <w:rsid w:val="00447A9A"/>
    <w:rsid w:val="00450158"/>
    <w:rsid w:val="00450914"/>
    <w:rsid w:val="0045583B"/>
    <w:rsid w:val="0046314E"/>
    <w:rsid w:val="0046460E"/>
    <w:rsid w:val="00470158"/>
    <w:rsid w:val="004703B0"/>
    <w:rsid w:val="00470E7F"/>
    <w:rsid w:val="004744F6"/>
    <w:rsid w:val="00475981"/>
    <w:rsid w:val="004823CB"/>
    <w:rsid w:val="00483EFE"/>
    <w:rsid w:val="004863A8"/>
    <w:rsid w:val="00486ED5"/>
    <w:rsid w:val="00487EC1"/>
    <w:rsid w:val="00490340"/>
    <w:rsid w:val="0049215E"/>
    <w:rsid w:val="00492BAF"/>
    <w:rsid w:val="00494429"/>
    <w:rsid w:val="00494570"/>
    <w:rsid w:val="00495ED9"/>
    <w:rsid w:val="0049709E"/>
    <w:rsid w:val="00497A8D"/>
    <w:rsid w:val="004A0A7E"/>
    <w:rsid w:val="004A2022"/>
    <w:rsid w:val="004A234B"/>
    <w:rsid w:val="004A2E51"/>
    <w:rsid w:val="004A308B"/>
    <w:rsid w:val="004A3DB7"/>
    <w:rsid w:val="004A5960"/>
    <w:rsid w:val="004A6A3C"/>
    <w:rsid w:val="004B0024"/>
    <w:rsid w:val="004B17DF"/>
    <w:rsid w:val="004B2DEA"/>
    <w:rsid w:val="004B5097"/>
    <w:rsid w:val="004B67FA"/>
    <w:rsid w:val="004B6E5C"/>
    <w:rsid w:val="004C131E"/>
    <w:rsid w:val="004C2B3B"/>
    <w:rsid w:val="004C39DD"/>
    <w:rsid w:val="004C3C66"/>
    <w:rsid w:val="004C50B4"/>
    <w:rsid w:val="004C5403"/>
    <w:rsid w:val="004C5BA9"/>
    <w:rsid w:val="004C70B0"/>
    <w:rsid w:val="004D05AF"/>
    <w:rsid w:val="004D07C9"/>
    <w:rsid w:val="004D2853"/>
    <w:rsid w:val="004D2B68"/>
    <w:rsid w:val="004D2C46"/>
    <w:rsid w:val="004D412F"/>
    <w:rsid w:val="004D4D0F"/>
    <w:rsid w:val="004D5716"/>
    <w:rsid w:val="004D714F"/>
    <w:rsid w:val="004D7A13"/>
    <w:rsid w:val="004E2A8B"/>
    <w:rsid w:val="004F1178"/>
    <w:rsid w:val="004F1697"/>
    <w:rsid w:val="004F195E"/>
    <w:rsid w:val="004F4F9C"/>
    <w:rsid w:val="004F645E"/>
    <w:rsid w:val="005016DA"/>
    <w:rsid w:val="005034D7"/>
    <w:rsid w:val="00504193"/>
    <w:rsid w:val="00506D15"/>
    <w:rsid w:val="00507DFB"/>
    <w:rsid w:val="00510E42"/>
    <w:rsid w:val="005113E3"/>
    <w:rsid w:val="00511E6F"/>
    <w:rsid w:val="00511EA7"/>
    <w:rsid w:val="005137EC"/>
    <w:rsid w:val="00516A53"/>
    <w:rsid w:val="00517CCF"/>
    <w:rsid w:val="00517DF4"/>
    <w:rsid w:val="00521E8B"/>
    <w:rsid w:val="00522A28"/>
    <w:rsid w:val="005234AC"/>
    <w:rsid w:val="00524373"/>
    <w:rsid w:val="005250D3"/>
    <w:rsid w:val="0052692F"/>
    <w:rsid w:val="00526AD1"/>
    <w:rsid w:val="0052740E"/>
    <w:rsid w:val="005277CA"/>
    <w:rsid w:val="005324E6"/>
    <w:rsid w:val="00533B66"/>
    <w:rsid w:val="005364E2"/>
    <w:rsid w:val="00537679"/>
    <w:rsid w:val="00537A36"/>
    <w:rsid w:val="00537E76"/>
    <w:rsid w:val="00540767"/>
    <w:rsid w:val="00540A83"/>
    <w:rsid w:val="00541FF1"/>
    <w:rsid w:val="00543026"/>
    <w:rsid w:val="005441E9"/>
    <w:rsid w:val="0054455B"/>
    <w:rsid w:val="00545640"/>
    <w:rsid w:val="00547D56"/>
    <w:rsid w:val="005505CF"/>
    <w:rsid w:val="005539B1"/>
    <w:rsid w:val="0055721B"/>
    <w:rsid w:val="00560143"/>
    <w:rsid w:val="005603E6"/>
    <w:rsid w:val="00561E82"/>
    <w:rsid w:val="0056200F"/>
    <w:rsid w:val="0056336F"/>
    <w:rsid w:val="005638BA"/>
    <w:rsid w:val="0056552B"/>
    <w:rsid w:val="00566DDF"/>
    <w:rsid w:val="0056752C"/>
    <w:rsid w:val="00570594"/>
    <w:rsid w:val="00572E6B"/>
    <w:rsid w:val="00574F3A"/>
    <w:rsid w:val="005751B4"/>
    <w:rsid w:val="0057606A"/>
    <w:rsid w:val="00577FC4"/>
    <w:rsid w:val="005805CD"/>
    <w:rsid w:val="00581480"/>
    <w:rsid w:val="00581ABE"/>
    <w:rsid w:val="00581CDF"/>
    <w:rsid w:val="00581EC7"/>
    <w:rsid w:val="00582D20"/>
    <w:rsid w:val="00585535"/>
    <w:rsid w:val="00590A71"/>
    <w:rsid w:val="0059139D"/>
    <w:rsid w:val="00593508"/>
    <w:rsid w:val="0059434F"/>
    <w:rsid w:val="00596541"/>
    <w:rsid w:val="00596F95"/>
    <w:rsid w:val="005A03A3"/>
    <w:rsid w:val="005A07CA"/>
    <w:rsid w:val="005A0D89"/>
    <w:rsid w:val="005A20BA"/>
    <w:rsid w:val="005A25D7"/>
    <w:rsid w:val="005A2AD9"/>
    <w:rsid w:val="005A436A"/>
    <w:rsid w:val="005A7F32"/>
    <w:rsid w:val="005B1E84"/>
    <w:rsid w:val="005B2F32"/>
    <w:rsid w:val="005B3727"/>
    <w:rsid w:val="005B3E60"/>
    <w:rsid w:val="005B4310"/>
    <w:rsid w:val="005B4535"/>
    <w:rsid w:val="005B4C14"/>
    <w:rsid w:val="005B54BD"/>
    <w:rsid w:val="005B5897"/>
    <w:rsid w:val="005B597D"/>
    <w:rsid w:val="005B61C0"/>
    <w:rsid w:val="005C0245"/>
    <w:rsid w:val="005C4F5C"/>
    <w:rsid w:val="005C6711"/>
    <w:rsid w:val="005D0070"/>
    <w:rsid w:val="005D07DD"/>
    <w:rsid w:val="005D7150"/>
    <w:rsid w:val="005E1580"/>
    <w:rsid w:val="005E650D"/>
    <w:rsid w:val="005E7CFB"/>
    <w:rsid w:val="005F056E"/>
    <w:rsid w:val="005F065D"/>
    <w:rsid w:val="005F07E8"/>
    <w:rsid w:val="005F08E6"/>
    <w:rsid w:val="005F19A7"/>
    <w:rsid w:val="005F1B7F"/>
    <w:rsid w:val="005F1DA2"/>
    <w:rsid w:val="005F2033"/>
    <w:rsid w:val="005F2551"/>
    <w:rsid w:val="005F4348"/>
    <w:rsid w:val="005F4FE3"/>
    <w:rsid w:val="005F5E9F"/>
    <w:rsid w:val="005F610F"/>
    <w:rsid w:val="005F701B"/>
    <w:rsid w:val="005F705F"/>
    <w:rsid w:val="005F7ACD"/>
    <w:rsid w:val="00601D01"/>
    <w:rsid w:val="00605F37"/>
    <w:rsid w:val="00610D19"/>
    <w:rsid w:val="006111CB"/>
    <w:rsid w:val="006130D2"/>
    <w:rsid w:val="0061503F"/>
    <w:rsid w:val="00616AA4"/>
    <w:rsid w:val="00617010"/>
    <w:rsid w:val="00617483"/>
    <w:rsid w:val="006218E4"/>
    <w:rsid w:val="00622066"/>
    <w:rsid w:val="006222CD"/>
    <w:rsid w:val="0062290B"/>
    <w:rsid w:val="00623AC7"/>
    <w:rsid w:val="00624BB4"/>
    <w:rsid w:val="006258EB"/>
    <w:rsid w:val="006261BA"/>
    <w:rsid w:val="00627683"/>
    <w:rsid w:val="00627BCF"/>
    <w:rsid w:val="00627E33"/>
    <w:rsid w:val="00631C80"/>
    <w:rsid w:val="00632D05"/>
    <w:rsid w:val="00633508"/>
    <w:rsid w:val="0063508B"/>
    <w:rsid w:val="0064072F"/>
    <w:rsid w:val="00640C75"/>
    <w:rsid w:val="00645220"/>
    <w:rsid w:val="006464A0"/>
    <w:rsid w:val="00646961"/>
    <w:rsid w:val="0065149F"/>
    <w:rsid w:val="006524E9"/>
    <w:rsid w:val="006526B6"/>
    <w:rsid w:val="00653295"/>
    <w:rsid w:val="0065732E"/>
    <w:rsid w:val="006577AF"/>
    <w:rsid w:val="00657D5A"/>
    <w:rsid w:val="00657DF9"/>
    <w:rsid w:val="00660755"/>
    <w:rsid w:val="00660992"/>
    <w:rsid w:val="00660CE0"/>
    <w:rsid w:val="00661128"/>
    <w:rsid w:val="00662A4F"/>
    <w:rsid w:val="00662C01"/>
    <w:rsid w:val="0066330A"/>
    <w:rsid w:val="00663636"/>
    <w:rsid w:val="00664032"/>
    <w:rsid w:val="0066503D"/>
    <w:rsid w:val="006665BA"/>
    <w:rsid w:val="00667E07"/>
    <w:rsid w:val="00667FF2"/>
    <w:rsid w:val="00671BDA"/>
    <w:rsid w:val="00674FA9"/>
    <w:rsid w:val="00675DA0"/>
    <w:rsid w:val="00675EF8"/>
    <w:rsid w:val="00677A2F"/>
    <w:rsid w:val="0068198C"/>
    <w:rsid w:val="00681E03"/>
    <w:rsid w:val="00681F67"/>
    <w:rsid w:val="00683C8A"/>
    <w:rsid w:val="006871EE"/>
    <w:rsid w:val="00687BCB"/>
    <w:rsid w:val="00690F8F"/>
    <w:rsid w:val="00692772"/>
    <w:rsid w:val="006930C8"/>
    <w:rsid w:val="00694535"/>
    <w:rsid w:val="00695314"/>
    <w:rsid w:val="00696353"/>
    <w:rsid w:val="00696457"/>
    <w:rsid w:val="006A0680"/>
    <w:rsid w:val="006A081B"/>
    <w:rsid w:val="006A1A09"/>
    <w:rsid w:val="006A1F52"/>
    <w:rsid w:val="006A317C"/>
    <w:rsid w:val="006A3F14"/>
    <w:rsid w:val="006A3F92"/>
    <w:rsid w:val="006A56BB"/>
    <w:rsid w:val="006A6FE3"/>
    <w:rsid w:val="006A79E2"/>
    <w:rsid w:val="006A7B3C"/>
    <w:rsid w:val="006B02F5"/>
    <w:rsid w:val="006B19DD"/>
    <w:rsid w:val="006B31FF"/>
    <w:rsid w:val="006B3391"/>
    <w:rsid w:val="006B492D"/>
    <w:rsid w:val="006B5EC2"/>
    <w:rsid w:val="006B7CE0"/>
    <w:rsid w:val="006C018B"/>
    <w:rsid w:val="006C1031"/>
    <w:rsid w:val="006C1247"/>
    <w:rsid w:val="006C54EE"/>
    <w:rsid w:val="006C5BDC"/>
    <w:rsid w:val="006C61F5"/>
    <w:rsid w:val="006C6307"/>
    <w:rsid w:val="006C67FD"/>
    <w:rsid w:val="006D1832"/>
    <w:rsid w:val="006D280F"/>
    <w:rsid w:val="006D35EF"/>
    <w:rsid w:val="006D4AD9"/>
    <w:rsid w:val="006D7C60"/>
    <w:rsid w:val="006E0A41"/>
    <w:rsid w:val="006E1275"/>
    <w:rsid w:val="006E1CCC"/>
    <w:rsid w:val="006E2118"/>
    <w:rsid w:val="006E28CB"/>
    <w:rsid w:val="006E2F9D"/>
    <w:rsid w:val="006E2FC8"/>
    <w:rsid w:val="006E3F17"/>
    <w:rsid w:val="006E45D9"/>
    <w:rsid w:val="006E5320"/>
    <w:rsid w:val="006E701E"/>
    <w:rsid w:val="006E751C"/>
    <w:rsid w:val="006F267C"/>
    <w:rsid w:val="006F3993"/>
    <w:rsid w:val="006F67FA"/>
    <w:rsid w:val="006F6B2A"/>
    <w:rsid w:val="00704811"/>
    <w:rsid w:val="00706596"/>
    <w:rsid w:val="007116B0"/>
    <w:rsid w:val="007118A3"/>
    <w:rsid w:val="00712575"/>
    <w:rsid w:val="007148C3"/>
    <w:rsid w:val="00714F5A"/>
    <w:rsid w:val="007153EE"/>
    <w:rsid w:val="007162EC"/>
    <w:rsid w:val="00716689"/>
    <w:rsid w:val="00716B8F"/>
    <w:rsid w:val="00717E7C"/>
    <w:rsid w:val="0072047F"/>
    <w:rsid w:val="00722F7C"/>
    <w:rsid w:val="00724BBD"/>
    <w:rsid w:val="007267F3"/>
    <w:rsid w:val="007279F8"/>
    <w:rsid w:val="0073000F"/>
    <w:rsid w:val="00730C50"/>
    <w:rsid w:val="00730EF9"/>
    <w:rsid w:val="00732200"/>
    <w:rsid w:val="00732A82"/>
    <w:rsid w:val="007332A1"/>
    <w:rsid w:val="007334BC"/>
    <w:rsid w:val="00733D13"/>
    <w:rsid w:val="00734642"/>
    <w:rsid w:val="00734DF0"/>
    <w:rsid w:val="00734E58"/>
    <w:rsid w:val="00735214"/>
    <w:rsid w:val="00744E5A"/>
    <w:rsid w:val="007458A7"/>
    <w:rsid w:val="0075088F"/>
    <w:rsid w:val="00751526"/>
    <w:rsid w:val="0075644A"/>
    <w:rsid w:val="00756D83"/>
    <w:rsid w:val="00760056"/>
    <w:rsid w:val="00763633"/>
    <w:rsid w:val="007649EE"/>
    <w:rsid w:val="007652C9"/>
    <w:rsid w:val="007654D6"/>
    <w:rsid w:val="00765F61"/>
    <w:rsid w:val="00767209"/>
    <w:rsid w:val="00770C75"/>
    <w:rsid w:val="00771E68"/>
    <w:rsid w:val="00772670"/>
    <w:rsid w:val="00774A2C"/>
    <w:rsid w:val="007778C4"/>
    <w:rsid w:val="00777932"/>
    <w:rsid w:val="00782AA4"/>
    <w:rsid w:val="007835F4"/>
    <w:rsid w:val="007844E9"/>
    <w:rsid w:val="00787DE8"/>
    <w:rsid w:val="007944C5"/>
    <w:rsid w:val="00794925"/>
    <w:rsid w:val="007950D2"/>
    <w:rsid w:val="00795AC7"/>
    <w:rsid w:val="00796EF2"/>
    <w:rsid w:val="00796F33"/>
    <w:rsid w:val="00797B09"/>
    <w:rsid w:val="007A22F8"/>
    <w:rsid w:val="007A2D4F"/>
    <w:rsid w:val="007A398A"/>
    <w:rsid w:val="007A3D8D"/>
    <w:rsid w:val="007A77CC"/>
    <w:rsid w:val="007B01C6"/>
    <w:rsid w:val="007B1E5E"/>
    <w:rsid w:val="007C01D7"/>
    <w:rsid w:val="007C052F"/>
    <w:rsid w:val="007C0DF1"/>
    <w:rsid w:val="007C1E7E"/>
    <w:rsid w:val="007C321F"/>
    <w:rsid w:val="007C336B"/>
    <w:rsid w:val="007C46B8"/>
    <w:rsid w:val="007C7CAA"/>
    <w:rsid w:val="007D0DEC"/>
    <w:rsid w:val="007D2C26"/>
    <w:rsid w:val="007D3CDD"/>
    <w:rsid w:val="007D3F24"/>
    <w:rsid w:val="007D65C6"/>
    <w:rsid w:val="007D782E"/>
    <w:rsid w:val="007E137E"/>
    <w:rsid w:val="007E1EA2"/>
    <w:rsid w:val="007E3C81"/>
    <w:rsid w:val="007E45BF"/>
    <w:rsid w:val="007E5071"/>
    <w:rsid w:val="007E652C"/>
    <w:rsid w:val="007E79A0"/>
    <w:rsid w:val="007F0AFB"/>
    <w:rsid w:val="007F6DEF"/>
    <w:rsid w:val="007F7295"/>
    <w:rsid w:val="00803017"/>
    <w:rsid w:val="008033F8"/>
    <w:rsid w:val="0080371B"/>
    <w:rsid w:val="00804548"/>
    <w:rsid w:val="00806BD4"/>
    <w:rsid w:val="00807301"/>
    <w:rsid w:val="00810B0D"/>
    <w:rsid w:val="00811FBA"/>
    <w:rsid w:val="00812271"/>
    <w:rsid w:val="00812A95"/>
    <w:rsid w:val="0081433E"/>
    <w:rsid w:val="0081542B"/>
    <w:rsid w:val="00816AAA"/>
    <w:rsid w:val="00816C20"/>
    <w:rsid w:val="008208A9"/>
    <w:rsid w:val="00820CBA"/>
    <w:rsid w:val="008273B9"/>
    <w:rsid w:val="00827FC0"/>
    <w:rsid w:val="0083284E"/>
    <w:rsid w:val="00833175"/>
    <w:rsid w:val="00834090"/>
    <w:rsid w:val="00836A0A"/>
    <w:rsid w:val="00837D8C"/>
    <w:rsid w:val="008417CF"/>
    <w:rsid w:val="00842393"/>
    <w:rsid w:val="00843132"/>
    <w:rsid w:val="00844C2E"/>
    <w:rsid w:val="00847196"/>
    <w:rsid w:val="00847CB5"/>
    <w:rsid w:val="00847FC8"/>
    <w:rsid w:val="008539DD"/>
    <w:rsid w:val="00854818"/>
    <w:rsid w:val="00854AF4"/>
    <w:rsid w:val="0085531C"/>
    <w:rsid w:val="00855BB6"/>
    <w:rsid w:val="00856C57"/>
    <w:rsid w:val="0086060C"/>
    <w:rsid w:val="00864303"/>
    <w:rsid w:val="00866B3F"/>
    <w:rsid w:val="00866CB6"/>
    <w:rsid w:val="008670C0"/>
    <w:rsid w:val="008719DF"/>
    <w:rsid w:val="00872F48"/>
    <w:rsid w:val="008736CD"/>
    <w:rsid w:val="00873C7C"/>
    <w:rsid w:val="00874DBB"/>
    <w:rsid w:val="0087547B"/>
    <w:rsid w:val="008767AD"/>
    <w:rsid w:val="00881023"/>
    <w:rsid w:val="00881C0F"/>
    <w:rsid w:val="00882669"/>
    <w:rsid w:val="00882C19"/>
    <w:rsid w:val="00882F3E"/>
    <w:rsid w:val="00883667"/>
    <w:rsid w:val="00884E2B"/>
    <w:rsid w:val="00885652"/>
    <w:rsid w:val="00885EE4"/>
    <w:rsid w:val="0088627F"/>
    <w:rsid w:val="008864B4"/>
    <w:rsid w:val="008875F5"/>
    <w:rsid w:val="00890516"/>
    <w:rsid w:val="0089103A"/>
    <w:rsid w:val="008917C4"/>
    <w:rsid w:val="00896FB4"/>
    <w:rsid w:val="00897B33"/>
    <w:rsid w:val="00897D5D"/>
    <w:rsid w:val="008A0026"/>
    <w:rsid w:val="008A0586"/>
    <w:rsid w:val="008A20E2"/>
    <w:rsid w:val="008A2C37"/>
    <w:rsid w:val="008A62A4"/>
    <w:rsid w:val="008B0D2C"/>
    <w:rsid w:val="008B0F30"/>
    <w:rsid w:val="008B1ADC"/>
    <w:rsid w:val="008B1FDD"/>
    <w:rsid w:val="008B38C7"/>
    <w:rsid w:val="008B4625"/>
    <w:rsid w:val="008B63D8"/>
    <w:rsid w:val="008B65C2"/>
    <w:rsid w:val="008B69A5"/>
    <w:rsid w:val="008B7A31"/>
    <w:rsid w:val="008B7DC0"/>
    <w:rsid w:val="008B7F7A"/>
    <w:rsid w:val="008C1057"/>
    <w:rsid w:val="008C6E2C"/>
    <w:rsid w:val="008D3EEA"/>
    <w:rsid w:val="008D4C32"/>
    <w:rsid w:val="008D50FA"/>
    <w:rsid w:val="008D612D"/>
    <w:rsid w:val="008D7A44"/>
    <w:rsid w:val="008E1E9B"/>
    <w:rsid w:val="008E2529"/>
    <w:rsid w:val="008F0B99"/>
    <w:rsid w:val="008F2097"/>
    <w:rsid w:val="008F3420"/>
    <w:rsid w:val="008F3B11"/>
    <w:rsid w:val="008F4C39"/>
    <w:rsid w:val="008F5166"/>
    <w:rsid w:val="008F57D9"/>
    <w:rsid w:val="008F5C49"/>
    <w:rsid w:val="008F76D1"/>
    <w:rsid w:val="008F7D09"/>
    <w:rsid w:val="008F7FBD"/>
    <w:rsid w:val="00900204"/>
    <w:rsid w:val="00905CAB"/>
    <w:rsid w:val="009077A4"/>
    <w:rsid w:val="00907C63"/>
    <w:rsid w:val="00910B74"/>
    <w:rsid w:val="00911080"/>
    <w:rsid w:val="009119CF"/>
    <w:rsid w:val="009119D3"/>
    <w:rsid w:val="00911AFA"/>
    <w:rsid w:val="00912A99"/>
    <w:rsid w:val="00914A27"/>
    <w:rsid w:val="00915E30"/>
    <w:rsid w:val="00916FEE"/>
    <w:rsid w:val="0092060D"/>
    <w:rsid w:val="009206EA"/>
    <w:rsid w:val="00921D03"/>
    <w:rsid w:val="00922905"/>
    <w:rsid w:val="00925C12"/>
    <w:rsid w:val="00930AE4"/>
    <w:rsid w:val="009326C9"/>
    <w:rsid w:val="00933B9D"/>
    <w:rsid w:val="00934948"/>
    <w:rsid w:val="00935D01"/>
    <w:rsid w:val="00937CFA"/>
    <w:rsid w:val="0094212E"/>
    <w:rsid w:val="00950205"/>
    <w:rsid w:val="00951B61"/>
    <w:rsid w:val="009539F9"/>
    <w:rsid w:val="009551D0"/>
    <w:rsid w:val="00956991"/>
    <w:rsid w:val="00957013"/>
    <w:rsid w:val="00960461"/>
    <w:rsid w:val="009621F0"/>
    <w:rsid w:val="00962999"/>
    <w:rsid w:val="00962EC3"/>
    <w:rsid w:val="0096402A"/>
    <w:rsid w:val="0096421A"/>
    <w:rsid w:val="00964BAB"/>
    <w:rsid w:val="00964C96"/>
    <w:rsid w:val="00965A4E"/>
    <w:rsid w:val="00966CF9"/>
    <w:rsid w:val="00967734"/>
    <w:rsid w:val="00971972"/>
    <w:rsid w:val="009729BC"/>
    <w:rsid w:val="009729EF"/>
    <w:rsid w:val="00975237"/>
    <w:rsid w:val="00976810"/>
    <w:rsid w:val="009804F8"/>
    <w:rsid w:val="00980980"/>
    <w:rsid w:val="0098132A"/>
    <w:rsid w:val="00982643"/>
    <w:rsid w:val="0098290F"/>
    <w:rsid w:val="0098337B"/>
    <w:rsid w:val="00984F7F"/>
    <w:rsid w:val="00986C40"/>
    <w:rsid w:val="00991003"/>
    <w:rsid w:val="00991933"/>
    <w:rsid w:val="00997C86"/>
    <w:rsid w:val="009A0443"/>
    <w:rsid w:val="009A0D42"/>
    <w:rsid w:val="009A3655"/>
    <w:rsid w:val="009A3E24"/>
    <w:rsid w:val="009A6525"/>
    <w:rsid w:val="009A6D57"/>
    <w:rsid w:val="009A6FAD"/>
    <w:rsid w:val="009A7A2D"/>
    <w:rsid w:val="009A7A41"/>
    <w:rsid w:val="009A7D0A"/>
    <w:rsid w:val="009B1DA5"/>
    <w:rsid w:val="009B4327"/>
    <w:rsid w:val="009B48F5"/>
    <w:rsid w:val="009B71CA"/>
    <w:rsid w:val="009B79E3"/>
    <w:rsid w:val="009B7FF3"/>
    <w:rsid w:val="009C02D3"/>
    <w:rsid w:val="009C0660"/>
    <w:rsid w:val="009C1647"/>
    <w:rsid w:val="009C20CC"/>
    <w:rsid w:val="009D12D9"/>
    <w:rsid w:val="009D65DC"/>
    <w:rsid w:val="009D6D92"/>
    <w:rsid w:val="009E1229"/>
    <w:rsid w:val="009E1246"/>
    <w:rsid w:val="009E1C41"/>
    <w:rsid w:val="009E22F0"/>
    <w:rsid w:val="009E26C1"/>
    <w:rsid w:val="009E5781"/>
    <w:rsid w:val="009F01F7"/>
    <w:rsid w:val="009F0740"/>
    <w:rsid w:val="009F2088"/>
    <w:rsid w:val="009F25EC"/>
    <w:rsid w:val="009F344F"/>
    <w:rsid w:val="009F4313"/>
    <w:rsid w:val="009F5441"/>
    <w:rsid w:val="009F5EF9"/>
    <w:rsid w:val="009F6A2D"/>
    <w:rsid w:val="009F7427"/>
    <w:rsid w:val="009F7CAA"/>
    <w:rsid w:val="00A0031B"/>
    <w:rsid w:val="00A00E69"/>
    <w:rsid w:val="00A02217"/>
    <w:rsid w:val="00A032BA"/>
    <w:rsid w:val="00A03304"/>
    <w:rsid w:val="00A121B8"/>
    <w:rsid w:val="00A130C7"/>
    <w:rsid w:val="00A14705"/>
    <w:rsid w:val="00A15414"/>
    <w:rsid w:val="00A15554"/>
    <w:rsid w:val="00A15A96"/>
    <w:rsid w:val="00A23704"/>
    <w:rsid w:val="00A23CEB"/>
    <w:rsid w:val="00A2540A"/>
    <w:rsid w:val="00A25A5F"/>
    <w:rsid w:val="00A25D7F"/>
    <w:rsid w:val="00A274B2"/>
    <w:rsid w:val="00A278D8"/>
    <w:rsid w:val="00A30303"/>
    <w:rsid w:val="00A32066"/>
    <w:rsid w:val="00A3403D"/>
    <w:rsid w:val="00A3566C"/>
    <w:rsid w:val="00A36F3B"/>
    <w:rsid w:val="00A37774"/>
    <w:rsid w:val="00A37D32"/>
    <w:rsid w:val="00A40A4C"/>
    <w:rsid w:val="00A411AE"/>
    <w:rsid w:val="00A41960"/>
    <w:rsid w:val="00A41D68"/>
    <w:rsid w:val="00A42552"/>
    <w:rsid w:val="00A434F1"/>
    <w:rsid w:val="00A44437"/>
    <w:rsid w:val="00A44DB1"/>
    <w:rsid w:val="00A4601C"/>
    <w:rsid w:val="00A46520"/>
    <w:rsid w:val="00A466BD"/>
    <w:rsid w:val="00A47428"/>
    <w:rsid w:val="00A4792B"/>
    <w:rsid w:val="00A50257"/>
    <w:rsid w:val="00A505E7"/>
    <w:rsid w:val="00A50DC9"/>
    <w:rsid w:val="00A52F55"/>
    <w:rsid w:val="00A538ED"/>
    <w:rsid w:val="00A556AD"/>
    <w:rsid w:val="00A608DE"/>
    <w:rsid w:val="00A60DC7"/>
    <w:rsid w:val="00A60F43"/>
    <w:rsid w:val="00A6333D"/>
    <w:rsid w:val="00A639AA"/>
    <w:rsid w:val="00A64046"/>
    <w:rsid w:val="00A64BD0"/>
    <w:rsid w:val="00A6505A"/>
    <w:rsid w:val="00A6581B"/>
    <w:rsid w:val="00A67F3A"/>
    <w:rsid w:val="00A709BD"/>
    <w:rsid w:val="00A77B25"/>
    <w:rsid w:val="00A8014B"/>
    <w:rsid w:val="00A81131"/>
    <w:rsid w:val="00A81841"/>
    <w:rsid w:val="00A82A00"/>
    <w:rsid w:val="00A82F04"/>
    <w:rsid w:val="00A85001"/>
    <w:rsid w:val="00A8595B"/>
    <w:rsid w:val="00A86CEA"/>
    <w:rsid w:val="00A873BD"/>
    <w:rsid w:val="00A875E8"/>
    <w:rsid w:val="00A9066A"/>
    <w:rsid w:val="00A90828"/>
    <w:rsid w:val="00A90841"/>
    <w:rsid w:val="00A937F2"/>
    <w:rsid w:val="00A9669B"/>
    <w:rsid w:val="00A974B8"/>
    <w:rsid w:val="00AA1E89"/>
    <w:rsid w:val="00AA3121"/>
    <w:rsid w:val="00AA426E"/>
    <w:rsid w:val="00AA430B"/>
    <w:rsid w:val="00AA4475"/>
    <w:rsid w:val="00AA6DA1"/>
    <w:rsid w:val="00AB07D7"/>
    <w:rsid w:val="00AB0F38"/>
    <w:rsid w:val="00AB1686"/>
    <w:rsid w:val="00AB3450"/>
    <w:rsid w:val="00AC13DE"/>
    <w:rsid w:val="00AC1E24"/>
    <w:rsid w:val="00AC23CD"/>
    <w:rsid w:val="00AC6116"/>
    <w:rsid w:val="00AD0495"/>
    <w:rsid w:val="00AD1BD2"/>
    <w:rsid w:val="00AD1CD8"/>
    <w:rsid w:val="00AD2DAB"/>
    <w:rsid w:val="00AD34BB"/>
    <w:rsid w:val="00AD6421"/>
    <w:rsid w:val="00AD7FA6"/>
    <w:rsid w:val="00AE064A"/>
    <w:rsid w:val="00AE16E5"/>
    <w:rsid w:val="00AE1B69"/>
    <w:rsid w:val="00AE2EA0"/>
    <w:rsid w:val="00AE3C11"/>
    <w:rsid w:val="00AE5342"/>
    <w:rsid w:val="00AE6D44"/>
    <w:rsid w:val="00AF0A4F"/>
    <w:rsid w:val="00AF0C5A"/>
    <w:rsid w:val="00AF1EC1"/>
    <w:rsid w:val="00AF483B"/>
    <w:rsid w:val="00AF4EAC"/>
    <w:rsid w:val="00AF558D"/>
    <w:rsid w:val="00AF7077"/>
    <w:rsid w:val="00AF70D0"/>
    <w:rsid w:val="00B03411"/>
    <w:rsid w:val="00B03921"/>
    <w:rsid w:val="00B03FA8"/>
    <w:rsid w:val="00B06379"/>
    <w:rsid w:val="00B07885"/>
    <w:rsid w:val="00B07A2E"/>
    <w:rsid w:val="00B102D6"/>
    <w:rsid w:val="00B10F32"/>
    <w:rsid w:val="00B129EC"/>
    <w:rsid w:val="00B13D46"/>
    <w:rsid w:val="00B16F23"/>
    <w:rsid w:val="00B17FF5"/>
    <w:rsid w:val="00B24D4D"/>
    <w:rsid w:val="00B25D7E"/>
    <w:rsid w:val="00B308D5"/>
    <w:rsid w:val="00B35487"/>
    <w:rsid w:val="00B3606C"/>
    <w:rsid w:val="00B40783"/>
    <w:rsid w:val="00B41870"/>
    <w:rsid w:val="00B428FF"/>
    <w:rsid w:val="00B43DF1"/>
    <w:rsid w:val="00B44603"/>
    <w:rsid w:val="00B44F33"/>
    <w:rsid w:val="00B46A0A"/>
    <w:rsid w:val="00B46AC0"/>
    <w:rsid w:val="00B5048B"/>
    <w:rsid w:val="00B52B1D"/>
    <w:rsid w:val="00B5376A"/>
    <w:rsid w:val="00B5718E"/>
    <w:rsid w:val="00B60599"/>
    <w:rsid w:val="00B60E0E"/>
    <w:rsid w:val="00B62306"/>
    <w:rsid w:val="00B633C2"/>
    <w:rsid w:val="00B65142"/>
    <w:rsid w:val="00B66AE0"/>
    <w:rsid w:val="00B66E1C"/>
    <w:rsid w:val="00B74209"/>
    <w:rsid w:val="00B76229"/>
    <w:rsid w:val="00B76995"/>
    <w:rsid w:val="00B80157"/>
    <w:rsid w:val="00B8029F"/>
    <w:rsid w:val="00B81175"/>
    <w:rsid w:val="00B81656"/>
    <w:rsid w:val="00B841B6"/>
    <w:rsid w:val="00B864F0"/>
    <w:rsid w:val="00B91120"/>
    <w:rsid w:val="00B91406"/>
    <w:rsid w:val="00B9241B"/>
    <w:rsid w:val="00B92F65"/>
    <w:rsid w:val="00B930E0"/>
    <w:rsid w:val="00B94627"/>
    <w:rsid w:val="00BA0599"/>
    <w:rsid w:val="00BA1D84"/>
    <w:rsid w:val="00BA2726"/>
    <w:rsid w:val="00BA41C8"/>
    <w:rsid w:val="00BA508E"/>
    <w:rsid w:val="00BA69DA"/>
    <w:rsid w:val="00BA7704"/>
    <w:rsid w:val="00BB1B8F"/>
    <w:rsid w:val="00BB2C3E"/>
    <w:rsid w:val="00BB3095"/>
    <w:rsid w:val="00BB72D2"/>
    <w:rsid w:val="00BC4029"/>
    <w:rsid w:val="00BC5A99"/>
    <w:rsid w:val="00BC7497"/>
    <w:rsid w:val="00BC7498"/>
    <w:rsid w:val="00BD064B"/>
    <w:rsid w:val="00BD0E46"/>
    <w:rsid w:val="00BD0FC7"/>
    <w:rsid w:val="00BD1CE5"/>
    <w:rsid w:val="00BD1DE2"/>
    <w:rsid w:val="00BD2D76"/>
    <w:rsid w:val="00BD3B91"/>
    <w:rsid w:val="00BD43BA"/>
    <w:rsid w:val="00BD4B4C"/>
    <w:rsid w:val="00BD766D"/>
    <w:rsid w:val="00BE0736"/>
    <w:rsid w:val="00BE1719"/>
    <w:rsid w:val="00BE231D"/>
    <w:rsid w:val="00BE3E57"/>
    <w:rsid w:val="00BE4408"/>
    <w:rsid w:val="00BE4454"/>
    <w:rsid w:val="00BE4476"/>
    <w:rsid w:val="00BE501B"/>
    <w:rsid w:val="00BE65CD"/>
    <w:rsid w:val="00BE7374"/>
    <w:rsid w:val="00BE73B7"/>
    <w:rsid w:val="00BE746C"/>
    <w:rsid w:val="00BF28F7"/>
    <w:rsid w:val="00BF28FF"/>
    <w:rsid w:val="00BF3B44"/>
    <w:rsid w:val="00BF4DBA"/>
    <w:rsid w:val="00BF7082"/>
    <w:rsid w:val="00C0076F"/>
    <w:rsid w:val="00C02630"/>
    <w:rsid w:val="00C0331D"/>
    <w:rsid w:val="00C03618"/>
    <w:rsid w:val="00C0773E"/>
    <w:rsid w:val="00C120CC"/>
    <w:rsid w:val="00C12A92"/>
    <w:rsid w:val="00C12D12"/>
    <w:rsid w:val="00C14466"/>
    <w:rsid w:val="00C171CA"/>
    <w:rsid w:val="00C17316"/>
    <w:rsid w:val="00C17437"/>
    <w:rsid w:val="00C17866"/>
    <w:rsid w:val="00C17C08"/>
    <w:rsid w:val="00C22B7E"/>
    <w:rsid w:val="00C26055"/>
    <w:rsid w:val="00C260C8"/>
    <w:rsid w:val="00C26471"/>
    <w:rsid w:val="00C32FC6"/>
    <w:rsid w:val="00C333D2"/>
    <w:rsid w:val="00C358FD"/>
    <w:rsid w:val="00C417A7"/>
    <w:rsid w:val="00C4292A"/>
    <w:rsid w:val="00C44468"/>
    <w:rsid w:val="00C44941"/>
    <w:rsid w:val="00C46EDC"/>
    <w:rsid w:val="00C473A9"/>
    <w:rsid w:val="00C50ED1"/>
    <w:rsid w:val="00C52377"/>
    <w:rsid w:val="00C52873"/>
    <w:rsid w:val="00C53344"/>
    <w:rsid w:val="00C53A5F"/>
    <w:rsid w:val="00C54DBE"/>
    <w:rsid w:val="00C553F6"/>
    <w:rsid w:val="00C56188"/>
    <w:rsid w:val="00C566B6"/>
    <w:rsid w:val="00C611AB"/>
    <w:rsid w:val="00C62AEE"/>
    <w:rsid w:val="00C62E80"/>
    <w:rsid w:val="00C6326A"/>
    <w:rsid w:val="00C63AEC"/>
    <w:rsid w:val="00C65782"/>
    <w:rsid w:val="00C66106"/>
    <w:rsid w:val="00C6720C"/>
    <w:rsid w:val="00C70449"/>
    <w:rsid w:val="00C70E2D"/>
    <w:rsid w:val="00C71761"/>
    <w:rsid w:val="00C72325"/>
    <w:rsid w:val="00C72C73"/>
    <w:rsid w:val="00C746DE"/>
    <w:rsid w:val="00C7746B"/>
    <w:rsid w:val="00C81B84"/>
    <w:rsid w:val="00C82A32"/>
    <w:rsid w:val="00C83CDB"/>
    <w:rsid w:val="00C860DC"/>
    <w:rsid w:val="00C865C6"/>
    <w:rsid w:val="00C869AF"/>
    <w:rsid w:val="00C900F7"/>
    <w:rsid w:val="00C9074D"/>
    <w:rsid w:val="00C90D34"/>
    <w:rsid w:val="00C914A9"/>
    <w:rsid w:val="00C9177E"/>
    <w:rsid w:val="00C9186B"/>
    <w:rsid w:val="00C91A2C"/>
    <w:rsid w:val="00C91CA8"/>
    <w:rsid w:val="00C9344F"/>
    <w:rsid w:val="00C94EA1"/>
    <w:rsid w:val="00C94EE9"/>
    <w:rsid w:val="00C9536E"/>
    <w:rsid w:val="00C953F8"/>
    <w:rsid w:val="00C96238"/>
    <w:rsid w:val="00C96ADA"/>
    <w:rsid w:val="00CA09D5"/>
    <w:rsid w:val="00CA1137"/>
    <w:rsid w:val="00CA1FBD"/>
    <w:rsid w:val="00CA27AA"/>
    <w:rsid w:val="00CA5DDE"/>
    <w:rsid w:val="00CA6CD6"/>
    <w:rsid w:val="00CA705E"/>
    <w:rsid w:val="00CA76AD"/>
    <w:rsid w:val="00CB07D5"/>
    <w:rsid w:val="00CB090E"/>
    <w:rsid w:val="00CB346B"/>
    <w:rsid w:val="00CB7BC7"/>
    <w:rsid w:val="00CC4937"/>
    <w:rsid w:val="00CC6C3A"/>
    <w:rsid w:val="00CC76DF"/>
    <w:rsid w:val="00CD0403"/>
    <w:rsid w:val="00CD25DC"/>
    <w:rsid w:val="00CD2C49"/>
    <w:rsid w:val="00CD4081"/>
    <w:rsid w:val="00CD4378"/>
    <w:rsid w:val="00CD4965"/>
    <w:rsid w:val="00CD6258"/>
    <w:rsid w:val="00CD66E4"/>
    <w:rsid w:val="00CD76D4"/>
    <w:rsid w:val="00CE0FF6"/>
    <w:rsid w:val="00CE21CB"/>
    <w:rsid w:val="00CE378A"/>
    <w:rsid w:val="00CE67DA"/>
    <w:rsid w:val="00CE6B4F"/>
    <w:rsid w:val="00CF17DA"/>
    <w:rsid w:val="00CF49FC"/>
    <w:rsid w:val="00CF5E26"/>
    <w:rsid w:val="00CF6581"/>
    <w:rsid w:val="00CF681E"/>
    <w:rsid w:val="00CF6C03"/>
    <w:rsid w:val="00D00A0D"/>
    <w:rsid w:val="00D04DCE"/>
    <w:rsid w:val="00D06664"/>
    <w:rsid w:val="00D1069B"/>
    <w:rsid w:val="00D10FB2"/>
    <w:rsid w:val="00D11F88"/>
    <w:rsid w:val="00D123AB"/>
    <w:rsid w:val="00D13C6D"/>
    <w:rsid w:val="00D14085"/>
    <w:rsid w:val="00D200F4"/>
    <w:rsid w:val="00D240B6"/>
    <w:rsid w:val="00D248FD"/>
    <w:rsid w:val="00D24A27"/>
    <w:rsid w:val="00D27F6F"/>
    <w:rsid w:val="00D30857"/>
    <w:rsid w:val="00D319E4"/>
    <w:rsid w:val="00D3308A"/>
    <w:rsid w:val="00D4120A"/>
    <w:rsid w:val="00D424C5"/>
    <w:rsid w:val="00D43FCE"/>
    <w:rsid w:val="00D44239"/>
    <w:rsid w:val="00D468A0"/>
    <w:rsid w:val="00D47B8F"/>
    <w:rsid w:val="00D5070D"/>
    <w:rsid w:val="00D50D36"/>
    <w:rsid w:val="00D54D38"/>
    <w:rsid w:val="00D56150"/>
    <w:rsid w:val="00D60214"/>
    <w:rsid w:val="00D6030B"/>
    <w:rsid w:val="00D6098D"/>
    <w:rsid w:val="00D63075"/>
    <w:rsid w:val="00D65B1C"/>
    <w:rsid w:val="00D67F45"/>
    <w:rsid w:val="00D67F95"/>
    <w:rsid w:val="00D7174E"/>
    <w:rsid w:val="00D74B6A"/>
    <w:rsid w:val="00D773E6"/>
    <w:rsid w:val="00D80A99"/>
    <w:rsid w:val="00D819F0"/>
    <w:rsid w:val="00D82860"/>
    <w:rsid w:val="00D83672"/>
    <w:rsid w:val="00D839B2"/>
    <w:rsid w:val="00D83C85"/>
    <w:rsid w:val="00D852E8"/>
    <w:rsid w:val="00D8694D"/>
    <w:rsid w:val="00D86DC4"/>
    <w:rsid w:val="00D86E2F"/>
    <w:rsid w:val="00D904E4"/>
    <w:rsid w:val="00D928D8"/>
    <w:rsid w:val="00D944B2"/>
    <w:rsid w:val="00D95D4E"/>
    <w:rsid w:val="00D96322"/>
    <w:rsid w:val="00D96A16"/>
    <w:rsid w:val="00D971D1"/>
    <w:rsid w:val="00D97468"/>
    <w:rsid w:val="00DA04C8"/>
    <w:rsid w:val="00DA078D"/>
    <w:rsid w:val="00DA1FBE"/>
    <w:rsid w:val="00DA3C8E"/>
    <w:rsid w:val="00DA3EE5"/>
    <w:rsid w:val="00DA5EBE"/>
    <w:rsid w:val="00DA6A9F"/>
    <w:rsid w:val="00DA6E1B"/>
    <w:rsid w:val="00DA7851"/>
    <w:rsid w:val="00DB1068"/>
    <w:rsid w:val="00DB1BFF"/>
    <w:rsid w:val="00DB3987"/>
    <w:rsid w:val="00DB5A94"/>
    <w:rsid w:val="00DB608E"/>
    <w:rsid w:val="00DB6F7F"/>
    <w:rsid w:val="00DB7B1B"/>
    <w:rsid w:val="00DC5812"/>
    <w:rsid w:val="00DC5B17"/>
    <w:rsid w:val="00DC5F73"/>
    <w:rsid w:val="00DC686E"/>
    <w:rsid w:val="00DD17E3"/>
    <w:rsid w:val="00DD183F"/>
    <w:rsid w:val="00DD1D06"/>
    <w:rsid w:val="00DD267C"/>
    <w:rsid w:val="00DD2DF9"/>
    <w:rsid w:val="00DD47C4"/>
    <w:rsid w:val="00DD5239"/>
    <w:rsid w:val="00DD5C6E"/>
    <w:rsid w:val="00DD66E7"/>
    <w:rsid w:val="00DD6C2C"/>
    <w:rsid w:val="00DD73DA"/>
    <w:rsid w:val="00DD7956"/>
    <w:rsid w:val="00DE04A0"/>
    <w:rsid w:val="00DE2306"/>
    <w:rsid w:val="00DE2B2A"/>
    <w:rsid w:val="00DE36C0"/>
    <w:rsid w:val="00DE7DA2"/>
    <w:rsid w:val="00DF0883"/>
    <w:rsid w:val="00DF1E39"/>
    <w:rsid w:val="00DF4224"/>
    <w:rsid w:val="00DF4609"/>
    <w:rsid w:val="00DF74E5"/>
    <w:rsid w:val="00DF7B23"/>
    <w:rsid w:val="00E01241"/>
    <w:rsid w:val="00E014BA"/>
    <w:rsid w:val="00E0318A"/>
    <w:rsid w:val="00E03BC1"/>
    <w:rsid w:val="00E1024B"/>
    <w:rsid w:val="00E10DEA"/>
    <w:rsid w:val="00E13CD1"/>
    <w:rsid w:val="00E14A4D"/>
    <w:rsid w:val="00E15703"/>
    <w:rsid w:val="00E20CF8"/>
    <w:rsid w:val="00E20D2A"/>
    <w:rsid w:val="00E20E13"/>
    <w:rsid w:val="00E229B3"/>
    <w:rsid w:val="00E2321E"/>
    <w:rsid w:val="00E232E8"/>
    <w:rsid w:val="00E23509"/>
    <w:rsid w:val="00E23CF3"/>
    <w:rsid w:val="00E23EC3"/>
    <w:rsid w:val="00E27615"/>
    <w:rsid w:val="00E30536"/>
    <w:rsid w:val="00E3122D"/>
    <w:rsid w:val="00E35F93"/>
    <w:rsid w:val="00E36BBA"/>
    <w:rsid w:val="00E36E32"/>
    <w:rsid w:val="00E37469"/>
    <w:rsid w:val="00E41909"/>
    <w:rsid w:val="00E429C1"/>
    <w:rsid w:val="00E43FA3"/>
    <w:rsid w:val="00E4430A"/>
    <w:rsid w:val="00E447BA"/>
    <w:rsid w:val="00E45622"/>
    <w:rsid w:val="00E45782"/>
    <w:rsid w:val="00E47B24"/>
    <w:rsid w:val="00E52142"/>
    <w:rsid w:val="00E532AD"/>
    <w:rsid w:val="00E5710E"/>
    <w:rsid w:val="00E60654"/>
    <w:rsid w:val="00E60E94"/>
    <w:rsid w:val="00E61C6B"/>
    <w:rsid w:val="00E61E51"/>
    <w:rsid w:val="00E626C8"/>
    <w:rsid w:val="00E62C14"/>
    <w:rsid w:val="00E63218"/>
    <w:rsid w:val="00E63AD5"/>
    <w:rsid w:val="00E65E1F"/>
    <w:rsid w:val="00E66580"/>
    <w:rsid w:val="00E6673F"/>
    <w:rsid w:val="00E67B6A"/>
    <w:rsid w:val="00E70133"/>
    <w:rsid w:val="00E71754"/>
    <w:rsid w:val="00E71F74"/>
    <w:rsid w:val="00E72606"/>
    <w:rsid w:val="00E74763"/>
    <w:rsid w:val="00E74D8F"/>
    <w:rsid w:val="00E7503C"/>
    <w:rsid w:val="00E7522D"/>
    <w:rsid w:val="00E76D70"/>
    <w:rsid w:val="00E779F0"/>
    <w:rsid w:val="00E802BD"/>
    <w:rsid w:val="00E80DA6"/>
    <w:rsid w:val="00E812C6"/>
    <w:rsid w:val="00E81CA0"/>
    <w:rsid w:val="00E823E7"/>
    <w:rsid w:val="00E83820"/>
    <w:rsid w:val="00E83A9E"/>
    <w:rsid w:val="00E84044"/>
    <w:rsid w:val="00E848A0"/>
    <w:rsid w:val="00E85033"/>
    <w:rsid w:val="00E865D9"/>
    <w:rsid w:val="00E86EF8"/>
    <w:rsid w:val="00E9066C"/>
    <w:rsid w:val="00E96291"/>
    <w:rsid w:val="00EA2335"/>
    <w:rsid w:val="00EA2B50"/>
    <w:rsid w:val="00EA75D9"/>
    <w:rsid w:val="00EA7774"/>
    <w:rsid w:val="00EB168B"/>
    <w:rsid w:val="00EB2DA5"/>
    <w:rsid w:val="00EB44B8"/>
    <w:rsid w:val="00EB5B13"/>
    <w:rsid w:val="00EB5DAA"/>
    <w:rsid w:val="00EC4BB9"/>
    <w:rsid w:val="00EC645C"/>
    <w:rsid w:val="00EC673F"/>
    <w:rsid w:val="00ED1023"/>
    <w:rsid w:val="00ED152D"/>
    <w:rsid w:val="00ED1936"/>
    <w:rsid w:val="00ED77EF"/>
    <w:rsid w:val="00EE041C"/>
    <w:rsid w:val="00EE1D95"/>
    <w:rsid w:val="00EE2807"/>
    <w:rsid w:val="00EE4383"/>
    <w:rsid w:val="00EE452F"/>
    <w:rsid w:val="00EE4FA6"/>
    <w:rsid w:val="00EE655B"/>
    <w:rsid w:val="00EE6B3F"/>
    <w:rsid w:val="00EF0682"/>
    <w:rsid w:val="00EF0D00"/>
    <w:rsid w:val="00EF4A21"/>
    <w:rsid w:val="00EF7FB1"/>
    <w:rsid w:val="00F01022"/>
    <w:rsid w:val="00F0254C"/>
    <w:rsid w:val="00F04373"/>
    <w:rsid w:val="00F0664D"/>
    <w:rsid w:val="00F06CB3"/>
    <w:rsid w:val="00F10BB9"/>
    <w:rsid w:val="00F1180B"/>
    <w:rsid w:val="00F120B7"/>
    <w:rsid w:val="00F12439"/>
    <w:rsid w:val="00F13CA5"/>
    <w:rsid w:val="00F15580"/>
    <w:rsid w:val="00F16010"/>
    <w:rsid w:val="00F177E8"/>
    <w:rsid w:val="00F2154F"/>
    <w:rsid w:val="00F23D24"/>
    <w:rsid w:val="00F25D7C"/>
    <w:rsid w:val="00F26995"/>
    <w:rsid w:val="00F27EE0"/>
    <w:rsid w:val="00F347D4"/>
    <w:rsid w:val="00F358C6"/>
    <w:rsid w:val="00F35FCE"/>
    <w:rsid w:val="00F36A1B"/>
    <w:rsid w:val="00F42868"/>
    <w:rsid w:val="00F42D9B"/>
    <w:rsid w:val="00F43927"/>
    <w:rsid w:val="00F458B3"/>
    <w:rsid w:val="00F45C75"/>
    <w:rsid w:val="00F50413"/>
    <w:rsid w:val="00F508B7"/>
    <w:rsid w:val="00F51213"/>
    <w:rsid w:val="00F51657"/>
    <w:rsid w:val="00F5296C"/>
    <w:rsid w:val="00F531E3"/>
    <w:rsid w:val="00F548FC"/>
    <w:rsid w:val="00F54B02"/>
    <w:rsid w:val="00F54CAD"/>
    <w:rsid w:val="00F55D0C"/>
    <w:rsid w:val="00F560AB"/>
    <w:rsid w:val="00F56DCC"/>
    <w:rsid w:val="00F57C9A"/>
    <w:rsid w:val="00F60D4F"/>
    <w:rsid w:val="00F64279"/>
    <w:rsid w:val="00F64788"/>
    <w:rsid w:val="00F64A77"/>
    <w:rsid w:val="00F65193"/>
    <w:rsid w:val="00F65524"/>
    <w:rsid w:val="00F662D9"/>
    <w:rsid w:val="00F676E3"/>
    <w:rsid w:val="00F70724"/>
    <w:rsid w:val="00F71A72"/>
    <w:rsid w:val="00F77D68"/>
    <w:rsid w:val="00F77FA3"/>
    <w:rsid w:val="00F80238"/>
    <w:rsid w:val="00F813C6"/>
    <w:rsid w:val="00F81D2A"/>
    <w:rsid w:val="00F823C5"/>
    <w:rsid w:val="00F8292B"/>
    <w:rsid w:val="00F85630"/>
    <w:rsid w:val="00F928A9"/>
    <w:rsid w:val="00F93E9E"/>
    <w:rsid w:val="00F96EF8"/>
    <w:rsid w:val="00F9783E"/>
    <w:rsid w:val="00FA1732"/>
    <w:rsid w:val="00FA2737"/>
    <w:rsid w:val="00FA4CD6"/>
    <w:rsid w:val="00FA5B08"/>
    <w:rsid w:val="00FA5F4E"/>
    <w:rsid w:val="00FA69AB"/>
    <w:rsid w:val="00FA7644"/>
    <w:rsid w:val="00FA76AE"/>
    <w:rsid w:val="00FB03A1"/>
    <w:rsid w:val="00FB1653"/>
    <w:rsid w:val="00FB21C7"/>
    <w:rsid w:val="00FB3F1B"/>
    <w:rsid w:val="00FB4688"/>
    <w:rsid w:val="00FB4B99"/>
    <w:rsid w:val="00FB6188"/>
    <w:rsid w:val="00FB72E2"/>
    <w:rsid w:val="00FC0393"/>
    <w:rsid w:val="00FC0628"/>
    <w:rsid w:val="00FC1B22"/>
    <w:rsid w:val="00FC4CC9"/>
    <w:rsid w:val="00FC5F7D"/>
    <w:rsid w:val="00FC6A32"/>
    <w:rsid w:val="00FC72B1"/>
    <w:rsid w:val="00FC792D"/>
    <w:rsid w:val="00FD4F5B"/>
    <w:rsid w:val="00FD5237"/>
    <w:rsid w:val="00FD5995"/>
    <w:rsid w:val="00FD7CCA"/>
    <w:rsid w:val="00FE04F2"/>
    <w:rsid w:val="00FE0C35"/>
    <w:rsid w:val="00FE154C"/>
    <w:rsid w:val="00FE16CC"/>
    <w:rsid w:val="00FE326F"/>
    <w:rsid w:val="00FE48D6"/>
    <w:rsid w:val="00FE5D4A"/>
    <w:rsid w:val="00FE6113"/>
    <w:rsid w:val="00FE6657"/>
    <w:rsid w:val="00FE6D62"/>
    <w:rsid w:val="00FF0275"/>
    <w:rsid w:val="00FF1CF7"/>
    <w:rsid w:val="00FF26E7"/>
    <w:rsid w:val="00FF54BA"/>
    <w:rsid w:val="00FF6A48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5E5B3-3FBD-4C0E-B69C-403780BD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C7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ind w:left="19" w:right="22" w:firstLine="712"/>
      <w:jc w:val="both"/>
      <w:outlineLvl w:val="0"/>
    </w:pPr>
    <w:rPr>
      <w:b/>
      <w:snapToGrid w:val="0"/>
      <w:sz w:val="28"/>
      <w:szCs w:val="20"/>
    </w:rPr>
  </w:style>
  <w:style w:type="paragraph" w:styleId="2">
    <w:name w:val="heading 2"/>
    <w:basedOn w:val="a"/>
    <w:next w:val="a"/>
    <w:qFormat/>
    <w:pPr>
      <w:keepNext/>
      <w:widowControl w:val="0"/>
      <w:ind w:firstLine="206"/>
      <w:jc w:val="both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numPr>
        <w:numId w:val="1"/>
      </w:numPr>
      <w:jc w:val="both"/>
      <w:outlineLvl w:val="2"/>
    </w:pPr>
    <w:rPr>
      <w:b/>
      <w:sz w:val="1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  <w:tab w:val="left" w:pos="851"/>
      </w:tabs>
      <w:ind w:firstLine="709"/>
      <w:jc w:val="both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widowControl w:val="0"/>
      <w:ind w:firstLine="851"/>
      <w:jc w:val="both"/>
      <w:outlineLvl w:val="4"/>
    </w:pPr>
    <w:rPr>
      <w:b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pPr>
      <w:keepNext/>
      <w:widowControl w:val="0"/>
      <w:numPr>
        <w:numId w:val="2"/>
      </w:numPr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keepNext/>
      <w:spacing w:line="238" w:lineRule="auto"/>
      <w:ind w:firstLine="851"/>
      <w:jc w:val="both"/>
      <w:outlineLvl w:val="7"/>
    </w:pPr>
    <w:rPr>
      <w:b/>
      <w:color w:val="0000FF"/>
      <w:spacing w:val="-4"/>
      <w:u w:val="single"/>
    </w:rPr>
  </w:style>
  <w:style w:type="paragraph" w:styleId="9">
    <w:name w:val="heading 9"/>
    <w:basedOn w:val="a"/>
    <w:next w:val="a"/>
    <w:qFormat/>
    <w:pPr>
      <w:keepNext/>
      <w:ind w:right="-109" w:firstLine="1"/>
      <w:jc w:val="center"/>
      <w:outlineLvl w:val="8"/>
    </w:pPr>
    <w:rPr>
      <w:snapToGrid w:val="0"/>
      <w:color w:val="000000"/>
      <w:szCs w:val="20"/>
    </w:rPr>
  </w:style>
  <w:style w:type="character" w:default="1" w:styleId="a0">
    <w:name w:val="Default Paragraph Font"/>
    <w:aliases w:val=" Знак1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1"/>
    <w:basedOn w:val="a"/>
    <w:autoRedefine/>
    <w:rsid w:val="00D50D36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pPr>
      <w:jc w:val="both"/>
    </w:pPr>
    <w:rPr>
      <w:sz w:val="18"/>
      <w:szCs w:val="20"/>
    </w:rPr>
  </w:style>
  <w:style w:type="paragraph" w:styleId="a3">
    <w:name w:val="Title"/>
    <w:basedOn w:val="a"/>
    <w:link w:val="a4"/>
    <w:qFormat/>
    <w:pPr>
      <w:jc w:val="center"/>
    </w:pPr>
    <w:rPr>
      <w:b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lock Text"/>
    <w:basedOn w:val="a"/>
    <w:pPr>
      <w:tabs>
        <w:tab w:val="left" w:pos="993"/>
      </w:tabs>
      <w:ind w:left="34" w:right="238" w:firstLine="851"/>
      <w:jc w:val="both"/>
    </w:pPr>
    <w:rPr>
      <w:szCs w:val="20"/>
    </w:rPr>
  </w:style>
  <w:style w:type="paragraph" w:customStyle="1" w:styleId="xl25">
    <w:name w:val="xl2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styleId="a7">
    <w:name w:val="Body Text Indent"/>
    <w:basedOn w:val="a"/>
    <w:link w:val="a8"/>
    <w:pPr>
      <w:widowControl w:val="0"/>
      <w:jc w:val="both"/>
    </w:pPr>
    <w:rPr>
      <w:sz w:val="18"/>
      <w:szCs w:val="20"/>
    </w:rPr>
  </w:style>
  <w:style w:type="paragraph" w:styleId="a9">
    <w:name w:val="caption"/>
    <w:basedOn w:val="a"/>
    <w:qFormat/>
    <w:pPr>
      <w:jc w:val="center"/>
    </w:pPr>
    <w:rPr>
      <w:b/>
      <w:szCs w:val="20"/>
    </w:rPr>
  </w:style>
  <w:style w:type="paragraph" w:customStyle="1" w:styleId="TableText">
    <w:name w:val="TableText"/>
    <w:basedOn w:val="a"/>
    <w:pPr>
      <w:keepNext/>
      <w:tabs>
        <w:tab w:val="decimal" w:pos="454"/>
      </w:tabs>
      <w:spacing w:after="60"/>
    </w:pPr>
    <w:rPr>
      <w:rFonts w:ascii="Arial" w:hAnsi="Arial"/>
      <w:sz w:val="18"/>
      <w:szCs w:val="20"/>
      <w:lang w:val="en-GB"/>
    </w:rPr>
  </w:style>
  <w:style w:type="paragraph" w:styleId="30">
    <w:name w:val="Body Text Indent 3"/>
    <w:basedOn w:val="a"/>
    <w:pPr>
      <w:tabs>
        <w:tab w:val="num" w:pos="-108"/>
      </w:tabs>
      <w:ind w:left="34" w:firstLine="142"/>
      <w:jc w:val="both"/>
    </w:pPr>
    <w:rPr>
      <w:sz w:val="17"/>
      <w:szCs w:val="20"/>
    </w:rPr>
  </w:style>
  <w:style w:type="paragraph" w:styleId="aa">
    <w:name w:val="footnote text"/>
    <w:basedOn w:val="a"/>
    <w:link w:val="ab"/>
    <w:semiHidden/>
    <w:rPr>
      <w:sz w:val="20"/>
      <w:szCs w:val="20"/>
    </w:rPr>
  </w:style>
  <w:style w:type="paragraph" w:styleId="ac">
    <w:name w:val="annotation text"/>
    <w:basedOn w:val="a"/>
    <w:semiHidden/>
    <w:rPr>
      <w:sz w:val="20"/>
      <w:szCs w:val="20"/>
    </w:rPr>
  </w:style>
  <w:style w:type="paragraph" w:styleId="ad">
    <w:name w:val="Body Text"/>
    <w:basedOn w:val="a"/>
    <w:link w:val="ae"/>
    <w:pPr>
      <w:jc w:val="both"/>
    </w:pPr>
    <w:rPr>
      <w:sz w:val="20"/>
      <w:szCs w:val="20"/>
    </w:rPr>
  </w:style>
  <w:style w:type="paragraph" w:customStyle="1" w:styleId="xl26">
    <w:name w:val="xl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text-content">
    <w:name w:val="text-content"/>
    <w:basedOn w:val="a0"/>
  </w:style>
  <w:style w:type="paragraph" w:styleId="21">
    <w:name w:val="Body Text Indent 2"/>
    <w:basedOn w:val="a"/>
    <w:pPr>
      <w:widowControl w:val="0"/>
      <w:ind w:firstLine="176"/>
      <w:jc w:val="both"/>
    </w:pPr>
    <w:rPr>
      <w:snapToGrid w:val="0"/>
      <w:szCs w:val="20"/>
    </w:rPr>
  </w:style>
  <w:style w:type="character" w:styleId="af">
    <w:name w:val="page number"/>
    <w:basedOn w:val="a0"/>
  </w:style>
  <w:style w:type="paragraph" w:styleId="af0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Normal">
    <w:name w:val="Normal"/>
    <w:rPr>
      <w:snapToGrid w:val="0"/>
      <w:sz w:val="24"/>
    </w:rPr>
  </w:style>
  <w:style w:type="paragraph" w:customStyle="1" w:styleId="empty">
    <w:name w:val="empty"/>
    <w:basedOn w:val="a"/>
    <w:rPr>
      <w:rFonts w:ascii="Arial" w:hAnsi="Arial"/>
      <w:color w:val="FFFFFF"/>
      <w:sz w:val="20"/>
      <w:szCs w:val="20"/>
      <w:lang w:val="en-GB"/>
    </w:rPr>
  </w:style>
  <w:style w:type="paragraph" w:customStyle="1" w:styleId="xl24">
    <w:name w:val="xl24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8">
    <w:name w:val="xl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1">
    <w:name w:val="xl3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a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4">
    <w:name w:val="xl34"/>
    <w:basedOn w:val="a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6">
    <w:name w:val="xl36"/>
    <w:basedOn w:val="a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8">
    <w:name w:val="xl3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0">
    <w:name w:val="xl40"/>
    <w:basedOn w:val="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1">
    <w:name w:val="xl41"/>
    <w:basedOn w:val="a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2">
    <w:name w:val="xl42"/>
    <w:basedOn w:val="a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3">
    <w:name w:val="xl43"/>
    <w:basedOn w:val="a"/>
    <w:pPr>
      <w:pBdr>
        <w:left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4">
    <w:name w:val="xl44"/>
    <w:basedOn w:val="a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5">
    <w:name w:val="xl45"/>
    <w:basedOn w:val="a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6">
    <w:name w:val="xl46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7">
    <w:name w:val="xl47"/>
    <w:basedOn w:val="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styleId="af1">
    <w:name w:val="Balloon Text"/>
    <w:basedOn w:val="a"/>
    <w:semiHidden/>
    <w:rPr>
      <w:rFonts w:ascii="Tahoma" w:hAnsi="Tahoma" w:cs="Wingdings"/>
      <w:sz w:val="16"/>
      <w:szCs w:val="16"/>
    </w:rPr>
  </w:style>
  <w:style w:type="character" w:customStyle="1" w:styleId="pagetitle1">
    <w:name w:val="pagetitle1"/>
    <w:rPr>
      <w:b/>
      <w:bCs/>
      <w:caps/>
      <w:color w:val="1E5596"/>
      <w:sz w:val="24"/>
      <w:szCs w:val="24"/>
    </w:rPr>
  </w:style>
  <w:style w:type="paragraph" w:styleId="31">
    <w:name w:val="Body Text 3"/>
    <w:basedOn w:val="a"/>
    <w:pPr>
      <w:jc w:val="both"/>
    </w:p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character" w:customStyle="1" w:styleId="s00">
    <w:name w:val="s0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1">
    <w:name w:val="Автор1"/>
    <w:basedOn w:val="a"/>
    <w:pPr>
      <w:keepNext/>
      <w:spacing w:before="120" w:after="120"/>
    </w:pPr>
    <w:rPr>
      <w:bCs/>
      <w:i/>
    </w:rPr>
  </w:style>
  <w:style w:type="character" w:styleId="af3">
    <w:name w:val="Emphasis"/>
    <w:qFormat/>
    <w:rPr>
      <w:i/>
    </w:rPr>
  </w:style>
  <w:style w:type="paragraph" w:styleId="af4">
    <w:name w:val="endnote text"/>
    <w:basedOn w:val="a"/>
    <w:semiHidden/>
    <w:rPr>
      <w:sz w:val="20"/>
      <w:szCs w:val="20"/>
    </w:rPr>
  </w:style>
  <w:style w:type="paragraph" w:customStyle="1" w:styleId="af5">
    <w:name w:val="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table" w:styleId="af6">
    <w:name w:val="Table Grid"/>
    <w:basedOn w:val="a1"/>
    <w:rsid w:val="0030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 Знак Знак Знак1 Знак Знак Знак Знак Знак Знак"/>
    <w:basedOn w:val="a"/>
    <w:next w:val="2"/>
    <w:autoRedefine/>
    <w:rsid w:val="00B8029F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s1">
    <w:name w:val="s1"/>
    <w:rsid w:val="0071257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harCharCharChar">
    <w:name w:val=" Char Char Знак Char Char"/>
    <w:basedOn w:val="a"/>
    <w:next w:val="2"/>
    <w:autoRedefine/>
    <w:rsid w:val="0071257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af7">
    <w:name w:val="Hyperlink"/>
    <w:rsid w:val="001D0F68"/>
    <w:rPr>
      <w:color w:val="0000FF"/>
      <w:u w:val="single"/>
    </w:rPr>
  </w:style>
  <w:style w:type="paragraph" w:styleId="af8">
    <w:name w:val="Normal (Web)"/>
    <w:basedOn w:val="a"/>
    <w:rsid w:val="001D0F68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13">
    <w:name w:val="Обычный1"/>
    <w:rsid w:val="00113506"/>
    <w:pPr>
      <w:widowControl w:val="0"/>
      <w:autoSpaceDE w:val="0"/>
      <w:autoSpaceDN w:val="0"/>
    </w:pPr>
  </w:style>
  <w:style w:type="paragraph" w:customStyle="1" w:styleId="af9">
    <w:name w:val="Знак"/>
    <w:basedOn w:val="a"/>
    <w:autoRedefine/>
    <w:rsid w:val="006E751C"/>
    <w:pPr>
      <w:spacing w:after="160" w:line="240" w:lineRule="exact"/>
    </w:pPr>
    <w:rPr>
      <w:sz w:val="28"/>
      <w:szCs w:val="20"/>
      <w:lang w:val="en-US" w:eastAsia="en-US"/>
    </w:rPr>
  </w:style>
  <w:style w:type="character" w:styleId="afa">
    <w:name w:val="FollowedHyperlink"/>
    <w:rsid w:val="0017558A"/>
    <w:rPr>
      <w:color w:val="800080"/>
      <w:u w:val="single"/>
    </w:rPr>
  </w:style>
  <w:style w:type="character" w:styleId="afb">
    <w:name w:val="Strong"/>
    <w:qFormat/>
    <w:rsid w:val="0017558A"/>
    <w:rPr>
      <w:b/>
      <w:bCs/>
    </w:rPr>
  </w:style>
  <w:style w:type="table" w:styleId="afc">
    <w:name w:val="Table Elegant"/>
    <w:basedOn w:val="a1"/>
    <w:rsid w:val="002B30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0">
    <w:name w:val=" Char Char Знак Знак Char Char Знак"/>
    <w:basedOn w:val="a"/>
    <w:autoRedefine/>
    <w:rsid w:val="00E1570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d">
    <w:name w:val="Основной шрифт абзаца Знак"/>
    <w:aliases w:val=" Знак Знак,Знак Знак"/>
    <w:basedOn w:val="a"/>
    <w:autoRedefine/>
    <w:rsid w:val="00A3403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e12">
    <w:name w:val="Основной тек—e1т 2"/>
    <w:basedOn w:val="a"/>
    <w:rsid w:val="00854AF4"/>
    <w:pPr>
      <w:widowControl w:val="0"/>
      <w:tabs>
        <w:tab w:val="left" w:pos="993"/>
      </w:tabs>
      <w:spacing w:line="288" w:lineRule="auto"/>
      <w:ind w:firstLine="720"/>
      <w:jc w:val="both"/>
    </w:pPr>
    <w:rPr>
      <w:snapToGrid w:val="0"/>
      <w:sz w:val="28"/>
      <w:szCs w:val="20"/>
    </w:rPr>
  </w:style>
  <w:style w:type="paragraph" w:customStyle="1" w:styleId="BodyText2">
    <w:name w:val="Body Text 2"/>
    <w:basedOn w:val="a"/>
    <w:rsid w:val="005E1580"/>
    <w:pPr>
      <w:ind w:firstLine="720"/>
      <w:jc w:val="both"/>
    </w:pPr>
    <w:rPr>
      <w:rFonts w:ascii="Times New Roman KZ" w:hAnsi="Times New Roman KZ"/>
      <w:noProof/>
      <w:sz w:val="28"/>
      <w:szCs w:val="20"/>
      <w:lang w:eastAsia="ja-JP"/>
    </w:rPr>
  </w:style>
  <w:style w:type="paragraph" w:customStyle="1" w:styleId="14">
    <w:name w:val="Стиль1"/>
    <w:basedOn w:val="a3"/>
    <w:rsid w:val="00545640"/>
    <w:pPr>
      <w:jc w:val="both"/>
    </w:pPr>
    <w:rPr>
      <w:sz w:val="28"/>
    </w:rPr>
  </w:style>
  <w:style w:type="paragraph" w:customStyle="1" w:styleId="afe">
    <w:name w:val=" Знак Знак Знак Знак"/>
    <w:basedOn w:val="a"/>
    <w:autoRedefine/>
    <w:rsid w:val="0014392F"/>
    <w:pPr>
      <w:spacing w:after="160" w:line="240" w:lineRule="exact"/>
    </w:pPr>
    <w:rPr>
      <w:sz w:val="28"/>
      <w:szCs w:val="20"/>
      <w:lang w:val="en-US" w:eastAsia="en-US"/>
    </w:rPr>
  </w:style>
  <w:style w:type="character" w:styleId="aff">
    <w:name w:val="annotation reference"/>
    <w:semiHidden/>
    <w:rsid w:val="00DB3987"/>
    <w:rPr>
      <w:sz w:val="16"/>
      <w:szCs w:val="16"/>
    </w:rPr>
  </w:style>
  <w:style w:type="paragraph" w:styleId="aff0">
    <w:name w:val="annotation subject"/>
    <w:basedOn w:val="ac"/>
    <w:next w:val="ac"/>
    <w:semiHidden/>
    <w:rsid w:val="00DB3987"/>
    <w:rPr>
      <w:b/>
      <w:bCs/>
    </w:rPr>
  </w:style>
  <w:style w:type="paragraph" w:customStyle="1" w:styleId="110">
    <w:name w:val=" Знак Знак Знак Знак1 Знак Знак Знак Знак Знак Знак Знак Знак1 Знак"/>
    <w:basedOn w:val="a"/>
    <w:next w:val="2"/>
    <w:link w:val="a0"/>
    <w:autoRedefine/>
    <w:rsid w:val="00617010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highlighthighlightactive">
    <w:name w:val="highlight highlight_active"/>
    <w:basedOn w:val="a0"/>
    <w:rsid w:val="00CA76AD"/>
  </w:style>
  <w:style w:type="paragraph" w:customStyle="1" w:styleId="210">
    <w:name w:val="Основной текст 21"/>
    <w:basedOn w:val="a"/>
    <w:rsid w:val="000D4747"/>
    <w:pPr>
      <w:jc w:val="center"/>
    </w:pPr>
    <w:rPr>
      <w:snapToGrid w:val="0"/>
      <w:sz w:val="28"/>
      <w:szCs w:val="20"/>
    </w:rPr>
  </w:style>
  <w:style w:type="paragraph" w:customStyle="1" w:styleId="15">
    <w:name w:val="Знак Знак Знак1 Знак Знак Знак Знак Знак Знак"/>
    <w:basedOn w:val="a"/>
    <w:next w:val="2"/>
    <w:autoRedefine/>
    <w:rsid w:val="0041226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google-src-text">
    <w:name w:val="google-src-text"/>
    <w:basedOn w:val="a0"/>
    <w:rsid w:val="00EB44B8"/>
  </w:style>
  <w:style w:type="paragraph" w:customStyle="1" w:styleId="Default">
    <w:name w:val="Default"/>
    <w:rsid w:val="00C723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0">
    <w:name w:val="s0"/>
    <w:rsid w:val="006A1F5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f1">
    <w:name w:val=" Знак Знак Знак Знак Знак Знак"/>
    <w:basedOn w:val="a"/>
    <w:autoRedefine/>
    <w:rsid w:val="009A7A2D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rvts220116">
    <w:name w:val="rvts2_20116"/>
    <w:rsid w:val="008F5C49"/>
  </w:style>
  <w:style w:type="character" w:customStyle="1" w:styleId="60">
    <w:name w:val="Заголовок 6 Знак"/>
    <w:link w:val="6"/>
    <w:rsid w:val="002E0AD7"/>
    <w:rPr>
      <w:b/>
    </w:rPr>
  </w:style>
  <w:style w:type="character" w:customStyle="1" w:styleId="a4">
    <w:name w:val="Заголовок Знак"/>
    <w:link w:val="a3"/>
    <w:rsid w:val="002E0AD7"/>
    <w:rPr>
      <w:b/>
      <w:sz w:val="24"/>
    </w:rPr>
  </w:style>
  <w:style w:type="character" w:customStyle="1" w:styleId="a8">
    <w:name w:val="Основной текст с отступом Знак"/>
    <w:link w:val="a7"/>
    <w:rsid w:val="002E0AD7"/>
    <w:rPr>
      <w:sz w:val="18"/>
    </w:rPr>
  </w:style>
  <w:style w:type="character" w:customStyle="1" w:styleId="ab">
    <w:name w:val="Текст сноски Знак"/>
    <w:link w:val="aa"/>
    <w:semiHidden/>
    <w:rsid w:val="00E60E94"/>
  </w:style>
  <w:style w:type="character" w:customStyle="1" w:styleId="ae">
    <w:name w:val="Основной текст Знак"/>
    <w:link w:val="ad"/>
    <w:rsid w:val="0035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8">
      <w:bodyDiv w:val="1"/>
      <w:marLeft w:val="105"/>
      <w:marRight w:val="105"/>
      <w:marTop w:val="105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4587">
          <w:marLeft w:val="176"/>
          <w:marRight w:val="176"/>
          <w:marTop w:val="35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hart" Target="charts/chart11.xml"/><Relationship Id="rId7" Type="http://schemas.openxmlformats.org/officeDocument/2006/relationships/chart" Target="charts/chart1.xml"/><Relationship Id="rId12" Type="http://schemas.openxmlformats.org/officeDocument/2006/relationships/image" Target="media/image1.wmf"/><Relationship Id="rId17" Type="http://schemas.openxmlformats.org/officeDocument/2006/relationships/image" Target="media/image2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3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9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6.xml"/><Relationship Id="rId22" Type="http://schemas.openxmlformats.org/officeDocument/2006/relationships/chart" Target="charts/chart1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379746835443035E-2"/>
          <c:y val="0.16370106761565836"/>
          <c:w val="0.90189873417721522"/>
          <c:h val="0.6548042704626334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Төлемдер көлемі, млрд. теңге</c:v>
                </c:pt>
              </c:strCache>
            </c:strRef>
          </c:tx>
          <c:spPr>
            <a:solidFill>
              <a:srgbClr val="A6CAF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5.8544303797468354E-2"/>
                  <c:y val="0.6405693950177936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95-489E-835F-BCEB9DD8EB7C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4715189873417722"/>
                  <c:y val="0.5693950177935943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95-489E-835F-BCEB9DD8EB7C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3417721518987342"/>
                  <c:y val="0.4341637010676156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295-489E-835F-BCEB9DD8EB7C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2594936708860761"/>
                  <c:y val="0.2633451957295373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95-489E-835F-BCEB9DD8EB7C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2721518987341772"/>
                  <c:y val="0.266903914590747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95-489E-835F-BCEB9DD8EB7C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"/>
                  <c:y val="0.2064056939501779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95-489E-835F-BCEB9DD8EB7C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9177215189873422"/>
                  <c:y val="0.1352313167259786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295-489E-835F-BCEB9DD8EB7C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9145569620253167"/>
                  <c:y val="0.1174377224199288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95-489E-835F-BCEB9DD8EB7C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7689873417721522"/>
                  <c:y val="0.2491103202846975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295-489E-835F-BCEB9DD8EB7C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6234177215189878"/>
                  <c:y val="0.2989323843416369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95-489E-835F-BCEB9DD8EB7C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5"/>
                  <c:y val="0.7117437722419929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95-489E-835F-BCEB9DD8EB7C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1803797468354433"/>
                  <c:y val="0.7295373665480426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95-489E-835F-BCEB9DD8EB7C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3366FF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Sheet1!$B$2:$K$2</c:f>
              <c:numCache>
                <c:formatCode>#\ ##0.0</c:formatCode>
                <c:ptCount val="10"/>
                <c:pt idx="0">
                  <c:v>30044</c:v>
                </c:pt>
                <c:pt idx="1">
                  <c:v>51705.7</c:v>
                </c:pt>
                <c:pt idx="2">
                  <c:v>94707.1</c:v>
                </c:pt>
                <c:pt idx="3">
                  <c:v>143454.39999999999</c:v>
                </c:pt>
                <c:pt idx="4">
                  <c:v>141853.29999999999</c:v>
                </c:pt>
                <c:pt idx="5">
                  <c:v>159745.60000000001</c:v>
                </c:pt>
                <c:pt idx="6">
                  <c:v>187704.40090000001</c:v>
                </c:pt>
                <c:pt idx="7">
                  <c:v>192391.1</c:v>
                </c:pt>
                <c:pt idx="8">
                  <c:v>170706.9</c:v>
                </c:pt>
                <c:pt idx="9">
                  <c:v>159534.9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295-489E-835F-BCEB9DD8EB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221152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Төлемдер саны, мың транзакция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5.3797468354430382E-2"/>
                  <c:y val="0.3807829181494661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95-489E-835F-BCEB9DD8EB7C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3291139240506328"/>
                  <c:y val="0.2953736654804270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295-489E-835F-BCEB9DD8EB7C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3101265822784811"/>
                  <c:y val="0.2811387900355871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95-489E-835F-BCEB9DD8EB7C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2594936708860761"/>
                  <c:y val="0.3701067615658362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295-489E-835F-BCEB9DD8EB7C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1139240506329117"/>
                  <c:y val="0.3558718861209964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95-489E-835F-BCEB9DD8EB7C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316455696202533"/>
                  <c:y val="0.3309608540925266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295-489E-835F-BCEB9DD8EB7C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9493670886075944"/>
                  <c:y val="0.2775800711743772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95-489E-835F-BCEB9DD8EB7C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85126582278481"/>
                  <c:y val="0.2313167259786476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295-489E-835F-BCEB9DD8EB7C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8481012658227844"/>
                  <c:y val="0.1245551601423487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95-489E-835F-BCEB9DD8EB7C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7341772151898733"/>
                  <c:y val="0.1387900355871886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295-489E-835F-BCEB9DD8EB7C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3892405063291144"/>
                  <c:y val="3.9145907473309607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95-489E-835F-BCEB9DD8EB7C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05379746835443"/>
                  <c:y val="7.1174377224199285E-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295-489E-835F-BCEB9DD8EB7C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5601265822784811"/>
                  <c:y val="0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95-489E-835F-BCEB9DD8EB7C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Sheet1!$B$3:$K$3</c:f>
              <c:numCache>
                <c:formatCode>#\ ##0.0</c:formatCode>
                <c:ptCount val="10"/>
                <c:pt idx="0">
                  <c:v>17408.7</c:v>
                </c:pt>
                <c:pt idx="1">
                  <c:v>23221.7</c:v>
                </c:pt>
                <c:pt idx="2">
                  <c:v>24100.6</c:v>
                </c:pt>
                <c:pt idx="3">
                  <c:v>23598.7</c:v>
                </c:pt>
                <c:pt idx="4">
                  <c:v>24443</c:v>
                </c:pt>
                <c:pt idx="5">
                  <c:v>25924.400000000001</c:v>
                </c:pt>
                <c:pt idx="6">
                  <c:v>29709.7</c:v>
                </c:pt>
                <c:pt idx="7">
                  <c:v>31463.8</c:v>
                </c:pt>
                <c:pt idx="8">
                  <c:v>32352.3</c:v>
                </c:pt>
                <c:pt idx="9">
                  <c:v>32002.1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9295-489E-835F-BCEB9DD8EB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292221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00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млрд.теңге</a:t>
                </a:r>
              </a:p>
            </c:rich>
          </c:tx>
          <c:layout>
            <c:manualLayout>
              <c:xMode val="edge"/>
              <c:yMode val="edge"/>
              <c:x val="4.7468354430379748E-3"/>
              <c:y val="6.7615658362989328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21152"/>
        <c:crosses val="autoZero"/>
        <c:crossBetween val="between"/>
        <c:majorUnit val="50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3500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мың тр.</a:t>
                </a:r>
              </a:p>
            </c:rich>
          </c:tx>
          <c:layout>
            <c:manualLayout>
              <c:xMode val="edge"/>
              <c:yMode val="edge"/>
              <c:x val="0.93196202531645567"/>
              <c:y val="5.3380782918149468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5000"/>
      </c:valAx>
      <c:spPr>
        <a:noFill/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2658227848101267"/>
          <c:y val="0.91459074733096091"/>
          <c:w val="0.84651898734177211"/>
          <c:h val="7.4733096085409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973941368078175E-2"/>
          <c:y val="0.16417910447761194"/>
          <c:w val="0.91205211726384361"/>
          <c:h val="0.6455223880597015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Төлемдер көлемі,  млрд. теңгемен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5.7003257328990226E-2"/>
                  <c:y val="0.6119402985074626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70-4B8D-84A0-02BACB6E5CD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4006514657980457"/>
                  <c:y val="0.5373134328358208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70-4B8D-84A0-02BACB6E5CD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3289902280130292"/>
                  <c:y val="0.4738805970149253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70-4B8D-84A0-02BACB6E5CDB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2247557003257327"/>
                  <c:y val="0.4141791044776119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570-4B8D-84A0-02BACB6E5CDB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1856677524429969"/>
                  <c:y val="0.4216417910447761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570-4B8D-84A0-02BACB6E5CDB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651465798045603"/>
                  <c:y val="0.3656716417910447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70-4B8D-84A0-02BACB6E5CDB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9771986970684043"/>
                  <c:y val="0.2985074626865671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70-4B8D-84A0-02BACB6E5CDB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9543973941368076"/>
                  <c:y val="0.246268656716417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70-4B8D-84A0-02BACB6E5CDB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7850162866449513"/>
                  <c:y val="0.1865671641791044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70-4B8D-84A0-02BACB6E5CDB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7459283387622155"/>
                  <c:y val="0.2350746268656716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70-4B8D-84A0-02BACB6E5CDB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6824104234527687"/>
                  <c:y val="0.1567164179104477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70-4B8D-84A0-02BACB6E5CDB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4755700325732899"/>
                  <c:y val="0.1902985074626865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70-4B8D-84A0-02BACB6E5CDB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Sheet1!$B$2:$K$2</c:f>
              <c:numCache>
                <c:formatCode>#\ ##0.0</c:formatCode>
                <c:ptCount val="10"/>
                <c:pt idx="0">
                  <c:v>942.8</c:v>
                </c:pt>
                <c:pt idx="1">
                  <c:v>1448.1</c:v>
                </c:pt>
                <c:pt idx="2">
                  <c:v>1931.3</c:v>
                </c:pt>
                <c:pt idx="3">
                  <c:v>2305.9</c:v>
                </c:pt>
                <c:pt idx="4">
                  <c:v>2294.8000000000002</c:v>
                </c:pt>
                <c:pt idx="5">
                  <c:v>2742.3</c:v>
                </c:pt>
                <c:pt idx="6">
                  <c:v>3253.5</c:v>
                </c:pt>
                <c:pt idx="7">
                  <c:v>3724.7</c:v>
                </c:pt>
                <c:pt idx="8">
                  <c:v>4218.5</c:v>
                </c:pt>
                <c:pt idx="9">
                  <c:v>4313.7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570-4B8D-84A0-02BACB6E5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222400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Төлемдер саны, мың транзакциямен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4.8859934853420196E-2"/>
                  <c:y val="0.3582089552238805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570-4B8D-84A0-02BACB6E5CDB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4169381107491857"/>
                  <c:y val="0.2425373134328358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570-4B8D-84A0-02BACB6E5CDB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3615635179153094"/>
                  <c:y val="0.2276119402985074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570-4B8D-84A0-02BACB6E5CDB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2410423452768727"/>
                  <c:y val="0.253731343283582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570-4B8D-84A0-02BACB6E5CDB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1693811074918569"/>
                  <c:y val="0.2686567164179104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570-4B8D-84A0-02BACB6E5CDB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488599348534202"/>
                  <c:y val="0.2164179104477611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570-4B8D-84A0-02BACB6E5CDB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9446254071661242"/>
                  <c:y val="0.1492537313432835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570-4B8D-84A0-02BACB6E5CDB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824104234527687"/>
                  <c:y val="0.1156716417910447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570-4B8D-84A0-02BACB6E5CDB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7850162866449513"/>
                  <c:y val="0.104477611940298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570-4B8D-84A0-02BACB6E5CDB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6482084690553751"/>
                  <c:y val="0.1194029850746268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570-4B8D-84A0-02BACB6E5CDB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1009771986970682"/>
                  <c:y val="0.3917910447761194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570-4B8D-84A0-02BACB6E5CDB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736156351791531"/>
                  <c:y val="0.3283582089552238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570-4B8D-84A0-02BACB6E5CDB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2084690553745931"/>
                  <c:y val="0.2686567164179104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570-4B8D-84A0-02BACB6E5CDB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Sheet1!$B$3:$K$3</c:f>
              <c:numCache>
                <c:formatCode>#\ ##0.0</c:formatCode>
                <c:ptCount val="10"/>
                <c:pt idx="0">
                  <c:v>11212.1</c:v>
                </c:pt>
                <c:pt idx="1">
                  <c:v>15286.2</c:v>
                </c:pt>
                <c:pt idx="2">
                  <c:v>15807.4</c:v>
                </c:pt>
                <c:pt idx="3">
                  <c:v>15090.9</c:v>
                </c:pt>
                <c:pt idx="4">
                  <c:v>14847.9</c:v>
                </c:pt>
                <c:pt idx="5">
                  <c:v>15933.7</c:v>
                </c:pt>
                <c:pt idx="6">
                  <c:v>18251.400000000001</c:v>
                </c:pt>
                <c:pt idx="7">
                  <c:v>19635.599999999999</c:v>
                </c:pt>
                <c:pt idx="8">
                  <c:v>20067.7</c:v>
                </c:pt>
                <c:pt idx="9">
                  <c:v>19425.8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2570-4B8D-84A0-02BACB6E5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2922224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5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млрд.теңге</a:t>
                </a:r>
              </a:p>
            </c:rich>
          </c:tx>
          <c:layout>
            <c:manualLayout>
              <c:xMode val="edge"/>
              <c:yMode val="edge"/>
              <c:x val="4.8859934853420196E-2"/>
              <c:y val="2.9850746268656716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22400"/>
        <c:crosses val="autoZero"/>
        <c:crossBetween val="between"/>
        <c:majorUnit val="8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21000"/>
          <c:min val="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мың тр.</a:t>
                </a:r>
              </a:p>
            </c:rich>
          </c:tx>
          <c:layout>
            <c:manualLayout>
              <c:xMode val="edge"/>
              <c:yMode val="edge"/>
              <c:x val="0.9332247557003257"/>
              <c:y val="0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4000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0749185667752444"/>
          <c:y val="0.91044776119402981"/>
          <c:w val="0.86482084690553751"/>
          <c:h val="9.328358208955224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0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2013 жылғы қаңт.-қарашадағы сомалар аралығы бойынша БКЖ төлемдер санының өзгеру динамикасы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0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 </a:t>
            </a:r>
            <a:r>
              <a:rPr lang="ru-RU" sz="8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 </a:t>
            </a:r>
          </a:p>
        </c:rich>
      </c:tx>
      <c:layout>
        <c:manualLayout>
          <c:xMode val="edge"/>
          <c:yMode val="edge"/>
          <c:x val="0.21724137931034482"/>
          <c:y val="5.6179775280898875E-3"/>
        </c:manualLayout>
      </c:layout>
      <c:overlay val="0"/>
      <c:spPr>
        <a:noFill/>
        <a:ln w="2539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413793103448276"/>
          <c:y val="0.2752808988764045"/>
          <c:w val="0.87586206896551722"/>
          <c:h val="0.561797752808988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Кол-во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4137931034482759"/>
                  <c:y val="0.2471910112359550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86-4491-82A4-D1E7C8378CBF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3103448275862069"/>
                  <c:y val="0.4775280898876404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86-4491-82A4-D1E7C8378CBF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7241379310344828"/>
                  <c:y val="0.6067415730337079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86-4491-82A4-D1E7C8378CBF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0344827586206895"/>
                  <c:y val="0.584269662921348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86-4491-82A4-D1E7C8378CB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5862068965517238"/>
                  <c:y val="0.6404494382022472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86-4491-82A4-D1E7C8378CBF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86206896551724133"/>
                  <c:y val="0.617977528089887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86-4491-82A4-D1E7C8378CBF}"/>
                </c:ext>
              </c:extLst>
            </c:dLbl>
            <c:numFmt formatCode="#,##0.0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10 мыңға дейін</c:v>
                </c:pt>
                <c:pt idx="1">
                  <c:v>10 - 50 мың</c:v>
                </c:pt>
                <c:pt idx="2">
                  <c:v>50 - 100 мың</c:v>
                </c:pt>
                <c:pt idx="3">
                  <c:v>100 - 500 мың</c:v>
                </c:pt>
                <c:pt idx="4">
                  <c:v>500 мың-1 млн.</c:v>
                </c:pt>
                <c:pt idx="5">
                  <c:v>1 млн. астам</c:v>
                </c:pt>
              </c:strCache>
            </c:strRef>
          </c:cat>
          <c:val>
            <c:numRef>
              <c:f>Sheet1!$B$2:$B$7</c:f>
              <c:numCache>
                <c:formatCode>#,##0.00</c:formatCode>
                <c:ptCount val="6"/>
                <c:pt idx="0">
                  <c:v>10197.4</c:v>
                </c:pt>
                <c:pt idx="1">
                  <c:v>4436.7</c:v>
                </c:pt>
                <c:pt idx="2">
                  <c:v>1275.4000000000001</c:v>
                </c:pt>
                <c:pt idx="3">
                  <c:v>1951.6</c:v>
                </c:pt>
                <c:pt idx="4" formatCode="General">
                  <c:v>492</c:v>
                </c:pt>
                <c:pt idx="5">
                  <c:v>1072.8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186-4491-82A4-D1E7C8378C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2223648"/>
        <c:axId val="1"/>
      </c:lineChart>
      <c:catAx>
        <c:axId val="12922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2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мың  тр.</a:t>
                </a:r>
              </a:p>
            </c:rich>
          </c:tx>
          <c:layout>
            <c:manualLayout>
              <c:xMode val="edge"/>
              <c:yMode val="edge"/>
              <c:x val="0"/>
              <c:y val="0.12921348314606743"/>
            </c:manualLayout>
          </c:layout>
          <c:overlay val="0"/>
          <c:spPr>
            <a:noFill/>
            <a:ln w="25398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23648"/>
        <c:crosses val="autoZero"/>
        <c:crossBetween val="between"/>
        <c:majorUnit val="2000"/>
        <c:minorUnit val="200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2013 жылғы қаңт.-қарашадағы сомалар аралығы бойынша БКЖ төлемдер сомасының өзгеру динамикасы </a:t>
            </a:r>
          </a:p>
        </c:rich>
      </c:tx>
      <c:layout>
        <c:manualLayout>
          <c:xMode val="edge"/>
          <c:yMode val="edge"/>
          <c:x val="0.17241379310344829"/>
          <c:y val="5.6497175141242938E-3"/>
        </c:manualLayout>
      </c:layout>
      <c:overlay val="0"/>
      <c:spPr>
        <a:noFill/>
        <a:ln w="2539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9310344827586213E-2"/>
          <c:y val="0.25988700564971751"/>
          <c:w val="0.92068965517241375"/>
          <c:h val="0.5762711864406779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Сумма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103448275862069"/>
                  <c:y val="0.67796610169491522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2F-4958-BEF4-0F3580D1C01F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6551724137931032"/>
                  <c:y val="0.66666666666666663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2F-4958-BEF4-0F3580D1C01F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1724137931034483"/>
                  <c:y val="0.66101694915254239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2F-4958-BEF4-0F3580D1C01F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6206896551724139"/>
                  <c:y val="0.59887005649717517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2F-4958-BEF4-0F3580D1C01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7241379310344829"/>
                  <c:y val="0.53107344632768361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2F-4958-BEF4-0F3580D1C01F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80689655172413788"/>
                  <c:y val="0.15819209039548024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2F-4958-BEF4-0F3580D1C01F}"/>
                </c:ext>
              </c:extLst>
            </c:dLbl>
            <c:numFmt formatCode="#,##0.0_р_.;[Red]\-#,##0.0_р_.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10 мыңға дейін</c:v>
                </c:pt>
                <c:pt idx="1">
                  <c:v>10 - 50 мың</c:v>
                </c:pt>
                <c:pt idx="2">
                  <c:v>50 - 100 мың</c:v>
                </c:pt>
                <c:pt idx="3">
                  <c:v>100 - 500 мың</c:v>
                </c:pt>
                <c:pt idx="4">
                  <c:v>500 мың -1 млн.</c:v>
                </c:pt>
                <c:pt idx="5">
                  <c:v>1 млн.астам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34.299999999999997</c:v>
                </c:pt>
                <c:pt idx="1">
                  <c:v>104.7</c:v>
                </c:pt>
                <c:pt idx="2">
                  <c:v>91.8</c:v>
                </c:pt>
                <c:pt idx="3">
                  <c:v>451.1</c:v>
                </c:pt>
                <c:pt idx="4">
                  <c:v>356</c:v>
                </c:pt>
                <c:pt idx="5" formatCode="#,##0.00">
                  <c:v>3275.9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02F-4958-BEF4-0F3580D1C0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2220736"/>
        <c:axId val="1"/>
      </c:lineChart>
      <c:catAx>
        <c:axId val="1292220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34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млрд.теңге</a:t>
                </a:r>
              </a:p>
            </c:rich>
          </c:tx>
          <c:layout>
            <c:manualLayout>
              <c:xMode val="edge"/>
              <c:yMode val="edge"/>
              <c:x val="0"/>
              <c:y val="0.11299435028248588"/>
            </c:manualLayout>
          </c:layout>
          <c:overlay val="0"/>
          <c:spPr>
            <a:noFill/>
            <a:ln w="25398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20736"/>
        <c:crosses val="autoZero"/>
        <c:crossBetween val="between"/>
        <c:majorUnit val="600"/>
        <c:minorUnit val="100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544303797468356"/>
          <c:y val="6.5656565656565663E-2"/>
          <c:w val="0.62341772151898733"/>
          <c:h val="0.51010101010101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Орташа алынған кезеңдегі ТП сомасы,  млрд. теңге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Sheet1!$A$2:$A$12</c:f>
              <c:strCache>
                <c:ptCount val="11"/>
                <c:pt idx="0">
                  <c:v>қаңт</c:v>
                </c:pt>
                <c:pt idx="1">
                  <c:v>ақп</c:v>
                </c:pt>
                <c:pt idx="2">
                  <c:v>наур</c:v>
                </c:pt>
                <c:pt idx="3">
                  <c:v>сәуір</c:v>
                </c:pt>
                <c:pt idx="4">
                  <c:v>мам</c:v>
                </c:pt>
                <c:pt idx="5">
                  <c:v>маус</c:v>
                </c:pt>
                <c:pt idx="6">
                  <c:v>шілд</c:v>
                </c:pt>
                <c:pt idx="7">
                  <c:v>там</c:v>
                </c:pt>
                <c:pt idx="8">
                  <c:v>қырк</c:v>
                </c:pt>
                <c:pt idx="9">
                  <c:v>қаз</c:v>
                </c:pt>
                <c:pt idx="10">
                  <c:v>қар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4.2</c:v>
                </c:pt>
                <c:pt idx="1">
                  <c:v>4.7</c:v>
                </c:pt>
                <c:pt idx="2">
                  <c:v>4.0999999999999996</c:v>
                </c:pt>
                <c:pt idx="3">
                  <c:v>4.2</c:v>
                </c:pt>
                <c:pt idx="4">
                  <c:v>4.7</c:v>
                </c:pt>
                <c:pt idx="5">
                  <c:v>3.7</c:v>
                </c:pt>
                <c:pt idx="6">
                  <c:v>3.9</c:v>
                </c:pt>
                <c:pt idx="7">
                  <c:v>4.5999999999999996</c:v>
                </c:pt>
                <c:pt idx="8">
                  <c:v>3.8</c:v>
                </c:pt>
                <c:pt idx="9">
                  <c:v>3.9</c:v>
                </c:pt>
                <c:pt idx="1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45-4DB5-941A-472EB840E3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219072"/>
        <c:axId val="1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Кезеңде орташа алынған ААК 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Sheet1!$A$2:$A$12</c:f>
              <c:strCache>
                <c:ptCount val="11"/>
                <c:pt idx="0">
                  <c:v>қаңт</c:v>
                </c:pt>
                <c:pt idx="1">
                  <c:v>ақп</c:v>
                </c:pt>
                <c:pt idx="2">
                  <c:v>наур</c:v>
                </c:pt>
                <c:pt idx="3">
                  <c:v>сәуір</c:v>
                </c:pt>
                <c:pt idx="4">
                  <c:v>мам</c:v>
                </c:pt>
                <c:pt idx="5">
                  <c:v>маус</c:v>
                </c:pt>
                <c:pt idx="6">
                  <c:v>шілд</c:v>
                </c:pt>
                <c:pt idx="7">
                  <c:v>там</c:v>
                </c:pt>
                <c:pt idx="8">
                  <c:v>қырк</c:v>
                </c:pt>
                <c:pt idx="9">
                  <c:v>қаз</c:v>
                </c:pt>
                <c:pt idx="10">
                  <c:v>қар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3.4</c:v>
                </c:pt>
                <c:pt idx="1">
                  <c:v>3.7</c:v>
                </c:pt>
                <c:pt idx="2">
                  <c:v>4.8</c:v>
                </c:pt>
                <c:pt idx="3">
                  <c:v>4.5</c:v>
                </c:pt>
                <c:pt idx="4">
                  <c:v>4.5</c:v>
                </c:pt>
                <c:pt idx="5">
                  <c:v>5.6</c:v>
                </c:pt>
                <c:pt idx="6">
                  <c:v>5.4</c:v>
                </c:pt>
                <c:pt idx="7">
                  <c:v>4.4000000000000004</c:v>
                </c:pt>
                <c:pt idx="8">
                  <c:v>5.5</c:v>
                </c:pt>
                <c:pt idx="9">
                  <c:v>5.2</c:v>
                </c:pt>
                <c:pt idx="10">
                  <c:v>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45-4DB5-941A-472EB840E3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292219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5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19072"/>
        <c:crosses val="autoZero"/>
        <c:crossBetween val="between"/>
        <c:majorUnit val="1"/>
        <c:minorUnit val="1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numFmt formatCode="#,##0.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643097643097643E-2"/>
          <c:y val="0.15483870967741936"/>
          <c:w val="0.88888888888888884"/>
          <c:h val="0.554838709677419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КБР</c:v>
                </c:pt>
              </c:strCache>
            </c:strRef>
          </c:tx>
          <c:spPr>
            <a:solidFill>
              <a:srgbClr val="A6CAF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Sheet1!$B$1:$L$1</c:f>
              <c:strCache>
                <c:ptCount val="11"/>
                <c:pt idx="0">
                  <c:v>қаңт</c:v>
                </c:pt>
                <c:pt idx="1">
                  <c:v>ақп</c:v>
                </c:pt>
                <c:pt idx="2">
                  <c:v>наур</c:v>
                </c:pt>
                <c:pt idx="3">
                  <c:v>сәу</c:v>
                </c:pt>
                <c:pt idx="4">
                  <c:v>мам</c:v>
                </c:pt>
                <c:pt idx="5">
                  <c:v>маус</c:v>
                </c:pt>
                <c:pt idx="6">
                  <c:v>шілд</c:v>
                </c:pt>
                <c:pt idx="7">
                  <c:v>там</c:v>
                </c:pt>
                <c:pt idx="8">
                  <c:v>қырк</c:v>
                </c:pt>
                <c:pt idx="9">
                  <c:v>қаз</c:v>
                </c:pt>
                <c:pt idx="10">
                  <c:v>қараш</c:v>
                </c:pt>
              </c:strCache>
            </c:strRef>
          </c:cat>
          <c:val>
            <c:numRef>
              <c:f>Sheet1!$B$2:$L$2</c:f>
              <c:numCache>
                <c:formatCode>0.00%</c:formatCode>
                <c:ptCount val="11"/>
                <c:pt idx="0">
                  <c:v>1</c:v>
                </c:pt>
                <c:pt idx="1">
                  <c:v>0.99919999999999998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0.99829999999999997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95-4E34-8406-2C803DCDDC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1900048"/>
        <c:axId val="1"/>
      </c:barChart>
      <c:catAx>
        <c:axId val="1231900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.95000000116413696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"/>
          <c:min val="0.995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в %</a:t>
                </a:r>
              </a:p>
            </c:rich>
          </c:tx>
          <c:layout>
            <c:manualLayout>
              <c:xMode val="edge"/>
              <c:yMode val="edge"/>
              <c:x val="6.0606060606060608E-2"/>
              <c:y val="6.4516129032258064E-3"/>
            </c:manualLayout>
          </c:layout>
          <c:overlay val="0"/>
          <c:spPr>
            <a:noFill/>
            <a:ln w="25398">
              <a:noFill/>
            </a:ln>
          </c:spPr>
        </c:title>
        <c:numFmt formatCode="0.0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31900048"/>
        <c:crosses val="autoZero"/>
        <c:crossBetween val="between"/>
        <c:majorUnit val="2.5000000000000001E-3"/>
        <c:minorUnit val="4.0000000000000002E-4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748201438848921E-2"/>
          <c:y val="0.17467248908296942"/>
          <c:w val="0.89448441247002397"/>
          <c:h val="0.6157205240174672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Төлемдер көлемі</c:v>
                </c:pt>
              </c:strCache>
            </c:strRef>
          </c:tx>
          <c:spPr>
            <a:solidFill>
              <a:srgbClr val="A6CAF0"/>
            </a:solidFill>
            <a:ln w="12699">
              <a:solidFill>
                <a:srgbClr val="000000"/>
              </a:solidFill>
              <a:prstDash val="solid"/>
            </a:ln>
          </c:spPr>
          <c:invertIfNegative val="1"/>
          <c:dLbls>
            <c:dLbl>
              <c:idx val="0"/>
              <c:layout>
                <c:manualLayout>
                  <c:xMode val="edge"/>
                  <c:yMode val="edge"/>
                  <c:x val="0.11270983213429256"/>
                  <c:y val="0.2969432314410480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DF-490B-8742-8EC957B3F52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9016786570743403"/>
                  <c:y val="0.2270742358078602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DF-490B-8742-8EC957B3F527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6522781774580335"/>
                  <c:y val="0.2139737991266375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FDF-490B-8742-8EC957B3F527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4988009592326135"/>
                  <c:y val="0.2532751091703056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DF-490B-8742-8EC957B3F527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3932853717026379"/>
                  <c:y val="0.24454148471615719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DF-490B-8742-8EC957B3F527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70743405275779381"/>
                  <c:y val="0.23144104803493451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FDF-490B-8742-8EC957B3F527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83693045563549162"/>
                  <c:y val="0.1528384279475982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DF-490B-8742-8EC957B3F527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97841726618705038"/>
                  <c:y val="0.1266375545851528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DF-490B-8742-8EC957B3F527}"/>
                </c:ext>
              </c:extLst>
            </c:dLbl>
            <c:dLbl>
              <c:idx val="8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DF-490B-8742-8EC957B3F527}"/>
                </c:ext>
              </c:extLst>
            </c:dLbl>
            <c:dLbl>
              <c:idx val="9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DF-490B-8742-8EC957B3F527}"/>
                </c:ext>
              </c:extLst>
            </c:dLbl>
            <c:dLbl>
              <c:idx val="10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DF-490B-8742-8EC957B3F527}"/>
                </c:ext>
              </c:extLst>
            </c:dLbl>
            <c:dLbl>
              <c:idx val="11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FDF-490B-8742-8EC957B3F527}"/>
                </c:ext>
              </c:extLst>
            </c:dLbl>
            <c:numFmt formatCode="#,##0.0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 formatCode="mmm\-yy">
                  <c:v>41579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641.5</c:v>
                </c:pt>
                <c:pt idx="1">
                  <c:v>753.8</c:v>
                </c:pt>
                <c:pt idx="2">
                  <c:v>778.9</c:v>
                </c:pt>
                <c:pt idx="3">
                  <c:v>693</c:v>
                </c:pt>
                <c:pt idx="4">
                  <c:v>705.9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802060"/>
                  </a:solidFill>
                  <a:ln w="12699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C-7FDF-490B-8742-8EC957B3F5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217408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Төлемдер саны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079136690647482"/>
                  <c:y val="0.3668122270742358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FDF-490B-8742-8EC957B3F52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8776978417266186"/>
                  <c:y val="0.31877729257641924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FDF-490B-8742-8EC957B3F527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6762589928057552"/>
                  <c:y val="0.3013100436681222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FDF-490B-8742-8EC957B3F527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4988009592326135"/>
                  <c:y val="0.3668122270742358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FDF-490B-8742-8EC957B3F527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2494004796163067"/>
                  <c:y val="0.3362445414847161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FDF-490B-8742-8EC957B3F527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71702637889688248"/>
                  <c:y val="0.37554585152838427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FDF-490B-8742-8EC957B3F527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84652278177458029"/>
                  <c:y val="0.31877729257641924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FDF-490B-8742-8EC957B3F527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97362110311750605"/>
                  <c:y val="0.2620087336244541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FDF-490B-8742-8EC957B3F527}"/>
                </c:ext>
              </c:extLst>
            </c:dLbl>
            <c:dLbl>
              <c:idx val="8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FDF-490B-8742-8EC957B3F527}"/>
                </c:ext>
              </c:extLst>
            </c:dLbl>
            <c:dLbl>
              <c:idx val="9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FDF-490B-8742-8EC957B3F527}"/>
                </c:ext>
              </c:extLst>
            </c:dLbl>
            <c:dLbl>
              <c:idx val="10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FDF-490B-8742-8EC957B3F527}"/>
                </c:ext>
              </c:extLst>
            </c:dLbl>
            <c:dLbl>
              <c:idx val="11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7FDF-490B-8742-8EC957B3F527}"/>
                </c:ext>
              </c:extLst>
            </c:dLbl>
            <c:dLbl>
              <c:idx val="12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7FDF-490B-8742-8EC957B3F527}"/>
                </c:ext>
              </c:extLst>
            </c:dLbl>
            <c:numFmt formatCode="#,##0.0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80C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 formatCode="mmm\-yy">
                  <c:v>41579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104.1</c:v>
                </c:pt>
                <c:pt idx="1">
                  <c:v>119.3</c:v>
                </c:pt>
                <c:pt idx="2">
                  <c:v>127.4</c:v>
                </c:pt>
                <c:pt idx="3">
                  <c:v>131.1</c:v>
                </c:pt>
                <c:pt idx="4">
                  <c:v>141.6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7FDF-490B-8742-8EC957B3F5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2922174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млрд.теңге</a:t>
                </a:r>
              </a:p>
            </c:rich>
          </c:tx>
          <c:layout>
            <c:manualLayout>
              <c:xMode val="edge"/>
              <c:yMode val="edge"/>
              <c:x val="0"/>
              <c:y val="6.9868995633187769E-2"/>
            </c:manualLayout>
          </c:layout>
          <c:overlay val="0"/>
          <c:spPr>
            <a:noFill/>
            <a:ln w="25398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17408"/>
        <c:crosses val="autoZero"/>
        <c:crossBetween val="between"/>
        <c:majorUnit val="200"/>
        <c:minorUnit val="2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20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мың тр.</a:t>
                </a:r>
              </a:p>
            </c:rich>
          </c:tx>
          <c:layout>
            <c:manualLayout>
              <c:xMode val="edge"/>
              <c:yMode val="edge"/>
              <c:x val="0.90167865707434047"/>
              <c:y val="5.6768558951965066E-2"/>
            </c:manualLayout>
          </c:layout>
          <c:overlay val="0"/>
          <c:spPr>
            <a:noFill/>
            <a:ln w="25398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50"/>
        <c:minorUnit val="50"/>
      </c:valAx>
      <c:spPr>
        <a:noFill/>
        <a:ln w="25398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342925659472422"/>
          <c:y val="0.89082969432314407"/>
          <c:w val="0.78417266187050361"/>
          <c:h val="9.1703056768558958E-2"/>
        </c:manualLayout>
      </c:layout>
      <c:overlay val="0"/>
      <c:spPr>
        <a:solidFill>
          <a:srgbClr val="FFFFFF"/>
        </a:solidFill>
        <a:ln w="25398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90553745928335E-2"/>
          <c:y val="0.12211221122112212"/>
          <c:w val="0.84690553745928343"/>
          <c:h val="0.7029702970297029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Төлемдердің көлемі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8.3061889250814328E-2"/>
                  <c:y val="0.7095709570957096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60-4EB9-ABCB-65AF3036924E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6775244299674266"/>
                  <c:y val="0.6336633663366336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60-4EB9-ABCB-65AF3036924E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4755700325732899"/>
                  <c:y val="0.4323432343234323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F60-4EB9-ABCB-65AF3036924E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2410423452768727"/>
                  <c:y val="0.2673267326732673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60-4EB9-ABCB-65AF3036924E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1693811074918569"/>
                  <c:y val="0.2739273927392739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60-4EB9-ABCB-65AF3036924E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49837133550488599"/>
                  <c:y val="0.2079207920792079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F60-4EB9-ABCB-65AF3036924E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8143322475570036"/>
                  <c:y val="0.1089108910891089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F60-4EB9-ABCB-65AF3036924E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7426710097719866"/>
                  <c:y val="8.9108910891089105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60-4EB9-ABCB-65AF3036924E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5407166123778502"/>
                  <c:y val="0.161716171617161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F60-4EB9-ABCB-65AF3036924E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403908794788274"/>
                  <c:y val="0.2112211221122112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60-4EB9-ABCB-65AF3036924E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90716612377850159"/>
                  <c:y val="0.8877887788778877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60-4EB9-ABCB-65AF3036924E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99185667752442996"/>
                  <c:y val="0.9141914191419141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F60-4EB9-ABCB-65AF3036924E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3366FF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Sheet1!$B$2:$K$2</c:f>
              <c:numCache>
                <c:formatCode>#\ ##0.0</c:formatCode>
                <c:ptCount val="10"/>
                <c:pt idx="0">
                  <c:v>29101.200000000001</c:v>
                </c:pt>
                <c:pt idx="1">
                  <c:v>50257.599999999999</c:v>
                </c:pt>
                <c:pt idx="2">
                  <c:v>92775.8</c:v>
                </c:pt>
                <c:pt idx="3">
                  <c:v>141148.5</c:v>
                </c:pt>
                <c:pt idx="4">
                  <c:v>139558.5</c:v>
                </c:pt>
                <c:pt idx="5">
                  <c:v>157003.29999999999</c:v>
                </c:pt>
                <c:pt idx="6">
                  <c:v>184450.9</c:v>
                </c:pt>
                <c:pt idx="7" formatCode="#,##0.00">
                  <c:v>188666.4</c:v>
                </c:pt>
                <c:pt idx="8" formatCode="#,##0.00">
                  <c:v>166488.4</c:v>
                </c:pt>
                <c:pt idx="9" formatCode="#,##0.00">
                  <c:v>155221.29999999999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F60-4EB9-ABCB-65AF303692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223232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Төлемдердің саны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9.1205211726384364E-2"/>
                  <c:y val="0.5940594059405940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F60-4EB9-ABCB-65AF3036924E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7100977198697068"/>
                  <c:y val="0.554455445544554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F60-4EB9-ABCB-65AF3036924E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6058631921824105"/>
                  <c:y val="0.5412541254125412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F60-4EB9-ABCB-65AF3036924E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4527687296416937"/>
                  <c:y val="0.5346534653465346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F60-4EB9-ABCB-65AF3036924E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3159609120521175"/>
                  <c:y val="0.5148514851485148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F60-4EB9-ABCB-65AF3036924E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814332247557004"/>
                  <c:y val="0.4983498349834983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F60-4EB9-ABCB-65AF3036924E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8794788273615639"/>
                  <c:y val="0.4785478547854785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F60-4EB9-ABCB-65AF3036924E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7426710097719866"/>
                  <c:y val="0.4620462046204620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F60-4EB9-ABCB-65AF3036924E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6384364820846906"/>
                  <c:y val="0.4554455445544554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F60-4EB9-ABCB-65AF3036924E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4527687296416942"/>
                  <c:y val="0.4389438943894389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F60-4EB9-ABCB-65AF3036924E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89087947882736152"/>
                  <c:y val="6.6006600660066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F60-4EB9-ABCB-65AF3036924E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97231270358306188"/>
                  <c:y val="2.3102310231023101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F60-4EB9-ABCB-65AF3036924E}"/>
                </c:ext>
              </c:extLst>
            </c:dLbl>
            <c:dLbl>
              <c:idx val="12"/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F60-4EB9-ABCB-65AF3036924E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Sheet1!$B$3:$K$3</c:f>
              <c:numCache>
                <c:formatCode>#\ ##0.0</c:formatCode>
                <c:ptCount val="10"/>
                <c:pt idx="0">
                  <c:v>6196.6</c:v>
                </c:pt>
                <c:pt idx="1">
                  <c:v>7935.5</c:v>
                </c:pt>
                <c:pt idx="2">
                  <c:v>8293.2000000000007</c:v>
                </c:pt>
                <c:pt idx="3">
                  <c:v>8507.7999999999993</c:v>
                </c:pt>
                <c:pt idx="4">
                  <c:v>9595</c:v>
                </c:pt>
                <c:pt idx="5">
                  <c:v>9990.6</c:v>
                </c:pt>
                <c:pt idx="6">
                  <c:v>11458.3</c:v>
                </c:pt>
                <c:pt idx="7" formatCode="#,##0.00">
                  <c:v>11828.1</c:v>
                </c:pt>
                <c:pt idx="8" formatCode="#,##0.00">
                  <c:v>12284.6</c:v>
                </c:pt>
                <c:pt idx="9" formatCode="#,##0.00">
                  <c:v>12576.3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EF60-4EB9-ABCB-65AF303692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2922232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00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млрд.теңге</a:t>
                </a:r>
              </a:p>
            </c:rich>
          </c:tx>
          <c:layout>
            <c:manualLayout>
              <c:xMode val="edge"/>
              <c:yMode val="edge"/>
              <c:x val="4.8859934853420196E-2"/>
              <c:y val="0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23232"/>
        <c:crosses val="autoZero"/>
        <c:crossBetween val="between"/>
        <c:majorUnit val="50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3000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мың тр.</a:t>
                </a:r>
              </a:p>
            </c:rich>
          </c:tx>
          <c:layout>
            <c:manualLayout>
              <c:xMode val="edge"/>
              <c:yMode val="edge"/>
              <c:x val="0.9332247557003257"/>
              <c:y val="0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3000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22475570032573289"/>
          <c:y val="0.92409240924092406"/>
          <c:w val="0.56026058631921827"/>
          <c:h val="5.280528052805280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748201438848921E-2"/>
          <c:y val="0.17467248908296942"/>
          <c:w val="0.89448441247002397"/>
          <c:h val="0.6157205240174672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Төлемдер көлемі</c:v>
                </c:pt>
              </c:strCache>
            </c:strRef>
          </c:tx>
          <c:spPr>
            <a:solidFill>
              <a:srgbClr val="A6CAF0"/>
            </a:solidFill>
            <a:ln w="1268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1270983213429256"/>
                  <c:y val="0.30131004366812225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12-43CA-A0FE-FD6F63F59DC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9016786570743403"/>
                  <c:y val="0.23580786026200873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12-43CA-A0FE-FD6F63F59DC7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6522781774580335"/>
                  <c:y val="0.22270742358078602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C12-43CA-A0FE-FD6F63F59DC7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4988009592326135"/>
                  <c:y val="0.26637554585152839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12-43CA-A0FE-FD6F63F59DC7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3932853717026379"/>
                  <c:y val="0.2576419213973799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12-43CA-A0FE-FD6F63F59DC7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70743405275779381"/>
                  <c:y val="0.23144104803493451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C12-43CA-A0FE-FD6F63F59DC7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83693045563549162"/>
                  <c:y val="0.15720524017467249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C12-43CA-A0FE-FD6F63F59DC7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97841726618705038"/>
                  <c:y val="0.12663755458515283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12-43CA-A0FE-FD6F63F59DC7}"/>
                </c:ext>
              </c:extLst>
            </c:dLbl>
            <c:dLbl>
              <c:idx val="8"/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C12-43CA-A0FE-FD6F63F59DC7}"/>
                </c:ext>
              </c:extLst>
            </c:dLbl>
            <c:dLbl>
              <c:idx val="9"/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12-43CA-A0FE-FD6F63F59DC7}"/>
                </c:ext>
              </c:extLst>
            </c:dLbl>
            <c:dLbl>
              <c:idx val="10"/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7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12-43CA-A0FE-FD6F63F59DC7}"/>
                </c:ext>
              </c:extLst>
            </c:dLbl>
            <c:dLbl>
              <c:idx val="11"/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799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C12-43CA-A0FE-FD6F63F59DC7}"/>
                </c:ext>
              </c:extLst>
            </c:dLbl>
            <c:numFmt formatCode="#,##0.0" sourceLinked="0"/>
            <c:spPr>
              <a:noFill/>
              <a:ln w="2537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қар.2013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630.5</c:v>
                </c:pt>
                <c:pt idx="1">
                  <c:v>740.8</c:v>
                </c:pt>
                <c:pt idx="2">
                  <c:v>763.8</c:v>
                </c:pt>
                <c:pt idx="3">
                  <c:v>674</c:v>
                </c:pt>
                <c:pt idx="4">
                  <c:v>686.8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C12-43CA-A0FE-FD6F63F59D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217408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Төлемдер саны</c:v>
                </c:pt>
              </c:strCache>
            </c:strRef>
          </c:tx>
          <c:spPr>
            <a:ln w="1268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1270983213429256"/>
                  <c:y val="0.42358078602620086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C12-43CA-A0FE-FD6F63F59DC7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8776978417266186"/>
                  <c:y val="0.37991266375545851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C12-43CA-A0FE-FD6F63F59DC7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6762589928057552"/>
                  <c:y val="0.39737991266375544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C12-43CA-A0FE-FD6F63F59DC7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5227817745803363"/>
                  <c:y val="0.37554585152838427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C12-43CA-A0FE-FD6F63F59DC7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3453237410071945"/>
                  <c:y val="0.34497816593886466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C12-43CA-A0FE-FD6F63F59DC7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71702637889688248"/>
                  <c:y val="0.37554585152838427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C12-43CA-A0FE-FD6F63F59DC7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84652278177458029"/>
                  <c:y val="0.31877729257641924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C12-43CA-A0FE-FD6F63F59DC7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97122302158273377"/>
                  <c:y val="0.26200873362445415"/>
                </c:manualLayout>
              </c:layout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C12-43CA-A0FE-FD6F63F59DC7}"/>
                </c:ext>
              </c:extLst>
            </c:dLbl>
            <c:dLbl>
              <c:idx val="8"/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C12-43CA-A0FE-FD6F63F59DC7}"/>
                </c:ext>
              </c:extLst>
            </c:dLbl>
            <c:dLbl>
              <c:idx val="9"/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999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C12-43CA-A0FE-FD6F63F59DC7}"/>
                </c:ext>
              </c:extLst>
            </c:dLbl>
            <c:dLbl>
              <c:idx val="10"/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799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C12-43CA-A0FE-FD6F63F59DC7}"/>
                </c:ext>
              </c:extLst>
            </c:dLbl>
            <c:dLbl>
              <c:idx val="11"/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799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C12-43CA-A0FE-FD6F63F59DC7}"/>
                </c:ext>
              </c:extLst>
            </c:dLbl>
            <c:dLbl>
              <c:idx val="12"/>
              <c:numFmt formatCode="#,##0.0" sourceLinked="0"/>
              <c:spPr>
                <a:noFill/>
                <a:ln w="25378">
                  <a:noFill/>
                </a:ln>
              </c:spPr>
              <c:txPr>
                <a:bodyPr/>
                <a:lstStyle/>
                <a:p>
                  <a:pPr>
                    <a:defRPr sz="799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C12-43CA-A0FE-FD6F63F59DC7}"/>
                </c:ext>
              </c:extLst>
            </c:dLbl>
            <c:numFmt formatCode="#,##0.0" sourceLinked="0"/>
            <c:spPr>
              <a:noFill/>
              <a:ln w="2537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9" b="1" i="1" u="none" strike="noStrike" baseline="0">
                    <a:solidFill>
                      <a:srgbClr val="0080C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қар.2013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40.1</c:v>
                </c:pt>
                <c:pt idx="1">
                  <c:v>46</c:v>
                </c:pt>
                <c:pt idx="2">
                  <c:v>47.9</c:v>
                </c:pt>
                <c:pt idx="3">
                  <c:v>49.7</c:v>
                </c:pt>
                <c:pt idx="4">
                  <c:v>55.6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6C12-43CA-A0FE-FD6F63F59D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2922174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9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млрд.теңге</a:t>
                </a:r>
              </a:p>
            </c:rich>
          </c:tx>
          <c:layout>
            <c:manualLayout>
              <c:xMode val="edge"/>
              <c:yMode val="edge"/>
              <c:x val="0"/>
              <c:y val="6.9868995633187769E-2"/>
            </c:manualLayout>
          </c:layout>
          <c:overlay val="0"/>
          <c:spPr>
            <a:noFill/>
            <a:ln w="25378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17408"/>
        <c:crosses val="autoZero"/>
        <c:crossBetween val="between"/>
        <c:majorUnit val="200"/>
        <c:minorUnit val="2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10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79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мың.тр.</a:t>
                </a:r>
              </a:p>
            </c:rich>
          </c:tx>
          <c:layout>
            <c:manualLayout>
              <c:xMode val="edge"/>
              <c:yMode val="edge"/>
              <c:x val="0.90167865707434047"/>
              <c:y val="5.6768558951965066E-2"/>
            </c:manualLayout>
          </c:layout>
          <c:overlay val="0"/>
          <c:spPr>
            <a:noFill/>
            <a:ln w="25378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20"/>
        <c:minorUnit val="20"/>
      </c:valAx>
      <c:spPr>
        <a:noFill/>
        <a:ln w="25378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734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8465227817745802"/>
          <c:y val="0.89082969432314407"/>
          <c:w val="0.64988009592326135"/>
          <c:h val="9.1703056768558958E-2"/>
        </c:manualLayout>
      </c:layout>
      <c:overlay val="0"/>
      <c:spPr>
        <a:solidFill>
          <a:srgbClr val="FFFFFF"/>
        </a:solidFill>
        <a:ln w="25378">
          <a:noFill/>
        </a:ln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14285714285715E-2"/>
          <c:y val="6.2827225130890049E-2"/>
          <c:w val="0.91428571428571426"/>
          <c:h val="0.7853403141361257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Кол-во</c:v>
                </c:pt>
              </c:strCache>
            </c:strRef>
          </c:tx>
          <c:spPr>
            <a:ln w="12707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6507936507936508"/>
                  <c:y val="7.3298429319371722E-2"/>
                </c:manualLayout>
              </c:layout>
              <c:numFmt formatCode="#,##0.0" sourceLinked="0"/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82-4D3E-93B3-C39157E4CC14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2857142857142856"/>
                  <c:y val="0.61256544502617805"/>
                </c:manualLayout>
              </c:layout>
              <c:numFmt formatCode="#,##0.0" sourceLinked="0"/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82-4D3E-93B3-C39157E4CC14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3396825396825397"/>
                  <c:y val="0.64921465968586389"/>
                </c:manualLayout>
              </c:layout>
              <c:numFmt formatCode="#,##0.0" sourceLinked="0"/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82-4D3E-93B3-C39157E4CC14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46031746031746029"/>
                  <c:y val="0.68062827225130895"/>
                </c:manualLayout>
              </c:layout>
              <c:numFmt formatCode="#,##0.0" sourceLinked="0"/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82-4D3E-93B3-C39157E4CC14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57460317460317456"/>
                  <c:y val="0.69109947643979053"/>
                </c:manualLayout>
              </c:layout>
              <c:numFmt formatCode="#,##0.0" sourceLinked="0"/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A82-4D3E-93B3-C39157E4CC14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67301587301587307"/>
                  <c:y val="0.69633507853403143"/>
                </c:manualLayout>
              </c:layout>
              <c:numFmt formatCode="#,##0.0" sourceLinked="0"/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A82-4D3E-93B3-C39157E4CC14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80634920634920637"/>
                  <c:y val="0.68586387434554974"/>
                </c:manualLayout>
              </c:layout>
              <c:numFmt formatCode="#,##0.0" sourceLinked="0"/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82-4D3E-93B3-C39157E4CC14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92063492063492058"/>
                  <c:y val="0.7172774869109948"/>
                </c:manualLayout>
              </c:layout>
              <c:numFmt formatCode="#,##0.0" sourceLinked="0"/>
              <c:spPr>
                <a:noFill/>
                <a:ln w="2541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82-4D3E-93B3-C39157E4CC14}"/>
                </c:ext>
              </c:extLst>
            </c:dLbl>
            <c:numFmt formatCode="#,##0.0" sourceLinked="0"/>
            <c:spPr>
              <a:noFill/>
              <a:ln w="2541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 3 млн. дейін</c:v>
                </c:pt>
                <c:pt idx="1">
                  <c:v>3-5 млн.</c:v>
                </c:pt>
                <c:pt idx="2">
                  <c:v>5-10 млн.</c:v>
                </c:pt>
                <c:pt idx="3">
                  <c:v>10-50 млн.</c:v>
                </c:pt>
                <c:pt idx="4">
                  <c:v>50-100 млн</c:v>
                </c:pt>
                <c:pt idx="5">
                  <c:v>100-500 млн.</c:v>
                </c:pt>
                <c:pt idx="6">
                  <c:v>500 млн.-1 млрд.</c:v>
                </c:pt>
                <c:pt idx="7">
                  <c:v>1 млрд. астам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 formatCode="#,##0.00">
                  <c:v>11250.3</c:v>
                </c:pt>
                <c:pt idx="1">
                  <c:v>246.7</c:v>
                </c:pt>
                <c:pt idx="2">
                  <c:v>442.8</c:v>
                </c:pt>
                <c:pt idx="3">
                  <c:v>432.5</c:v>
                </c:pt>
                <c:pt idx="4">
                  <c:v>64.7</c:v>
                </c:pt>
                <c:pt idx="5">
                  <c:v>78.7</c:v>
                </c:pt>
                <c:pt idx="6">
                  <c:v>29.1</c:v>
                </c:pt>
                <c:pt idx="7">
                  <c:v>31.7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7A82-4D3E-93B3-C39157E4CC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2218656"/>
        <c:axId val="1"/>
      </c:lineChart>
      <c:catAx>
        <c:axId val="129221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2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мың. тр.</a:t>
                </a:r>
              </a:p>
            </c:rich>
          </c:tx>
          <c:layout>
            <c:manualLayout>
              <c:xMode val="edge"/>
              <c:yMode val="edge"/>
              <c:x val="8.5714285714285715E-2"/>
              <c:y val="0"/>
            </c:manualLayout>
          </c:layout>
          <c:overlay val="0"/>
          <c:spPr>
            <a:noFill/>
            <a:ln w="25415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18656"/>
        <c:crosses val="autoZero"/>
        <c:crossBetween val="between"/>
        <c:majorUnit val="2000"/>
        <c:minorUnit val="200"/>
      </c:valAx>
      <c:spPr>
        <a:noFill/>
        <a:ln w="25415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100313479623826E-2"/>
          <c:y val="0.10344827586206896"/>
          <c:w val="0.92789968652037613"/>
          <c:h val="0.7298850574712644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саны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Sheet1!$A$2:$A$16</c:f>
              <c:strCache>
                <c:ptCount val="15"/>
                <c:pt idx="0">
                  <c:v>08-09</c:v>
                </c:pt>
                <c:pt idx="1">
                  <c:v>09-10</c:v>
                </c:pt>
                <c:pt idx="2">
                  <c:v>10-11</c:v>
                </c:pt>
                <c:pt idx="3">
                  <c:v>11-12</c:v>
                </c:pt>
                <c:pt idx="4">
                  <c:v>12-13</c:v>
                </c:pt>
                <c:pt idx="5">
                  <c:v>13-14</c:v>
                </c:pt>
                <c:pt idx="6">
                  <c:v>14-15</c:v>
                </c:pt>
                <c:pt idx="7">
                  <c:v>15-16</c:v>
                </c:pt>
                <c:pt idx="8">
                  <c:v>16-17</c:v>
                </c:pt>
                <c:pt idx="9">
                  <c:v>17-18</c:v>
                </c:pt>
                <c:pt idx="10">
                  <c:v>18-19</c:v>
                </c:pt>
                <c:pt idx="11">
                  <c:v>19-20</c:v>
                </c:pt>
                <c:pt idx="12">
                  <c:v>20-21</c:v>
                </c:pt>
                <c:pt idx="13">
                  <c:v>21-22</c:v>
                </c:pt>
                <c:pt idx="14">
                  <c:v>после 22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218.5</c:v>
                </c:pt>
                <c:pt idx="1">
                  <c:v>792.8</c:v>
                </c:pt>
                <c:pt idx="2">
                  <c:v>579.5</c:v>
                </c:pt>
                <c:pt idx="3">
                  <c:v>654.29999999999995</c:v>
                </c:pt>
                <c:pt idx="4">
                  <c:v>602.70000000000005</c:v>
                </c:pt>
                <c:pt idx="5">
                  <c:v>259.60000000000002</c:v>
                </c:pt>
                <c:pt idx="6" formatCode="#,##0.00">
                  <c:v>1095.5</c:v>
                </c:pt>
                <c:pt idx="7" formatCode="#,##0.00">
                  <c:v>2752</c:v>
                </c:pt>
                <c:pt idx="8" formatCode="#,##0.00">
                  <c:v>2887.2</c:v>
                </c:pt>
                <c:pt idx="9" formatCode="#,##0.00">
                  <c:v>1969.3</c:v>
                </c:pt>
                <c:pt idx="10">
                  <c:v>734.6</c:v>
                </c:pt>
                <c:pt idx="11">
                  <c:v>21.9</c:v>
                </c:pt>
                <c:pt idx="12">
                  <c:v>4.7</c:v>
                </c:pt>
                <c:pt idx="13">
                  <c:v>3.4</c:v>
                </c:pt>
                <c:pt idx="14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0B-4942-BE02-BB85DD45AC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2219488"/>
        <c:axId val="1"/>
      </c:lineChart>
      <c:catAx>
        <c:axId val="1292219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  <c:max val="3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мың тр.</a:t>
                </a:r>
              </a:p>
            </c:rich>
          </c:tx>
          <c:layout>
            <c:manualLayout>
              <c:xMode val="edge"/>
              <c:yMode val="edge"/>
              <c:x val="3.134796238244514E-3"/>
              <c:y val="0"/>
            </c:manualLayout>
          </c:layout>
          <c:overlay val="0"/>
          <c:spPr>
            <a:noFill/>
            <a:ln w="25402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19488"/>
        <c:crosses val="autoZero"/>
        <c:crossBetween val="between"/>
        <c:majorUnit val="500"/>
        <c:minorUnit val="200"/>
      </c:valAx>
      <c:spPr>
        <a:noFill/>
        <a:ln w="25402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150170648464161E-2"/>
          <c:y val="0.1404494382022472"/>
          <c:w val="0.9078498293515358"/>
          <c:h val="0.696629213483146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Сумма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Sheet1!$A$2:$A$16</c:f>
              <c:strCache>
                <c:ptCount val="15"/>
                <c:pt idx="0">
                  <c:v>08-09</c:v>
                </c:pt>
                <c:pt idx="1">
                  <c:v>09-10</c:v>
                </c:pt>
                <c:pt idx="2">
                  <c:v>10-11</c:v>
                </c:pt>
                <c:pt idx="3">
                  <c:v>11-12</c:v>
                </c:pt>
                <c:pt idx="4">
                  <c:v>12-13</c:v>
                </c:pt>
                <c:pt idx="5">
                  <c:v>13-14</c:v>
                </c:pt>
                <c:pt idx="6">
                  <c:v>14-15</c:v>
                </c:pt>
                <c:pt idx="7">
                  <c:v>15-16</c:v>
                </c:pt>
                <c:pt idx="8">
                  <c:v>16-17</c:v>
                </c:pt>
                <c:pt idx="9">
                  <c:v>17-18</c:v>
                </c:pt>
                <c:pt idx="10">
                  <c:v>18-19</c:v>
                </c:pt>
                <c:pt idx="11">
                  <c:v>19-20</c:v>
                </c:pt>
                <c:pt idx="12">
                  <c:v>20-21</c:v>
                </c:pt>
                <c:pt idx="13">
                  <c:v>21-22</c:v>
                </c:pt>
                <c:pt idx="14">
                  <c:v>после 22</c:v>
                </c:pt>
              </c:strCache>
            </c:strRef>
          </c:cat>
          <c:val>
            <c:numRef>
              <c:f>Sheet1!$B$2:$B$16</c:f>
              <c:numCache>
                <c:formatCode>#,##0.00</c:formatCode>
                <c:ptCount val="15"/>
                <c:pt idx="0" formatCode="General">
                  <c:v>366.3</c:v>
                </c:pt>
                <c:pt idx="1">
                  <c:v>3052.6</c:v>
                </c:pt>
                <c:pt idx="2">
                  <c:v>7732.7</c:v>
                </c:pt>
                <c:pt idx="3">
                  <c:v>26070.9</c:v>
                </c:pt>
                <c:pt idx="4">
                  <c:v>15672.6</c:v>
                </c:pt>
                <c:pt idx="5">
                  <c:v>4480</c:v>
                </c:pt>
                <c:pt idx="6">
                  <c:v>13020.7</c:v>
                </c:pt>
                <c:pt idx="7">
                  <c:v>20288.8</c:v>
                </c:pt>
                <c:pt idx="8">
                  <c:v>34251.1</c:v>
                </c:pt>
                <c:pt idx="9">
                  <c:v>24285.599999999999</c:v>
                </c:pt>
                <c:pt idx="10">
                  <c:v>5730.3</c:v>
                </c:pt>
                <c:pt idx="11" formatCode="General">
                  <c:v>246.8</c:v>
                </c:pt>
                <c:pt idx="12" formatCode="General">
                  <c:v>14.4</c:v>
                </c:pt>
                <c:pt idx="13" formatCode="General">
                  <c:v>3.9</c:v>
                </c:pt>
                <c:pt idx="14" formatCode="General">
                  <c:v>4.5999999999999996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B3-4B5E-AB60-EF97256250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2217824"/>
        <c:axId val="1"/>
      </c:lineChart>
      <c:catAx>
        <c:axId val="1292217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  <c:max val="40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млрд.теңге</a:t>
                </a:r>
              </a:p>
            </c:rich>
          </c:tx>
          <c:layout>
            <c:manualLayout>
              <c:xMode val="edge"/>
              <c:yMode val="edge"/>
              <c:x val="0"/>
              <c:y val="0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17824"/>
        <c:crosses val="autoZero"/>
        <c:crossBetween val="between"/>
        <c:majorUnit val="8000"/>
        <c:minorUnit val="200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42811501597444"/>
          <c:y val="0.10204081632653061"/>
          <c:w val="0.60543130990415339"/>
          <c:h val="0.38367346938775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Өтімділік орташа алғанда, млрд.тг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Sheet1!$A$2:$A$11</c:f>
              <c:strCach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қар.2013</c:v>
                </c:pt>
              </c:strCache>
            </c:strRef>
          </c:cat>
          <c:val>
            <c:numRef>
              <c:f>Sheet1!$B$2:$B$11</c:f>
              <c:numCache>
                <c:formatCode>#\ ##0.0</c:formatCode>
                <c:ptCount val="10"/>
                <c:pt idx="0">
                  <c:v>84.541899999999998</c:v>
                </c:pt>
                <c:pt idx="1">
                  <c:v>142.9872</c:v>
                </c:pt>
                <c:pt idx="2">
                  <c:v>350.5498</c:v>
                </c:pt>
                <c:pt idx="3">
                  <c:v>580.28009999999995</c:v>
                </c:pt>
                <c:pt idx="4">
                  <c:v>531.86929999999995</c:v>
                </c:pt>
                <c:pt idx="5">
                  <c:v>578.28250000000003</c:v>
                </c:pt>
                <c:pt idx="6">
                  <c:v>732.40139999999997</c:v>
                </c:pt>
                <c:pt idx="7">
                  <c:v>845.62509999999997</c:v>
                </c:pt>
                <c:pt idx="8">
                  <c:v>912.01440000000002</c:v>
                </c:pt>
                <c:pt idx="9">
                  <c:v>927.12579000000005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C3-4101-BE4E-63854918BB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220320"/>
        <c:axId val="1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Жүйенің ААК. кезең үшін орташа алғанда</c:v>
                </c:pt>
              </c:strCache>
            </c:strRef>
          </c:tx>
          <c:spPr>
            <a:ln w="25399">
              <a:solidFill>
                <a:srgbClr val="00008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Sheet1!$A$2:$A$11</c:f>
              <c:strCach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қар.2013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1.42</c:v>
                </c:pt>
                <c:pt idx="1">
                  <c:v>1.43</c:v>
                </c:pt>
                <c:pt idx="2">
                  <c:v>1.07</c:v>
                </c:pt>
                <c:pt idx="3">
                  <c:v>1.04</c:v>
                </c:pt>
                <c:pt idx="4">
                  <c:v>1.06</c:v>
                </c:pt>
                <c:pt idx="5">
                  <c:v>1.0900000000000001</c:v>
                </c:pt>
                <c:pt idx="6">
                  <c:v>1.02</c:v>
                </c:pt>
                <c:pt idx="7">
                  <c:v>0.91</c:v>
                </c:pt>
                <c:pt idx="8">
                  <c:v>0.74</c:v>
                </c:pt>
                <c:pt idx="9">
                  <c:v>0.76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C3-4101-BE4E-63854918BB5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жүй АӨК. кезең үшін орташа алғанда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Sheet1!$A$2:$A$11</c:f>
              <c:strCach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қар.2013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0.75</c:v>
                </c:pt>
                <c:pt idx="1">
                  <c:v>0.78</c:v>
                </c:pt>
                <c:pt idx="2">
                  <c:v>1.04</c:v>
                </c:pt>
                <c:pt idx="3">
                  <c:v>1.1599999999999999</c:v>
                </c:pt>
                <c:pt idx="4">
                  <c:v>1.04</c:v>
                </c:pt>
                <c:pt idx="5">
                  <c:v>1.05</c:v>
                </c:pt>
                <c:pt idx="6">
                  <c:v>1.39</c:v>
                </c:pt>
                <c:pt idx="7">
                  <c:v>1.25</c:v>
                </c:pt>
                <c:pt idx="8">
                  <c:v>1.48</c:v>
                </c:pt>
                <c:pt idx="9">
                  <c:v>1.47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C3-4101-BE4E-63854918BB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29222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млрд.теңге</a:t>
                </a:r>
              </a:p>
            </c:rich>
          </c:tx>
          <c:layout>
            <c:manualLayout>
              <c:xMode val="edge"/>
              <c:yMode val="edge"/>
              <c:x val="0.23003194888178913"/>
              <c:y val="0.11020408163265306"/>
            </c:manualLayout>
          </c:layout>
          <c:overlay val="0"/>
          <c:spPr>
            <a:noFill/>
            <a:ln w="25399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20320"/>
        <c:crosses val="autoZero"/>
        <c:crossBetween val="between"/>
        <c:majorUnit val="200"/>
        <c:minorUnit val="1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1.6"/>
        </c:scaling>
        <c:delete val="0"/>
        <c:axPos val="r"/>
        <c:numFmt formatCode="#,##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067092651757185E-2"/>
          <c:y val="0.16455696202531644"/>
          <c:w val="0.90415335463258784"/>
          <c:h val="0.5506329113924051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КБР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Sheet1!$B$1:$L$1</c:f>
              <c:strCache>
                <c:ptCount val="11"/>
                <c:pt idx="0">
                  <c:v>қаң.</c:v>
                </c:pt>
                <c:pt idx="1">
                  <c:v>ақп.</c:v>
                </c:pt>
                <c:pt idx="2">
                  <c:v>нау.</c:v>
                </c:pt>
                <c:pt idx="3">
                  <c:v>сәу.</c:v>
                </c:pt>
                <c:pt idx="4">
                  <c:v>мам.</c:v>
                </c:pt>
                <c:pt idx="5">
                  <c:v>мау.</c:v>
                </c:pt>
                <c:pt idx="6">
                  <c:v>шіл.</c:v>
                </c:pt>
                <c:pt idx="7">
                  <c:v>там.</c:v>
                </c:pt>
                <c:pt idx="8">
                  <c:v>қыр.</c:v>
                </c:pt>
                <c:pt idx="9">
                  <c:v>қаз.</c:v>
                </c:pt>
                <c:pt idx="10">
                  <c:v>қар.</c:v>
                </c:pt>
              </c:strCache>
            </c:strRef>
          </c:cat>
          <c:val>
            <c:numRef>
              <c:f>Sheet1!$B$2:$L$2</c:f>
              <c:numCache>
                <c:formatCode>0.00%</c:formatCode>
                <c:ptCount val="11"/>
                <c:pt idx="0">
                  <c:v>1</c:v>
                </c:pt>
                <c:pt idx="1">
                  <c:v>0.99770000000000003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0.99439999999999995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25-497B-90DE-6F79D1B893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221984"/>
        <c:axId val="1"/>
      </c:barChart>
      <c:catAx>
        <c:axId val="129222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.95000000256110095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"/>
          <c:min val="0.99000000069848104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в %</a:t>
                </a:r>
              </a:p>
            </c:rich>
          </c:tx>
          <c:layout>
            <c:manualLayout>
              <c:xMode val="edge"/>
              <c:yMode val="edge"/>
              <c:x val="5.7507987220447282E-2"/>
              <c:y val="1.8987341772151899E-2"/>
            </c:manualLayout>
          </c:layout>
          <c:overlay val="0"/>
          <c:spPr>
            <a:noFill/>
            <a:ln w="25399">
              <a:noFill/>
            </a:ln>
          </c:spPr>
        </c:title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2221984"/>
        <c:crosses val="autoZero"/>
        <c:crossBetween val="between"/>
        <c:majorUnit val="5.0000000000000001E-3"/>
        <c:minorUnit val="5.0000000000000001E-3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итоги, проблемы и перспективы развития</vt:lpstr>
    </vt:vector>
  </TitlesOfParts>
  <Company>NB RK</Company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итоги, проблемы и перспективы развития</dc:title>
  <dc:subject/>
  <dc:creator>Kizatov</dc:creator>
  <cp:keywords/>
  <cp:lastModifiedBy>Владимир Мушегов</cp:lastModifiedBy>
  <cp:revision>2</cp:revision>
  <cp:lastPrinted>2013-12-30T10:02:00Z</cp:lastPrinted>
  <dcterms:created xsi:type="dcterms:W3CDTF">2019-11-14T10:27:00Z</dcterms:created>
  <dcterms:modified xsi:type="dcterms:W3CDTF">2019-11-14T10:27:00Z</dcterms:modified>
</cp:coreProperties>
</file>