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AF023" w14:textId="77777777" w:rsidR="002C7E7E" w:rsidRPr="002C7E7E" w:rsidRDefault="002C7E7E" w:rsidP="00155BFA">
      <w:pPr>
        <w:spacing w:after="0" w:line="240" w:lineRule="auto"/>
        <w:jc w:val="center"/>
        <w:rPr>
          <w:rFonts w:ascii="Times New Roman" w:hAnsi="Times New Roman" w:cs="Times New Roman"/>
          <w:b/>
          <w:sz w:val="20"/>
          <w:szCs w:val="20"/>
          <w:lang w:val="en-US"/>
        </w:rPr>
      </w:pPr>
      <w:r w:rsidRPr="002C7E7E">
        <w:rPr>
          <w:rFonts w:ascii="Times New Roman" w:hAnsi="Times New Roman" w:cs="Times New Roman"/>
          <w:b/>
          <w:sz w:val="20"/>
          <w:szCs w:val="20"/>
          <w:lang w:val="en-US"/>
        </w:rPr>
        <w:t xml:space="preserve">Assignment of a registration number to </w:t>
      </w:r>
      <w:r w:rsidR="00C13AE4" w:rsidRPr="00D61936">
        <w:rPr>
          <w:rFonts w:ascii="Times New Roman" w:hAnsi="Times New Roman" w:cs="Times New Roman"/>
          <w:b/>
          <w:sz w:val="20"/>
          <w:szCs w:val="20"/>
          <w:lang w:val="en-US"/>
        </w:rPr>
        <w:t xml:space="preserve">foreign exchange agreements on capital flows and </w:t>
      </w:r>
    </w:p>
    <w:p w14:paraId="673D3AC8" w14:textId="722140AC" w:rsidR="0019275D" w:rsidRPr="001300FD" w:rsidRDefault="00C13AE4" w:rsidP="00155BFA">
      <w:pPr>
        <w:spacing w:after="0" w:line="240" w:lineRule="auto"/>
        <w:jc w:val="center"/>
        <w:rPr>
          <w:rFonts w:ascii="Times New Roman CYR" w:eastAsia="Times New Roman" w:hAnsi="Times New Roman CYR" w:cs="Times New Roman CYR"/>
          <w:b/>
          <w:bCs/>
          <w:sz w:val="20"/>
          <w:szCs w:val="28"/>
          <w:vertAlign w:val="superscript"/>
          <w:lang w:val="en-US" w:eastAsia="ru-RU"/>
        </w:rPr>
      </w:pPr>
      <w:r w:rsidRPr="00D61936">
        <w:rPr>
          <w:rFonts w:ascii="Times New Roman" w:hAnsi="Times New Roman" w:cs="Times New Roman"/>
          <w:b/>
          <w:sz w:val="20"/>
          <w:szCs w:val="20"/>
          <w:lang w:val="en-US"/>
        </w:rPr>
        <w:t>notification of accounts with foreign banks</w:t>
      </w:r>
      <w:r w:rsidRPr="001300FD">
        <w:rPr>
          <w:rFonts w:ascii="Times New Roman CYR" w:eastAsia="Times New Roman" w:hAnsi="Times New Roman CYR" w:cs="Times New Roman CYR"/>
          <w:b/>
          <w:bCs/>
          <w:sz w:val="20"/>
          <w:szCs w:val="28"/>
          <w:lang w:val="en-US" w:eastAsia="ru-RU"/>
        </w:rPr>
        <w:t xml:space="preserve"> </w:t>
      </w:r>
      <w:r w:rsidR="00A10D52" w:rsidRPr="001300FD">
        <w:rPr>
          <w:rFonts w:ascii="Times New Roman CYR" w:eastAsia="Times New Roman" w:hAnsi="Times New Roman CYR" w:cs="Times New Roman CYR"/>
          <w:b/>
          <w:bCs/>
          <w:sz w:val="20"/>
          <w:szCs w:val="28"/>
          <w:lang w:val="en-US" w:eastAsia="ru-RU"/>
        </w:rPr>
        <w:t>and international financial organizations</w:t>
      </w:r>
      <w:r w:rsidR="0019275D" w:rsidRPr="0074485A">
        <w:rPr>
          <w:rStyle w:val="a8"/>
          <w:rFonts w:ascii="Times New Roman CYR" w:eastAsia="Times New Roman" w:hAnsi="Times New Roman CYR" w:cs="Times New Roman CYR"/>
          <w:b/>
          <w:bCs/>
          <w:sz w:val="20"/>
          <w:szCs w:val="28"/>
          <w:lang w:eastAsia="ru-RU"/>
        </w:rPr>
        <w:endnoteReference w:id="1"/>
      </w:r>
    </w:p>
    <w:p w14:paraId="5EB302D0" w14:textId="77777777" w:rsidR="007632B8" w:rsidRPr="001300FD" w:rsidRDefault="007632B8" w:rsidP="00155BFA">
      <w:pPr>
        <w:spacing w:after="0" w:line="240" w:lineRule="auto"/>
        <w:jc w:val="center"/>
        <w:rPr>
          <w:sz w:val="18"/>
          <w:szCs w:val="18"/>
          <w:lang w:val="en-US"/>
        </w:rPr>
      </w:pPr>
    </w:p>
    <w:tbl>
      <w:tblPr>
        <w:tblW w:w="5000" w:type="pct"/>
        <w:tblLook w:val="04A0" w:firstRow="1" w:lastRow="0" w:firstColumn="1" w:lastColumn="0" w:noHBand="0" w:noVBand="1"/>
      </w:tblPr>
      <w:tblGrid>
        <w:gridCol w:w="311"/>
        <w:gridCol w:w="1905"/>
        <w:gridCol w:w="1965"/>
        <w:gridCol w:w="5327"/>
        <w:gridCol w:w="4682"/>
        <w:gridCol w:w="1787"/>
      </w:tblGrid>
      <w:tr w:rsidR="00E218CA" w:rsidRPr="00E9113E" w14:paraId="66FE1D72" w14:textId="77777777" w:rsidTr="0082285A">
        <w:trPr>
          <w:trHeight w:val="945"/>
          <w:tblHeader/>
        </w:trPr>
        <w:tc>
          <w:tcPr>
            <w:tcW w:w="93"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147FE04C" w14:textId="77777777" w:rsidR="00E218CA" w:rsidRPr="001300FD" w:rsidRDefault="00E218CA" w:rsidP="00D2464A">
            <w:pPr>
              <w:spacing w:after="0" w:line="240" w:lineRule="auto"/>
              <w:jc w:val="center"/>
              <w:rPr>
                <w:rFonts w:ascii="Times New Roman" w:eastAsia="Times New Roman" w:hAnsi="Times New Roman" w:cs="Times New Roman"/>
                <w:b/>
                <w:bCs/>
                <w:sz w:val="19"/>
                <w:szCs w:val="19"/>
                <w:lang w:val="en-US" w:eastAsia="ru-RU"/>
              </w:rPr>
            </w:pPr>
          </w:p>
        </w:tc>
        <w:tc>
          <w:tcPr>
            <w:tcW w:w="597" w:type="pct"/>
            <w:tcBorders>
              <w:top w:val="single" w:sz="4" w:space="0" w:color="auto"/>
              <w:left w:val="nil"/>
              <w:bottom w:val="single" w:sz="4" w:space="0" w:color="auto"/>
              <w:right w:val="single" w:sz="4" w:space="0" w:color="auto"/>
            </w:tcBorders>
            <w:shd w:val="clear" w:color="000000" w:fill="92D050"/>
            <w:vAlign w:val="center"/>
            <w:hideMark/>
          </w:tcPr>
          <w:p w14:paraId="2B4957FF" w14:textId="77777777" w:rsidR="002C7E7E" w:rsidRPr="003B0855" w:rsidRDefault="002C7E7E" w:rsidP="002C7E7E">
            <w:pPr>
              <w:spacing w:after="0" w:line="240" w:lineRule="auto"/>
              <w:jc w:val="center"/>
              <w:rPr>
                <w:rFonts w:ascii="Times New Roman" w:eastAsia="Times New Roman" w:hAnsi="Times New Roman" w:cs="Times New Roman"/>
                <w:b/>
                <w:bCs/>
                <w:sz w:val="19"/>
                <w:szCs w:val="19"/>
                <w:lang w:val="en-US" w:eastAsia="ru-RU"/>
              </w:rPr>
            </w:pPr>
            <w:r w:rsidRPr="003B0855">
              <w:rPr>
                <w:rFonts w:ascii="Times New Roman" w:eastAsia="Times New Roman" w:hAnsi="Times New Roman" w:cs="Times New Roman"/>
                <w:b/>
                <w:bCs/>
                <w:sz w:val="19"/>
                <w:szCs w:val="19"/>
                <w:lang w:val="en-US" w:eastAsia="ru-RU"/>
              </w:rPr>
              <w:t xml:space="preserve">Capital flow </w:t>
            </w:r>
            <w:r w:rsidRPr="0051681E">
              <w:rPr>
                <w:rFonts w:ascii="Times New Roman" w:eastAsia="Times New Roman" w:hAnsi="Times New Roman" w:cs="Times New Roman"/>
                <w:b/>
                <w:bCs/>
                <w:sz w:val="19"/>
                <w:szCs w:val="19"/>
                <w:lang w:val="en-US" w:eastAsia="ru-RU"/>
              </w:rPr>
              <w:t>transaction</w:t>
            </w:r>
            <w:r>
              <w:rPr>
                <w:rFonts w:ascii="Times New Roman" w:eastAsia="Times New Roman" w:hAnsi="Times New Roman" w:cs="Times New Roman"/>
                <w:b/>
                <w:bCs/>
                <w:sz w:val="19"/>
                <w:szCs w:val="19"/>
                <w:lang w:val="en-US" w:eastAsia="ru-RU"/>
              </w:rPr>
              <w:t>s</w:t>
            </w:r>
            <w:r w:rsidRPr="003B0855">
              <w:rPr>
                <w:rFonts w:ascii="Times New Roman" w:eastAsia="Times New Roman" w:hAnsi="Times New Roman" w:cs="Times New Roman"/>
                <w:b/>
                <w:bCs/>
                <w:sz w:val="19"/>
                <w:szCs w:val="19"/>
                <w:lang w:val="en-US" w:eastAsia="ru-RU"/>
              </w:rPr>
              <w:t>,</w:t>
            </w:r>
          </w:p>
          <w:p w14:paraId="2A0975BF" w14:textId="182A838B" w:rsidR="00E218CA" w:rsidRPr="001300FD" w:rsidRDefault="002C7E7E" w:rsidP="002C7E7E">
            <w:pPr>
              <w:spacing w:after="0" w:line="240" w:lineRule="auto"/>
              <w:jc w:val="center"/>
              <w:rPr>
                <w:rFonts w:ascii="Times New Roman" w:eastAsia="Times New Roman" w:hAnsi="Times New Roman" w:cs="Times New Roman"/>
                <w:b/>
                <w:bCs/>
                <w:sz w:val="19"/>
                <w:szCs w:val="19"/>
                <w:lang w:val="en-US" w:eastAsia="ru-RU"/>
              </w:rPr>
            </w:pPr>
            <w:r w:rsidRPr="003B0855">
              <w:rPr>
                <w:rFonts w:ascii="Times New Roman" w:eastAsia="Times New Roman" w:hAnsi="Times New Roman" w:cs="Times New Roman"/>
                <w:b/>
                <w:bCs/>
                <w:sz w:val="19"/>
                <w:szCs w:val="19"/>
                <w:lang w:val="en-US" w:eastAsia="ru-RU"/>
              </w:rPr>
              <w:t xml:space="preserve">accounts </w:t>
            </w:r>
            <w:r>
              <w:rPr>
                <w:rFonts w:ascii="Times New Roman" w:hAnsi="Times New Roman" w:cs="Times New Roman"/>
                <w:b/>
                <w:sz w:val="20"/>
                <w:szCs w:val="20"/>
                <w:lang w:val="en-US"/>
              </w:rPr>
              <w:t>with foreign banks</w:t>
            </w:r>
            <w:r w:rsidRPr="001300FD">
              <w:rPr>
                <w:rFonts w:ascii="Times New Roman" w:eastAsia="Times New Roman" w:hAnsi="Times New Roman" w:cs="Times New Roman"/>
                <w:b/>
                <w:bCs/>
                <w:sz w:val="19"/>
                <w:szCs w:val="19"/>
                <w:lang w:val="en-US" w:eastAsia="ru-RU"/>
              </w:rPr>
              <w:t xml:space="preserve"> </w:t>
            </w:r>
            <w:r w:rsidR="00A61A70" w:rsidRPr="001300FD">
              <w:rPr>
                <w:rFonts w:ascii="Times New Roman" w:eastAsia="Times New Roman" w:hAnsi="Times New Roman" w:cs="Times New Roman"/>
                <w:b/>
                <w:bCs/>
                <w:sz w:val="19"/>
                <w:szCs w:val="19"/>
                <w:lang w:val="en-US" w:eastAsia="ru-RU"/>
              </w:rPr>
              <w:t>and international financial organizations</w:t>
            </w:r>
          </w:p>
        </w:tc>
        <w:tc>
          <w:tcPr>
            <w:tcW w:w="616"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47F6F9A0" w14:textId="7123E315" w:rsidR="00E218CA" w:rsidRPr="001300FD" w:rsidRDefault="00A61A70" w:rsidP="00854C74">
            <w:pPr>
              <w:spacing w:after="0" w:line="240" w:lineRule="auto"/>
              <w:jc w:val="center"/>
              <w:rPr>
                <w:rFonts w:ascii="Times New Roman" w:eastAsia="Times New Roman" w:hAnsi="Times New Roman" w:cs="Times New Roman"/>
                <w:b/>
                <w:bCs/>
                <w:sz w:val="19"/>
                <w:szCs w:val="19"/>
                <w:lang w:val="en-US" w:eastAsia="ru-RU"/>
              </w:rPr>
            </w:pPr>
            <w:r w:rsidRPr="001300FD">
              <w:rPr>
                <w:rFonts w:ascii="Times New Roman" w:eastAsia="Times New Roman" w:hAnsi="Times New Roman" w:cs="Times New Roman"/>
                <w:b/>
                <w:bCs/>
                <w:sz w:val="19"/>
                <w:szCs w:val="19"/>
                <w:lang w:val="en-US" w:eastAsia="ru-RU"/>
              </w:rPr>
              <w:t>Banks, branches of non-resident banks of the Republic of Kazakhstan operating in the territory of the Republic of Kazakhstan</w:t>
            </w:r>
          </w:p>
        </w:tc>
        <w:tc>
          <w:tcPr>
            <w:tcW w:w="1668" w:type="pct"/>
            <w:tcBorders>
              <w:top w:val="single" w:sz="4" w:space="0" w:color="auto"/>
              <w:left w:val="nil"/>
              <w:bottom w:val="single" w:sz="4" w:space="0" w:color="auto"/>
              <w:right w:val="single" w:sz="4" w:space="0" w:color="auto"/>
            </w:tcBorders>
            <w:shd w:val="clear" w:color="000000" w:fill="92D050"/>
            <w:vAlign w:val="center"/>
            <w:hideMark/>
          </w:tcPr>
          <w:p w14:paraId="0E8E874A" w14:textId="0512600A" w:rsidR="00E218CA" w:rsidRPr="001300FD" w:rsidRDefault="00A61A70" w:rsidP="00D2464A">
            <w:pPr>
              <w:spacing w:after="0" w:line="240" w:lineRule="auto"/>
              <w:jc w:val="center"/>
              <w:rPr>
                <w:rFonts w:ascii="Times New Roman" w:eastAsia="Times New Roman" w:hAnsi="Times New Roman" w:cs="Times New Roman"/>
                <w:b/>
                <w:bCs/>
                <w:sz w:val="19"/>
                <w:szCs w:val="19"/>
                <w:lang w:val="en-US" w:eastAsia="ru-RU"/>
              </w:rPr>
            </w:pPr>
            <w:r w:rsidRPr="001300FD">
              <w:rPr>
                <w:rFonts w:ascii="Times New Roman" w:eastAsia="Times New Roman" w:hAnsi="Times New Roman" w:cs="Times New Roman"/>
                <w:b/>
                <w:bCs/>
                <w:sz w:val="19"/>
                <w:szCs w:val="19"/>
                <w:lang w:val="en-US" w:eastAsia="ru-RU"/>
              </w:rPr>
              <w:t>Other financial and non-financial organizations</w:t>
            </w:r>
          </w:p>
        </w:tc>
        <w:tc>
          <w:tcPr>
            <w:tcW w:w="1465" w:type="pct"/>
            <w:tcBorders>
              <w:top w:val="single" w:sz="4" w:space="0" w:color="auto"/>
              <w:left w:val="nil"/>
              <w:bottom w:val="single" w:sz="4" w:space="0" w:color="auto"/>
              <w:right w:val="single" w:sz="4" w:space="0" w:color="auto"/>
            </w:tcBorders>
            <w:shd w:val="clear" w:color="000000" w:fill="92D050"/>
            <w:vAlign w:val="center"/>
            <w:hideMark/>
          </w:tcPr>
          <w:p w14:paraId="0CE8ED1D" w14:textId="77777777" w:rsidR="00E218CA" w:rsidRPr="00E9113E" w:rsidRDefault="00E218CA" w:rsidP="00D2464A">
            <w:pPr>
              <w:spacing w:after="0" w:line="240" w:lineRule="auto"/>
              <w:jc w:val="center"/>
              <w:rPr>
                <w:rFonts w:ascii="Times New Roman" w:eastAsia="Times New Roman" w:hAnsi="Times New Roman" w:cs="Times New Roman"/>
                <w:b/>
                <w:bCs/>
                <w:sz w:val="19"/>
                <w:szCs w:val="19"/>
                <w:lang w:eastAsia="ru-RU"/>
              </w:rPr>
            </w:pPr>
            <w:r w:rsidRPr="00E9113E">
              <w:rPr>
                <w:rFonts w:ascii="Times New Roman" w:eastAsia="Times New Roman" w:hAnsi="Times New Roman" w:cs="Times New Roman"/>
                <w:b/>
                <w:bCs/>
                <w:sz w:val="19"/>
                <w:szCs w:val="19"/>
                <w:lang w:eastAsia="ru-RU"/>
              </w:rPr>
              <w:t>Individuals</w:t>
            </w:r>
          </w:p>
        </w:tc>
        <w:tc>
          <w:tcPr>
            <w:tcW w:w="560" w:type="pct"/>
            <w:tcBorders>
              <w:top w:val="single" w:sz="4" w:space="0" w:color="auto"/>
              <w:left w:val="nil"/>
              <w:bottom w:val="single" w:sz="4" w:space="0" w:color="auto"/>
              <w:right w:val="single" w:sz="4" w:space="0" w:color="auto"/>
            </w:tcBorders>
            <w:shd w:val="clear" w:color="000000" w:fill="92D050"/>
            <w:vAlign w:val="center"/>
          </w:tcPr>
          <w:p w14:paraId="5EDD3319" w14:textId="77777777" w:rsidR="00E218CA" w:rsidRPr="00E9113E" w:rsidRDefault="00E218CA" w:rsidP="00D2464A">
            <w:pPr>
              <w:spacing w:after="0" w:line="240" w:lineRule="auto"/>
              <w:jc w:val="center"/>
              <w:rPr>
                <w:rFonts w:ascii="Times New Roman" w:eastAsia="Times New Roman" w:hAnsi="Times New Roman" w:cs="Times New Roman"/>
                <w:b/>
                <w:bCs/>
                <w:sz w:val="19"/>
                <w:szCs w:val="19"/>
                <w:lang w:eastAsia="ru-RU"/>
              </w:rPr>
            </w:pPr>
            <w:r w:rsidRPr="008379BF">
              <w:rPr>
                <w:rFonts w:ascii="Times New Roman" w:eastAsia="Times New Roman" w:hAnsi="Times New Roman" w:cs="Times New Roman"/>
                <w:b/>
                <w:bCs/>
                <w:sz w:val="19"/>
                <w:szCs w:val="19"/>
                <w:lang w:eastAsia="ru-RU"/>
              </w:rPr>
              <w:t>Authorized banks</w:t>
            </w:r>
          </w:p>
        </w:tc>
      </w:tr>
      <w:tr w:rsidR="00D339B5" w:rsidRPr="00952466" w14:paraId="27DE5898" w14:textId="77777777" w:rsidTr="0082285A">
        <w:trPr>
          <w:trHeight w:val="197"/>
        </w:trPr>
        <w:tc>
          <w:tcPr>
            <w:tcW w:w="93" w:type="pct"/>
            <w:vMerge w:val="restart"/>
            <w:tcBorders>
              <w:top w:val="nil"/>
              <w:left w:val="single" w:sz="4" w:space="0" w:color="auto"/>
              <w:right w:val="single" w:sz="4" w:space="0" w:color="auto"/>
            </w:tcBorders>
            <w:vAlign w:val="center"/>
            <w:hideMark/>
          </w:tcPr>
          <w:p w14:paraId="3DBC96AD"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r w:rsidRPr="00E9113E">
              <w:rPr>
                <w:rFonts w:ascii="Times New Roman" w:eastAsia="Times New Roman" w:hAnsi="Times New Roman" w:cs="Times New Roman"/>
                <w:sz w:val="19"/>
                <w:szCs w:val="19"/>
                <w:lang w:eastAsia="ru-RU"/>
              </w:rPr>
              <w:t>1</w:t>
            </w:r>
          </w:p>
        </w:tc>
        <w:tc>
          <w:tcPr>
            <w:tcW w:w="597" w:type="pct"/>
            <w:vMerge w:val="restart"/>
            <w:tcBorders>
              <w:top w:val="nil"/>
              <w:left w:val="single" w:sz="4" w:space="0" w:color="auto"/>
              <w:right w:val="single" w:sz="4" w:space="0" w:color="auto"/>
            </w:tcBorders>
            <w:vAlign w:val="center"/>
            <w:hideMark/>
          </w:tcPr>
          <w:p w14:paraId="06ED32C8" w14:textId="0ACAB399" w:rsidR="00D339B5" w:rsidRPr="00E9113E" w:rsidRDefault="002C7E7E" w:rsidP="00D2464A">
            <w:pPr>
              <w:spacing w:before="240" w:line="240" w:lineRule="auto"/>
              <w:contextualSpacing/>
              <w:rPr>
                <w:rFonts w:ascii="Times New Roman" w:eastAsia="Times New Roman" w:hAnsi="Times New Roman" w:cs="Times New Roman"/>
                <w:sz w:val="19"/>
                <w:szCs w:val="19"/>
                <w:lang w:eastAsia="ru-RU"/>
              </w:rPr>
            </w:pPr>
            <w:r w:rsidRPr="00116A02">
              <w:rPr>
                <w:rFonts w:ascii="Times New Roman" w:eastAsia="Times New Roman" w:hAnsi="Times New Roman" w:cs="Times New Roman"/>
                <w:sz w:val="19"/>
                <w:szCs w:val="19"/>
                <w:lang w:val="en-ZA" w:eastAsia="ru-RU"/>
              </w:rPr>
              <w:t>Equity</w:t>
            </w:r>
            <w:r w:rsidRPr="00116A02">
              <w:rPr>
                <w:rFonts w:ascii="Times New Roman" w:eastAsia="Times New Roman" w:hAnsi="Times New Roman" w:cs="Times New Roman"/>
                <w:sz w:val="19"/>
                <w:szCs w:val="19"/>
                <w:lang w:val="en-US" w:eastAsia="ru-RU"/>
              </w:rPr>
              <w:t xml:space="preserve"> participation</w:t>
            </w:r>
          </w:p>
        </w:tc>
        <w:tc>
          <w:tcPr>
            <w:tcW w:w="616" w:type="pct"/>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4C1E484" w14:textId="7E67C8EE" w:rsidR="00D339B5" w:rsidRPr="0074485A" w:rsidRDefault="00D339B5" w:rsidP="00D2464A">
            <w:pPr>
              <w:spacing w:before="240" w:line="240" w:lineRule="auto"/>
              <w:contextualSpacing/>
              <w:rPr>
                <w:rFonts w:ascii="Times New Roman" w:eastAsia="Times New Roman" w:hAnsi="Times New Roman" w:cs="Times New Roman"/>
                <w:sz w:val="19"/>
                <w:szCs w:val="19"/>
                <w:lang w:eastAsia="ru-RU"/>
              </w:rPr>
            </w:pPr>
          </w:p>
        </w:tc>
        <w:tc>
          <w:tcPr>
            <w:tcW w:w="1668" w:type="pct"/>
            <w:tcBorders>
              <w:top w:val="nil"/>
              <w:left w:val="nil"/>
              <w:bottom w:val="single" w:sz="4" w:space="0" w:color="auto"/>
              <w:right w:val="single" w:sz="4" w:space="0" w:color="auto"/>
            </w:tcBorders>
            <w:vAlign w:val="center"/>
            <w:hideMark/>
          </w:tcPr>
          <w:p w14:paraId="2D688F32" w14:textId="75F1F30B" w:rsidR="00D339B5" w:rsidRPr="00C60E37" w:rsidRDefault="001977F2" w:rsidP="00D2464A">
            <w:pPr>
              <w:spacing w:before="240" w:line="240" w:lineRule="auto"/>
              <w:jc w:val="center"/>
              <w:rPr>
                <w:rFonts w:ascii="Times New Roman" w:eastAsia="Times New Roman" w:hAnsi="Times New Roman" w:cs="Times New Roman"/>
                <w:sz w:val="19"/>
                <w:szCs w:val="19"/>
                <w:lang w:val="en-US" w:eastAsia="ru-RU"/>
              </w:rPr>
            </w:pPr>
            <w:r w:rsidRPr="001300FD">
              <w:rPr>
                <w:rFonts w:ascii="Times New Roman" w:eastAsia="Times New Roman" w:hAnsi="Times New Roman" w:cs="Times New Roman"/>
                <w:sz w:val="19"/>
                <w:szCs w:val="19"/>
                <w:lang w:val="en-US" w:eastAsia="ru-RU"/>
              </w:rPr>
              <w:t xml:space="preserve">Assignment of </w:t>
            </w:r>
            <w:r w:rsidR="00C60E37">
              <w:rPr>
                <w:rFonts w:ascii="Times New Roman" w:eastAsia="Times New Roman" w:hAnsi="Times New Roman" w:cs="Times New Roman"/>
                <w:sz w:val="19"/>
                <w:szCs w:val="19"/>
                <w:lang w:val="en-US" w:eastAsia="ru-RU"/>
              </w:rPr>
              <w:t xml:space="preserve">a </w:t>
            </w:r>
            <w:r w:rsidR="00464BCB" w:rsidRPr="00464BCB">
              <w:rPr>
                <w:rFonts w:ascii="Times New Roman" w:eastAsia="Times New Roman" w:hAnsi="Times New Roman" w:cs="Times New Roman"/>
                <w:sz w:val="19"/>
                <w:szCs w:val="19"/>
                <w:lang w:val="en-US" w:eastAsia="ru-RU"/>
              </w:rPr>
              <w:t xml:space="preserve">registration </w:t>
            </w:r>
            <w:r w:rsidRPr="001300FD">
              <w:rPr>
                <w:rFonts w:ascii="Times New Roman" w:eastAsia="Times New Roman" w:hAnsi="Times New Roman" w:cs="Times New Roman"/>
                <w:sz w:val="19"/>
                <w:szCs w:val="19"/>
                <w:lang w:val="en-US" w:eastAsia="ru-RU"/>
              </w:rPr>
              <w:t xml:space="preserve">number in the </w:t>
            </w:r>
            <w:r w:rsidR="00464BCB" w:rsidRPr="00AA3335">
              <w:rPr>
                <w:rFonts w:ascii="Times New Roman" w:eastAsia="Times New Roman" w:hAnsi="Times New Roman" w:cs="Times New Roman"/>
                <w:sz w:val="19"/>
                <w:szCs w:val="19"/>
                <w:lang w:val="en-US" w:eastAsia="ru-RU"/>
              </w:rPr>
              <w:t>territorial branches of the National Bank</w:t>
            </w:r>
            <w:r w:rsidR="00464BCB">
              <w:rPr>
                <w:rFonts w:ascii="Times New Roman" w:eastAsia="Times New Roman" w:hAnsi="Times New Roman" w:cs="Times New Roman"/>
                <w:sz w:val="19"/>
                <w:szCs w:val="19"/>
                <w:lang w:val="en-US" w:eastAsia="ru-RU"/>
              </w:rPr>
              <w:t xml:space="preserve"> (</w:t>
            </w:r>
            <w:r w:rsidR="00464BCB" w:rsidRPr="00AA3335">
              <w:rPr>
                <w:rFonts w:ascii="Times New Roman" w:eastAsia="Times New Roman" w:hAnsi="Times New Roman" w:cs="Times New Roman"/>
                <w:sz w:val="19"/>
                <w:szCs w:val="19"/>
                <w:lang w:val="en-US" w:eastAsia="ru-RU"/>
              </w:rPr>
              <w:t>hereinafter referred to as</w:t>
            </w:r>
            <w:r w:rsidR="00464BCB">
              <w:rPr>
                <w:rFonts w:ascii="Times New Roman" w:eastAsia="Times New Roman" w:hAnsi="Times New Roman" w:cs="Times New Roman"/>
                <w:sz w:val="19"/>
                <w:szCs w:val="19"/>
                <w:lang w:val="en-US" w:eastAsia="ru-RU"/>
              </w:rPr>
              <w:t xml:space="preserve"> </w:t>
            </w:r>
            <w:r w:rsidR="00464BCB" w:rsidRPr="00AA3335">
              <w:rPr>
                <w:rFonts w:ascii="Times New Roman" w:eastAsia="Times New Roman" w:hAnsi="Times New Roman" w:cs="Times New Roman"/>
                <w:sz w:val="19"/>
                <w:szCs w:val="19"/>
                <w:lang w:val="en-US" w:eastAsia="ru-RU"/>
              </w:rPr>
              <w:t>TB NBRK</w:t>
            </w:r>
            <w:r w:rsidR="00464BCB">
              <w:rPr>
                <w:rFonts w:ascii="Times New Roman" w:eastAsia="Times New Roman" w:hAnsi="Times New Roman" w:cs="Times New Roman"/>
                <w:sz w:val="19"/>
                <w:szCs w:val="19"/>
                <w:lang w:val="en-US" w:eastAsia="ru-RU"/>
              </w:rPr>
              <w:t>)</w:t>
            </w:r>
            <w:r w:rsidR="00464BCB" w:rsidRPr="00E9113E">
              <w:rPr>
                <w:rStyle w:val="a8"/>
                <w:rFonts w:ascii="Times New Roman" w:eastAsia="Times New Roman" w:hAnsi="Times New Roman" w:cs="Times New Roman"/>
                <w:sz w:val="19"/>
                <w:szCs w:val="19"/>
                <w:lang w:eastAsia="ru-RU"/>
              </w:rPr>
              <w:endnoteReference w:id="2"/>
            </w:r>
          </w:p>
        </w:tc>
        <w:tc>
          <w:tcPr>
            <w:tcW w:w="1465" w:type="pct"/>
            <w:tcBorders>
              <w:top w:val="single" w:sz="4" w:space="0" w:color="auto"/>
              <w:left w:val="nil"/>
              <w:bottom w:val="single" w:sz="4" w:space="0" w:color="auto"/>
              <w:right w:val="single" w:sz="4" w:space="0" w:color="auto"/>
            </w:tcBorders>
            <w:vAlign w:val="center"/>
            <w:hideMark/>
          </w:tcPr>
          <w:p w14:paraId="1F4A3294" w14:textId="23A61812" w:rsidR="00D339B5" w:rsidRPr="001300FD" w:rsidRDefault="001977F2" w:rsidP="00D2464A">
            <w:pPr>
              <w:spacing w:before="240" w:line="240" w:lineRule="auto"/>
              <w:jc w:val="center"/>
              <w:rPr>
                <w:rFonts w:ascii="Times New Roman" w:eastAsia="Times New Roman" w:hAnsi="Times New Roman" w:cs="Times New Roman"/>
                <w:sz w:val="19"/>
                <w:szCs w:val="19"/>
                <w:lang w:val="en-US" w:eastAsia="ru-RU"/>
              </w:rPr>
            </w:pPr>
            <w:r w:rsidRPr="001300FD">
              <w:rPr>
                <w:rFonts w:ascii="Times New Roman" w:eastAsia="Times New Roman" w:hAnsi="Times New Roman" w:cs="Times New Roman"/>
                <w:sz w:val="19"/>
                <w:szCs w:val="19"/>
                <w:lang w:val="en-US" w:eastAsia="ru-RU"/>
              </w:rPr>
              <w:t xml:space="preserve">Assignment of </w:t>
            </w:r>
            <w:r w:rsidR="00C60E37">
              <w:rPr>
                <w:rFonts w:ascii="Times New Roman" w:eastAsia="Times New Roman" w:hAnsi="Times New Roman" w:cs="Times New Roman"/>
                <w:sz w:val="19"/>
                <w:szCs w:val="19"/>
                <w:lang w:val="en-US" w:eastAsia="ru-RU"/>
              </w:rPr>
              <w:t xml:space="preserve">a </w:t>
            </w:r>
            <w:r w:rsidR="00464BCB" w:rsidRPr="00464BCB">
              <w:rPr>
                <w:rFonts w:ascii="Times New Roman" w:eastAsia="Times New Roman" w:hAnsi="Times New Roman" w:cs="Times New Roman"/>
                <w:sz w:val="19"/>
                <w:szCs w:val="19"/>
                <w:lang w:val="en-US" w:eastAsia="ru-RU"/>
              </w:rPr>
              <w:t xml:space="preserve">registration </w:t>
            </w:r>
            <w:r w:rsidRPr="001300FD">
              <w:rPr>
                <w:rFonts w:ascii="Times New Roman" w:eastAsia="Times New Roman" w:hAnsi="Times New Roman" w:cs="Times New Roman"/>
                <w:sz w:val="19"/>
                <w:szCs w:val="19"/>
                <w:lang w:val="en-US" w:eastAsia="ru-RU"/>
              </w:rPr>
              <w:t xml:space="preserve">number in the </w:t>
            </w:r>
            <w:r w:rsidR="00464BCB" w:rsidRPr="00AA3335">
              <w:rPr>
                <w:rFonts w:ascii="Times New Roman" w:eastAsia="Times New Roman" w:hAnsi="Times New Roman" w:cs="Times New Roman"/>
                <w:sz w:val="19"/>
                <w:szCs w:val="19"/>
                <w:lang w:val="en-US" w:eastAsia="ru-RU"/>
              </w:rPr>
              <w:t>TB NBRK</w:t>
            </w:r>
          </w:p>
        </w:tc>
        <w:tc>
          <w:tcPr>
            <w:tcW w:w="560" w:type="pct"/>
            <w:vMerge w:val="restart"/>
            <w:tcBorders>
              <w:top w:val="single" w:sz="4" w:space="0" w:color="auto"/>
              <w:left w:val="nil"/>
              <w:right w:val="single" w:sz="4" w:space="0" w:color="auto"/>
            </w:tcBorders>
          </w:tcPr>
          <w:p w14:paraId="7C832131" w14:textId="5AEC2667" w:rsidR="00D339B5" w:rsidRPr="001300FD" w:rsidRDefault="00D339B5" w:rsidP="00C13E65">
            <w:pPr>
              <w:spacing w:before="240" w:line="240" w:lineRule="auto"/>
              <w:ind w:left="142" w:right="142"/>
              <w:jc w:val="both"/>
              <w:rPr>
                <w:rFonts w:ascii="Times New Roman" w:eastAsia="Times New Roman" w:hAnsi="Times New Roman" w:cs="Times New Roman"/>
                <w:sz w:val="19"/>
                <w:szCs w:val="19"/>
                <w:lang w:val="en-US" w:eastAsia="ru-RU"/>
              </w:rPr>
            </w:pPr>
            <w:r w:rsidRPr="001300FD">
              <w:rPr>
                <w:rFonts w:ascii="Times New Roman" w:eastAsia="Times New Roman" w:hAnsi="Times New Roman" w:cs="Times New Roman"/>
                <w:sz w:val="19"/>
                <w:szCs w:val="19"/>
                <w:lang w:val="en-US" w:eastAsia="ru-RU"/>
              </w:rPr>
              <w:t xml:space="preserve">Notification to the </w:t>
            </w:r>
            <w:r w:rsidR="00464BCB" w:rsidRPr="00C000EB">
              <w:rPr>
                <w:rFonts w:ascii="Times New Roman" w:eastAsia="Times New Roman" w:hAnsi="Times New Roman" w:cs="Times New Roman"/>
                <w:sz w:val="19"/>
                <w:szCs w:val="19"/>
                <w:lang w:val="en-US" w:eastAsia="ru-RU"/>
              </w:rPr>
              <w:t xml:space="preserve">headquarter of the National Bank </w:t>
            </w:r>
            <w:r w:rsidR="00464BCB">
              <w:rPr>
                <w:rFonts w:ascii="Times New Roman" w:eastAsia="Times New Roman" w:hAnsi="Times New Roman" w:cs="Times New Roman"/>
                <w:sz w:val="19"/>
                <w:szCs w:val="19"/>
                <w:lang w:val="en-US" w:eastAsia="ru-RU"/>
              </w:rPr>
              <w:t>(</w:t>
            </w:r>
            <w:r w:rsidR="00464BCB" w:rsidRPr="00AA3335">
              <w:rPr>
                <w:rFonts w:ascii="Times New Roman" w:eastAsia="Times New Roman" w:hAnsi="Times New Roman" w:cs="Times New Roman"/>
                <w:sz w:val="19"/>
                <w:szCs w:val="19"/>
                <w:lang w:val="en-US" w:eastAsia="ru-RU"/>
              </w:rPr>
              <w:t>hereinafter referred to as</w:t>
            </w:r>
            <w:r w:rsidR="00464BCB">
              <w:rPr>
                <w:rFonts w:ascii="Times New Roman" w:eastAsia="Times New Roman" w:hAnsi="Times New Roman" w:cs="Times New Roman"/>
                <w:sz w:val="19"/>
                <w:szCs w:val="19"/>
                <w:lang w:val="en-US" w:eastAsia="ru-RU"/>
              </w:rPr>
              <w:t xml:space="preserve"> </w:t>
            </w:r>
            <w:r w:rsidR="00464BCB" w:rsidRPr="003943B8">
              <w:rPr>
                <w:rFonts w:ascii="Times New Roman" w:eastAsia="Times New Roman" w:hAnsi="Times New Roman" w:cs="Times New Roman"/>
                <w:sz w:val="19"/>
                <w:szCs w:val="19"/>
                <w:lang w:val="en-US" w:eastAsia="ru-RU"/>
              </w:rPr>
              <w:t xml:space="preserve">HQ </w:t>
            </w:r>
            <w:proofErr w:type="gramStart"/>
            <w:r w:rsidR="00464BCB" w:rsidRPr="003943B8">
              <w:rPr>
                <w:rFonts w:ascii="Times New Roman" w:eastAsia="Times New Roman" w:hAnsi="Times New Roman" w:cs="Times New Roman"/>
                <w:sz w:val="19"/>
                <w:szCs w:val="19"/>
                <w:lang w:val="en-US" w:eastAsia="ru-RU"/>
              </w:rPr>
              <w:t>NBRK</w:t>
            </w:r>
            <w:r w:rsidR="00464BCB">
              <w:rPr>
                <w:rFonts w:ascii="Times New Roman" w:eastAsia="Times New Roman" w:hAnsi="Times New Roman" w:cs="Times New Roman"/>
                <w:sz w:val="19"/>
                <w:szCs w:val="19"/>
                <w:lang w:val="en-US" w:eastAsia="ru-RU"/>
              </w:rPr>
              <w:t xml:space="preserve">) </w:t>
            </w:r>
            <w:r w:rsidRPr="001300FD">
              <w:rPr>
                <w:rFonts w:ascii="Times New Roman" w:eastAsia="Times New Roman" w:hAnsi="Times New Roman" w:cs="Times New Roman"/>
                <w:sz w:val="19"/>
                <w:szCs w:val="19"/>
                <w:lang w:val="en-US" w:eastAsia="ru-RU"/>
              </w:rPr>
              <w:t xml:space="preserve"> on</w:t>
            </w:r>
            <w:proofErr w:type="gramEnd"/>
            <w:r w:rsidRPr="001300FD">
              <w:rPr>
                <w:rFonts w:ascii="Times New Roman" w:eastAsia="Times New Roman" w:hAnsi="Times New Roman" w:cs="Times New Roman"/>
                <w:sz w:val="19"/>
                <w:szCs w:val="19"/>
                <w:lang w:val="en-US" w:eastAsia="ru-RU"/>
              </w:rPr>
              <w:t xml:space="preserve"> conducted foreign exchange transactions, including those on behalf of clients, in the form of a report (form index – PR-9) according to Appendix 3 to the Rules for Conducting Foreign Exchange Transactions in the Republic of Kazakhstan</w:t>
            </w:r>
            <w:r w:rsidRPr="008379BF">
              <w:rPr>
                <w:rStyle w:val="a8"/>
                <w:rFonts w:ascii="Times New Roman" w:eastAsia="Times New Roman" w:hAnsi="Times New Roman" w:cs="Times New Roman"/>
                <w:sz w:val="19"/>
                <w:szCs w:val="19"/>
                <w:lang w:eastAsia="ru-RU"/>
              </w:rPr>
              <w:endnoteReference w:id="3"/>
            </w:r>
          </w:p>
          <w:p w14:paraId="4D9D554D" w14:textId="673885D8" w:rsidR="00D339B5" w:rsidRPr="001300FD" w:rsidRDefault="009F08FB" w:rsidP="00450B0B">
            <w:pPr>
              <w:spacing w:before="240" w:line="240" w:lineRule="auto"/>
              <w:ind w:left="142" w:right="142"/>
              <w:jc w:val="both"/>
              <w:rPr>
                <w:rFonts w:ascii="Times New Roman" w:eastAsia="Times New Roman" w:hAnsi="Times New Roman" w:cs="Times New Roman"/>
                <w:i/>
                <w:sz w:val="19"/>
                <w:szCs w:val="19"/>
                <w:lang w:val="en-US" w:eastAsia="ru-RU"/>
              </w:rPr>
            </w:pPr>
            <w:r w:rsidRPr="001300FD">
              <w:rPr>
                <w:rFonts w:ascii="Times New Roman" w:eastAsia="Times New Roman" w:hAnsi="Times New Roman" w:cs="Times New Roman"/>
                <w:i/>
                <w:sz w:val="19"/>
                <w:szCs w:val="19"/>
                <w:lang w:val="en-US" w:eastAsia="ru-RU"/>
              </w:rPr>
              <w:t xml:space="preserve">Exception: not required in cases provided for in paragraphs 16 and 17 of the explanations for filling out the report on Appendix 3 to the Rules for Conducting </w:t>
            </w:r>
            <w:r w:rsidRPr="001300FD">
              <w:rPr>
                <w:rFonts w:ascii="Times New Roman" w:eastAsia="Times New Roman" w:hAnsi="Times New Roman" w:cs="Times New Roman"/>
                <w:i/>
                <w:sz w:val="19"/>
                <w:szCs w:val="19"/>
                <w:lang w:val="en-US" w:eastAsia="ru-RU"/>
              </w:rPr>
              <w:lastRenderedPageBreak/>
              <w:t>Foreign Exchange Operations in the Republic of Kazakhstan.</w:t>
            </w:r>
          </w:p>
        </w:tc>
      </w:tr>
      <w:tr w:rsidR="00D339B5" w:rsidRPr="00952466" w14:paraId="238D59A6" w14:textId="77777777" w:rsidTr="0082285A">
        <w:trPr>
          <w:trHeight w:val="1483"/>
        </w:trPr>
        <w:tc>
          <w:tcPr>
            <w:tcW w:w="93" w:type="pct"/>
            <w:vMerge/>
            <w:tcBorders>
              <w:left w:val="single" w:sz="4" w:space="0" w:color="auto"/>
              <w:bottom w:val="single" w:sz="4" w:space="0" w:color="auto"/>
              <w:right w:val="single" w:sz="4" w:space="0" w:color="auto"/>
            </w:tcBorders>
            <w:vAlign w:val="center"/>
          </w:tcPr>
          <w:p w14:paraId="17F98F18" w14:textId="77777777" w:rsidR="00D339B5" w:rsidRPr="001300FD" w:rsidRDefault="00D339B5" w:rsidP="00D2464A">
            <w:pPr>
              <w:spacing w:before="240" w:line="240" w:lineRule="auto"/>
              <w:contextualSpacing/>
              <w:rPr>
                <w:rFonts w:ascii="Times New Roman" w:eastAsia="Times New Roman" w:hAnsi="Times New Roman" w:cs="Times New Roman"/>
                <w:sz w:val="19"/>
                <w:szCs w:val="19"/>
                <w:lang w:val="en-US" w:eastAsia="ru-RU"/>
              </w:rPr>
            </w:pPr>
          </w:p>
        </w:tc>
        <w:tc>
          <w:tcPr>
            <w:tcW w:w="597" w:type="pct"/>
            <w:vMerge/>
            <w:tcBorders>
              <w:left w:val="single" w:sz="4" w:space="0" w:color="auto"/>
              <w:bottom w:val="single" w:sz="4" w:space="0" w:color="auto"/>
              <w:right w:val="single" w:sz="4" w:space="0" w:color="auto"/>
            </w:tcBorders>
            <w:vAlign w:val="center"/>
          </w:tcPr>
          <w:p w14:paraId="5BF35752" w14:textId="77777777" w:rsidR="00D339B5" w:rsidRPr="001300FD" w:rsidRDefault="00D339B5" w:rsidP="00D2464A">
            <w:pPr>
              <w:spacing w:before="240" w:line="240" w:lineRule="auto"/>
              <w:contextualSpacing/>
              <w:rPr>
                <w:rFonts w:ascii="Times New Roman" w:eastAsia="Times New Roman" w:hAnsi="Times New Roman" w:cs="Times New Roman"/>
                <w:sz w:val="19"/>
                <w:szCs w:val="19"/>
                <w:lang w:val="en-US" w:eastAsia="ru-RU"/>
              </w:rPr>
            </w:pPr>
          </w:p>
        </w:tc>
        <w:tc>
          <w:tcPr>
            <w:tcW w:w="616" w:type="pct"/>
            <w:vMerge/>
            <w:tcBorders>
              <w:left w:val="single" w:sz="4" w:space="0" w:color="auto"/>
              <w:bottom w:val="single" w:sz="4" w:space="0" w:color="auto"/>
              <w:right w:val="single" w:sz="4" w:space="0" w:color="auto"/>
            </w:tcBorders>
            <w:shd w:val="clear" w:color="auto" w:fill="F2F2F2" w:themeFill="background1" w:themeFillShade="F2"/>
            <w:vAlign w:val="center"/>
          </w:tcPr>
          <w:p w14:paraId="2169C932" w14:textId="77777777" w:rsidR="00D339B5" w:rsidRPr="001300FD" w:rsidRDefault="00D339B5" w:rsidP="00D2464A">
            <w:pPr>
              <w:spacing w:before="240" w:line="240" w:lineRule="auto"/>
              <w:contextualSpacing/>
              <w:rPr>
                <w:rFonts w:ascii="Times New Roman" w:eastAsia="Times New Roman" w:hAnsi="Times New Roman" w:cs="Times New Roman"/>
                <w:sz w:val="19"/>
                <w:szCs w:val="19"/>
                <w:lang w:val="en-US" w:eastAsia="ru-RU"/>
              </w:rPr>
            </w:pPr>
          </w:p>
        </w:tc>
        <w:tc>
          <w:tcPr>
            <w:tcW w:w="3134" w:type="pct"/>
            <w:gridSpan w:val="2"/>
            <w:tcBorders>
              <w:top w:val="nil"/>
              <w:left w:val="nil"/>
              <w:bottom w:val="single" w:sz="4" w:space="0" w:color="auto"/>
              <w:right w:val="single" w:sz="4" w:space="0" w:color="auto"/>
            </w:tcBorders>
            <w:vAlign w:val="center"/>
          </w:tcPr>
          <w:p w14:paraId="725845EC" w14:textId="77777777" w:rsidR="00D339B5" w:rsidRPr="001300FD" w:rsidRDefault="00D339B5" w:rsidP="00F84C81">
            <w:pPr>
              <w:spacing w:after="0" w:line="240" w:lineRule="auto"/>
              <w:jc w:val="both"/>
              <w:rPr>
                <w:rFonts w:ascii="Times New Roman" w:hAnsi="Times New Roman" w:cs="Times New Roman"/>
                <w:sz w:val="19"/>
                <w:szCs w:val="19"/>
                <w:lang w:val="en-US"/>
              </w:rPr>
            </w:pPr>
            <w:r w:rsidRPr="001300FD">
              <w:rPr>
                <w:rFonts w:ascii="Times New Roman" w:eastAsia="Times New Roman" w:hAnsi="Times New Roman" w:cs="Times New Roman"/>
                <w:i/>
                <w:iCs/>
                <w:sz w:val="19"/>
                <w:szCs w:val="19"/>
                <w:lang w:val="en-US" w:eastAsia="ru-RU"/>
              </w:rPr>
              <w:t>Exception:</w:t>
            </w:r>
          </w:p>
          <w:p w14:paraId="3F7F68DE" w14:textId="77777777" w:rsidR="00D339B5" w:rsidRPr="001300FD" w:rsidRDefault="00D339B5" w:rsidP="00F84C81">
            <w:pPr>
              <w:spacing w:after="0" w:line="240" w:lineRule="auto"/>
              <w:contextualSpacing/>
              <w:jc w:val="both"/>
              <w:rPr>
                <w:rFonts w:ascii="Times New Roman" w:eastAsia="Times New Roman" w:hAnsi="Times New Roman" w:cs="Times New Roman"/>
                <w:i/>
                <w:sz w:val="19"/>
                <w:szCs w:val="19"/>
                <w:lang w:val="en-US" w:eastAsia="ru-RU"/>
              </w:rPr>
            </w:pPr>
            <w:r w:rsidRPr="001300FD">
              <w:rPr>
                <w:rFonts w:ascii="Times New Roman" w:eastAsia="Times New Roman" w:hAnsi="Times New Roman" w:cs="Times New Roman"/>
                <w:i/>
                <w:sz w:val="19"/>
                <w:szCs w:val="19"/>
                <w:lang w:val="en-US" w:eastAsia="ru-RU"/>
              </w:rPr>
              <w:t>1) an agreement for the sale by a resident to a non-resident of shares, participation interests in the capital of an investment object-non-resident, if the resident has previously received a registration number for a foreign exchange agreement on capital movements for the resident's participation in the capital (acquisition of shares, participation interests) of the investment object-non-resident;</w:t>
            </w:r>
          </w:p>
          <w:p w14:paraId="6044DDAF" w14:textId="7762E5C0" w:rsidR="00D339B5" w:rsidRPr="0074485A" w:rsidRDefault="00D339B5" w:rsidP="00F84C81">
            <w:pPr>
              <w:spacing w:after="0" w:line="240" w:lineRule="auto"/>
              <w:jc w:val="both"/>
              <w:rPr>
                <w:rFonts w:ascii="Times New Roman" w:eastAsia="Times New Roman" w:hAnsi="Times New Roman" w:cs="Times New Roman"/>
                <w:i/>
                <w:sz w:val="19"/>
                <w:szCs w:val="19"/>
                <w:lang w:val="kk-KZ" w:eastAsia="ru-RU"/>
              </w:rPr>
            </w:pPr>
            <w:r w:rsidRPr="001300FD">
              <w:rPr>
                <w:rFonts w:ascii="Times New Roman" w:eastAsia="Times New Roman" w:hAnsi="Times New Roman" w:cs="Times New Roman"/>
                <w:i/>
                <w:sz w:val="19"/>
                <w:szCs w:val="19"/>
                <w:lang w:val="en-US" w:eastAsia="ru-RU"/>
              </w:rPr>
              <w:t>2) an agreement for the redemption by the resident investment entity from the non-resident of its own shares, participation interests, if the resident has previously obtained a registration number for a foreign exchange agreement on capital movement related to the non-resident's participation in the capital of the resident investment entity</w:t>
            </w:r>
          </w:p>
          <w:p w14:paraId="15E6E97D" w14:textId="49811080" w:rsidR="00F84C81" w:rsidRPr="001300FD" w:rsidRDefault="00F84C81" w:rsidP="00F84C81">
            <w:pPr>
              <w:spacing w:after="0" w:line="240" w:lineRule="auto"/>
              <w:jc w:val="both"/>
              <w:rPr>
                <w:rFonts w:ascii="Times New Roman" w:eastAsia="Times New Roman" w:hAnsi="Times New Roman" w:cs="Times New Roman"/>
                <w:i/>
                <w:sz w:val="19"/>
                <w:szCs w:val="19"/>
                <w:lang w:val="en-US" w:eastAsia="ru-RU"/>
              </w:rPr>
            </w:pPr>
          </w:p>
        </w:tc>
        <w:tc>
          <w:tcPr>
            <w:tcW w:w="560" w:type="pct"/>
            <w:vMerge/>
            <w:tcBorders>
              <w:left w:val="nil"/>
              <w:right w:val="single" w:sz="4" w:space="0" w:color="auto"/>
            </w:tcBorders>
            <w:vAlign w:val="center"/>
          </w:tcPr>
          <w:p w14:paraId="569815E8" w14:textId="77777777" w:rsidR="00D339B5" w:rsidRPr="001300FD" w:rsidRDefault="00D339B5" w:rsidP="00D2464A">
            <w:pPr>
              <w:spacing w:before="240" w:line="240" w:lineRule="auto"/>
              <w:contextualSpacing/>
              <w:rPr>
                <w:rFonts w:ascii="Times New Roman" w:eastAsia="Times New Roman" w:hAnsi="Times New Roman" w:cs="Times New Roman"/>
                <w:i/>
                <w:sz w:val="19"/>
                <w:szCs w:val="19"/>
                <w:lang w:val="en-US" w:eastAsia="ru-RU"/>
              </w:rPr>
            </w:pPr>
          </w:p>
        </w:tc>
      </w:tr>
      <w:tr w:rsidR="00D339B5" w:rsidRPr="00952466" w14:paraId="0256D900" w14:textId="77777777" w:rsidTr="0082285A">
        <w:trPr>
          <w:trHeight w:val="173"/>
        </w:trPr>
        <w:tc>
          <w:tcPr>
            <w:tcW w:w="93" w:type="pct"/>
            <w:vMerge w:val="restart"/>
            <w:tcBorders>
              <w:top w:val="nil"/>
              <w:left w:val="single" w:sz="4" w:space="0" w:color="auto"/>
              <w:right w:val="single" w:sz="4" w:space="0" w:color="auto"/>
            </w:tcBorders>
            <w:vAlign w:val="center"/>
            <w:hideMark/>
          </w:tcPr>
          <w:p w14:paraId="00B4EC28"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r w:rsidRPr="00E9113E">
              <w:rPr>
                <w:rFonts w:ascii="Times New Roman" w:eastAsia="Times New Roman" w:hAnsi="Times New Roman" w:cs="Times New Roman"/>
                <w:sz w:val="19"/>
                <w:szCs w:val="19"/>
                <w:lang w:eastAsia="ru-RU"/>
              </w:rPr>
              <w:t>2</w:t>
            </w:r>
          </w:p>
        </w:tc>
        <w:tc>
          <w:tcPr>
            <w:tcW w:w="597" w:type="pct"/>
            <w:vMerge w:val="restart"/>
            <w:tcBorders>
              <w:top w:val="nil"/>
              <w:left w:val="single" w:sz="4" w:space="0" w:color="auto"/>
              <w:right w:val="single" w:sz="4" w:space="0" w:color="auto"/>
            </w:tcBorders>
            <w:vAlign w:val="center"/>
            <w:hideMark/>
          </w:tcPr>
          <w:p w14:paraId="37D46C82"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r w:rsidRPr="00E9113E">
              <w:rPr>
                <w:rFonts w:ascii="Times New Roman" w:eastAsia="Times New Roman" w:hAnsi="Times New Roman" w:cs="Times New Roman"/>
                <w:sz w:val="19"/>
                <w:szCs w:val="19"/>
                <w:lang w:eastAsia="ru-RU"/>
              </w:rPr>
              <w:t>Financial loans</w:t>
            </w:r>
          </w:p>
        </w:tc>
        <w:tc>
          <w:tcPr>
            <w:tcW w:w="616" w:type="pct"/>
            <w:vMerge w:val="restart"/>
            <w:tcBorders>
              <w:top w:val="nil"/>
              <w:left w:val="single" w:sz="4" w:space="0" w:color="auto"/>
              <w:right w:val="single" w:sz="4" w:space="0" w:color="auto"/>
            </w:tcBorders>
            <w:vAlign w:val="center"/>
          </w:tcPr>
          <w:p w14:paraId="6B5396FC" w14:textId="6EB050A5" w:rsidR="00D339B5" w:rsidRPr="001300FD" w:rsidRDefault="002719DB" w:rsidP="002719DB">
            <w:pPr>
              <w:spacing w:before="120" w:after="120" w:line="240" w:lineRule="auto"/>
              <w:rPr>
                <w:rFonts w:ascii="Times New Roman" w:eastAsia="Times New Roman" w:hAnsi="Times New Roman" w:cs="Times New Roman"/>
                <w:sz w:val="19"/>
                <w:szCs w:val="19"/>
                <w:lang w:val="en-US" w:eastAsia="ru-RU"/>
              </w:rPr>
            </w:pPr>
            <w:r w:rsidRPr="0074485A">
              <w:rPr>
                <w:rFonts w:ascii="Times New Roman" w:eastAsia="Times New Roman" w:hAnsi="Times New Roman" w:cs="Times New Roman"/>
                <w:sz w:val="19"/>
                <w:szCs w:val="19"/>
                <w:lang w:val="ru-KZ" w:eastAsia="ru-RU"/>
              </w:rPr>
              <w:t xml:space="preserve">Quarterly submission to the </w:t>
            </w:r>
            <w:r w:rsidR="00464BCB" w:rsidRPr="00BB24EE">
              <w:rPr>
                <w:rFonts w:ascii="Times New Roman" w:eastAsia="Times New Roman" w:hAnsi="Times New Roman" w:cs="Times New Roman"/>
                <w:sz w:val="19"/>
                <w:szCs w:val="19"/>
                <w:lang w:val="en-US" w:eastAsia="ru-RU"/>
              </w:rPr>
              <w:t xml:space="preserve">HQ </w:t>
            </w:r>
            <w:r w:rsidRPr="0074485A">
              <w:rPr>
                <w:rFonts w:ascii="Times New Roman" w:eastAsia="Times New Roman" w:hAnsi="Times New Roman" w:cs="Times New Roman"/>
                <w:sz w:val="19"/>
                <w:szCs w:val="19"/>
                <w:lang w:val="ru-KZ" w:eastAsia="ru-RU"/>
              </w:rPr>
              <w:t>of the NBRK of a report in the form according to Appendix 6 to the Rules on the disbursement and servicing of financial loans, as well as obligations under repo transactions, attracted from non-residents, for which there are outstanding obligations at the beginning and (or) end of the reporting period</w:t>
            </w:r>
          </w:p>
        </w:tc>
        <w:tc>
          <w:tcPr>
            <w:tcW w:w="1668" w:type="pct"/>
            <w:tcBorders>
              <w:top w:val="nil"/>
              <w:left w:val="nil"/>
              <w:bottom w:val="single" w:sz="4" w:space="0" w:color="auto"/>
              <w:right w:val="single" w:sz="4" w:space="0" w:color="auto"/>
            </w:tcBorders>
            <w:vAlign w:val="center"/>
            <w:hideMark/>
          </w:tcPr>
          <w:p w14:paraId="00D42C19" w14:textId="40A4D1B3" w:rsidR="00274929" w:rsidRPr="001300FD" w:rsidRDefault="001977F2" w:rsidP="00274929">
            <w:pPr>
              <w:spacing w:after="0" w:line="240" w:lineRule="auto"/>
              <w:jc w:val="center"/>
              <w:rPr>
                <w:rFonts w:ascii="Times New Roman" w:eastAsia="Times New Roman" w:hAnsi="Times New Roman" w:cs="Times New Roman"/>
                <w:sz w:val="19"/>
                <w:szCs w:val="19"/>
                <w:vertAlign w:val="superscript"/>
                <w:lang w:val="en-US" w:eastAsia="ru-RU"/>
              </w:rPr>
            </w:pPr>
            <w:r w:rsidRPr="001300FD">
              <w:rPr>
                <w:rFonts w:ascii="Times New Roman" w:eastAsia="Times New Roman" w:hAnsi="Times New Roman" w:cs="Times New Roman"/>
                <w:sz w:val="19"/>
                <w:szCs w:val="19"/>
                <w:lang w:val="en-US" w:eastAsia="ru-RU"/>
              </w:rPr>
              <w:t xml:space="preserve">Assignment of </w:t>
            </w:r>
            <w:r w:rsidR="00C60E37">
              <w:rPr>
                <w:rFonts w:ascii="Times New Roman" w:eastAsia="Times New Roman" w:hAnsi="Times New Roman" w:cs="Times New Roman"/>
                <w:sz w:val="19"/>
                <w:szCs w:val="19"/>
                <w:lang w:val="en-US" w:eastAsia="ru-RU"/>
              </w:rPr>
              <w:t xml:space="preserve">a </w:t>
            </w:r>
            <w:r w:rsidR="00464BCB" w:rsidRPr="00464BCB">
              <w:rPr>
                <w:rFonts w:ascii="Times New Roman" w:eastAsia="Times New Roman" w:hAnsi="Times New Roman" w:cs="Times New Roman"/>
                <w:sz w:val="19"/>
                <w:szCs w:val="19"/>
                <w:lang w:val="en-US" w:eastAsia="ru-RU"/>
              </w:rPr>
              <w:t xml:space="preserve">registration </w:t>
            </w:r>
            <w:r w:rsidRPr="001300FD">
              <w:rPr>
                <w:rFonts w:ascii="Times New Roman" w:eastAsia="Times New Roman" w:hAnsi="Times New Roman" w:cs="Times New Roman"/>
                <w:sz w:val="19"/>
                <w:szCs w:val="19"/>
                <w:lang w:val="en-US" w:eastAsia="ru-RU"/>
              </w:rPr>
              <w:t xml:space="preserve">number in the </w:t>
            </w:r>
            <w:r w:rsidR="00464BCB" w:rsidRPr="00AA3335">
              <w:rPr>
                <w:rFonts w:ascii="Times New Roman" w:eastAsia="Times New Roman" w:hAnsi="Times New Roman" w:cs="Times New Roman"/>
                <w:sz w:val="19"/>
                <w:szCs w:val="19"/>
                <w:lang w:val="en-US" w:eastAsia="ru-RU"/>
              </w:rPr>
              <w:t>TB NBRK</w:t>
            </w:r>
          </w:p>
        </w:tc>
        <w:tc>
          <w:tcPr>
            <w:tcW w:w="1465" w:type="pct"/>
            <w:tcBorders>
              <w:top w:val="nil"/>
              <w:left w:val="nil"/>
              <w:bottom w:val="single" w:sz="4" w:space="0" w:color="auto"/>
              <w:right w:val="single" w:sz="4" w:space="0" w:color="auto"/>
            </w:tcBorders>
            <w:vAlign w:val="center"/>
            <w:hideMark/>
          </w:tcPr>
          <w:p w14:paraId="66AC79F2" w14:textId="3A2B12F4" w:rsidR="00274929" w:rsidRPr="001300FD" w:rsidRDefault="001977F2" w:rsidP="00274929">
            <w:pPr>
              <w:spacing w:before="240" w:line="240" w:lineRule="auto"/>
              <w:jc w:val="center"/>
              <w:rPr>
                <w:rFonts w:ascii="Times New Roman" w:eastAsia="Times New Roman" w:hAnsi="Times New Roman" w:cs="Times New Roman"/>
                <w:sz w:val="19"/>
                <w:szCs w:val="19"/>
                <w:vertAlign w:val="superscript"/>
                <w:lang w:val="en-US" w:eastAsia="ru-RU"/>
              </w:rPr>
            </w:pPr>
            <w:r w:rsidRPr="001300FD">
              <w:rPr>
                <w:rFonts w:ascii="Times New Roman" w:eastAsia="Times New Roman" w:hAnsi="Times New Roman" w:cs="Times New Roman"/>
                <w:sz w:val="19"/>
                <w:szCs w:val="19"/>
                <w:lang w:val="en-US" w:eastAsia="ru-RU"/>
              </w:rPr>
              <w:t xml:space="preserve">Assignment of </w:t>
            </w:r>
            <w:r w:rsidR="00C60E37">
              <w:rPr>
                <w:rFonts w:ascii="Times New Roman" w:eastAsia="Times New Roman" w:hAnsi="Times New Roman" w:cs="Times New Roman"/>
                <w:sz w:val="19"/>
                <w:szCs w:val="19"/>
                <w:lang w:val="en-US" w:eastAsia="ru-RU"/>
              </w:rPr>
              <w:t xml:space="preserve">a </w:t>
            </w:r>
            <w:r w:rsidR="00464BCB" w:rsidRPr="00464BCB">
              <w:rPr>
                <w:rFonts w:ascii="Times New Roman" w:eastAsia="Times New Roman" w:hAnsi="Times New Roman" w:cs="Times New Roman"/>
                <w:sz w:val="19"/>
                <w:szCs w:val="19"/>
                <w:lang w:val="en-US" w:eastAsia="ru-RU"/>
              </w:rPr>
              <w:t xml:space="preserve">registration </w:t>
            </w:r>
            <w:r w:rsidRPr="001300FD">
              <w:rPr>
                <w:rFonts w:ascii="Times New Roman" w:eastAsia="Times New Roman" w:hAnsi="Times New Roman" w:cs="Times New Roman"/>
                <w:sz w:val="19"/>
                <w:szCs w:val="19"/>
                <w:lang w:val="en-US" w:eastAsia="ru-RU"/>
              </w:rPr>
              <w:t xml:space="preserve">number in the </w:t>
            </w:r>
            <w:r w:rsidR="00464BCB" w:rsidRPr="00AA3335">
              <w:rPr>
                <w:rFonts w:ascii="Times New Roman" w:eastAsia="Times New Roman" w:hAnsi="Times New Roman" w:cs="Times New Roman"/>
                <w:sz w:val="19"/>
                <w:szCs w:val="19"/>
                <w:lang w:val="en-US" w:eastAsia="ru-RU"/>
              </w:rPr>
              <w:t>TB NBRK</w:t>
            </w:r>
          </w:p>
        </w:tc>
        <w:tc>
          <w:tcPr>
            <w:tcW w:w="560" w:type="pct"/>
            <w:vMerge/>
            <w:tcBorders>
              <w:left w:val="nil"/>
              <w:right w:val="single" w:sz="4" w:space="0" w:color="auto"/>
            </w:tcBorders>
            <w:vAlign w:val="center"/>
          </w:tcPr>
          <w:p w14:paraId="01CF21F8" w14:textId="77777777" w:rsidR="00D339B5" w:rsidRPr="001300FD" w:rsidRDefault="00D339B5" w:rsidP="00D2464A">
            <w:pPr>
              <w:spacing w:before="240" w:line="240" w:lineRule="auto"/>
              <w:contextualSpacing/>
              <w:rPr>
                <w:rFonts w:ascii="Times New Roman" w:eastAsia="Times New Roman" w:hAnsi="Times New Roman" w:cs="Times New Roman"/>
                <w:sz w:val="19"/>
                <w:szCs w:val="19"/>
                <w:lang w:val="en-US" w:eastAsia="ru-RU"/>
              </w:rPr>
            </w:pPr>
          </w:p>
        </w:tc>
      </w:tr>
      <w:tr w:rsidR="00D339B5" w:rsidRPr="00952466" w14:paraId="4EE806FD" w14:textId="77777777" w:rsidTr="0082285A">
        <w:trPr>
          <w:trHeight w:val="413"/>
        </w:trPr>
        <w:tc>
          <w:tcPr>
            <w:tcW w:w="93" w:type="pct"/>
            <w:vMerge/>
            <w:tcBorders>
              <w:left w:val="single" w:sz="4" w:space="0" w:color="auto"/>
              <w:bottom w:val="single" w:sz="4" w:space="0" w:color="auto"/>
              <w:right w:val="single" w:sz="4" w:space="0" w:color="auto"/>
            </w:tcBorders>
            <w:vAlign w:val="center"/>
          </w:tcPr>
          <w:p w14:paraId="58CF876E" w14:textId="77777777" w:rsidR="00D339B5" w:rsidRPr="001300FD" w:rsidRDefault="00D339B5" w:rsidP="00D2464A">
            <w:pPr>
              <w:spacing w:before="240" w:line="240" w:lineRule="auto"/>
              <w:contextualSpacing/>
              <w:rPr>
                <w:rFonts w:ascii="Times New Roman" w:eastAsia="Times New Roman" w:hAnsi="Times New Roman" w:cs="Times New Roman"/>
                <w:sz w:val="19"/>
                <w:szCs w:val="19"/>
                <w:lang w:val="en-US" w:eastAsia="ru-RU"/>
              </w:rPr>
            </w:pPr>
          </w:p>
        </w:tc>
        <w:tc>
          <w:tcPr>
            <w:tcW w:w="597" w:type="pct"/>
            <w:vMerge/>
            <w:tcBorders>
              <w:left w:val="single" w:sz="4" w:space="0" w:color="auto"/>
              <w:bottom w:val="single" w:sz="4" w:space="0" w:color="auto"/>
              <w:right w:val="single" w:sz="4" w:space="0" w:color="auto"/>
            </w:tcBorders>
            <w:vAlign w:val="center"/>
          </w:tcPr>
          <w:p w14:paraId="2C8B5ACD" w14:textId="77777777" w:rsidR="00D339B5" w:rsidRPr="001300FD" w:rsidRDefault="00D339B5" w:rsidP="00D2464A">
            <w:pPr>
              <w:spacing w:before="240" w:line="240" w:lineRule="auto"/>
              <w:contextualSpacing/>
              <w:rPr>
                <w:rFonts w:ascii="Times New Roman" w:eastAsia="Times New Roman" w:hAnsi="Times New Roman" w:cs="Times New Roman"/>
                <w:sz w:val="19"/>
                <w:szCs w:val="19"/>
                <w:lang w:val="en-US" w:eastAsia="ru-RU"/>
              </w:rPr>
            </w:pPr>
          </w:p>
        </w:tc>
        <w:tc>
          <w:tcPr>
            <w:tcW w:w="616" w:type="pct"/>
            <w:vMerge/>
            <w:tcBorders>
              <w:left w:val="single" w:sz="4" w:space="0" w:color="auto"/>
              <w:bottom w:val="single" w:sz="4" w:space="0" w:color="auto"/>
              <w:right w:val="single" w:sz="4" w:space="0" w:color="auto"/>
            </w:tcBorders>
            <w:vAlign w:val="center"/>
          </w:tcPr>
          <w:p w14:paraId="7927467B" w14:textId="77777777" w:rsidR="00D339B5" w:rsidRPr="001300FD" w:rsidRDefault="00D339B5" w:rsidP="00D2464A">
            <w:pPr>
              <w:spacing w:before="240" w:line="240" w:lineRule="auto"/>
              <w:contextualSpacing/>
              <w:rPr>
                <w:rFonts w:ascii="Times New Roman" w:eastAsia="Times New Roman" w:hAnsi="Times New Roman" w:cs="Times New Roman"/>
                <w:sz w:val="19"/>
                <w:szCs w:val="19"/>
                <w:lang w:val="en-US" w:eastAsia="ru-RU"/>
              </w:rPr>
            </w:pPr>
          </w:p>
        </w:tc>
        <w:tc>
          <w:tcPr>
            <w:tcW w:w="3134" w:type="pct"/>
            <w:gridSpan w:val="2"/>
            <w:tcBorders>
              <w:top w:val="nil"/>
              <w:left w:val="nil"/>
              <w:bottom w:val="single" w:sz="4" w:space="0" w:color="auto"/>
              <w:right w:val="single" w:sz="4" w:space="0" w:color="auto"/>
            </w:tcBorders>
            <w:vAlign w:val="center"/>
          </w:tcPr>
          <w:p w14:paraId="37268C1D" w14:textId="05D268F1" w:rsidR="00D339B5" w:rsidRPr="00B75B66" w:rsidRDefault="00D339B5" w:rsidP="00514054">
            <w:pPr>
              <w:spacing w:before="240" w:line="240" w:lineRule="auto"/>
              <w:contextualSpacing/>
              <w:jc w:val="both"/>
              <w:rPr>
                <w:rFonts w:ascii="Times New Roman" w:eastAsia="Times New Roman" w:hAnsi="Times New Roman" w:cs="Times New Roman"/>
                <w:i/>
                <w:sz w:val="19"/>
                <w:szCs w:val="19"/>
                <w:lang w:val="en-US" w:eastAsia="ru-RU"/>
              </w:rPr>
            </w:pPr>
            <w:r w:rsidRPr="001300FD">
              <w:rPr>
                <w:rFonts w:ascii="Times New Roman" w:eastAsia="Times New Roman" w:hAnsi="Times New Roman" w:cs="Times New Roman"/>
                <w:i/>
                <w:sz w:val="19"/>
                <w:szCs w:val="19"/>
                <w:lang w:val="en-US" w:eastAsia="ru-RU"/>
              </w:rPr>
              <w:t>Exception: agreements on state external loans of the Republic of Kazakhstan, non-state external loans with state guarantees of the Republic of Kazakhstan</w:t>
            </w:r>
          </w:p>
          <w:p w14:paraId="72C7DEFB" w14:textId="3D68CB4C" w:rsidR="00B75B66" w:rsidRPr="00952466" w:rsidRDefault="00B75B66" w:rsidP="00514054">
            <w:pPr>
              <w:spacing w:before="240" w:line="240" w:lineRule="auto"/>
              <w:contextualSpacing/>
              <w:jc w:val="both"/>
              <w:rPr>
                <w:rFonts w:ascii="Times New Roman" w:eastAsia="Times New Roman" w:hAnsi="Times New Roman" w:cs="Times New Roman"/>
                <w:sz w:val="19"/>
                <w:szCs w:val="19"/>
                <w:lang w:val="en-US" w:eastAsia="ru-RU"/>
              </w:rPr>
            </w:pPr>
          </w:p>
        </w:tc>
        <w:tc>
          <w:tcPr>
            <w:tcW w:w="560" w:type="pct"/>
            <w:vMerge/>
            <w:tcBorders>
              <w:left w:val="nil"/>
              <w:right w:val="single" w:sz="4" w:space="0" w:color="auto"/>
            </w:tcBorders>
            <w:vAlign w:val="center"/>
          </w:tcPr>
          <w:p w14:paraId="78C23E96" w14:textId="77777777" w:rsidR="00D339B5" w:rsidRPr="001300FD" w:rsidRDefault="00D339B5" w:rsidP="00D2464A">
            <w:pPr>
              <w:spacing w:before="240" w:line="240" w:lineRule="auto"/>
              <w:contextualSpacing/>
              <w:rPr>
                <w:rFonts w:ascii="Times New Roman" w:eastAsia="Times New Roman" w:hAnsi="Times New Roman" w:cs="Times New Roman"/>
                <w:sz w:val="19"/>
                <w:szCs w:val="19"/>
                <w:lang w:val="en-US" w:eastAsia="ru-RU"/>
              </w:rPr>
            </w:pPr>
          </w:p>
        </w:tc>
      </w:tr>
      <w:tr w:rsidR="00D339B5" w:rsidRPr="00952466" w14:paraId="6268A7B3" w14:textId="77777777" w:rsidTr="0082285A">
        <w:trPr>
          <w:trHeight w:val="297"/>
        </w:trPr>
        <w:tc>
          <w:tcPr>
            <w:tcW w:w="93" w:type="pct"/>
            <w:vMerge w:val="restart"/>
            <w:tcBorders>
              <w:top w:val="nil"/>
              <w:left w:val="single" w:sz="4" w:space="0" w:color="auto"/>
              <w:right w:val="single" w:sz="4" w:space="0" w:color="auto"/>
            </w:tcBorders>
            <w:vAlign w:val="center"/>
            <w:hideMark/>
          </w:tcPr>
          <w:p w14:paraId="3660F38C"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r w:rsidRPr="00E9113E">
              <w:rPr>
                <w:rFonts w:ascii="Times New Roman" w:eastAsia="Times New Roman" w:hAnsi="Times New Roman" w:cs="Times New Roman"/>
                <w:sz w:val="19"/>
                <w:szCs w:val="19"/>
                <w:lang w:eastAsia="ru-RU"/>
              </w:rPr>
              <w:t>3</w:t>
            </w:r>
          </w:p>
        </w:tc>
        <w:tc>
          <w:tcPr>
            <w:tcW w:w="597" w:type="pct"/>
            <w:vMerge w:val="restart"/>
            <w:tcBorders>
              <w:top w:val="nil"/>
              <w:left w:val="single" w:sz="4" w:space="0" w:color="auto"/>
              <w:right w:val="single" w:sz="4" w:space="0" w:color="auto"/>
            </w:tcBorders>
            <w:vAlign w:val="center"/>
            <w:hideMark/>
          </w:tcPr>
          <w:p w14:paraId="406C2151" w14:textId="25243A1D" w:rsidR="00D339B5" w:rsidRPr="002C7E7E" w:rsidRDefault="002C7E7E" w:rsidP="00D2464A">
            <w:pPr>
              <w:spacing w:before="240" w:line="240" w:lineRule="auto"/>
              <w:contextualSpacing/>
              <w:rPr>
                <w:rFonts w:ascii="Times New Roman" w:eastAsia="Times New Roman" w:hAnsi="Times New Roman" w:cs="Times New Roman"/>
                <w:sz w:val="19"/>
                <w:szCs w:val="19"/>
                <w:vertAlign w:val="superscript"/>
                <w:lang w:val="en-US" w:eastAsia="ru-RU"/>
              </w:rPr>
            </w:pPr>
            <w:r w:rsidRPr="00275CC5">
              <w:rPr>
                <w:rFonts w:ascii="Times New Roman" w:eastAsia="Times New Roman" w:hAnsi="Times New Roman" w:cs="Times New Roman"/>
                <w:sz w:val="19"/>
                <w:szCs w:val="19"/>
                <w:lang w:val="en-US" w:eastAsia="ru-RU"/>
              </w:rPr>
              <w:t xml:space="preserve">Transactions with securities, </w:t>
            </w:r>
            <w:r w:rsidRPr="009D6DD0">
              <w:rPr>
                <w:rFonts w:ascii="Times New Roman" w:eastAsia="Times New Roman" w:hAnsi="Times New Roman" w:cs="Times New Roman"/>
                <w:sz w:val="19"/>
                <w:szCs w:val="19"/>
                <w:lang w:val="en-US" w:eastAsia="ru-RU"/>
              </w:rPr>
              <w:t>stakes</w:t>
            </w:r>
            <w:r>
              <w:rPr>
                <w:rFonts w:ascii="Times New Roman" w:eastAsia="Times New Roman" w:hAnsi="Times New Roman" w:cs="Times New Roman"/>
                <w:sz w:val="19"/>
                <w:szCs w:val="19"/>
                <w:lang w:val="en-US" w:eastAsia="ru-RU"/>
              </w:rPr>
              <w:t xml:space="preserve"> </w:t>
            </w:r>
            <w:r w:rsidRPr="00275CC5">
              <w:rPr>
                <w:rFonts w:ascii="Times New Roman" w:eastAsia="Times New Roman" w:hAnsi="Times New Roman" w:cs="Times New Roman"/>
                <w:sz w:val="19"/>
                <w:szCs w:val="19"/>
                <w:lang w:val="en-US" w:eastAsia="ru-RU"/>
              </w:rPr>
              <w:t>and financial derivatives</w:t>
            </w:r>
            <w:r w:rsidR="00D06DA2" w:rsidRPr="0074485A">
              <w:rPr>
                <w:rStyle w:val="a8"/>
                <w:rFonts w:ascii="Times New Roman" w:eastAsia="Times New Roman" w:hAnsi="Times New Roman" w:cs="Times New Roman"/>
                <w:sz w:val="19"/>
                <w:szCs w:val="19"/>
                <w:lang w:eastAsia="ru-RU"/>
              </w:rPr>
              <w:endnoteReference w:id="4"/>
            </w:r>
          </w:p>
        </w:tc>
        <w:tc>
          <w:tcPr>
            <w:tcW w:w="616" w:type="pct"/>
            <w:vMerge w:val="restart"/>
            <w:tcBorders>
              <w:top w:val="single" w:sz="4" w:space="0" w:color="auto"/>
              <w:left w:val="single" w:sz="4" w:space="0" w:color="auto"/>
              <w:right w:val="single" w:sz="4" w:space="0" w:color="auto"/>
            </w:tcBorders>
            <w:shd w:val="clear" w:color="auto" w:fill="F2F2F2" w:themeFill="background1" w:themeFillShade="F2"/>
            <w:vAlign w:val="center"/>
          </w:tcPr>
          <w:p w14:paraId="0F470A01" w14:textId="77777777" w:rsidR="00D339B5" w:rsidRPr="001300FD" w:rsidRDefault="00D339B5" w:rsidP="00D2464A">
            <w:pPr>
              <w:spacing w:before="240" w:line="240" w:lineRule="auto"/>
              <w:contextualSpacing/>
              <w:rPr>
                <w:rFonts w:ascii="Times New Roman" w:eastAsia="Times New Roman" w:hAnsi="Times New Roman" w:cs="Times New Roman"/>
                <w:sz w:val="19"/>
                <w:szCs w:val="19"/>
                <w:lang w:val="en-US" w:eastAsia="ru-RU"/>
              </w:rPr>
            </w:pPr>
          </w:p>
        </w:tc>
        <w:tc>
          <w:tcPr>
            <w:tcW w:w="1668" w:type="pct"/>
            <w:tcBorders>
              <w:top w:val="nil"/>
              <w:left w:val="nil"/>
              <w:bottom w:val="single" w:sz="4" w:space="0" w:color="auto"/>
              <w:right w:val="single" w:sz="4" w:space="0" w:color="auto"/>
            </w:tcBorders>
            <w:vAlign w:val="center"/>
            <w:hideMark/>
          </w:tcPr>
          <w:p w14:paraId="33577938" w14:textId="340A30F9" w:rsidR="00D339B5" w:rsidRPr="001300FD" w:rsidRDefault="001977F2" w:rsidP="00D2464A">
            <w:pPr>
              <w:spacing w:before="240" w:line="240" w:lineRule="auto"/>
              <w:jc w:val="center"/>
              <w:rPr>
                <w:rFonts w:ascii="Times New Roman" w:eastAsia="Times New Roman" w:hAnsi="Times New Roman" w:cs="Times New Roman"/>
                <w:sz w:val="19"/>
                <w:szCs w:val="19"/>
                <w:lang w:val="en-US" w:eastAsia="ru-RU"/>
              </w:rPr>
            </w:pPr>
            <w:r w:rsidRPr="001300FD">
              <w:rPr>
                <w:rFonts w:ascii="Times New Roman" w:eastAsia="Times New Roman" w:hAnsi="Times New Roman" w:cs="Times New Roman"/>
                <w:sz w:val="19"/>
                <w:szCs w:val="19"/>
                <w:lang w:val="en-US" w:eastAsia="ru-RU"/>
              </w:rPr>
              <w:t xml:space="preserve">Assignment of </w:t>
            </w:r>
            <w:r w:rsidR="00C60E37">
              <w:rPr>
                <w:rFonts w:ascii="Times New Roman" w:eastAsia="Times New Roman" w:hAnsi="Times New Roman" w:cs="Times New Roman"/>
                <w:sz w:val="19"/>
                <w:szCs w:val="19"/>
                <w:lang w:val="en-US" w:eastAsia="ru-RU"/>
              </w:rPr>
              <w:t xml:space="preserve">a </w:t>
            </w:r>
            <w:r w:rsidR="00464BCB" w:rsidRPr="00464BCB">
              <w:rPr>
                <w:rFonts w:ascii="Times New Roman" w:eastAsia="Times New Roman" w:hAnsi="Times New Roman" w:cs="Times New Roman"/>
                <w:sz w:val="19"/>
                <w:szCs w:val="19"/>
                <w:lang w:val="en-US" w:eastAsia="ru-RU"/>
              </w:rPr>
              <w:t xml:space="preserve">registration </w:t>
            </w:r>
            <w:r w:rsidRPr="001300FD">
              <w:rPr>
                <w:rFonts w:ascii="Times New Roman" w:eastAsia="Times New Roman" w:hAnsi="Times New Roman" w:cs="Times New Roman"/>
                <w:sz w:val="19"/>
                <w:szCs w:val="19"/>
                <w:lang w:val="en-US" w:eastAsia="ru-RU"/>
              </w:rPr>
              <w:t xml:space="preserve">number in the </w:t>
            </w:r>
            <w:r w:rsidR="00464BCB" w:rsidRPr="00AA3335">
              <w:rPr>
                <w:rFonts w:ascii="Times New Roman" w:eastAsia="Times New Roman" w:hAnsi="Times New Roman" w:cs="Times New Roman"/>
                <w:sz w:val="19"/>
                <w:szCs w:val="19"/>
                <w:lang w:val="en-US" w:eastAsia="ru-RU"/>
              </w:rPr>
              <w:t>TB NBRK</w:t>
            </w:r>
          </w:p>
        </w:tc>
        <w:tc>
          <w:tcPr>
            <w:tcW w:w="1465" w:type="pct"/>
            <w:tcBorders>
              <w:top w:val="single" w:sz="4" w:space="0" w:color="auto"/>
              <w:left w:val="nil"/>
              <w:bottom w:val="single" w:sz="4" w:space="0" w:color="auto"/>
              <w:right w:val="single" w:sz="4" w:space="0" w:color="auto"/>
            </w:tcBorders>
            <w:vAlign w:val="center"/>
            <w:hideMark/>
          </w:tcPr>
          <w:p w14:paraId="3DD21D4E" w14:textId="2045040D" w:rsidR="00D339B5" w:rsidRPr="001300FD" w:rsidRDefault="001977F2" w:rsidP="00D2464A">
            <w:pPr>
              <w:spacing w:before="240" w:line="240" w:lineRule="auto"/>
              <w:jc w:val="center"/>
              <w:rPr>
                <w:rFonts w:ascii="Times New Roman" w:eastAsia="Times New Roman" w:hAnsi="Times New Roman" w:cs="Times New Roman"/>
                <w:sz w:val="19"/>
                <w:szCs w:val="19"/>
                <w:lang w:val="en-US" w:eastAsia="ru-RU"/>
              </w:rPr>
            </w:pPr>
            <w:r w:rsidRPr="001300FD">
              <w:rPr>
                <w:rFonts w:ascii="Times New Roman" w:eastAsia="Times New Roman" w:hAnsi="Times New Roman" w:cs="Times New Roman"/>
                <w:sz w:val="19"/>
                <w:szCs w:val="19"/>
                <w:lang w:val="en-US" w:eastAsia="ru-RU"/>
              </w:rPr>
              <w:t xml:space="preserve">Assignment of </w:t>
            </w:r>
            <w:r w:rsidR="00C60E37">
              <w:rPr>
                <w:rFonts w:ascii="Times New Roman" w:eastAsia="Times New Roman" w:hAnsi="Times New Roman" w:cs="Times New Roman"/>
                <w:sz w:val="19"/>
                <w:szCs w:val="19"/>
                <w:lang w:val="en-US" w:eastAsia="ru-RU"/>
              </w:rPr>
              <w:t xml:space="preserve">a </w:t>
            </w:r>
            <w:r w:rsidR="00464BCB" w:rsidRPr="00464BCB">
              <w:rPr>
                <w:rFonts w:ascii="Times New Roman" w:eastAsia="Times New Roman" w:hAnsi="Times New Roman" w:cs="Times New Roman"/>
                <w:sz w:val="19"/>
                <w:szCs w:val="19"/>
                <w:lang w:val="en-US" w:eastAsia="ru-RU"/>
              </w:rPr>
              <w:t xml:space="preserve">registration </w:t>
            </w:r>
            <w:r w:rsidRPr="001300FD">
              <w:rPr>
                <w:rFonts w:ascii="Times New Roman" w:eastAsia="Times New Roman" w:hAnsi="Times New Roman" w:cs="Times New Roman"/>
                <w:sz w:val="19"/>
                <w:szCs w:val="19"/>
                <w:lang w:val="en-US" w:eastAsia="ru-RU"/>
              </w:rPr>
              <w:t xml:space="preserve">number in the </w:t>
            </w:r>
            <w:r w:rsidR="00464BCB" w:rsidRPr="00AA3335">
              <w:rPr>
                <w:rFonts w:ascii="Times New Roman" w:eastAsia="Times New Roman" w:hAnsi="Times New Roman" w:cs="Times New Roman"/>
                <w:sz w:val="19"/>
                <w:szCs w:val="19"/>
                <w:lang w:val="en-US" w:eastAsia="ru-RU"/>
              </w:rPr>
              <w:t>TB NBRK</w:t>
            </w:r>
          </w:p>
        </w:tc>
        <w:tc>
          <w:tcPr>
            <w:tcW w:w="560" w:type="pct"/>
            <w:vMerge/>
            <w:tcBorders>
              <w:left w:val="nil"/>
              <w:right w:val="single" w:sz="4" w:space="0" w:color="auto"/>
            </w:tcBorders>
            <w:vAlign w:val="center"/>
          </w:tcPr>
          <w:p w14:paraId="40BB0982" w14:textId="77777777" w:rsidR="00D339B5" w:rsidRPr="001300FD" w:rsidRDefault="00D339B5" w:rsidP="00D2464A">
            <w:pPr>
              <w:spacing w:before="240" w:line="240" w:lineRule="auto"/>
              <w:contextualSpacing/>
              <w:rPr>
                <w:rFonts w:ascii="Times New Roman" w:eastAsia="Times New Roman" w:hAnsi="Times New Roman" w:cs="Times New Roman"/>
                <w:sz w:val="19"/>
                <w:szCs w:val="19"/>
                <w:lang w:val="en-US" w:eastAsia="ru-RU"/>
              </w:rPr>
            </w:pPr>
          </w:p>
        </w:tc>
      </w:tr>
      <w:tr w:rsidR="00D339B5" w:rsidRPr="00952466" w14:paraId="7617E98E" w14:textId="77777777" w:rsidTr="0082285A">
        <w:trPr>
          <w:trHeight w:val="367"/>
        </w:trPr>
        <w:tc>
          <w:tcPr>
            <w:tcW w:w="93" w:type="pct"/>
            <w:vMerge/>
            <w:tcBorders>
              <w:left w:val="single" w:sz="4" w:space="0" w:color="auto"/>
              <w:bottom w:val="single" w:sz="4" w:space="0" w:color="000000"/>
              <w:right w:val="single" w:sz="4" w:space="0" w:color="auto"/>
            </w:tcBorders>
            <w:vAlign w:val="center"/>
          </w:tcPr>
          <w:p w14:paraId="63F6784F" w14:textId="77777777" w:rsidR="00D339B5" w:rsidRPr="001300FD" w:rsidRDefault="00D339B5" w:rsidP="00D2464A">
            <w:pPr>
              <w:spacing w:before="240" w:line="240" w:lineRule="auto"/>
              <w:contextualSpacing/>
              <w:rPr>
                <w:rFonts w:ascii="Times New Roman" w:eastAsia="Times New Roman" w:hAnsi="Times New Roman" w:cs="Times New Roman"/>
                <w:sz w:val="19"/>
                <w:szCs w:val="19"/>
                <w:lang w:val="en-US" w:eastAsia="ru-RU"/>
              </w:rPr>
            </w:pPr>
          </w:p>
        </w:tc>
        <w:tc>
          <w:tcPr>
            <w:tcW w:w="597" w:type="pct"/>
            <w:vMerge/>
            <w:tcBorders>
              <w:left w:val="single" w:sz="4" w:space="0" w:color="auto"/>
              <w:bottom w:val="single" w:sz="4" w:space="0" w:color="000000"/>
              <w:right w:val="single" w:sz="4" w:space="0" w:color="auto"/>
            </w:tcBorders>
            <w:vAlign w:val="center"/>
          </w:tcPr>
          <w:p w14:paraId="01725954" w14:textId="77777777" w:rsidR="00D339B5" w:rsidRPr="001300FD" w:rsidRDefault="00D339B5" w:rsidP="00D2464A">
            <w:pPr>
              <w:spacing w:before="240" w:line="240" w:lineRule="auto"/>
              <w:contextualSpacing/>
              <w:rPr>
                <w:rFonts w:ascii="Times New Roman" w:eastAsia="Times New Roman" w:hAnsi="Times New Roman" w:cs="Times New Roman"/>
                <w:sz w:val="19"/>
                <w:szCs w:val="19"/>
                <w:lang w:val="en-US" w:eastAsia="ru-RU"/>
              </w:rPr>
            </w:pPr>
          </w:p>
        </w:tc>
        <w:tc>
          <w:tcPr>
            <w:tcW w:w="616" w:type="pct"/>
            <w:vMerge/>
            <w:tcBorders>
              <w:left w:val="single" w:sz="4" w:space="0" w:color="auto"/>
              <w:bottom w:val="single" w:sz="4" w:space="0" w:color="auto"/>
              <w:right w:val="single" w:sz="4" w:space="0" w:color="auto"/>
            </w:tcBorders>
            <w:shd w:val="clear" w:color="auto" w:fill="F2F2F2" w:themeFill="background1" w:themeFillShade="F2"/>
            <w:vAlign w:val="center"/>
          </w:tcPr>
          <w:p w14:paraId="1AD98AD7" w14:textId="77777777" w:rsidR="00D339B5" w:rsidRPr="001300FD" w:rsidRDefault="00D339B5" w:rsidP="00D2464A">
            <w:pPr>
              <w:spacing w:before="240" w:line="240" w:lineRule="auto"/>
              <w:contextualSpacing/>
              <w:rPr>
                <w:rFonts w:ascii="Times New Roman" w:eastAsia="Times New Roman" w:hAnsi="Times New Roman" w:cs="Times New Roman"/>
                <w:sz w:val="19"/>
                <w:szCs w:val="19"/>
                <w:lang w:val="en-US" w:eastAsia="ru-RU"/>
              </w:rPr>
            </w:pPr>
          </w:p>
        </w:tc>
        <w:tc>
          <w:tcPr>
            <w:tcW w:w="3134" w:type="pct"/>
            <w:gridSpan w:val="2"/>
            <w:tcBorders>
              <w:top w:val="nil"/>
              <w:left w:val="nil"/>
              <w:bottom w:val="single" w:sz="4" w:space="0" w:color="auto"/>
              <w:right w:val="single" w:sz="4" w:space="0" w:color="auto"/>
            </w:tcBorders>
            <w:vAlign w:val="center"/>
          </w:tcPr>
          <w:p w14:paraId="26B00ABD" w14:textId="77777777" w:rsidR="00D339B5" w:rsidRPr="001300FD" w:rsidRDefault="00D339B5" w:rsidP="008C00C4">
            <w:pPr>
              <w:spacing w:before="160" w:after="0" w:line="240" w:lineRule="auto"/>
              <w:jc w:val="both"/>
              <w:rPr>
                <w:rFonts w:ascii="Times New Roman" w:hAnsi="Times New Roman" w:cs="Times New Roman"/>
                <w:sz w:val="19"/>
                <w:szCs w:val="19"/>
                <w:lang w:val="en-US"/>
              </w:rPr>
            </w:pPr>
            <w:r w:rsidRPr="001300FD">
              <w:rPr>
                <w:rFonts w:ascii="Times New Roman" w:eastAsia="Times New Roman" w:hAnsi="Times New Roman" w:cs="Times New Roman"/>
                <w:i/>
                <w:iCs/>
                <w:sz w:val="19"/>
                <w:szCs w:val="19"/>
                <w:lang w:val="en-US" w:eastAsia="ru-RU"/>
              </w:rPr>
              <w:t>Exception:</w:t>
            </w:r>
          </w:p>
          <w:p w14:paraId="78AD0D14" w14:textId="2318FE08" w:rsidR="006B126C" w:rsidRPr="001300FD" w:rsidRDefault="006B126C" w:rsidP="006B126C">
            <w:pPr>
              <w:spacing w:after="0" w:line="240" w:lineRule="auto"/>
              <w:contextualSpacing/>
              <w:jc w:val="both"/>
              <w:rPr>
                <w:rFonts w:ascii="Times New Roman" w:eastAsia="Times New Roman" w:hAnsi="Times New Roman" w:cs="Times New Roman"/>
                <w:i/>
                <w:sz w:val="19"/>
                <w:szCs w:val="19"/>
                <w:lang w:val="en-US" w:eastAsia="ru-RU"/>
              </w:rPr>
            </w:pPr>
            <w:r w:rsidRPr="001300FD">
              <w:rPr>
                <w:rFonts w:ascii="Times New Roman" w:eastAsia="Times New Roman" w:hAnsi="Times New Roman" w:cs="Times New Roman"/>
                <w:i/>
                <w:sz w:val="19"/>
                <w:szCs w:val="19"/>
                <w:lang w:val="en-US" w:eastAsia="ru-RU"/>
              </w:rPr>
              <w:t>1) placement, redemption, acquisition, sale:</w:t>
            </w:r>
          </w:p>
          <w:p w14:paraId="21DBAEE1" w14:textId="45895A34" w:rsidR="006B126C" w:rsidRPr="001300FD" w:rsidRDefault="006B126C" w:rsidP="006B126C">
            <w:pPr>
              <w:spacing w:after="0" w:line="240" w:lineRule="auto"/>
              <w:ind w:firstLine="284"/>
              <w:contextualSpacing/>
              <w:jc w:val="both"/>
              <w:rPr>
                <w:rFonts w:ascii="Times New Roman" w:eastAsia="Times New Roman" w:hAnsi="Times New Roman" w:cs="Times New Roman"/>
                <w:i/>
                <w:sz w:val="19"/>
                <w:szCs w:val="19"/>
                <w:lang w:val="en-US" w:eastAsia="ru-RU"/>
              </w:rPr>
            </w:pPr>
            <w:r w:rsidRPr="001300FD">
              <w:rPr>
                <w:rFonts w:ascii="Times New Roman" w:eastAsia="Times New Roman" w:hAnsi="Times New Roman" w:cs="Times New Roman"/>
                <w:i/>
                <w:sz w:val="19"/>
                <w:szCs w:val="19"/>
                <w:lang w:val="en-US" w:eastAsia="ru-RU"/>
              </w:rPr>
              <w:t>- government securities of the Republic of Kazakhstan;</w:t>
            </w:r>
          </w:p>
          <w:p w14:paraId="03D0B5E6" w14:textId="2AB6F9AC" w:rsidR="006B126C" w:rsidRPr="001300FD" w:rsidRDefault="006B126C" w:rsidP="006B126C">
            <w:pPr>
              <w:spacing w:after="0" w:line="240" w:lineRule="auto"/>
              <w:ind w:firstLine="284"/>
              <w:contextualSpacing/>
              <w:jc w:val="both"/>
              <w:rPr>
                <w:rFonts w:ascii="Times New Roman" w:eastAsia="Times New Roman" w:hAnsi="Times New Roman" w:cs="Times New Roman"/>
                <w:i/>
                <w:sz w:val="19"/>
                <w:szCs w:val="19"/>
                <w:lang w:val="en-US" w:eastAsia="ru-RU"/>
              </w:rPr>
            </w:pPr>
            <w:r w:rsidRPr="001300FD">
              <w:rPr>
                <w:rFonts w:ascii="Times New Roman" w:eastAsia="Times New Roman" w:hAnsi="Times New Roman" w:cs="Times New Roman"/>
                <w:i/>
                <w:sz w:val="19"/>
                <w:szCs w:val="19"/>
                <w:lang w:val="en-US" w:eastAsia="ru-RU"/>
              </w:rPr>
              <w:t>- securities of a resident issuer issued in accordance with the legislation of another state and on its territory (including depositary receipts, the underlying asset of which are securities of a resident issuer);</w:t>
            </w:r>
          </w:p>
          <w:p w14:paraId="78DEE8F5" w14:textId="1923B10D" w:rsidR="006B126C" w:rsidRPr="001300FD" w:rsidRDefault="006B126C" w:rsidP="006B126C">
            <w:pPr>
              <w:spacing w:after="0" w:line="240" w:lineRule="auto"/>
              <w:ind w:firstLine="284"/>
              <w:contextualSpacing/>
              <w:jc w:val="both"/>
              <w:rPr>
                <w:rFonts w:ascii="Times New Roman" w:eastAsia="Times New Roman" w:hAnsi="Times New Roman" w:cs="Times New Roman"/>
                <w:i/>
                <w:sz w:val="19"/>
                <w:szCs w:val="19"/>
                <w:lang w:val="en-US" w:eastAsia="ru-RU"/>
              </w:rPr>
            </w:pPr>
            <w:r w:rsidRPr="001300FD">
              <w:rPr>
                <w:rFonts w:ascii="Times New Roman" w:eastAsia="Times New Roman" w:hAnsi="Times New Roman" w:cs="Times New Roman"/>
                <w:i/>
                <w:sz w:val="19"/>
                <w:szCs w:val="19"/>
                <w:lang w:val="en-US" w:eastAsia="ru-RU"/>
              </w:rPr>
              <w:lastRenderedPageBreak/>
              <w:t>- securities of a non-resident issuer issued in accordance with the legislation of the Republic of Kazakhstan (including Kazakhstan depositary receipts);</w:t>
            </w:r>
          </w:p>
          <w:p w14:paraId="1A9BE5E2" w14:textId="465E07EB" w:rsidR="006B126C" w:rsidRPr="001300FD" w:rsidRDefault="006B126C" w:rsidP="006B126C">
            <w:pPr>
              <w:spacing w:after="0" w:line="240" w:lineRule="auto"/>
              <w:contextualSpacing/>
              <w:jc w:val="both"/>
              <w:rPr>
                <w:rFonts w:ascii="Times New Roman" w:eastAsia="Times New Roman" w:hAnsi="Times New Roman" w:cs="Times New Roman"/>
                <w:i/>
                <w:sz w:val="19"/>
                <w:szCs w:val="19"/>
                <w:lang w:val="en-US" w:eastAsia="ru-RU"/>
              </w:rPr>
            </w:pPr>
            <w:r w:rsidRPr="001300FD">
              <w:rPr>
                <w:rFonts w:ascii="Times New Roman" w:eastAsia="Times New Roman" w:hAnsi="Times New Roman" w:cs="Times New Roman"/>
                <w:i/>
                <w:sz w:val="19"/>
                <w:szCs w:val="19"/>
                <w:lang w:val="en-US" w:eastAsia="ru-RU"/>
              </w:rPr>
              <w:t>2) acquisition on the secondary market:</w:t>
            </w:r>
          </w:p>
          <w:p w14:paraId="69CED1B6" w14:textId="638BBEC9" w:rsidR="006B126C" w:rsidRPr="001300FD" w:rsidRDefault="006B126C" w:rsidP="006B126C">
            <w:pPr>
              <w:spacing w:after="0" w:line="240" w:lineRule="auto"/>
              <w:ind w:firstLine="284"/>
              <w:contextualSpacing/>
              <w:jc w:val="both"/>
              <w:rPr>
                <w:rFonts w:ascii="Times New Roman" w:eastAsia="Times New Roman" w:hAnsi="Times New Roman" w:cs="Times New Roman"/>
                <w:i/>
                <w:sz w:val="19"/>
                <w:szCs w:val="19"/>
                <w:lang w:val="en-US" w:eastAsia="ru-RU"/>
              </w:rPr>
            </w:pPr>
            <w:r w:rsidRPr="001300FD">
              <w:rPr>
                <w:rFonts w:ascii="Times New Roman" w:eastAsia="Times New Roman" w:hAnsi="Times New Roman" w:cs="Times New Roman"/>
                <w:i/>
                <w:sz w:val="19"/>
                <w:szCs w:val="19"/>
                <w:lang w:val="en-US" w:eastAsia="ru-RU"/>
              </w:rPr>
              <w:t>- by a resident from a non-resident of debt securities of a resident issuer issued in accordance with the legislation of the Republic of Kazakhstan;</w:t>
            </w:r>
          </w:p>
          <w:p w14:paraId="40DE759F" w14:textId="77777777" w:rsidR="006B126C" w:rsidRDefault="006B126C" w:rsidP="006B126C">
            <w:pPr>
              <w:spacing w:after="120" w:line="240" w:lineRule="auto"/>
              <w:ind w:firstLine="284"/>
              <w:contextualSpacing/>
              <w:jc w:val="both"/>
              <w:rPr>
                <w:rFonts w:ascii="Times New Roman" w:eastAsia="Times New Roman" w:hAnsi="Times New Roman" w:cs="Times New Roman"/>
                <w:i/>
                <w:sz w:val="19"/>
                <w:szCs w:val="19"/>
                <w:lang w:val="en-US" w:eastAsia="ru-RU"/>
              </w:rPr>
            </w:pPr>
            <w:r w:rsidRPr="001300FD">
              <w:rPr>
                <w:rFonts w:ascii="Times New Roman" w:eastAsia="Times New Roman" w:hAnsi="Times New Roman" w:cs="Times New Roman"/>
                <w:i/>
                <w:sz w:val="19"/>
                <w:szCs w:val="19"/>
                <w:lang w:val="en-US" w:eastAsia="ru-RU"/>
              </w:rPr>
              <w:t>- by a non-resident from a resident of debt securities of a non-resident issuer, issued in accordance with the legislation of another state and on its territory</w:t>
            </w:r>
          </w:p>
          <w:p w14:paraId="09DE7E5C" w14:textId="43119713" w:rsidR="00B67A38" w:rsidRPr="001300FD" w:rsidRDefault="00B67A38" w:rsidP="00B67A38">
            <w:pPr>
              <w:spacing w:after="120" w:line="240" w:lineRule="auto"/>
              <w:contextualSpacing/>
              <w:jc w:val="both"/>
              <w:rPr>
                <w:rFonts w:ascii="Times New Roman" w:eastAsia="Times New Roman" w:hAnsi="Times New Roman" w:cs="Times New Roman"/>
                <w:i/>
                <w:sz w:val="19"/>
                <w:szCs w:val="19"/>
                <w:lang w:val="en-US" w:eastAsia="ru-RU"/>
              </w:rPr>
            </w:pPr>
            <w:r>
              <w:rPr>
                <w:rFonts w:ascii="Times New Roman" w:eastAsia="Times New Roman" w:hAnsi="Times New Roman" w:cs="Times New Roman"/>
                <w:i/>
                <w:sz w:val="19"/>
                <w:szCs w:val="19"/>
                <w:lang w:val="en-US" w:eastAsia="ru-RU"/>
              </w:rPr>
              <w:t xml:space="preserve">3) </w:t>
            </w:r>
            <w:r w:rsidRPr="00B67A38">
              <w:rPr>
                <w:rFonts w:ascii="Times New Roman" w:eastAsia="Times New Roman" w:hAnsi="Times New Roman" w:cs="Times New Roman"/>
                <w:i/>
                <w:sz w:val="19"/>
                <w:szCs w:val="19"/>
                <w:lang w:val="en-US" w:eastAsia="ru-RU"/>
              </w:rPr>
              <w:t>transactions of residents within the framework of stock option programs of non-resident issuers for employees of resident legal entities</w:t>
            </w:r>
          </w:p>
          <w:p w14:paraId="1C46A7FD" w14:textId="12673C5F" w:rsidR="006B126C" w:rsidRPr="006B126C" w:rsidRDefault="006B126C" w:rsidP="006B126C">
            <w:pPr>
              <w:spacing w:after="120" w:line="240" w:lineRule="auto"/>
              <w:ind w:firstLine="284"/>
              <w:contextualSpacing/>
              <w:jc w:val="both"/>
              <w:rPr>
                <w:rFonts w:ascii="Times New Roman" w:eastAsia="Times New Roman" w:hAnsi="Times New Roman" w:cs="Times New Roman"/>
                <w:i/>
                <w:sz w:val="19"/>
                <w:szCs w:val="19"/>
                <w:lang w:val="ru-KZ" w:eastAsia="ru-RU"/>
              </w:rPr>
            </w:pPr>
          </w:p>
        </w:tc>
        <w:tc>
          <w:tcPr>
            <w:tcW w:w="560" w:type="pct"/>
            <w:vMerge/>
            <w:tcBorders>
              <w:left w:val="nil"/>
              <w:right w:val="single" w:sz="4" w:space="0" w:color="auto"/>
            </w:tcBorders>
            <w:vAlign w:val="center"/>
          </w:tcPr>
          <w:p w14:paraId="5DA74BE8" w14:textId="77777777" w:rsidR="00D339B5" w:rsidRPr="001300FD" w:rsidRDefault="00D339B5" w:rsidP="00D2464A">
            <w:pPr>
              <w:spacing w:before="240" w:line="240" w:lineRule="auto"/>
              <w:contextualSpacing/>
              <w:rPr>
                <w:rFonts w:ascii="Times New Roman" w:eastAsia="Times New Roman" w:hAnsi="Times New Roman" w:cs="Times New Roman"/>
                <w:i/>
                <w:sz w:val="19"/>
                <w:szCs w:val="19"/>
                <w:lang w:val="en-US" w:eastAsia="ru-RU"/>
              </w:rPr>
            </w:pPr>
          </w:p>
        </w:tc>
      </w:tr>
      <w:tr w:rsidR="00D339B5" w:rsidRPr="00952466" w14:paraId="42A2FF83" w14:textId="77777777" w:rsidTr="0082285A">
        <w:trPr>
          <w:trHeight w:val="556"/>
        </w:trPr>
        <w:tc>
          <w:tcPr>
            <w:tcW w:w="93" w:type="pct"/>
            <w:vMerge w:val="restart"/>
            <w:tcBorders>
              <w:top w:val="nil"/>
              <w:left w:val="single" w:sz="4" w:space="0" w:color="auto"/>
              <w:right w:val="single" w:sz="4" w:space="0" w:color="auto"/>
            </w:tcBorders>
            <w:vAlign w:val="center"/>
            <w:hideMark/>
          </w:tcPr>
          <w:p w14:paraId="0E67EA78"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r w:rsidRPr="00E9113E">
              <w:rPr>
                <w:rFonts w:ascii="Times New Roman" w:eastAsia="Times New Roman" w:hAnsi="Times New Roman" w:cs="Times New Roman"/>
                <w:sz w:val="19"/>
                <w:szCs w:val="19"/>
                <w:lang w:eastAsia="ru-RU"/>
              </w:rPr>
              <w:t>4</w:t>
            </w:r>
          </w:p>
        </w:tc>
        <w:tc>
          <w:tcPr>
            <w:tcW w:w="597" w:type="pct"/>
            <w:vMerge w:val="restart"/>
            <w:tcBorders>
              <w:top w:val="nil"/>
              <w:left w:val="single" w:sz="4" w:space="0" w:color="auto"/>
              <w:right w:val="single" w:sz="4" w:space="0" w:color="auto"/>
            </w:tcBorders>
            <w:vAlign w:val="center"/>
            <w:hideMark/>
          </w:tcPr>
          <w:p w14:paraId="439AB710" w14:textId="77777777" w:rsidR="00D339B5" w:rsidRPr="001300FD" w:rsidRDefault="00D339B5" w:rsidP="00D2464A">
            <w:pPr>
              <w:spacing w:before="240" w:line="240" w:lineRule="auto"/>
              <w:contextualSpacing/>
              <w:rPr>
                <w:rFonts w:ascii="Times New Roman" w:eastAsia="Times New Roman" w:hAnsi="Times New Roman" w:cs="Times New Roman"/>
                <w:i/>
                <w:sz w:val="19"/>
                <w:szCs w:val="19"/>
                <w:lang w:val="en-US" w:eastAsia="ru-RU"/>
              </w:rPr>
            </w:pPr>
            <w:r w:rsidRPr="001300FD">
              <w:rPr>
                <w:rFonts w:ascii="Times New Roman" w:eastAsia="Times New Roman" w:hAnsi="Times New Roman" w:cs="Times New Roman"/>
                <w:sz w:val="19"/>
                <w:szCs w:val="19"/>
                <w:lang w:val="en-US" w:eastAsia="ru-RU"/>
              </w:rPr>
              <w:t xml:space="preserve">Acquisition of ownership of real estate, </w:t>
            </w:r>
            <w:proofErr w:type="gramStart"/>
            <w:r w:rsidRPr="001300FD">
              <w:rPr>
                <w:rFonts w:ascii="Times New Roman" w:eastAsia="Times New Roman" w:hAnsi="Times New Roman" w:cs="Times New Roman"/>
                <w:i/>
                <w:iCs/>
                <w:sz w:val="19"/>
                <w:szCs w:val="19"/>
                <w:lang w:val="en-US" w:eastAsia="ru-RU"/>
              </w:rPr>
              <w:t>with the exception of</w:t>
            </w:r>
            <w:proofErr w:type="gramEnd"/>
            <w:r w:rsidRPr="001300FD">
              <w:rPr>
                <w:rFonts w:ascii="Times New Roman" w:eastAsia="Times New Roman" w:hAnsi="Times New Roman" w:cs="Times New Roman"/>
                <w:i/>
                <w:iCs/>
                <w:sz w:val="19"/>
                <w:szCs w:val="19"/>
                <w:lang w:val="en-US" w:eastAsia="ru-RU"/>
              </w:rPr>
              <w:t xml:space="preserve"> movable items equated or classified by the laws of the Republic of Kazakhstan as real estate</w:t>
            </w:r>
          </w:p>
          <w:p w14:paraId="216DC6DE" w14:textId="77777777" w:rsidR="008C00C4" w:rsidRPr="001300FD" w:rsidRDefault="008C00C4" w:rsidP="00D2464A">
            <w:pPr>
              <w:spacing w:before="240" w:line="240" w:lineRule="auto"/>
              <w:contextualSpacing/>
              <w:rPr>
                <w:rFonts w:ascii="Times New Roman" w:eastAsia="Times New Roman" w:hAnsi="Times New Roman" w:cs="Times New Roman"/>
                <w:sz w:val="19"/>
                <w:szCs w:val="19"/>
                <w:lang w:val="en-US" w:eastAsia="ru-RU"/>
              </w:rPr>
            </w:pPr>
          </w:p>
        </w:tc>
        <w:tc>
          <w:tcPr>
            <w:tcW w:w="616" w:type="pct"/>
            <w:vMerge w:val="restart"/>
            <w:tcBorders>
              <w:top w:val="nil"/>
              <w:left w:val="single" w:sz="4" w:space="0" w:color="auto"/>
              <w:right w:val="single" w:sz="4" w:space="0" w:color="auto"/>
            </w:tcBorders>
            <w:shd w:val="clear" w:color="auto" w:fill="F2F2F2" w:themeFill="background1" w:themeFillShade="F2"/>
            <w:vAlign w:val="center"/>
          </w:tcPr>
          <w:p w14:paraId="0B72F543" w14:textId="77777777" w:rsidR="00D339B5" w:rsidRPr="001300FD" w:rsidRDefault="00D339B5" w:rsidP="00D2464A">
            <w:pPr>
              <w:spacing w:before="240" w:line="240" w:lineRule="auto"/>
              <w:contextualSpacing/>
              <w:rPr>
                <w:rFonts w:ascii="Times New Roman" w:eastAsia="Times New Roman" w:hAnsi="Times New Roman" w:cs="Times New Roman"/>
                <w:sz w:val="19"/>
                <w:szCs w:val="19"/>
                <w:lang w:val="en-US" w:eastAsia="ru-RU"/>
              </w:rPr>
            </w:pPr>
          </w:p>
        </w:tc>
        <w:tc>
          <w:tcPr>
            <w:tcW w:w="1668" w:type="pct"/>
            <w:tcBorders>
              <w:top w:val="single" w:sz="4" w:space="0" w:color="auto"/>
              <w:left w:val="nil"/>
              <w:bottom w:val="single" w:sz="4" w:space="0" w:color="auto"/>
              <w:right w:val="single" w:sz="4" w:space="0" w:color="auto"/>
            </w:tcBorders>
            <w:vAlign w:val="center"/>
            <w:hideMark/>
          </w:tcPr>
          <w:p w14:paraId="5437D12C" w14:textId="63EC7427" w:rsidR="00D339B5" w:rsidRPr="001300FD" w:rsidRDefault="001977F2" w:rsidP="007D131E">
            <w:pPr>
              <w:spacing w:before="240" w:line="240" w:lineRule="auto"/>
              <w:contextualSpacing/>
              <w:jc w:val="center"/>
              <w:rPr>
                <w:rFonts w:ascii="Times New Roman" w:eastAsia="Times New Roman" w:hAnsi="Times New Roman" w:cs="Times New Roman"/>
                <w:sz w:val="19"/>
                <w:szCs w:val="19"/>
                <w:lang w:val="en-US" w:eastAsia="ru-RU"/>
              </w:rPr>
            </w:pPr>
            <w:r w:rsidRPr="001300FD">
              <w:rPr>
                <w:rFonts w:ascii="Times New Roman" w:eastAsia="Times New Roman" w:hAnsi="Times New Roman" w:cs="Times New Roman"/>
                <w:sz w:val="19"/>
                <w:szCs w:val="19"/>
                <w:lang w:val="en-US" w:eastAsia="ru-RU"/>
              </w:rPr>
              <w:t xml:space="preserve">Assignment of </w:t>
            </w:r>
            <w:r w:rsidR="00C60E37">
              <w:rPr>
                <w:rFonts w:ascii="Times New Roman" w:eastAsia="Times New Roman" w:hAnsi="Times New Roman" w:cs="Times New Roman"/>
                <w:sz w:val="19"/>
                <w:szCs w:val="19"/>
                <w:lang w:val="en-US" w:eastAsia="ru-RU"/>
              </w:rPr>
              <w:t xml:space="preserve">a </w:t>
            </w:r>
            <w:r w:rsidR="00464BCB" w:rsidRPr="00464BCB">
              <w:rPr>
                <w:rFonts w:ascii="Times New Roman" w:eastAsia="Times New Roman" w:hAnsi="Times New Roman" w:cs="Times New Roman"/>
                <w:sz w:val="19"/>
                <w:szCs w:val="19"/>
                <w:lang w:val="en-US" w:eastAsia="ru-RU"/>
              </w:rPr>
              <w:t xml:space="preserve">registration </w:t>
            </w:r>
            <w:r w:rsidRPr="001300FD">
              <w:rPr>
                <w:rFonts w:ascii="Times New Roman" w:eastAsia="Times New Roman" w:hAnsi="Times New Roman" w:cs="Times New Roman"/>
                <w:sz w:val="19"/>
                <w:szCs w:val="19"/>
                <w:lang w:val="en-US" w:eastAsia="ru-RU"/>
              </w:rPr>
              <w:t xml:space="preserve">number in the </w:t>
            </w:r>
            <w:r w:rsidR="00464BCB" w:rsidRPr="00AA3335">
              <w:rPr>
                <w:rFonts w:ascii="Times New Roman" w:eastAsia="Times New Roman" w:hAnsi="Times New Roman" w:cs="Times New Roman"/>
                <w:sz w:val="19"/>
                <w:szCs w:val="19"/>
                <w:lang w:val="en-US" w:eastAsia="ru-RU"/>
              </w:rPr>
              <w:t>TB NBRK</w:t>
            </w:r>
          </w:p>
        </w:tc>
        <w:tc>
          <w:tcPr>
            <w:tcW w:w="1465" w:type="pct"/>
            <w:vMerge w:val="restart"/>
            <w:tcBorders>
              <w:top w:val="nil"/>
              <w:left w:val="nil"/>
              <w:right w:val="single" w:sz="4" w:space="0" w:color="auto"/>
            </w:tcBorders>
            <w:shd w:val="clear" w:color="auto" w:fill="F2F2F2" w:themeFill="background1" w:themeFillShade="F2"/>
            <w:vAlign w:val="center"/>
            <w:hideMark/>
          </w:tcPr>
          <w:p w14:paraId="7C6069E9" w14:textId="77777777" w:rsidR="00D339B5" w:rsidRPr="001300FD" w:rsidRDefault="00D339B5" w:rsidP="00D2464A">
            <w:pPr>
              <w:spacing w:before="240" w:line="240" w:lineRule="auto"/>
              <w:contextualSpacing/>
              <w:rPr>
                <w:rFonts w:ascii="Times New Roman" w:eastAsia="Times New Roman" w:hAnsi="Times New Roman" w:cs="Times New Roman"/>
                <w:sz w:val="19"/>
                <w:szCs w:val="19"/>
                <w:lang w:val="en-US" w:eastAsia="ru-RU"/>
              </w:rPr>
            </w:pPr>
          </w:p>
        </w:tc>
        <w:tc>
          <w:tcPr>
            <w:tcW w:w="560" w:type="pct"/>
            <w:vMerge/>
            <w:tcBorders>
              <w:left w:val="nil"/>
              <w:right w:val="single" w:sz="4" w:space="0" w:color="auto"/>
            </w:tcBorders>
            <w:shd w:val="clear" w:color="auto" w:fill="F2F2F2" w:themeFill="background1" w:themeFillShade="F2"/>
            <w:vAlign w:val="center"/>
          </w:tcPr>
          <w:p w14:paraId="19CC0330" w14:textId="77777777" w:rsidR="00D339B5" w:rsidRPr="001300FD" w:rsidRDefault="00D339B5" w:rsidP="00D2464A">
            <w:pPr>
              <w:spacing w:before="240" w:line="240" w:lineRule="auto"/>
              <w:contextualSpacing/>
              <w:rPr>
                <w:rFonts w:ascii="Times New Roman" w:eastAsia="Times New Roman" w:hAnsi="Times New Roman" w:cs="Times New Roman"/>
                <w:sz w:val="19"/>
                <w:szCs w:val="19"/>
                <w:lang w:val="en-US" w:eastAsia="ru-RU"/>
              </w:rPr>
            </w:pPr>
          </w:p>
        </w:tc>
      </w:tr>
      <w:tr w:rsidR="00D339B5" w:rsidRPr="00952466" w14:paraId="49BFFF2A" w14:textId="77777777" w:rsidTr="0082285A">
        <w:trPr>
          <w:trHeight w:val="1395"/>
        </w:trPr>
        <w:tc>
          <w:tcPr>
            <w:tcW w:w="93" w:type="pct"/>
            <w:vMerge/>
            <w:tcBorders>
              <w:left w:val="single" w:sz="4" w:space="0" w:color="auto"/>
              <w:bottom w:val="single" w:sz="4" w:space="0" w:color="000000"/>
              <w:right w:val="single" w:sz="4" w:space="0" w:color="auto"/>
            </w:tcBorders>
            <w:vAlign w:val="center"/>
          </w:tcPr>
          <w:p w14:paraId="02310B7A" w14:textId="77777777" w:rsidR="00D339B5" w:rsidRPr="001300FD" w:rsidRDefault="00D339B5" w:rsidP="00D2464A">
            <w:pPr>
              <w:spacing w:before="240" w:line="240" w:lineRule="auto"/>
              <w:contextualSpacing/>
              <w:rPr>
                <w:rFonts w:ascii="Times New Roman" w:eastAsia="Times New Roman" w:hAnsi="Times New Roman" w:cs="Times New Roman"/>
                <w:sz w:val="19"/>
                <w:szCs w:val="19"/>
                <w:lang w:val="en-US" w:eastAsia="ru-RU"/>
              </w:rPr>
            </w:pPr>
          </w:p>
        </w:tc>
        <w:tc>
          <w:tcPr>
            <w:tcW w:w="597" w:type="pct"/>
            <w:vMerge/>
            <w:tcBorders>
              <w:left w:val="single" w:sz="4" w:space="0" w:color="auto"/>
              <w:bottom w:val="single" w:sz="4" w:space="0" w:color="000000"/>
              <w:right w:val="single" w:sz="4" w:space="0" w:color="auto"/>
            </w:tcBorders>
            <w:vAlign w:val="center"/>
          </w:tcPr>
          <w:p w14:paraId="2E91F45B" w14:textId="77777777" w:rsidR="00D339B5" w:rsidRPr="001300FD" w:rsidRDefault="00D339B5" w:rsidP="00D2464A">
            <w:pPr>
              <w:spacing w:before="240" w:line="240" w:lineRule="auto"/>
              <w:contextualSpacing/>
              <w:rPr>
                <w:rFonts w:ascii="Times New Roman" w:eastAsia="Times New Roman" w:hAnsi="Times New Roman" w:cs="Times New Roman"/>
                <w:sz w:val="19"/>
                <w:szCs w:val="19"/>
                <w:lang w:val="en-US" w:eastAsia="ru-RU"/>
              </w:rPr>
            </w:pPr>
          </w:p>
        </w:tc>
        <w:tc>
          <w:tcPr>
            <w:tcW w:w="616" w:type="pct"/>
            <w:vMerge/>
            <w:tcBorders>
              <w:left w:val="single" w:sz="4" w:space="0" w:color="auto"/>
              <w:bottom w:val="single" w:sz="4" w:space="0" w:color="auto"/>
              <w:right w:val="single" w:sz="4" w:space="0" w:color="auto"/>
            </w:tcBorders>
            <w:shd w:val="clear" w:color="auto" w:fill="F2F2F2" w:themeFill="background1" w:themeFillShade="F2"/>
            <w:vAlign w:val="center"/>
          </w:tcPr>
          <w:p w14:paraId="305800E8" w14:textId="77777777" w:rsidR="00D339B5" w:rsidRPr="001300FD" w:rsidRDefault="00D339B5" w:rsidP="00D2464A">
            <w:pPr>
              <w:spacing w:before="240" w:line="240" w:lineRule="auto"/>
              <w:contextualSpacing/>
              <w:rPr>
                <w:rFonts w:ascii="Times New Roman" w:eastAsia="Times New Roman" w:hAnsi="Times New Roman" w:cs="Times New Roman"/>
                <w:sz w:val="19"/>
                <w:szCs w:val="19"/>
                <w:lang w:val="en-US" w:eastAsia="ru-RU"/>
              </w:rPr>
            </w:pPr>
          </w:p>
        </w:tc>
        <w:tc>
          <w:tcPr>
            <w:tcW w:w="1668" w:type="pct"/>
            <w:tcBorders>
              <w:top w:val="single" w:sz="4" w:space="0" w:color="auto"/>
              <w:left w:val="nil"/>
              <w:bottom w:val="single" w:sz="4" w:space="0" w:color="auto"/>
              <w:right w:val="single" w:sz="4" w:space="0" w:color="auto"/>
            </w:tcBorders>
            <w:vAlign w:val="center"/>
          </w:tcPr>
          <w:p w14:paraId="3B279774" w14:textId="77777777" w:rsidR="00D339B5" w:rsidRPr="001300FD" w:rsidRDefault="00D339B5" w:rsidP="00514054">
            <w:pPr>
              <w:spacing w:before="240" w:line="240" w:lineRule="auto"/>
              <w:contextualSpacing/>
              <w:jc w:val="both"/>
              <w:rPr>
                <w:rFonts w:ascii="Times New Roman" w:hAnsi="Times New Roman" w:cs="Times New Roman"/>
                <w:sz w:val="19"/>
                <w:szCs w:val="19"/>
                <w:lang w:val="en-US"/>
              </w:rPr>
            </w:pPr>
            <w:r w:rsidRPr="001300FD">
              <w:rPr>
                <w:rFonts w:ascii="Times New Roman" w:eastAsia="Times New Roman" w:hAnsi="Times New Roman" w:cs="Times New Roman"/>
                <w:i/>
                <w:iCs/>
                <w:sz w:val="19"/>
                <w:szCs w:val="19"/>
                <w:lang w:val="en-US" w:eastAsia="ru-RU"/>
              </w:rPr>
              <w:t>Exception:</w:t>
            </w:r>
            <w:r w:rsidRPr="001300FD">
              <w:rPr>
                <w:rFonts w:ascii="Times New Roman" w:eastAsia="Times New Roman" w:hAnsi="Times New Roman" w:cs="Times New Roman"/>
                <w:sz w:val="19"/>
                <w:szCs w:val="19"/>
                <w:lang w:val="en-US" w:eastAsia="ru-RU"/>
              </w:rPr>
              <w:t xml:space="preserve"> </w:t>
            </w:r>
            <w:r w:rsidRPr="001300FD">
              <w:rPr>
                <w:rFonts w:ascii="Times New Roman" w:eastAsia="Times New Roman" w:hAnsi="Times New Roman" w:cs="Times New Roman"/>
                <w:i/>
                <w:iCs/>
                <w:sz w:val="19"/>
                <w:szCs w:val="19"/>
                <w:lang w:val="en-US" w:eastAsia="ru-RU"/>
              </w:rPr>
              <w:t>an agreement for the sale by a resident to a non-resident of real estate abroad, if the resident has previously received a registration number for a foreign exchange agreement on capital movement for the acquisition of real estate abroad in ownership</w:t>
            </w:r>
          </w:p>
          <w:p w14:paraId="78EA0871" w14:textId="77777777" w:rsidR="00D339B5" w:rsidRPr="001300FD" w:rsidRDefault="00D339B5" w:rsidP="00DE3032">
            <w:pPr>
              <w:spacing w:before="240" w:line="240" w:lineRule="auto"/>
              <w:contextualSpacing/>
              <w:rPr>
                <w:rFonts w:ascii="Times New Roman" w:eastAsia="Times New Roman" w:hAnsi="Times New Roman" w:cs="Times New Roman"/>
                <w:sz w:val="19"/>
                <w:szCs w:val="19"/>
                <w:lang w:val="en-US" w:eastAsia="ru-RU"/>
              </w:rPr>
            </w:pPr>
          </w:p>
        </w:tc>
        <w:tc>
          <w:tcPr>
            <w:tcW w:w="1465" w:type="pct"/>
            <w:vMerge/>
            <w:tcBorders>
              <w:left w:val="nil"/>
              <w:bottom w:val="single" w:sz="4" w:space="0" w:color="auto"/>
              <w:right w:val="single" w:sz="4" w:space="0" w:color="auto"/>
            </w:tcBorders>
            <w:shd w:val="clear" w:color="auto" w:fill="F2F2F2" w:themeFill="background1" w:themeFillShade="F2"/>
            <w:vAlign w:val="center"/>
          </w:tcPr>
          <w:p w14:paraId="4552C5F2" w14:textId="77777777" w:rsidR="00D339B5" w:rsidRPr="001300FD" w:rsidRDefault="00D339B5" w:rsidP="00D2464A">
            <w:pPr>
              <w:spacing w:before="240" w:line="240" w:lineRule="auto"/>
              <w:contextualSpacing/>
              <w:rPr>
                <w:rFonts w:ascii="Times New Roman" w:eastAsia="Times New Roman" w:hAnsi="Times New Roman" w:cs="Times New Roman"/>
                <w:sz w:val="19"/>
                <w:szCs w:val="19"/>
                <w:lang w:val="en-US" w:eastAsia="ru-RU"/>
              </w:rPr>
            </w:pPr>
          </w:p>
        </w:tc>
        <w:tc>
          <w:tcPr>
            <w:tcW w:w="560" w:type="pct"/>
            <w:vMerge/>
            <w:tcBorders>
              <w:left w:val="nil"/>
              <w:right w:val="single" w:sz="4" w:space="0" w:color="auto"/>
            </w:tcBorders>
            <w:shd w:val="clear" w:color="auto" w:fill="F2F2F2" w:themeFill="background1" w:themeFillShade="F2"/>
            <w:vAlign w:val="center"/>
          </w:tcPr>
          <w:p w14:paraId="1380A82A" w14:textId="77777777" w:rsidR="00D339B5" w:rsidRPr="001300FD" w:rsidRDefault="00D339B5" w:rsidP="00D2464A">
            <w:pPr>
              <w:spacing w:before="240" w:line="240" w:lineRule="auto"/>
              <w:contextualSpacing/>
              <w:rPr>
                <w:rFonts w:ascii="Times New Roman" w:eastAsia="Times New Roman" w:hAnsi="Times New Roman" w:cs="Times New Roman"/>
                <w:sz w:val="19"/>
                <w:szCs w:val="19"/>
                <w:lang w:val="en-US" w:eastAsia="ru-RU"/>
              </w:rPr>
            </w:pPr>
          </w:p>
        </w:tc>
      </w:tr>
      <w:tr w:rsidR="00D339B5" w:rsidRPr="00952466" w14:paraId="5432F714" w14:textId="77777777" w:rsidTr="0082285A">
        <w:trPr>
          <w:trHeight w:val="574"/>
        </w:trPr>
        <w:tc>
          <w:tcPr>
            <w:tcW w:w="93" w:type="pct"/>
            <w:vMerge w:val="restart"/>
            <w:tcBorders>
              <w:top w:val="nil"/>
              <w:left w:val="single" w:sz="4" w:space="0" w:color="auto"/>
              <w:right w:val="single" w:sz="4" w:space="0" w:color="auto"/>
            </w:tcBorders>
            <w:vAlign w:val="center"/>
            <w:hideMark/>
          </w:tcPr>
          <w:p w14:paraId="65ACD907"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r w:rsidRPr="00E9113E">
              <w:rPr>
                <w:rFonts w:ascii="Times New Roman" w:eastAsia="Times New Roman" w:hAnsi="Times New Roman" w:cs="Times New Roman"/>
                <w:sz w:val="19"/>
                <w:szCs w:val="19"/>
                <w:lang w:eastAsia="ru-RU"/>
              </w:rPr>
              <w:t>5</w:t>
            </w:r>
          </w:p>
        </w:tc>
        <w:tc>
          <w:tcPr>
            <w:tcW w:w="597" w:type="pct"/>
            <w:vMerge w:val="restart"/>
            <w:tcBorders>
              <w:top w:val="nil"/>
              <w:left w:val="single" w:sz="4" w:space="0" w:color="auto"/>
              <w:right w:val="single" w:sz="4" w:space="0" w:color="auto"/>
            </w:tcBorders>
            <w:vAlign w:val="center"/>
            <w:hideMark/>
          </w:tcPr>
          <w:p w14:paraId="330EDB87" w14:textId="77777777" w:rsidR="00D339B5" w:rsidRPr="001300FD" w:rsidRDefault="00D339B5" w:rsidP="00D2464A">
            <w:pPr>
              <w:spacing w:before="240" w:line="240" w:lineRule="auto"/>
              <w:contextualSpacing/>
              <w:rPr>
                <w:rFonts w:ascii="Times New Roman" w:eastAsia="Times New Roman" w:hAnsi="Times New Roman" w:cs="Times New Roman"/>
                <w:sz w:val="19"/>
                <w:szCs w:val="19"/>
                <w:lang w:val="en-US" w:eastAsia="ru-RU"/>
              </w:rPr>
            </w:pPr>
            <w:r w:rsidRPr="001300FD">
              <w:rPr>
                <w:rFonts w:ascii="Times New Roman" w:eastAsia="Times New Roman" w:hAnsi="Times New Roman" w:cs="Times New Roman"/>
                <w:sz w:val="19"/>
                <w:szCs w:val="19"/>
                <w:lang w:val="en-US" w:eastAsia="ru-RU"/>
              </w:rPr>
              <w:t>Acquisition of fully exclusive rights to intellectual property objects</w:t>
            </w:r>
          </w:p>
          <w:p w14:paraId="5C0898CB" w14:textId="77777777" w:rsidR="008C00C4" w:rsidRPr="001300FD" w:rsidRDefault="008C00C4" w:rsidP="00D2464A">
            <w:pPr>
              <w:spacing w:before="240" w:line="240" w:lineRule="auto"/>
              <w:contextualSpacing/>
              <w:rPr>
                <w:rFonts w:ascii="Times New Roman" w:eastAsia="Times New Roman" w:hAnsi="Times New Roman" w:cs="Times New Roman"/>
                <w:sz w:val="19"/>
                <w:szCs w:val="19"/>
                <w:lang w:val="en-US" w:eastAsia="ru-RU"/>
              </w:rPr>
            </w:pPr>
          </w:p>
        </w:tc>
        <w:tc>
          <w:tcPr>
            <w:tcW w:w="616" w:type="pct"/>
            <w:vMerge w:val="restart"/>
            <w:tcBorders>
              <w:top w:val="nil"/>
              <w:left w:val="single" w:sz="4" w:space="0" w:color="auto"/>
              <w:right w:val="single" w:sz="4" w:space="0" w:color="auto"/>
            </w:tcBorders>
            <w:shd w:val="clear" w:color="auto" w:fill="F2F2F2" w:themeFill="background1" w:themeFillShade="F2"/>
            <w:vAlign w:val="center"/>
          </w:tcPr>
          <w:p w14:paraId="50DA79EA" w14:textId="77777777" w:rsidR="00D339B5" w:rsidRPr="001300FD" w:rsidRDefault="00D339B5" w:rsidP="00D2464A">
            <w:pPr>
              <w:spacing w:before="240" w:line="240" w:lineRule="auto"/>
              <w:contextualSpacing/>
              <w:rPr>
                <w:rFonts w:ascii="Times New Roman" w:eastAsia="Times New Roman" w:hAnsi="Times New Roman" w:cs="Times New Roman"/>
                <w:sz w:val="19"/>
                <w:szCs w:val="19"/>
                <w:lang w:val="en-US" w:eastAsia="ru-RU"/>
              </w:rPr>
            </w:pPr>
          </w:p>
        </w:tc>
        <w:tc>
          <w:tcPr>
            <w:tcW w:w="1668" w:type="pct"/>
            <w:tcBorders>
              <w:top w:val="nil"/>
              <w:left w:val="nil"/>
              <w:bottom w:val="single" w:sz="4" w:space="0" w:color="auto"/>
              <w:right w:val="single" w:sz="4" w:space="0" w:color="auto"/>
            </w:tcBorders>
            <w:vAlign w:val="center"/>
            <w:hideMark/>
          </w:tcPr>
          <w:p w14:paraId="6883DB80" w14:textId="4B802606" w:rsidR="00D339B5" w:rsidRPr="001300FD" w:rsidRDefault="001977F2" w:rsidP="00234F54">
            <w:pPr>
              <w:spacing w:before="240" w:line="240" w:lineRule="auto"/>
              <w:contextualSpacing/>
              <w:jc w:val="center"/>
              <w:rPr>
                <w:rFonts w:ascii="Times New Roman" w:eastAsia="Times New Roman" w:hAnsi="Times New Roman" w:cs="Times New Roman"/>
                <w:sz w:val="19"/>
                <w:szCs w:val="19"/>
                <w:lang w:val="en-US" w:eastAsia="ru-RU"/>
              </w:rPr>
            </w:pPr>
            <w:r w:rsidRPr="001300FD">
              <w:rPr>
                <w:rFonts w:ascii="Times New Roman" w:eastAsia="Times New Roman" w:hAnsi="Times New Roman" w:cs="Times New Roman"/>
                <w:sz w:val="19"/>
                <w:szCs w:val="19"/>
                <w:lang w:val="en-US" w:eastAsia="ru-RU"/>
              </w:rPr>
              <w:t xml:space="preserve">Assignment of </w:t>
            </w:r>
            <w:r w:rsidR="00C60E37">
              <w:rPr>
                <w:rFonts w:ascii="Times New Roman" w:eastAsia="Times New Roman" w:hAnsi="Times New Roman" w:cs="Times New Roman"/>
                <w:sz w:val="19"/>
                <w:szCs w:val="19"/>
                <w:lang w:val="en-US" w:eastAsia="ru-RU"/>
              </w:rPr>
              <w:t xml:space="preserve">a </w:t>
            </w:r>
            <w:r w:rsidR="00464BCB" w:rsidRPr="00464BCB">
              <w:rPr>
                <w:rFonts w:ascii="Times New Roman" w:eastAsia="Times New Roman" w:hAnsi="Times New Roman" w:cs="Times New Roman"/>
                <w:sz w:val="19"/>
                <w:szCs w:val="19"/>
                <w:lang w:val="en-US" w:eastAsia="ru-RU"/>
              </w:rPr>
              <w:t xml:space="preserve">registration </w:t>
            </w:r>
            <w:r w:rsidRPr="001300FD">
              <w:rPr>
                <w:rFonts w:ascii="Times New Roman" w:eastAsia="Times New Roman" w:hAnsi="Times New Roman" w:cs="Times New Roman"/>
                <w:sz w:val="19"/>
                <w:szCs w:val="19"/>
                <w:lang w:val="en-US" w:eastAsia="ru-RU"/>
              </w:rPr>
              <w:t xml:space="preserve">number in the </w:t>
            </w:r>
            <w:r w:rsidR="00464BCB" w:rsidRPr="00AA3335">
              <w:rPr>
                <w:rFonts w:ascii="Times New Roman" w:eastAsia="Times New Roman" w:hAnsi="Times New Roman" w:cs="Times New Roman"/>
                <w:sz w:val="19"/>
                <w:szCs w:val="19"/>
                <w:lang w:val="en-US" w:eastAsia="ru-RU"/>
              </w:rPr>
              <w:t>TB NBRK</w:t>
            </w:r>
          </w:p>
        </w:tc>
        <w:tc>
          <w:tcPr>
            <w:tcW w:w="1465" w:type="pct"/>
            <w:tcBorders>
              <w:top w:val="single" w:sz="4" w:space="0" w:color="auto"/>
              <w:left w:val="nil"/>
              <w:bottom w:val="single" w:sz="4" w:space="0" w:color="auto"/>
              <w:right w:val="single" w:sz="4" w:space="0" w:color="auto"/>
            </w:tcBorders>
            <w:vAlign w:val="center"/>
            <w:hideMark/>
          </w:tcPr>
          <w:p w14:paraId="2588A102" w14:textId="398B382F" w:rsidR="00D339B5" w:rsidRPr="001300FD" w:rsidRDefault="001977F2" w:rsidP="00234F54">
            <w:pPr>
              <w:spacing w:before="240" w:line="240" w:lineRule="auto"/>
              <w:contextualSpacing/>
              <w:jc w:val="center"/>
              <w:rPr>
                <w:rFonts w:ascii="Times New Roman" w:eastAsia="Times New Roman" w:hAnsi="Times New Roman" w:cs="Times New Roman"/>
                <w:sz w:val="19"/>
                <w:szCs w:val="19"/>
                <w:lang w:val="en-US" w:eastAsia="ru-RU"/>
              </w:rPr>
            </w:pPr>
            <w:r w:rsidRPr="001300FD">
              <w:rPr>
                <w:rFonts w:ascii="Times New Roman" w:eastAsia="Times New Roman" w:hAnsi="Times New Roman" w:cs="Times New Roman"/>
                <w:sz w:val="19"/>
                <w:szCs w:val="19"/>
                <w:lang w:val="en-US" w:eastAsia="ru-RU"/>
              </w:rPr>
              <w:t xml:space="preserve">Assignment of </w:t>
            </w:r>
            <w:r w:rsidR="00C60E37">
              <w:rPr>
                <w:rFonts w:ascii="Times New Roman" w:eastAsia="Times New Roman" w:hAnsi="Times New Roman" w:cs="Times New Roman"/>
                <w:sz w:val="19"/>
                <w:szCs w:val="19"/>
                <w:lang w:val="en-US" w:eastAsia="ru-RU"/>
              </w:rPr>
              <w:t xml:space="preserve">a </w:t>
            </w:r>
            <w:r w:rsidR="00464BCB" w:rsidRPr="00464BCB">
              <w:rPr>
                <w:rFonts w:ascii="Times New Roman" w:eastAsia="Times New Roman" w:hAnsi="Times New Roman" w:cs="Times New Roman"/>
                <w:sz w:val="19"/>
                <w:szCs w:val="19"/>
                <w:lang w:val="en-US" w:eastAsia="ru-RU"/>
              </w:rPr>
              <w:t xml:space="preserve">registration </w:t>
            </w:r>
            <w:r w:rsidRPr="001300FD">
              <w:rPr>
                <w:rFonts w:ascii="Times New Roman" w:eastAsia="Times New Roman" w:hAnsi="Times New Roman" w:cs="Times New Roman"/>
                <w:sz w:val="19"/>
                <w:szCs w:val="19"/>
                <w:lang w:val="en-US" w:eastAsia="ru-RU"/>
              </w:rPr>
              <w:t xml:space="preserve">number in the </w:t>
            </w:r>
            <w:r w:rsidR="00464BCB" w:rsidRPr="00AA3335">
              <w:rPr>
                <w:rFonts w:ascii="Times New Roman" w:eastAsia="Times New Roman" w:hAnsi="Times New Roman" w:cs="Times New Roman"/>
                <w:sz w:val="19"/>
                <w:szCs w:val="19"/>
                <w:lang w:val="en-US" w:eastAsia="ru-RU"/>
              </w:rPr>
              <w:t>TB NBRK</w:t>
            </w:r>
          </w:p>
        </w:tc>
        <w:tc>
          <w:tcPr>
            <w:tcW w:w="560" w:type="pct"/>
            <w:vMerge/>
            <w:tcBorders>
              <w:left w:val="nil"/>
              <w:right w:val="single" w:sz="4" w:space="0" w:color="auto"/>
            </w:tcBorders>
            <w:vAlign w:val="center"/>
          </w:tcPr>
          <w:p w14:paraId="05958599" w14:textId="77777777" w:rsidR="00D339B5" w:rsidRPr="001300FD" w:rsidRDefault="00D339B5" w:rsidP="00D2464A">
            <w:pPr>
              <w:spacing w:before="240" w:line="240" w:lineRule="auto"/>
              <w:contextualSpacing/>
              <w:rPr>
                <w:rFonts w:ascii="Times New Roman" w:eastAsia="Times New Roman" w:hAnsi="Times New Roman" w:cs="Times New Roman"/>
                <w:sz w:val="19"/>
                <w:szCs w:val="19"/>
                <w:lang w:val="en-US" w:eastAsia="ru-RU"/>
              </w:rPr>
            </w:pPr>
          </w:p>
        </w:tc>
      </w:tr>
      <w:tr w:rsidR="00D339B5" w:rsidRPr="00952466" w14:paraId="35B2260F" w14:textId="77777777" w:rsidTr="0082285A">
        <w:trPr>
          <w:trHeight w:val="554"/>
        </w:trPr>
        <w:tc>
          <w:tcPr>
            <w:tcW w:w="93" w:type="pct"/>
            <w:vMerge/>
            <w:tcBorders>
              <w:left w:val="single" w:sz="4" w:space="0" w:color="auto"/>
              <w:bottom w:val="single" w:sz="4" w:space="0" w:color="000000"/>
              <w:right w:val="single" w:sz="4" w:space="0" w:color="auto"/>
            </w:tcBorders>
            <w:vAlign w:val="center"/>
          </w:tcPr>
          <w:p w14:paraId="423D9275" w14:textId="77777777" w:rsidR="00D339B5" w:rsidRPr="001300FD" w:rsidRDefault="00D339B5" w:rsidP="00D2464A">
            <w:pPr>
              <w:spacing w:before="240" w:line="240" w:lineRule="auto"/>
              <w:contextualSpacing/>
              <w:rPr>
                <w:rFonts w:ascii="Times New Roman" w:eastAsia="Times New Roman" w:hAnsi="Times New Roman" w:cs="Times New Roman"/>
                <w:sz w:val="19"/>
                <w:szCs w:val="19"/>
                <w:lang w:val="en-US" w:eastAsia="ru-RU"/>
              </w:rPr>
            </w:pPr>
          </w:p>
        </w:tc>
        <w:tc>
          <w:tcPr>
            <w:tcW w:w="597" w:type="pct"/>
            <w:vMerge/>
            <w:tcBorders>
              <w:left w:val="single" w:sz="4" w:space="0" w:color="auto"/>
              <w:bottom w:val="single" w:sz="4" w:space="0" w:color="000000"/>
              <w:right w:val="single" w:sz="4" w:space="0" w:color="auto"/>
            </w:tcBorders>
            <w:vAlign w:val="center"/>
          </w:tcPr>
          <w:p w14:paraId="4F286453" w14:textId="77777777" w:rsidR="00D339B5" w:rsidRPr="001300FD" w:rsidRDefault="00D339B5" w:rsidP="00D2464A">
            <w:pPr>
              <w:spacing w:before="240" w:line="240" w:lineRule="auto"/>
              <w:contextualSpacing/>
              <w:rPr>
                <w:rFonts w:ascii="Times New Roman" w:eastAsia="Times New Roman" w:hAnsi="Times New Roman" w:cs="Times New Roman"/>
                <w:sz w:val="19"/>
                <w:szCs w:val="19"/>
                <w:lang w:val="en-US" w:eastAsia="ru-RU"/>
              </w:rPr>
            </w:pPr>
          </w:p>
        </w:tc>
        <w:tc>
          <w:tcPr>
            <w:tcW w:w="616" w:type="pct"/>
            <w:vMerge/>
            <w:tcBorders>
              <w:left w:val="single" w:sz="4" w:space="0" w:color="auto"/>
              <w:bottom w:val="single" w:sz="4" w:space="0" w:color="auto"/>
              <w:right w:val="single" w:sz="4" w:space="0" w:color="auto"/>
            </w:tcBorders>
            <w:shd w:val="clear" w:color="auto" w:fill="F2F2F2" w:themeFill="background1" w:themeFillShade="F2"/>
            <w:vAlign w:val="center"/>
          </w:tcPr>
          <w:p w14:paraId="5B9DAB7A" w14:textId="77777777" w:rsidR="00D339B5" w:rsidRPr="001300FD" w:rsidRDefault="00D339B5" w:rsidP="00D2464A">
            <w:pPr>
              <w:spacing w:before="240" w:line="240" w:lineRule="auto"/>
              <w:contextualSpacing/>
              <w:rPr>
                <w:rFonts w:ascii="Times New Roman" w:eastAsia="Times New Roman" w:hAnsi="Times New Roman" w:cs="Times New Roman"/>
                <w:sz w:val="19"/>
                <w:szCs w:val="19"/>
                <w:lang w:val="en-US" w:eastAsia="ru-RU"/>
              </w:rPr>
            </w:pPr>
          </w:p>
        </w:tc>
        <w:tc>
          <w:tcPr>
            <w:tcW w:w="3134" w:type="pct"/>
            <w:gridSpan w:val="2"/>
            <w:tcBorders>
              <w:top w:val="nil"/>
              <w:left w:val="nil"/>
              <w:bottom w:val="single" w:sz="4" w:space="0" w:color="auto"/>
              <w:right w:val="single" w:sz="4" w:space="0" w:color="auto"/>
            </w:tcBorders>
            <w:vAlign w:val="center"/>
          </w:tcPr>
          <w:p w14:paraId="4AC853AB" w14:textId="77777777" w:rsidR="00D339B5" w:rsidRPr="001300FD" w:rsidRDefault="00D339B5" w:rsidP="00514054">
            <w:pPr>
              <w:spacing w:before="240" w:line="240" w:lineRule="auto"/>
              <w:contextualSpacing/>
              <w:jc w:val="both"/>
              <w:rPr>
                <w:rFonts w:ascii="Times New Roman" w:eastAsia="Times New Roman" w:hAnsi="Times New Roman" w:cs="Times New Roman"/>
                <w:sz w:val="19"/>
                <w:szCs w:val="19"/>
                <w:lang w:val="en-US" w:eastAsia="ru-RU"/>
              </w:rPr>
            </w:pPr>
            <w:r w:rsidRPr="001300FD">
              <w:rPr>
                <w:rFonts w:ascii="Times New Roman" w:eastAsia="Times New Roman" w:hAnsi="Times New Roman" w:cs="Times New Roman"/>
                <w:i/>
                <w:sz w:val="19"/>
                <w:szCs w:val="19"/>
                <w:lang w:val="en-US" w:eastAsia="ru-RU"/>
              </w:rPr>
              <w:t>Exception: acquisition of full exclusive rights to the result of intellectual creative activity</w:t>
            </w:r>
          </w:p>
        </w:tc>
        <w:tc>
          <w:tcPr>
            <w:tcW w:w="560" w:type="pct"/>
            <w:vMerge/>
            <w:tcBorders>
              <w:left w:val="nil"/>
              <w:right w:val="single" w:sz="4" w:space="0" w:color="auto"/>
            </w:tcBorders>
            <w:vAlign w:val="center"/>
          </w:tcPr>
          <w:p w14:paraId="023E93A1" w14:textId="77777777" w:rsidR="00D339B5" w:rsidRPr="001300FD" w:rsidRDefault="00D339B5" w:rsidP="00D2464A">
            <w:pPr>
              <w:spacing w:before="240" w:line="240" w:lineRule="auto"/>
              <w:contextualSpacing/>
              <w:rPr>
                <w:rFonts w:ascii="Times New Roman" w:eastAsia="Times New Roman" w:hAnsi="Times New Roman" w:cs="Times New Roman"/>
                <w:i/>
                <w:sz w:val="19"/>
                <w:szCs w:val="19"/>
                <w:lang w:val="en-US" w:eastAsia="ru-RU"/>
              </w:rPr>
            </w:pPr>
          </w:p>
        </w:tc>
      </w:tr>
      <w:tr w:rsidR="00D339B5" w:rsidRPr="00952466" w14:paraId="0A653F98" w14:textId="77777777" w:rsidTr="0082285A">
        <w:trPr>
          <w:trHeight w:val="685"/>
        </w:trPr>
        <w:tc>
          <w:tcPr>
            <w:tcW w:w="93" w:type="pct"/>
            <w:vMerge w:val="restart"/>
            <w:tcBorders>
              <w:top w:val="nil"/>
              <w:left w:val="single" w:sz="4" w:space="0" w:color="auto"/>
              <w:right w:val="single" w:sz="4" w:space="0" w:color="auto"/>
            </w:tcBorders>
            <w:vAlign w:val="center"/>
            <w:hideMark/>
          </w:tcPr>
          <w:p w14:paraId="0E6AEB7D" w14:textId="77777777" w:rsidR="00D339B5" w:rsidRPr="00E9113E" w:rsidRDefault="00D339B5" w:rsidP="00D2464A">
            <w:pPr>
              <w:spacing w:before="240" w:line="240" w:lineRule="auto"/>
              <w:contextualSpacing/>
              <w:rPr>
                <w:rFonts w:ascii="Times New Roman" w:eastAsia="Times New Roman" w:hAnsi="Times New Roman" w:cs="Times New Roman"/>
                <w:sz w:val="19"/>
                <w:szCs w:val="19"/>
                <w:lang w:eastAsia="ru-RU"/>
              </w:rPr>
            </w:pPr>
            <w:r w:rsidRPr="00E9113E">
              <w:rPr>
                <w:rFonts w:ascii="Times New Roman" w:eastAsia="Times New Roman" w:hAnsi="Times New Roman" w:cs="Times New Roman"/>
                <w:sz w:val="19"/>
                <w:szCs w:val="19"/>
                <w:lang w:eastAsia="ru-RU"/>
              </w:rPr>
              <w:t>6</w:t>
            </w:r>
          </w:p>
        </w:tc>
        <w:tc>
          <w:tcPr>
            <w:tcW w:w="597" w:type="pct"/>
            <w:vMerge w:val="restart"/>
            <w:tcBorders>
              <w:top w:val="nil"/>
              <w:left w:val="single" w:sz="4" w:space="0" w:color="auto"/>
              <w:right w:val="single" w:sz="4" w:space="0" w:color="auto"/>
            </w:tcBorders>
            <w:vAlign w:val="center"/>
            <w:hideMark/>
          </w:tcPr>
          <w:p w14:paraId="39956A26" w14:textId="7C3B65B0" w:rsidR="008C00C4" w:rsidRPr="001300FD" w:rsidRDefault="00692819" w:rsidP="00D2464A">
            <w:pPr>
              <w:spacing w:before="240" w:line="240" w:lineRule="auto"/>
              <w:contextualSpacing/>
              <w:rPr>
                <w:rFonts w:ascii="Times New Roman" w:eastAsia="Times New Roman" w:hAnsi="Times New Roman" w:cs="Times New Roman"/>
                <w:sz w:val="19"/>
                <w:szCs w:val="19"/>
                <w:lang w:val="en-US" w:eastAsia="ru-RU"/>
              </w:rPr>
            </w:pPr>
            <w:r w:rsidRPr="00275CC5">
              <w:rPr>
                <w:rFonts w:ascii="Times New Roman" w:eastAsia="Times New Roman" w:hAnsi="Times New Roman" w:cs="Times New Roman"/>
                <w:sz w:val="19"/>
                <w:szCs w:val="19"/>
                <w:lang w:val="en-US" w:eastAsia="ru-RU"/>
              </w:rPr>
              <w:t>Transfer of money and other property in fulfillment of the obligations of a participant in a joint</w:t>
            </w:r>
            <w:r>
              <w:rPr>
                <w:rFonts w:ascii="Times New Roman" w:eastAsia="Times New Roman" w:hAnsi="Times New Roman" w:cs="Times New Roman"/>
                <w:sz w:val="19"/>
                <w:szCs w:val="19"/>
                <w:lang w:val="en-US" w:eastAsia="ru-RU"/>
              </w:rPr>
              <w:t xml:space="preserve"> activity, as well as in trust</w:t>
            </w:r>
            <w:r w:rsidRPr="001300FD">
              <w:rPr>
                <w:rFonts w:ascii="Times New Roman" w:eastAsia="Times New Roman" w:hAnsi="Times New Roman" w:cs="Times New Roman"/>
                <w:sz w:val="19"/>
                <w:szCs w:val="19"/>
                <w:lang w:val="en-US" w:eastAsia="ru-RU"/>
              </w:rPr>
              <w:t xml:space="preserve"> </w:t>
            </w:r>
          </w:p>
        </w:tc>
        <w:tc>
          <w:tcPr>
            <w:tcW w:w="616" w:type="pct"/>
            <w:vMerge w:val="restart"/>
            <w:tcBorders>
              <w:top w:val="nil"/>
              <w:left w:val="single" w:sz="4" w:space="0" w:color="auto"/>
              <w:right w:val="single" w:sz="4" w:space="0" w:color="auto"/>
            </w:tcBorders>
            <w:shd w:val="clear" w:color="auto" w:fill="F2F2F2" w:themeFill="background1" w:themeFillShade="F2"/>
            <w:vAlign w:val="center"/>
          </w:tcPr>
          <w:p w14:paraId="341617D6" w14:textId="77777777" w:rsidR="00D339B5" w:rsidRPr="001300FD" w:rsidRDefault="00D339B5" w:rsidP="00D45A5B">
            <w:pPr>
              <w:spacing w:before="240" w:line="240" w:lineRule="auto"/>
              <w:contextualSpacing/>
              <w:jc w:val="both"/>
              <w:rPr>
                <w:rFonts w:ascii="Times New Roman" w:eastAsia="Times New Roman" w:hAnsi="Times New Roman" w:cs="Times New Roman"/>
                <w:sz w:val="19"/>
                <w:szCs w:val="19"/>
                <w:lang w:val="en-US" w:eastAsia="ru-RU"/>
              </w:rPr>
            </w:pPr>
          </w:p>
        </w:tc>
        <w:tc>
          <w:tcPr>
            <w:tcW w:w="1668" w:type="pct"/>
            <w:tcBorders>
              <w:top w:val="nil"/>
              <w:left w:val="nil"/>
              <w:bottom w:val="single" w:sz="4" w:space="0" w:color="auto"/>
              <w:right w:val="single" w:sz="4" w:space="0" w:color="auto"/>
            </w:tcBorders>
            <w:vAlign w:val="center"/>
            <w:hideMark/>
          </w:tcPr>
          <w:p w14:paraId="4E9D3306" w14:textId="07B4ECBA" w:rsidR="00D339B5" w:rsidRPr="001300FD" w:rsidRDefault="001977F2" w:rsidP="00D45A5B">
            <w:pPr>
              <w:spacing w:before="240" w:line="240" w:lineRule="auto"/>
              <w:contextualSpacing/>
              <w:jc w:val="center"/>
              <w:rPr>
                <w:rFonts w:ascii="Times New Roman" w:eastAsia="Times New Roman" w:hAnsi="Times New Roman" w:cs="Times New Roman"/>
                <w:sz w:val="19"/>
                <w:szCs w:val="19"/>
                <w:lang w:val="en-US" w:eastAsia="ru-RU"/>
              </w:rPr>
            </w:pPr>
            <w:r w:rsidRPr="001300FD">
              <w:rPr>
                <w:rFonts w:ascii="Times New Roman" w:eastAsia="Times New Roman" w:hAnsi="Times New Roman" w:cs="Times New Roman"/>
                <w:sz w:val="19"/>
                <w:szCs w:val="19"/>
                <w:lang w:val="en-US" w:eastAsia="ru-RU"/>
              </w:rPr>
              <w:t xml:space="preserve">Assignment of </w:t>
            </w:r>
            <w:r w:rsidR="00C60E37">
              <w:rPr>
                <w:rFonts w:ascii="Times New Roman" w:eastAsia="Times New Roman" w:hAnsi="Times New Roman" w:cs="Times New Roman"/>
                <w:sz w:val="19"/>
                <w:szCs w:val="19"/>
                <w:lang w:val="en-US" w:eastAsia="ru-RU"/>
              </w:rPr>
              <w:t xml:space="preserve">a </w:t>
            </w:r>
            <w:r w:rsidR="00464BCB" w:rsidRPr="00464BCB">
              <w:rPr>
                <w:rFonts w:ascii="Times New Roman" w:eastAsia="Times New Roman" w:hAnsi="Times New Roman" w:cs="Times New Roman"/>
                <w:sz w:val="19"/>
                <w:szCs w:val="19"/>
                <w:lang w:val="en-US" w:eastAsia="ru-RU"/>
              </w:rPr>
              <w:t xml:space="preserve">registration </w:t>
            </w:r>
            <w:r w:rsidRPr="001300FD">
              <w:rPr>
                <w:rFonts w:ascii="Times New Roman" w:eastAsia="Times New Roman" w:hAnsi="Times New Roman" w:cs="Times New Roman"/>
                <w:sz w:val="19"/>
                <w:szCs w:val="19"/>
                <w:lang w:val="en-US" w:eastAsia="ru-RU"/>
              </w:rPr>
              <w:t xml:space="preserve">number in the </w:t>
            </w:r>
            <w:r w:rsidR="00464BCB" w:rsidRPr="00AA3335">
              <w:rPr>
                <w:rFonts w:ascii="Times New Roman" w:eastAsia="Times New Roman" w:hAnsi="Times New Roman" w:cs="Times New Roman"/>
                <w:sz w:val="19"/>
                <w:szCs w:val="19"/>
                <w:lang w:val="en-US" w:eastAsia="ru-RU"/>
              </w:rPr>
              <w:t>TB NBRK</w:t>
            </w:r>
          </w:p>
        </w:tc>
        <w:tc>
          <w:tcPr>
            <w:tcW w:w="1465" w:type="pct"/>
            <w:tcBorders>
              <w:top w:val="single" w:sz="4" w:space="0" w:color="auto"/>
              <w:left w:val="nil"/>
              <w:bottom w:val="single" w:sz="4" w:space="0" w:color="auto"/>
              <w:right w:val="single" w:sz="4" w:space="0" w:color="auto"/>
            </w:tcBorders>
            <w:vAlign w:val="center"/>
            <w:hideMark/>
          </w:tcPr>
          <w:p w14:paraId="7FBB558D" w14:textId="21480CF2" w:rsidR="00D339B5" w:rsidRPr="001300FD" w:rsidRDefault="001977F2" w:rsidP="00D2464A">
            <w:pPr>
              <w:spacing w:before="240" w:line="240" w:lineRule="auto"/>
              <w:contextualSpacing/>
              <w:jc w:val="center"/>
              <w:rPr>
                <w:rFonts w:ascii="Times New Roman" w:eastAsia="Times New Roman" w:hAnsi="Times New Roman" w:cs="Times New Roman"/>
                <w:sz w:val="19"/>
                <w:szCs w:val="19"/>
                <w:lang w:val="en-US" w:eastAsia="ru-RU"/>
              </w:rPr>
            </w:pPr>
            <w:r w:rsidRPr="001300FD">
              <w:rPr>
                <w:rFonts w:ascii="Times New Roman" w:eastAsia="Times New Roman" w:hAnsi="Times New Roman" w:cs="Times New Roman"/>
                <w:sz w:val="19"/>
                <w:szCs w:val="19"/>
                <w:lang w:val="en-US" w:eastAsia="ru-RU"/>
              </w:rPr>
              <w:t xml:space="preserve">Assignment of </w:t>
            </w:r>
            <w:r w:rsidR="00C60E37">
              <w:rPr>
                <w:rFonts w:ascii="Times New Roman" w:eastAsia="Times New Roman" w:hAnsi="Times New Roman" w:cs="Times New Roman"/>
                <w:sz w:val="19"/>
                <w:szCs w:val="19"/>
                <w:lang w:val="en-US" w:eastAsia="ru-RU"/>
              </w:rPr>
              <w:t xml:space="preserve">a </w:t>
            </w:r>
            <w:r w:rsidR="00464BCB" w:rsidRPr="00464BCB">
              <w:rPr>
                <w:rFonts w:ascii="Times New Roman" w:eastAsia="Times New Roman" w:hAnsi="Times New Roman" w:cs="Times New Roman"/>
                <w:sz w:val="19"/>
                <w:szCs w:val="19"/>
                <w:lang w:val="en-US" w:eastAsia="ru-RU"/>
              </w:rPr>
              <w:t xml:space="preserve">registration </w:t>
            </w:r>
            <w:r w:rsidRPr="001300FD">
              <w:rPr>
                <w:rFonts w:ascii="Times New Roman" w:eastAsia="Times New Roman" w:hAnsi="Times New Roman" w:cs="Times New Roman"/>
                <w:sz w:val="19"/>
                <w:szCs w:val="19"/>
                <w:lang w:val="en-US" w:eastAsia="ru-RU"/>
              </w:rPr>
              <w:t xml:space="preserve">number in the </w:t>
            </w:r>
            <w:r w:rsidR="00464BCB" w:rsidRPr="00AA3335">
              <w:rPr>
                <w:rFonts w:ascii="Times New Roman" w:eastAsia="Times New Roman" w:hAnsi="Times New Roman" w:cs="Times New Roman"/>
                <w:sz w:val="19"/>
                <w:szCs w:val="19"/>
                <w:lang w:val="en-US" w:eastAsia="ru-RU"/>
              </w:rPr>
              <w:t>TB NBRK</w:t>
            </w:r>
          </w:p>
        </w:tc>
        <w:tc>
          <w:tcPr>
            <w:tcW w:w="560" w:type="pct"/>
            <w:vMerge/>
            <w:tcBorders>
              <w:left w:val="nil"/>
              <w:right w:val="single" w:sz="4" w:space="0" w:color="auto"/>
            </w:tcBorders>
            <w:vAlign w:val="center"/>
          </w:tcPr>
          <w:p w14:paraId="50CE0366" w14:textId="77777777" w:rsidR="00D339B5" w:rsidRPr="001300FD" w:rsidRDefault="00D339B5" w:rsidP="00D2464A">
            <w:pPr>
              <w:spacing w:before="240" w:line="240" w:lineRule="auto"/>
              <w:contextualSpacing/>
              <w:rPr>
                <w:rFonts w:ascii="Times New Roman" w:eastAsia="Times New Roman" w:hAnsi="Times New Roman" w:cs="Times New Roman"/>
                <w:sz w:val="19"/>
                <w:szCs w:val="19"/>
                <w:lang w:val="en-US" w:eastAsia="ru-RU"/>
              </w:rPr>
            </w:pPr>
          </w:p>
        </w:tc>
      </w:tr>
      <w:tr w:rsidR="00D339B5" w:rsidRPr="00952466" w14:paraId="5948AE16" w14:textId="77777777" w:rsidTr="0082285A">
        <w:trPr>
          <w:trHeight w:val="1485"/>
        </w:trPr>
        <w:tc>
          <w:tcPr>
            <w:tcW w:w="93" w:type="pct"/>
            <w:vMerge/>
            <w:tcBorders>
              <w:left w:val="single" w:sz="4" w:space="0" w:color="auto"/>
              <w:bottom w:val="single" w:sz="4" w:space="0" w:color="000000"/>
              <w:right w:val="single" w:sz="4" w:space="0" w:color="auto"/>
            </w:tcBorders>
            <w:vAlign w:val="center"/>
          </w:tcPr>
          <w:p w14:paraId="69454E08" w14:textId="77777777" w:rsidR="00D339B5" w:rsidRPr="001300FD" w:rsidRDefault="00D339B5" w:rsidP="00D45A5B">
            <w:pPr>
              <w:spacing w:before="240" w:line="240" w:lineRule="auto"/>
              <w:contextualSpacing/>
              <w:rPr>
                <w:rFonts w:ascii="Times New Roman" w:eastAsia="Times New Roman" w:hAnsi="Times New Roman" w:cs="Times New Roman"/>
                <w:sz w:val="19"/>
                <w:szCs w:val="19"/>
                <w:lang w:val="en-US" w:eastAsia="ru-RU"/>
              </w:rPr>
            </w:pPr>
          </w:p>
        </w:tc>
        <w:tc>
          <w:tcPr>
            <w:tcW w:w="597" w:type="pct"/>
            <w:vMerge/>
            <w:tcBorders>
              <w:left w:val="single" w:sz="4" w:space="0" w:color="auto"/>
              <w:bottom w:val="single" w:sz="4" w:space="0" w:color="000000"/>
              <w:right w:val="single" w:sz="4" w:space="0" w:color="auto"/>
            </w:tcBorders>
            <w:vAlign w:val="center"/>
          </w:tcPr>
          <w:p w14:paraId="22CF825E" w14:textId="77777777" w:rsidR="00D339B5" w:rsidRPr="001300FD" w:rsidRDefault="00D339B5" w:rsidP="00D45A5B">
            <w:pPr>
              <w:spacing w:before="240" w:line="240" w:lineRule="auto"/>
              <w:contextualSpacing/>
              <w:rPr>
                <w:rFonts w:ascii="Times New Roman" w:eastAsia="Times New Roman" w:hAnsi="Times New Roman" w:cs="Times New Roman"/>
                <w:sz w:val="19"/>
                <w:szCs w:val="19"/>
                <w:lang w:val="en-US" w:eastAsia="ru-RU"/>
              </w:rPr>
            </w:pPr>
          </w:p>
        </w:tc>
        <w:tc>
          <w:tcPr>
            <w:tcW w:w="616" w:type="pct"/>
            <w:vMerge/>
            <w:tcBorders>
              <w:left w:val="single" w:sz="4" w:space="0" w:color="auto"/>
              <w:bottom w:val="single" w:sz="4" w:space="0" w:color="auto"/>
              <w:right w:val="single" w:sz="4" w:space="0" w:color="auto"/>
            </w:tcBorders>
            <w:shd w:val="clear" w:color="auto" w:fill="F2F2F2" w:themeFill="background1" w:themeFillShade="F2"/>
            <w:vAlign w:val="center"/>
          </w:tcPr>
          <w:p w14:paraId="0DC9147D" w14:textId="77777777" w:rsidR="00D339B5" w:rsidRPr="001300FD" w:rsidRDefault="00D339B5" w:rsidP="00D45A5B">
            <w:pPr>
              <w:spacing w:before="240" w:line="240" w:lineRule="auto"/>
              <w:contextualSpacing/>
              <w:jc w:val="both"/>
              <w:rPr>
                <w:rFonts w:ascii="Times New Roman" w:eastAsia="Times New Roman" w:hAnsi="Times New Roman" w:cs="Times New Roman"/>
                <w:sz w:val="19"/>
                <w:szCs w:val="19"/>
                <w:lang w:val="en-US" w:eastAsia="ru-RU"/>
              </w:rPr>
            </w:pPr>
          </w:p>
        </w:tc>
        <w:tc>
          <w:tcPr>
            <w:tcW w:w="1668" w:type="pct"/>
            <w:tcBorders>
              <w:top w:val="single" w:sz="4" w:space="0" w:color="auto"/>
              <w:left w:val="nil"/>
              <w:bottom w:val="single" w:sz="4" w:space="0" w:color="auto"/>
              <w:right w:val="single" w:sz="4" w:space="0" w:color="auto"/>
            </w:tcBorders>
            <w:vAlign w:val="center"/>
          </w:tcPr>
          <w:p w14:paraId="7623A5B2" w14:textId="77777777" w:rsidR="00D339B5" w:rsidRPr="001300FD" w:rsidRDefault="00D339B5" w:rsidP="00D45A5B">
            <w:pPr>
              <w:spacing w:before="240" w:line="240" w:lineRule="auto"/>
              <w:contextualSpacing/>
              <w:jc w:val="both"/>
              <w:rPr>
                <w:rFonts w:ascii="Times New Roman" w:eastAsia="Times New Roman" w:hAnsi="Times New Roman" w:cs="Times New Roman"/>
                <w:sz w:val="19"/>
                <w:szCs w:val="19"/>
                <w:lang w:val="en-US" w:eastAsia="ru-RU"/>
              </w:rPr>
            </w:pPr>
            <w:r w:rsidRPr="001300FD">
              <w:rPr>
                <w:rFonts w:ascii="Times New Roman" w:eastAsia="Times New Roman" w:hAnsi="Times New Roman" w:cs="Times New Roman"/>
                <w:i/>
                <w:sz w:val="19"/>
                <w:szCs w:val="19"/>
                <w:lang w:val="en-US" w:eastAsia="ru-RU"/>
              </w:rPr>
              <w:t>Exception: transactions of residents carried out under an investment portfolio management agreement concluded with a resident investment portfolio manager</w:t>
            </w:r>
          </w:p>
        </w:tc>
        <w:tc>
          <w:tcPr>
            <w:tcW w:w="1465" w:type="pct"/>
            <w:tcBorders>
              <w:top w:val="single" w:sz="4" w:space="0" w:color="auto"/>
              <w:left w:val="nil"/>
              <w:bottom w:val="single" w:sz="4" w:space="0" w:color="auto"/>
              <w:right w:val="single" w:sz="4" w:space="0" w:color="auto"/>
            </w:tcBorders>
            <w:vAlign w:val="center"/>
          </w:tcPr>
          <w:p w14:paraId="509896E6" w14:textId="77777777" w:rsidR="00D339B5" w:rsidRPr="001300FD" w:rsidRDefault="00D339B5" w:rsidP="003221A5">
            <w:pPr>
              <w:spacing w:before="240" w:line="240" w:lineRule="auto"/>
              <w:contextualSpacing/>
              <w:jc w:val="both"/>
              <w:rPr>
                <w:rFonts w:ascii="Times New Roman" w:eastAsia="Times New Roman" w:hAnsi="Times New Roman" w:cs="Times New Roman"/>
                <w:i/>
                <w:sz w:val="19"/>
                <w:szCs w:val="19"/>
                <w:lang w:val="en-US" w:eastAsia="ru-RU"/>
              </w:rPr>
            </w:pPr>
            <w:r w:rsidRPr="001300FD">
              <w:rPr>
                <w:rFonts w:ascii="Times New Roman" w:eastAsia="Times New Roman" w:hAnsi="Times New Roman" w:cs="Times New Roman"/>
                <w:i/>
                <w:sz w:val="19"/>
                <w:szCs w:val="19"/>
                <w:lang w:val="en-US" w:eastAsia="ru-RU"/>
              </w:rPr>
              <w:t xml:space="preserve">Exception: operations of resident individuals carried out </w:t>
            </w:r>
            <w:proofErr w:type="gramStart"/>
            <w:r w:rsidRPr="001300FD">
              <w:rPr>
                <w:rFonts w:ascii="Times New Roman" w:eastAsia="Times New Roman" w:hAnsi="Times New Roman" w:cs="Times New Roman"/>
                <w:i/>
                <w:sz w:val="19"/>
                <w:szCs w:val="19"/>
                <w:lang w:val="en-US" w:eastAsia="ru-RU"/>
              </w:rPr>
              <w:t>on the basis of</w:t>
            </w:r>
            <w:proofErr w:type="gramEnd"/>
            <w:r w:rsidRPr="001300FD">
              <w:rPr>
                <w:rFonts w:ascii="Times New Roman" w:eastAsia="Times New Roman" w:hAnsi="Times New Roman" w:cs="Times New Roman"/>
                <w:i/>
                <w:sz w:val="19"/>
                <w:szCs w:val="19"/>
                <w:lang w:val="en-US" w:eastAsia="ru-RU"/>
              </w:rPr>
              <w:t xml:space="preserve"> an investment portfolio management agreement</w:t>
            </w:r>
          </w:p>
        </w:tc>
        <w:tc>
          <w:tcPr>
            <w:tcW w:w="560" w:type="pct"/>
            <w:vMerge/>
            <w:tcBorders>
              <w:left w:val="nil"/>
              <w:right w:val="single" w:sz="4" w:space="0" w:color="auto"/>
            </w:tcBorders>
            <w:vAlign w:val="center"/>
          </w:tcPr>
          <w:p w14:paraId="08E1CB80" w14:textId="77777777" w:rsidR="00D339B5" w:rsidRPr="001300FD" w:rsidRDefault="00D339B5" w:rsidP="00D45A5B">
            <w:pPr>
              <w:spacing w:before="240" w:line="240" w:lineRule="auto"/>
              <w:contextualSpacing/>
              <w:rPr>
                <w:rFonts w:ascii="Times New Roman" w:eastAsia="Times New Roman" w:hAnsi="Times New Roman" w:cs="Times New Roman"/>
                <w:sz w:val="19"/>
                <w:szCs w:val="19"/>
                <w:lang w:val="en-US" w:eastAsia="ru-RU"/>
              </w:rPr>
            </w:pPr>
          </w:p>
        </w:tc>
      </w:tr>
      <w:tr w:rsidR="00D339B5" w:rsidRPr="00952466" w14:paraId="4AE32FD8" w14:textId="77777777" w:rsidTr="0082285A">
        <w:trPr>
          <w:trHeight w:val="735"/>
        </w:trPr>
        <w:tc>
          <w:tcPr>
            <w:tcW w:w="93" w:type="pct"/>
            <w:vMerge w:val="restart"/>
            <w:tcBorders>
              <w:top w:val="nil"/>
              <w:left w:val="single" w:sz="4" w:space="0" w:color="auto"/>
              <w:right w:val="single" w:sz="4" w:space="0" w:color="auto"/>
            </w:tcBorders>
            <w:vAlign w:val="center"/>
          </w:tcPr>
          <w:p w14:paraId="544B71DC" w14:textId="77777777" w:rsidR="00D339B5" w:rsidRPr="00E9113E" w:rsidRDefault="00D339B5" w:rsidP="00D45A5B">
            <w:pPr>
              <w:spacing w:before="240" w:line="240" w:lineRule="auto"/>
              <w:contextualSpacing/>
              <w:rPr>
                <w:rFonts w:ascii="Times New Roman" w:eastAsia="Times New Roman" w:hAnsi="Times New Roman" w:cs="Times New Roman"/>
                <w:sz w:val="19"/>
                <w:szCs w:val="19"/>
                <w:lang w:eastAsia="ru-RU"/>
              </w:rPr>
            </w:pPr>
            <w:r w:rsidRPr="00E9113E">
              <w:rPr>
                <w:rFonts w:ascii="Times New Roman" w:eastAsia="Times New Roman" w:hAnsi="Times New Roman" w:cs="Times New Roman"/>
                <w:sz w:val="19"/>
                <w:szCs w:val="19"/>
                <w:lang w:eastAsia="ru-RU"/>
              </w:rPr>
              <w:t>7</w:t>
            </w:r>
          </w:p>
        </w:tc>
        <w:tc>
          <w:tcPr>
            <w:tcW w:w="597" w:type="pct"/>
            <w:vMerge w:val="restart"/>
            <w:tcBorders>
              <w:top w:val="nil"/>
              <w:left w:val="single" w:sz="4" w:space="0" w:color="auto"/>
              <w:right w:val="single" w:sz="4" w:space="0" w:color="auto"/>
            </w:tcBorders>
            <w:vAlign w:val="center"/>
          </w:tcPr>
          <w:p w14:paraId="6D5BE607" w14:textId="1CCBF25D" w:rsidR="00D339B5" w:rsidRPr="001300FD" w:rsidRDefault="00D339B5" w:rsidP="00D45A5B">
            <w:pPr>
              <w:spacing w:before="240" w:line="240" w:lineRule="auto"/>
              <w:contextualSpacing/>
              <w:rPr>
                <w:rFonts w:ascii="Times New Roman" w:eastAsia="Times New Roman" w:hAnsi="Times New Roman" w:cs="Times New Roman"/>
                <w:sz w:val="19"/>
                <w:szCs w:val="19"/>
                <w:lang w:val="en-US" w:eastAsia="ru-RU"/>
              </w:rPr>
            </w:pPr>
            <w:r w:rsidRPr="001300FD">
              <w:rPr>
                <w:rFonts w:ascii="Times New Roman" w:eastAsia="Times New Roman" w:hAnsi="Times New Roman" w:cs="Times New Roman"/>
                <w:sz w:val="19"/>
                <w:szCs w:val="19"/>
                <w:lang w:val="en-US" w:eastAsia="ru-RU"/>
              </w:rPr>
              <w:t xml:space="preserve">Transfer of money and financial instruments to </w:t>
            </w:r>
            <w:r w:rsidRPr="001300FD">
              <w:rPr>
                <w:rFonts w:ascii="Times New Roman" w:eastAsia="Times New Roman" w:hAnsi="Times New Roman" w:cs="Times New Roman"/>
                <w:sz w:val="19"/>
                <w:szCs w:val="19"/>
                <w:lang w:val="en-US" w:eastAsia="ru-RU"/>
              </w:rPr>
              <w:lastRenderedPageBreak/>
              <w:t>professional participants in the securities market performing foreign exchange operations on behalf of clients to accounts for accounting and storage of money and (or) financial instruments belonging to clients</w:t>
            </w:r>
          </w:p>
          <w:p w14:paraId="799483F7" w14:textId="77777777" w:rsidR="008C00C4" w:rsidRPr="001300FD" w:rsidRDefault="008C00C4" w:rsidP="00D45A5B">
            <w:pPr>
              <w:spacing w:before="240" w:line="240" w:lineRule="auto"/>
              <w:contextualSpacing/>
              <w:rPr>
                <w:rFonts w:ascii="Times New Roman" w:eastAsia="Times New Roman" w:hAnsi="Times New Roman" w:cs="Times New Roman"/>
                <w:sz w:val="19"/>
                <w:szCs w:val="19"/>
                <w:lang w:val="en-US" w:eastAsia="ru-RU"/>
              </w:rPr>
            </w:pPr>
          </w:p>
        </w:tc>
        <w:tc>
          <w:tcPr>
            <w:tcW w:w="616" w:type="pct"/>
            <w:vMerge w:val="restart"/>
            <w:tcBorders>
              <w:top w:val="nil"/>
              <w:left w:val="single" w:sz="4" w:space="0" w:color="auto"/>
              <w:right w:val="single" w:sz="4" w:space="0" w:color="auto"/>
            </w:tcBorders>
            <w:shd w:val="clear" w:color="auto" w:fill="F2F2F2" w:themeFill="background1" w:themeFillShade="F2"/>
            <w:vAlign w:val="center"/>
          </w:tcPr>
          <w:p w14:paraId="51978A73" w14:textId="77777777" w:rsidR="00D339B5" w:rsidRPr="001300FD" w:rsidRDefault="00D339B5" w:rsidP="00D45A5B">
            <w:pPr>
              <w:spacing w:before="240" w:line="240" w:lineRule="auto"/>
              <w:contextualSpacing/>
              <w:rPr>
                <w:rFonts w:ascii="Times New Roman" w:eastAsia="Times New Roman" w:hAnsi="Times New Roman" w:cs="Times New Roman"/>
                <w:sz w:val="19"/>
                <w:szCs w:val="19"/>
                <w:lang w:val="en-US" w:eastAsia="ru-RU"/>
              </w:rPr>
            </w:pPr>
          </w:p>
        </w:tc>
        <w:tc>
          <w:tcPr>
            <w:tcW w:w="1668" w:type="pct"/>
            <w:tcBorders>
              <w:top w:val="nil"/>
              <w:left w:val="nil"/>
              <w:bottom w:val="single" w:sz="4" w:space="0" w:color="auto"/>
              <w:right w:val="single" w:sz="4" w:space="0" w:color="auto"/>
            </w:tcBorders>
            <w:vAlign w:val="center"/>
          </w:tcPr>
          <w:p w14:paraId="3DA73106" w14:textId="328E0988" w:rsidR="00D339B5" w:rsidRPr="001300FD" w:rsidRDefault="001977F2" w:rsidP="00D45A5B">
            <w:pPr>
              <w:spacing w:before="240" w:line="240" w:lineRule="auto"/>
              <w:contextualSpacing/>
              <w:jc w:val="center"/>
              <w:rPr>
                <w:rFonts w:ascii="Times New Roman" w:eastAsia="Times New Roman" w:hAnsi="Times New Roman" w:cs="Times New Roman"/>
                <w:sz w:val="19"/>
                <w:szCs w:val="19"/>
                <w:lang w:val="en-US" w:eastAsia="ru-RU"/>
              </w:rPr>
            </w:pPr>
            <w:r w:rsidRPr="001300FD">
              <w:rPr>
                <w:rFonts w:ascii="Times New Roman" w:eastAsia="Times New Roman" w:hAnsi="Times New Roman" w:cs="Times New Roman"/>
                <w:sz w:val="19"/>
                <w:szCs w:val="19"/>
                <w:lang w:val="en-US" w:eastAsia="ru-RU"/>
              </w:rPr>
              <w:t xml:space="preserve">Assignment of </w:t>
            </w:r>
            <w:r w:rsidR="00C60E37">
              <w:rPr>
                <w:rFonts w:ascii="Times New Roman" w:eastAsia="Times New Roman" w:hAnsi="Times New Roman" w:cs="Times New Roman"/>
                <w:sz w:val="19"/>
                <w:szCs w:val="19"/>
                <w:lang w:val="en-US" w:eastAsia="ru-RU"/>
              </w:rPr>
              <w:t xml:space="preserve">a </w:t>
            </w:r>
            <w:r w:rsidR="00464BCB" w:rsidRPr="00464BCB">
              <w:rPr>
                <w:rFonts w:ascii="Times New Roman" w:eastAsia="Times New Roman" w:hAnsi="Times New Roman" w:cs="Times New Roman"/>
                <w:sz w:val="19"/>
                <w:szCs w:val="19"/>
                <w:lang w:val="en-US" w:eastAsia="ru-RU"/>
              </w:rPr>
              <w:t xml:space="preserve">registration </w:t>
            </w:r>
            <w:r w:rsidRPr="001300FD">
              <w:rPr>
                <w:rFonts w:ascii="Times New Roman" w:eastAsia="Times New Roman" w:hAnsi="Times New Roman" w:cs="Times New Roman"/>
                <w:sz w:val="19"/>
                <w:szCs w:val="19"/>
                <w:lang w:val="en-US" w:eastAsia="ru-RU"/>
              </w:rPr>
              <w:t xml:space="preserve">number in the </w:t>
            </w:r>
            <w:r w:rsidR="00464BCB" w:rsidRPr="00AA3335">
              <w:rPr>
                <w:rFonts w:ascii="Times New Roman" w:eastAsia="Times New Roman" w:hAnsi="Times New Roman" w:cs="Times New Roman"/>
                <w:sz w:val="19"/>
                <w:szCs w:val="19"/>
                <w:lang w:val="en-US" w:eastAsia="ru-RU"/>
              </w:rPr>
              <w:t>TB NBRK</w:t>
            </w:r>
          </w:p>
        </w:tc>
        <w:tc>
          <w:tcPr>
            <w:tcW w:w="1465" w:type="pct"/>
            <w:vMerge w:val="restart"/>
            <w:tcBorders>
              <w:top w:val="nil"/>
              <w:left w:val="nil"/>
              <w:right w:val="single" w:sz="4" w:space="0" w:color="auto"/>
            </w:tcBorders>
            <w:shd w:val="clear" w:color="auto" w:fill="F2F2F2" w:themeFill="background1" w:themeFillShade="F2"/>
            <w:vAlign w:val="center"/>
          </w:tcPr>
          <w:p w14:paraId="52108573" w14:textId="77777777" w:rsidR="00D339B5" w:rsidRPr="001300FD" w:rsidRDefault="00D339B5" w:rsidP="00D45A5B">
            <w:pPr>
              <w:spacing w:before="240" w:line="240" w:lineRule="auto"/>
              <w:contextualSpacing/>
              <w:jc w:val="center"/>
              <w:rPr>
                <w:rFonts w:ascii="Times New Roman" w:eastAsia="Times New Roman" w:hAnsi="Times New Roman" w:cs="Times New Roman"/>
                <w:sz w:val="19"/>
                <w:szCs w:val="19"/>
                <w:highlight w:val="lightGray"/>
                <w:lang w:val="en-US" w:eastAsia="ru-RU"/>
              </w:rPr>
            </w:pPr>
          </w:p>
        </w:tc>
        <w:tc>
          <w:tcPr>
            <w:tcW w:w="560" w:type="pct"/>
            <w:vMerge/>
            <w:tcBorders>
              <w:left w:val="nil"/>
              <w:right w:val="single" w:sz="4" w:space="0" w:color="auto"/>
            </w:tcBorders>
            <w:vAlign w:val="center"/>
          </w:tcPr>
          <w:p w14:paraId="5EDC778C" w14:textId="77777777" w:rsidR="00D339B5" w:rsidRPr="001300FD" w:rsidRDefault="00D339B5" w:rsidP="00D45A5B">
            <w:pPr>
              <w:spacing w:before="240" w:line="240" w:lineRule="auto"/>
              <w:contextualSpacing/>
              <w:rPr>
                <w:rFonts w:ascii="Times New Roman" w:eastAsia="Times New Roman" w:hAnsi="Times New Roman" w:cs="Times New Roman"/>
                <w:sz w:val="19"/>
                <w:szCs w:val="19"/>
                <w:lang w:val="en-US" w:eastAsia="ru-RU"/>
              </w:rPr>
            </w:pPr>
          </w:p>
        </w:tc>
      </w:tr>
      <w:tr w:rsidR="00D339B5" w:rsidRPr="00952466" w14:paraId="5E2D7C19" w14:textId="77777777" w:rsidTr="0082285A">
        <w:trPr>
          <w:trHeight w:val="2310"/>
        </w:trPr>
        <w:tc>
          <w:tcPr>
            <w:tcW w:w="93" w:type="pct"/>
            <w:vMerge/>
            <w:tcBorders>
              <w:left w:val="single" w:sz="4" w:space="0" w:color="auto"/>
              <w:bottom w:val="single" w:sz="4" w:space="0" w:color="000000"/>
              <w:right w:val="single" w:sz="4" w:space="0" w:color="auto"/>
            </w:tcBorders>
            <w:vAlign w:val="center"/>
          </w:tcPr>
          <w:p w14:paraId="08AF4039" w14:textId="77777777" w:rsidR="00D339B5" w:rsidRPr="001300FD" w:rsidRDefault="00D339B5" w:rsidP="009211E1">
            <w:pPr>
              <w:spacing w:before="240" w:line="240" w:lineRule="auto"/>
              <w:contextualSpacing/>
              <w:rPr>
                <w:rFonts w:ascii="Times New Roman" w:eastAsia="Times New Roman" w:hAnsi="Times New Roman" w:cs="Times New Roman"/>
                <w:sz w:val="19"/>
                <w:szCs w:val="19"/>
                <w:lang w:val="en-US" w:eastAsia="ru-RU"/>
              </w:rPr>
            </w:pPr>
          </w:p>
        </w:tc>
        <w:tc>
          <w:tcPr>
            <w:tcW w:w="597" w:type="pct"/>
            <w:vMerge/>
            <w:tcBorders>
              <w:left w:val="single" w:sz="4" w:space="0" w:color="auto"/>
              <w:bottom w:val="single" w:sz="4" w:space="0" w:color="000000"/>
              <w:right w:val="single" w:sz="4" w:space="0" w:color="auto"/>
            </w:tcBorders>
            <w:vAlign w:val="center"/>
          </w:tcPr>
          <w:p w14:paraId="463F7A83" w14:textId="77777777" w:rsidR="00D339B5" w:rsidRPr="001300FD" w:rsidRDefault="00D339B5" w:rsidP="009211E1">
            <w:pPr>
              <w:spacing w:before="240" w:line="240" w:lineRule="auto"/>
              <w:contextualSpacing/>
              <w:rPr>
                <w:rFonts w:ascii="Times New Roman" w:eastAsia="Times New Roman" w:hAnsi="Times New Roman" w:cs="Times New Roman"/>
                <w:sz w:val="19"/>
                <w:szCs w:val="19"/>
                <w:lang w:val="en-US" w:eastAsia="ru-RU"/>
              </w:rPr>
            </w:pPr>
          </w:p>
        </w:tc>
        <w:tc>
          <w:tcPr>
            <w:tcW w:w="616" w:type="pct"/>
            <w:vMerge/>
            <w:tcBorders>
              <w:left w:val="single" w:sz="4" w:space="0" w:color="auto"/>
              <w:bottom w:val="single" w:sz="4" w:space="0" w:color="auto"/>
              <w:right w:val="single" w:sz="4" w:space="0" w:color="auto"/>
            </w:tcBorders>
            <w:shd w:val="clear" w:color="auto" w:fill="F2F2F2" w:themeFill="background1" w:themeFillShade="F2"/>
            <w:vAlign w:val="center"/>
          </w:tcPr>
          <w:p w14:paraId="0C4BC916" w14:textId="77777777" w:rsidR="00D339B5" w:rsidRPr="001300FD" w:rsidRDefault="00D339B5" w:rsidP="009211E1">
            <w:pPr>
              <w:spacing w:before="240" w:line="240" w:lineRule="auto"/>
              <w:contextualSpacing/>
              <w:rPr>
                <w:rFonts w:ascii="Times New Roman" w:eastAsia="Times New Roman" w:hAnsi="Times New Roman" w:cs="Times New Roman"/>
                <w:sz w:val="19"/>
                <w:szCs w:val="19"/>
                <w:lang w:val="en-US" w:eastAsia="ru-RU"/>
              </w:rPr>
            </w:pPr>
          </w:p>
        </w:tc>
        <w:tc>
          <w:tcPr>
            <w:tcW w:w="1668" w:type="pct"/>
            <w:tcBorders>
              <w:top w:val="single" w:sz="4" w:space="0" w:color="auto"/>
              <w:left w:val="nil"/>
              <w:bottom w:val="single" w:sz="4" w:space="0" w:color="auto"/>
              <w:right w:val="single" w:sz="4" w:space="0" w:color="auto"/>
            </w:tcBorders>
            <w:vAlign w:val="center"/>
          </w:tcPr>
          <w:p w14:paraId="526E0E22" w14:textId="77777777" w:rsidR="00D339B5" w:rsidRPr="001300FD" w:rsidRDefault="00D339B5" w:rsidP="009211E1">
            <w:pPr>
              <w:spacing w:before="240" w:line="240" w:lineRule="auto"/>
              <w:contextualSpacing/>
              <w:jc w:val="both"/>
              <w:rPr>
                <w:rFonts w:ascii="Times New Roman" w:eastAsia="Times New Roman" w:hAnsi="Times New Roman" w:cs="Times New Roman"/>
                <w:sz w:val="19"/>
                <w:szCs w:val="19"/>
                <w:lang w:val="en-US" w:eastAsia="ru-RU"/>
              </w:rPr>
            </w:pPr>
            <w:r w:rsidRPr="001300FD">
              <w:rPr>
                <w:rFonts w:ascii="Times New Roman" w:eastAsia="Times New Roman" w:hAnsi="Times New Roman" w:cs="Times New Roman"/>
                <w:i/>
                <w:sz w:val="19"/>
                <w:szCs w:val="19"/>
                <w:lang w:val="en-US" w:eastAsia="ru-RU"/>
              </w:rPr>
              <w:t xml:space="preserve">Exception: operations of residents carried out </w:t>
            </w:r>
            <w:proofErr w:type="gramStart"/>
            <w:r w:rsidRPr="001300FD">
              <w:rPr>
                <w:rFonts w:ascii="Times New Roman" w:eastAsia="Times New Roman" w:hAnsi="Times New Roman" w:cs="Times New Roman"/>
                <w:i/>
                <w:sz w:val="19"/>
                <w:szCs w:val="19"/>
                <w:lang w:val="en-US" w:eastAsia="ru-RU"/>
              </w:rPr>
              <w:t>on the basis of</w:t>
            </w:r>
            <w:proofErr w:type="gramEnd"/>
            <w:r w:rsidRPr="001300FD">
              <w:rPr>
                <w:rFonts w:ascii="Times New Roman" w:eastAsia="Times New Roman" w:hAnsi="Times New Roman" w:cs="Times New Roman"/>
                <w:i/>
                <w:sz w:val="19"/>
                <w:szCs w:val="19"/>
                <w:lang w:val="en-US" w:eastAsia="ru-RU"/>
              </w:rPr>
              <w:t xml:space="preserve"> a brokerage services agreement concluded with a resident broker</w:t>
            </w:r>
          </w:p>
        </w:tc>
        <w:tc>
          <w:tcPr>
            <w:tcW w:w="1465" w:type="pct"/>
            <w:vMerge/>
            <w:tcBorders>
              <w:left w:val="nil"/>
              <w:bottom w:val="single" w:sz="4" w:space="0" w:color="auto"/>
              <w:right w:val="single" w:sz="4" w:space="0" w:color="auto"/>
            </w:tcBorders>
            <w:shd w:val="clear" w:color="auto" w:fill="F2F2F2" w:themeFill="background1" w:themeFillShade="F2"/>
            <w:vAlign w:val="center"/>
          </w:tcPr>
          <w:p w14:paraId="63211095" w14:textId="77777777" w:rsidR="00D339B5" w:rsidRPr="001300FD" w:rsidRDefault="00D339B5" w:rsidP="009211E1">
            <w:pPr>
              <w:spacing w:before="240" w:line="240" w:lineRule="auto"/>
              <w:contextualSpacing/>
              <w:jc w:val="both"/>
              <w:rPr>
                <w:rFonts w:ascii="Times New Roman" w:eastAsia="Times New Roman" w:hAnsi="Times New Roman" w:cs="Times New Roman"/>
                <w:sz w:val="19"/>
                <w:szCs w:val="19"/>
                <w:lang w:val="en-US" w:eastAsia="ru-RU"/>
              </w:rPr>
            </w:pPr>
          </w:p>
        </w:tc>
        <w:tc>
          <w:tcPr>
            <w:tcW w:w="560" w:type="pct"/>
            <w:vMerge/>
            <w:tcBorders>
              <w:left w:val="nil"/>
              <w:right w:val="single" w:sz="4" w:space="0" w:color="auto"/>
            </w:tcBorders>
            <w:vAlign w:val="center"/>
          </w:tcPr>
          <w:p w14:paraId="068602FE" w14:textId="77777777" w:rsidR="00D339B5" w:rsidRPr="001300FD" w:rsidRDefault="00D339B5" w:rsidP="009211E1">
            <w:pPr>
              <w:spacing w:before="240" w:line="240" w:lineRule="auto"/>
              <w:contextualSpacing/>
              <w:rPr>
                <w:rFonts w:ascii="Times New Roman" w:eastAsia="Times New Roman" w:hAnsi="Times New Roman" w:cs="Times New Roman"/>
                <w:sz w:val="19"/>
                <w:szCs w:val="19"/>
                <w:lang w:val="en-US" w:eastAsia="ru-RU"/>
              </w:rPr>
            </w:pPr>
          </w:p>
        </w:tc>
      </w:tr>
      <w:tr w:rsidR="00D339B5" w:rsidRPr="00952466" w14:paraId="50B98254" w14:textId="77777777" w:rsidTr="0082285A">
        <w:trPr>
          <w:trHeight w:val="301"/>
        </w:trPr>
        <w:tc>
          <w:tcPr>
            <w:tcW w:w="93" w:type="pct"/>
            <w:vMerge w:val="restart"/>
            <w:tcBorders>
              <w:top w:val="nil"/>
              <w:left w:val="single" w:sz="4" w:space="0" w:color="auto"/>
              <w:right w:val="single" w:sz="4" w:space="0" w:color="auto"/>
            </w:tcBorders>
            <w:vAlign w:val="center"/>
          </w:tcPr>
          <w:p w14:paraId="11FEC345" w14:textId="77777777" w:rsidR="00D339B5" w:rsidRPr="00E9113E" w:rsidRDefault="00D339B5" w:rsidP="009211E1">
            <w:pPr>
              <w:spacing w:before="240" w:line="240" w:lineRule="auto"/>
              <w:contextualSpacing/>
              <w:rPr>
                <w:rFonts w:ascii="Times New Roman" w:eastAsia="Times New Roman" w:hAnsi="Times New Roman" w:cs="Times New Roman"/>
                <w:sz w:val="19"/>
                <w:szCs w:val="19"/>
                <w:lang w:eastAsia="ru-RU"/>
              </w:rPr>
            </w:pPr>
            <w:r w:rsidRPr="00E9113E">
              <w:rPr>
                <w:rFonts w:ascii="Times New Roman" w:eastAsia="Times New Roman" w:hAnsi="Times New Roman" w:cs="Times New Roman"/>
                <w:sz w:val="19"/>
                <w:szCs w:val="19"/>
                <w:lang w:eastAsia="ru-RU"/>
              </w:rPr>
              <w:t>8</w:t>
            </w:r>
          </w:p>
        </w:tc>
        <w:tc>
          <w:tcPr>
            <w:tcW w:w="597" w:type="pct"/>
            <w:vMerge w:val="restart"/>
            <w:tcBorders>
              <w:top w:val="nil"/>
              <w:left w:val="single" w:sz="4" w:space="0" w:color="auto"/>
              <w:right w:val="single" w:sz="4" w:space="0" w:color="auto"/>
            </w:tcBorders>
            <w:vAlign w:val="center"/>
          </w:tcPr>
          <w:p w14:paraId="7595EF07" w14:textId="3BCC8957" w:rsidR="00D339B5" w:rsidRPr="001300FD" w:rsidRDefault="00D339B5" w:rsidP="009211E1">
            <w:pPr>
              <w:spacing w:before="240" w:line="240" w:lineRule="auto"/>
              <w:contextualSpacing/>
              <w:rPr>
                <w:rFonts w:ascii="Times New Roman" w:eastAsia="Times New Roman" w:hAnsi="Times New Roman" w:cs="Times New Roman"/>
                <w:sz w:val="19"/>
                <w:szCs w:val="19"/>
                <w:lang w:val="en-US" w:eastAsia="ru-RU"/>
              </w:rPr>
            </w:pPr>
            <w:r w:rsidRPr="001300FD">
              <w:rPr>
                <w:rFonts w:ascii="Times New Roman" w:eastAsia="Times New Roman" w:hAnsi="Times New Roman" w:cs="Times New Roman"/>
                <w:sz w:val="19"/>
                <w:szCs w:val="19"/>
                <w:lang w:val="en-US" w:eastAsia="ru-RU"/>
              </w:rPr>
              <w:t>Gratuitous transfer of money and other currency valuables, real estate</w:t>
            </w:r>
          </w:p>
        </w:tc>
        <w:tc>
          <w:tcPr>
            <w:tcW w:w="616" w:type="pct"/>
            <w:vMerge w:val="restart"/>
            <w:tcBorders>
              <w:top w:val="nil"/>
              <w:left w:val="single" w:sz="4" w:space="0" w:color="auto"/>
              <w:right w:val="single" w:sz="4" w:space="0" w:color="auto"/>
            </w:tcBorders>
            <w:shd w:val="clear" w:color="auto" w:fill="F2F2F2" w:themeFill="background1" w:themeFillShade="F2"/>
            <w:vAlign w:val="center"/>
          </w:tcPr>
          <w:p w14:paraId="13FFCBE4" w14:textId="77777777" w:rsidR="00D339B5" w:rsidRPr="001300FD" w:rsidRDefault="00D339B5" w:rsidP="009211E1">
            <w:pPr>
              <w:spacing w:before="240" w:line="240" w:lineRule="auto"/>
              <w:contextualSpacing/>
              <w:rPr>
                <w:rFonts w:ascii="Times New Roman" w:eastAsia="Times New Roman" w:hAnsi="Times New Roman" w:cs="Times New Roman"/>
                <w:sz w:val="19"/>
                <w:szCs w:val="19"/>
                <w:lang w:val="en-US" w:eastAsia="ru-RU"/>
              </w:rPr>
            </w:pPr>
          </w:p>
        </w:tc>
        <w:tc>
          <w:tcPr>
            <w:tcW w:w="1668" w:type="pct"/>
            <w:tcBorders>
              <w:top w:val="nil"/>
              <w:left w:val="nil"/>
              <w:bottom w:val="single" w:sz="4" w:space="0" w:color="auto"/>
              <w:right w:val="single" w:sz="4" w:space="0" w:color="auto"/>
            </w:tcBorders>
            <w:vAlign w:val="center"/>
          </w:tcPr>
          <w:p w14:paraId="573DB67B" w14:textId="28B05299" w:rsidR="00D339B5" w:rsidRPr="001300FD" w:rsidRDefault="001977F2" w:rsidP="001B4F20">
            <w:pPr>
              <w:spacing w:before="160" w:line="240" w:lineRule="auto"/>
              <w:jc w:val="center"/>
              <w:rPr>
                <w:rFonts w:ascii="Times New Roman" w:eastAsia="Times New Roman" w:hAnsi="Times New Roman" w:cs="Times New Roman"/>
                <w:sz w:val="19"/>
                <w:szCs w:val="19"/>
                <w:lang w:val="en-US" w:eastAsia="ru-RU"/>
              </w:rPr>
            </w:pPr>
            <w:r w:rsidRPr="001300FD">
              <w:rPr>
                <w:rFonts w:ascii="Times New Roman" w:eastAsia="Times New Roman" w:hAnsi="Times New Roman" w:cs="Times New Roman"/>
                <w:sz w:val="19"/>
                <w:szCs w:val="19"/>
                <w:lang w:val="en-US" w:eastAsia="ru-RU"/>
              </w:rPr>
              <w:t xml:space="preserve">Assignment of </w:t>
            </w:r>
            <w:r w:rsidR="00C60E37">
              <w:rPr>
                <w:rFonts w:ascii="Times New Roman" w:eastAsia="Times New Roman" w:hAnsi="Times New Roman" w:cs="Times New Roman"/>
                <w:sz w:val="19"/>
                <w:szCs w:val="19"/>
                <w:lang w:val="en-US" w:eastAsia="ru-RU"/>
              </w:rPr>
              <w:t xml:space="preserve">a </w:t>
            </w:r>
            <w:r w:rsidR="00464BCB" w:rsidRPr="00464BCB">
              <w:rPr>
                <w:rFonts w:ascii="Times New Roman" w:eastAsia="Times New Roman" w:hAnsi="Times New Roman" w:cs="Times New Roman"/>
                <w:sz w:val="19"/>
                <w:szCs w:val="19"/>
                <w:lang w:val="en-US" w:eastAsia="ru-RU"/>
              </w:rPr>
              <w:t xml:space="preserve">registration </w:t>
            </w:r>
            <w:r w:rsidRPr="001300FD">
              <w:rPr>
                <w:rFonts w:ascii="Times New Roman" w:eastAsia="Times New Roman" w:hAnsi="Times New Roman" w:cs="Times New Roman"/>
                <w:sz w:val="19"/>
                <w:szCs w:val="19"/>
                <w:lang w:val="en-US" w:eastAsia="ru-RU"/>
              </w:rPr>
              <w:t xml:space="preserve">number in the </w:t>
            </w:r>
            <w:r w:rsidR="00464BCB" w:rsidRPr="00AA3335">
              <w:rPr>
                <w:rFonts w:ascii="Times New Roman" w:eastAsia="Times New Roman" w:hAnsi="Times New Roman" w:cs="Times New Roman"/>
                <w:sz w:val="19"/>
                <w:szCs w:val="19"/>
                <w:lang w:val="en-US" w:eastAsia="ru-RU"/>
              </w:rPr>
              <w:t>TB NBRK</w:t>
            </w:r>
          </w:p>
        </w:tc>
        <w:tc>
          <w:tcPr>
            <w:tcW w:w="1465" w:type="pct"/>
            <w:vMerge w:val="restart"/>
            <w:tcBorders>
              <w:top w:val="single" w:sz="4" w:space="0" w:color="auto"/>
              <w:left w:val="nil"/>
              <w:right w:val="single" w:sz="4" w:space="0" w:color="auto"/>
            </w:tcBorders>
            <w:shd w:val="clear" w:color="auto" w:fill="F2F2F2" w:themeFill="background1" w:themeFillShade="F2"/>
            <w:vAlign w:val="center"/>
          </w:tcPr>
          <w:p w14:paraId="758E5F8D" w14:textId="77777777" w:rsidR="00D339B5" w:rsidRPr="001300FD" w:rsidRDefault="00D339B5" w:rsidP="009211E1">
            <w:pPr>
              <w:spacing w:before="240" w:line="240" w:lineRule="auto"/>
              <w:contextualSpacing/>
              <w:rPr>
                <w:rFonts w:ascii="Times New Roman" w:eastAsia="Times New Roman" w:hAnsi="Times New Roman" w:cs="Times New Roman"/>
                <w:sz w:val="19"/>
                <w:szCs w:val="19"/>
                <w:lang w:val="en-US" w:eastAsia="ru-RU"/>
              </w:rPr>
            </w:pPr>
            <w:r w:rsidRPr="001300FD">
              <w:rPr>
                <w:rFonts w:ascii="Times New Roman" w:eastAsia="Times New Roman" w:hAnsi="Times New Roman" w:cs="Times New Roman"/>
                <w:sz w:val="19"/>
                <w:szCs w:val="19"/>
                <w:lang w:val="en-US" w:eastAsia="ru-RU"/>
              </w:rPr>
              <w:t> </w:t>
            </w:r>
          </w:p>
        </w:tc>
        <w:tc>
          <w:tcPr>
            <w:tcW w:w="560" w:type="pct"/>
            <w:vMerge/>
            <w:tcBorders>
              <w:left w:val="nil"/>
              <w:right w:val="single" w:sz="4" w:space="0" w:color="auto"/>
            </w:tcBorders>
            <w:shd w:val="clear" w:color="auto" w:fill="F2F2F2" w:themeFill="background1" w:themeFillShade="F2"/>
            <w:vAlign w:val="center"/>
          </w:tcPr>
          <w:p w14:paraId="71F4A060" w14:textId="77777777" w:rsidR="00D339B5" w:rsidRPr="001300FD" w:rsidRDefault="00D339B5" w:rsidP="009211E1">
            <w:pPr>
              <w:spacing w:before="240" w:line="240" w:lineRule="auto"/>
              <w:contextualSpacing/>
              <w:rPr>
                <w:rFonts w:ascii="Times New Roman" w:eastAsia="Times New Roman" w:hAnsi="Times New Roman" w:cs="Times New Roman"/>
                <w:sz w:val="19"/>
                <w:szCs w:val="19"/>
                <w:lang w:val="en-US" w:eastAsia="ru-RU"/>
              </w:rPr>
            </w:pPr>
          </w:p>
        </w:tc>
      </w:tr>
      <w:tr w:rsidR="00D339B5" w:rsidRPr="00952466" w14:paraId="552A1E7D" w14:textId="77777777" w:rsidTr="0082285A">
        <w:trPr>
          <w:trHeight w:val="1650"/>
        </w:trPr>
        <w:tc>
          <w:tcPr>
            <w:tcW w:w="93" w:type="pct"/>
            <w:vMerge/>
            <w:tcBorders>
              <w:left w:val="single" w:sz="4" w:space="0" w:color="auto"/>
              <w:bottom w:val="single" w:sz="4" w:space="0" w:color="000000"/>
              <w:right w:val="single" w:sz="4" w:space="0" w:color="auto"/>
            </w:tcBorders>
            <w:vAlign w:val="center"/>
          </w:tcPr>
          <w:p w14:paraId="77C9A94D" w14:textId="77777777" w:rsidR="00D339B5" w:rsidRPr="001300FD" w:rsidRDefault="00D339B5" w:rsidP="009211E1">
            <w:pPr>
              <w:spacing w:before="240" w:line="240" w:lineRule="auto"/>
              <w:contextualSpacing/>
              <w:rPr>
                <w:rFonts w:ascii="Times New Roman" w:eastAsia="Times New Roman" w:hAnsi="Times New Roman" w:cs="Times New Roman"/>
                <w:sz w:val="19"/>
                <w:szCs w:val="19"/>
                <w:lang w:val="en-US" w:eastAsia="ru-RU"/>
              </w:rPr>
            </w:pPr>
          </w:p>
        </w:tc>
        <w:tc>
          <w:tcPr>
            <w:tcW w:w="597" w:type="pct"/>
            <w:vMerge/>
            <w:tcBorders>
              <w:left w:val="single" w:sz="4" w:space="0" w:color="auto"/>
              <w:bottom w:val="single" w:sz="4" w:space="0" w:color="000000"/>
              <w:right w:val="single" w:sz="4" w:space="0" w:color="auto"/>
            </w:tcBorders>
            <w:vAlign w:val="center"/>
          </w:tcPr>
          <w:p w14:paraId="0E70F88B" w14:textId="77777777" w:rsidR="00D339B5" w:rsidRPr="001300FD" w:rsidRDefault="00D339B5" w:rsidP="009211E1">
            <w:pPr>
              <w:spacing w:before="240" w:line="240" w:lineRule="auto"/>
              <w:contextualSpacing/>
              <w:rPr>
                <w:rFonts w:ascii="Times New Roman" w:eastAsia="Times New Roman" w:hAnsi="Times New Roman" w:cs="Times New Roman"/>
                <w:sz w:val="19"/>
                <w:szCs w:val="19"/>
                <w:lang w:val="en-US" w:eastAsia="ru-RU"/>
              </w:rPr>
            </w:pPr>
          </w:p>
        </w:tc>
        <w:tc>
          <w:tcPr>
            <w:tcW w:w="616" w:type="pct"/>
            <w:vMerge/>
            <w:tcBorders>
              <w:left w:val="single" w:sz="4" w:space="0" w:color="auto"/>
              <w:bottom w:val="single" w:sz="4" w:space="0" w:color="auto"/>
              <w:right w:val="single" w:sz="4" w:space="0" w:color="auto"/>
            </w:tcBorders>
            <w:shd w:val="clear" w:color="auto" w:fill="F2F2F2" w:themeFill="background1" w:themeFillShade="F2"/>
            <w:vAlign w:val="center"/>
          </w:tcPr>
          <w:p w14:paraId="1EFBB2DB" w14:textId="77777777" w:rsidR="00D339B5" w:rsidRPr="001300FD" w:rsidRDefault="00D339B5" w:rsidP="009211E1">
            <w:pPr>
              <w:spacing w:before="240" w:line="240" w:lineRule="auto"/>
              <w:contextualSpacing/>
              <w:rPr>
                <w:rFonts w:ascii="Times New Roman" w:eastAsia="Times New Roman" w:hAnsi="Times New Roman" w:cs="Times New Roman"/>
                <w:sz w:val="19"/>
                <w:szCs w:val="19"/>
                <w:lang w:val="en-US" w:eastAsia="ru-RU"/>
              </w:rPr>
            </w:pPr>
          </w:p>
        </w:tc>
        <w:tc>
          <w:tcPr>
            <w:tcW w:w="1668" w:type="pct"/>
            <w:tcBorders>
              <w:top w:val="single" w:sz="4" w:space="0" w:color="auto"/>
              <w:left w:val="nil"/>
              <w:bottom w:val="single" w:sz="4" w:space="0" w:color="auto"/>
              <w:right w:val="single" w:sz="4" w:space="0" w:color="auto"/>
            </w:tcBorders>
            <w:vAlign w:val="center"/>
          </w:tcPr>
          <w:p w14:paraId="3909448A" w14:textId="77777777" w:rsidR="00D339B5" w:rsidRPr="001300FD" w:rsidRDefault="00D339B5" w:rsidP="00E05FAA">
            <w:pPr>
              <w:spacing w:before="240" w:line="240" w:lineRule="auto"/>
              <w:contextualSpacing/>
              <w:jc w:val="both"/>
              <w:rPr>
                <w:rFonts w:ascii="Times New Roman" w:eastAsia="Times New Roman" w:hAnsi="Times New Roman" w:cs="Times New Roman"/>
                <w:i/>
                <w:sz w:val="19"/>
                <w:szCs w:val="19"/>
                <w:lang w:val="en-US" w:eastAsia="ru-RU"/>
              </w:rPr>
            </w:pPr>
          </w:p>
          <w:p w14:paraId="339738D3" w14:textId="77777777" w:rsidR="00D339B5" w:rsidRPr="001300FD" w:rsidRDefault="00D339B5" w:rsidP="00E05FAA">
            <w:pPr>
              <w:spacing w:before="240" w:line="240" w:lineRule="auto"/>
              <w:contextualSpacing/>
              <w:jc w:val="both"/>
              <w:rPr>
                <w:rFonts w:ascii="Times New Roman" w:eastAsia="Times New Roman" w:hAnsi="Times New Roman" w:cs="Times New Roman"/>
                <w:i/>
                <w:sz w:val="19"/>
                <w:szCs w:val="19"/>
                <w:lang w:val="en-US" w:eastAsia="ru-RU"/>
              </w:rPr>
            </w:pPr>
            <w:r w:rsidRPr="001300FD">
              <w:rPr>
                <w:rFonts w:ascii="Times New Roman" w:eastAsia="Times New Roman" w:hAnsi="Times New Roman" w:cs="Times New Roman"/>
                <w:i/>
                <w:sz w:val="19"/>
                <w:szCs w:val="19"/>
                <w:lang w:val="en-US" w:eastAsia="ru-RU"/>
              </w:rPr>
              <w:t>Exception: an agreement on the gratuitous transfer by a resident to a non-resident (by a non-resident to a resident) of money or other currency valuables, if as a result of such transfer the obligations are fulfilled or terminated or the ownership right to the currency valuables is alienated, under a foreign exchange agreement on capital movements for which the resident has previously obtained a registration number.</w:t>
            </w:r>
          </w:p>
          <w:p w14:paraId="4B6BD68F" w14:textId="77777777" w:rsidR="00D339B5" w:rsidRPr="001300FD" w:rsidRDefault="00D339B5" w:rsidP="00E05FAA">
            <w:pPr>
              <w:spacing w:before="240" w:line="240" w:lineRule="auto"/>
              <w:contextualSpacing/>
              <w:jc w:val="both"/>
              <w:rPr>
                <w:rFonts w:ascii="Times New Roman" w:eastAsia="Times New Roman" w:hAnsi="Times New Roman" w:cs="Times New Roman"/>
                <w:sz w:val="19"/>
                <w:szCs w:val="19"/>
                <w:lang w:val="en-US" w:eastAsia="ru-RU"/>
              </w:rPr>
            </w:pPr>
          </w:p>
        </w:tc>
        <w:tc>
          <w:tcPr>
            <w:tcW w:w="1465" w:type="pct"/>
            <w:vMerge/>
            <w:tcBorders>
              <w:left w:val="nil"/>
              <w:bottom w:val="single" w:sz="4" w:space="0" w:color="auto"/>
              <w:right w:val="single" w:sz="4" w:space="0" w:color="auto"/>
            </w:tcBorders>
            <w:shd w:val="clear" w:color="auto" w:fill="F2F2F2" w:themeFill="background1" w:themeFillShade="F2"/>
            <w:vAlign w:val="center"/>
          </w:tcPr>
          <w:p w14:paraId="031318F9" w14:textId="77777777" w:rsidR="00D339B5" w:rsidRPr="001300FD" w:rsidRDefault="00D339B5" w:rsidP="009211E1">
            <w:pPr>
              <w:spacing w:before="240" w:line="240" w:lineRule="auto"/>
              <w:contextualSpacing/>
              <w:rPr>
                <w:rFonts w:ascii="Times New Roman" w:eastAsia="Times New Roman" w:hAnsi="Times New Roman" w:cs="Times New Roman"/>
                <w:sz w:val="19"/>
                <w:szCs w:val="19"/>
                <w:lang w:val="en-US" w:eastAsia="ru-RU"/>
              </w:rPr>
            </w:pPr>
          </w:p>
        </w:tc>
        <w:tc>
          <w:tcPr>
            <w:tcW w:w="560" w:type="pct"/>
            <w:vMerge/>
            <w:tcBorders>
              <w:left w:val="nil"/>
              <w:right w:val="single" w:sz="4" w:space="0" w:color="auto"/>
            </w:tcBorders>
            <w:shd w:val="clear" w:color="auto" w:fill="F2F2F2" w:themeFill="background1" w:themeFillShade="F2"/>
            <w:vAlign w:val="center"/>
          </w:tcPr>
          <w:p w14:paraId="0EB1C6F3" w14:textId="77777777" w:rsidR="00D339B5" w:rsidRPr="001300FD" w:rsidRDefault="00D339B5" w:rsidP="009211E1">
            <w:pPr>
              <w:spacing w:before="240" w:line="240" w:lineRule="auto"/>
              <w:contextualSpacing/>
              <w:rPr>
                <w:rFonts w:ascii="Times New Roman" w:eastAsia="Times New Roman" w:hAnsi="Times New Roman" w:cs="Times New Roman"/>
                <w:sz w:val="19"/>
                <w:szCs w:val="19"/>
                <w:lang w:val="en-US" w:eastAsia="ru-RU"/>
              </w:rPr>
            </w:pPr>
          </w:p>
        </w:tc>
      </w:tr>
      <w:tr w:rsidR="00D339B5" w:rsidRPr="00952466" w14:paraId="040151A4" w14:textId="77777777" w:rsidTr="0082285A">
        <w:trPr>
          <w:trHeight w:val="441"/>
        </w:trPr>
        <w:tc>
          <w:tcPr>
            <w:tcW w:w="93" w:type="pct"/>
            <w:vMerge w:val="restart"/>
            <w:tcBorders>
              <w:top w:val="nil"/>
              <w:left w:val="single" w:sz="4" w:space="0" w:color="auto"/>
              <w:right w:val="single" w:sz="4" w:space="0" w:color="auto"/>
            </w:tcBorders>
            <w:vAlign w:val="center"/>
          </w:tcPr>
          <w:p w14:paraId="4BE07375" w14:textId="77777777" w:rsidR="00D339B5" w:rsidRPr="00E9113E" w:rsidRDefault="00D339B5" w:rsidP="009211E1">
            <w:pPr>
              <w:spacing w:before="240" w:line="240" w:lineRule="auto"/>
              <w:contextualSpacing/>
              <w:rPr>
                <w:rFonts w:ascii="Times New Roman" w:eastAsia="Times New Roman" w:hAnsi="Times New Roman" w:cs="Times New Roman"/>
                <w:sz w:val="19"/>
                <w:szCs w:val="19"/>
                <w:lang w:eastAsia="ru-RU"/>
              </w:rPr>
            </w:pPr>
            <w:r w:rsidRPr="00E9113E">
              <w:rPr>
                <w:rFonts w:ascii="Times New Roman" w:eastAsia="Times New Roman" w:hAnsi="Times New Roman" w:cs="Times New Roman"/>
                <w:sz w:val="19"/>
                <w:szCs w:val="19"/>
                <w:lang w:eastAsia="ru-RU"/>
              </w:rPr>
              <w:t>9</w:t>
            </w:r>
          </w:p>
        </w:tc>
        <w:tc>
          <w:tcPr>
            <w:tcW w:w="597" w:type="pct"/>
            <w:vMerge w:val="restart"/>
            <w:tcBorders>
              <w:top w:val="nil"/>
              <w:left w:val="single" w:sz="4" w:space="0" w:color="auto"/>
              <w:right w:val="single" w:sz="4" w:space="0" w:color="auto"/>
            </w:tcBorders>
            <w:vAlign w:val="center"/>
          </w:tcPr>
          <w:p w14:paraId="7CBA255E" w14:textId="07D90790" w:rsidR="00D339B5" w:rsidRPr="001300FD" w:rsidRDefault="00171DCF" w:rsidP="009211E1">
            <w:pPr>
              <w:spacing w:before="240" w:line="240" w:lineRule="auto"/>
              <w:contextualSpacing/>
              <w:rPr>
                <w:rFonts w:ascii="Times New Roman" w:eastAsia="Times New Roman" w:hAnsi="Times New Roman" w:cs="Times New Roman"/>
                <w:sz w:val="19"/>
                <w:szCs w:val="19"/>
                <w:lang w:val="en-US" w:eastAsia="ru-RU"/>
              </w:rPr>
            </w:pPr>
            <w:r w:rsidRPr="001300FD">
              <w:rPr>
                <w:rFonts w:ascii="Times New Roman" w:eastAsia="Times New Roman" w:hAnsi="Times New Roman" w:cs="Times New Roman"/>
                <w:sz w:val="19"/>
                <w:szCs w:val="19"/>
                <w:lang w:val="en-US" w:eastAsia="ru-RU"/>
              </w:rPr>
              <w:t>Opening a bank, unallocated metal account in a foreign bank, international financial organization</w:t>
            </w:r>
          </w:p>
        </w:tc>
        <w:tc>
          <w:tcPr>
            <w:tcW w:w="616" w:type="pct"/>
            <w:vMerge w:val="restart"/>
            <w:tcBorders>
              <w:top w:val="nil"/>
              <w:left w:val="single" w:sz="4" w:space="0" w:color="auto"/>
              <w:right w:val="single" w:sz="4" w:space="0" w:color="auto"/>
            </w:tcBorders>
            <w:shd w:val="clear" w:color="auto" w:fill="F2F2F2" w:themeFill="background1" w:themeFillShade="F2"/>
            <w:vAlign w:val="center"/>
          </w:tcPr>
          <w:p w14:paraId="0C388D80" w14:textId="77777777" w:rsidR="00D339B5" w:rsidRPr="001300FD" w:rsidRDefault="00D339B5" w:rsidP="00514054">
            <w:pPr>
              <w:spacing w:before="240" w:line="240" w:lineRule="auto"/>
              <w:contextualSpacing/>
              <w:jc w:val="center"/>
              <w:rPr>
                <w:rFonts w:ascii="Times New Roman" w:eastAsia="Times New Roman" w:hAnsi="Times New Roman" w:cs="Times New Roman"/>
                <w:sz w:val="19"/>
                <w:szCs w:val="19"/>
                <w:lang w:val="en-US" w:eastAsia="ru-RU"/>
              </w:rPr>
            </w:pPr>
          </w:p>
        </w:tc>
        <w:tc>
          <w:tcPr>
            <w:tcW w:w="1668" w:type="pct"/>
            <w:tcBorders>
              <w:top w:val="nil"/>
              <w:left w:val="nil"/>
              <w:bottom w:val="single" w:sz="4" w:space="0" w:color="auto"/>
              <w:right w:val="single" w:sz="4" w:space="0" w:color="auto"/>
            </w:tcBorders>
            <w:vAlign w:val="center"/>
          </w:tcPr>
          <w:p w14:paraId="70990ED6" w14:textId="6CA6CA17" w:rsidR="00D339B5" w:rsidRPr="00464BCB" w:rsidRDefault="00D339B5" w:rsidP="001B4F20">
            <w:pPr>
              <w:spacing w:before="160" w:line="240" w:lineRule="auto"/>
              <w:jc w:val="center"/>
              <w:rPr>
                <w:rFonts w:ascii="Times New Roman" w:eastAsia="Times New Roman" w:hAnsi="Times New Roman" w:cs="Times New Roman"/>
                <w:sz w:val="19"/>
                <w:szCs w:val="19"/>
                <w:lang w:val="en-US" w:eastAsia="ru-RU"/>
              </w:rPr>
            </w:pPr>
            <w:r w:rsidRPr="001300FD">
              <w:rPr>
                <w:rFonts w:ascii="Times New Roman" w:eastAsia="Times New Roman" w:hAnsi="Times New Roman" w:cs="Times New Roman"/>
                <w:sz w:val="19"/>
                <w:szCs w:val="19"/>
                <w:lang w:val="en-US" w:eastAsia="ru-RU"/>
              </w:rPr>
              <w:t xml:space="preserve">Notification </w:t>
            </w:r>
            <w:r w:rsidR="00464BCB" w:rsidRPr="00D21D27">
              <w:rPr>
                <w:rFonts w:ascii="Times New Roman" w:eastAsia="Times New Roman" w:hAnsi="Times New Roman" w:cs="Times New Roman"/>
                <w:sz w:val="19"/>
                <w:szCs w:val="19"/>
                <w:lang w:val="en-US" w:eastAsia="ru-RU"/>
              </w:rPr>
              <w:t xml:space="preserve">to the </w:t>
            </w:r>
            <w:r w:rsidR="00464BCB" w:rsidRPr="00AA3335">
              <w:rPr>
                <w:rFonts w:ascii="Times New Roman" w:eastAsia="Times New Roman" w:hAnsi="Times New Roman" w:cs="Times New Roman"/>
                <w:sz w:val="19"/>
                <w:szCs w:val="19"/>
                <w:lang w:val="en-US" w:eastAsia="ru-RU"/>
              </w:rPr>
              <w:t>TB NBRK</w:t>
            </w:r>
            <w:r w:rsidR="00464BCB" w:rsidRPr="001300FD">
              <w:rPr>
                <w:rFonts w:ascii="Times New Roman" w:eastAsia="Times New Roman" w:hAnsi="Times New Roman" w:cs="Times New Roman"/>
                <w:sz w:val="19"/>
                <w:szCs w:val="19"/>
                <w:lang w:val="en-US" w:eastAsia="ru-RU"/>
              </w:rPr>
              <w:t xml:space="preserve"> </w:t>
            </w:r>
            <w:r w:rsidRPr="001300FD">
              <w:rPr>
                <w:rFonts w:ascii="Times New Roman" w:eastAsia="Times New Roman" w:hAnsi="Times New Roman" w:cs="Times New Roman"/>
                <w:sz w:val="19"/>
                <w:szCs w:val="19"/>
                <w:lang w:val="en-US" w:eastAsia="ru-RU"/>
              </w:rPr>
              <w:t xml:space="preserve">(with obtaining a </w:t>
            </w:r>
            <w:r w:rsidR="00464BCB" w:rsidRPr="00464BCB">
              <w:rPr>
                <w:rFonts w:ascii="Times New Roman" w:eastAsia="Times New Roman" w:hAnsi="Times New Roman" w:cs="Times New Roman"/>
                <w:sz w:val="19"/>
                <w:szCs w:val="19"/>
                <w:lang w:val="en-US" w:eastAsia="ru-RU"/>
              </w:rPr>
              <w:t xml:space="preserve">registration </w:t>
            </w:r>
            <w:r w:rsidRPr="001300FD">
              <w:rPr>
                <w:rFonts w:ascii="Times New Roman" w:eastAsia="Times New Roman" w:hAnsi="Times New Roman" w:cs="Times New Roman"/>
                <w:sz w:val="19"/>
                <w:szCs w:val="19"/>
                <w:lang w:val="en-US" w:eastAsia="ru-RU"/>
              </w:rPr>
              <w:t>number for the account)</w:t>
            </w:r>
          </w:p>
        </w:tc>
        <w:tc>
          <w:tcPr>
            <w:tcW w:w="1465" w:type="pct"/>
            <w:vMerge w:val="restart"/>
            <w:tcBorders>
              <w:top w:val="single" w:sz="4" w:space="0" w:color="auto"/>
              <w:left w:val="nil"/>
              <w:right w:val="single" w:sz="4" w:space="0" w:color="auto"/>
            </w:tcBorders>
            <w:shd w:val="clear" w:color="auto" w:fill="F2F2F2" w:themeFill="background1" w:themeFillShade="F2"/>
            <w:vAlign w:val="center"/>
          </w:tcPr>
          <w:p w14:paraId="3ADB0F72" w14:textId="77777777" w:rsidR="00D339B5" w:rsidRPr="001300FD" w:rsidRDefault="00D339B5" w:rsidP="009211E1">
            <w:pPr>
              <w:spacing w:before="240" w:line="240" w:lineRule="auto"/>
              <w:contextualSpacing/>
              <w:rPr>
                <w:rFonts w:ascii="Times New Roman" w:eastAsia="Times New Roman" w:hAnsi="Times New Roman" w:cs="Times New Roman"/>
                <w:sz w:val="19"/>
                <w:szCs w:val="19"/>
                <w:lang w:val="en-US" w:eastAsia="ru-RU"/>
              </w:rPr>
            </w:pPr>
          </w:p>
        </w:tc>
        <w:tc>
          <w:tcPr>
            <w:tcW w:w="560" w:type="pct"/>
            <w:vMerge/>
            <w:tcBorders>
              <w:left w:val="nil"/>
              <w:right w:val="single" w:sz="4" w:space="0" w:color="auto"/>
            </w:tcBorders>
            <w:shd w:val="clear" w:color="auto" w:fill="F2F2F2" w:themeFill="background1" w:themeFillShade="F2"/>
            <w:vAlign w:val="center"/>
          </w:tcPr>
          <w:p w14:paraId="00EC4AE1" w14:textId="77777777" w:rsidR="00D339B5" w:rsidRPr="001300FD" w:rsidRDefault="00D339B5" w:rsidP="009211E1">
            <w:pPr>
              <w:spacing w:before="240" w:line="240" w:lineRule="auto"/>
              <w:contextualSpacing/>
              <w:rPr>
                <w:rFonts w:ascii="Times New Roman" w:eastAsia="Times New Roman" w:hAnsi="Times New Roman" w:cs="Times New Roman"/>
                <w:sz w:val="19"/>
                <w:szCs w:val="19"/>
                <w:lang w:val="en-US" w:eastAsia="ru-RU"/>
              </w:rPr>
            </w:pPr>
          </w:p>
        </w:tc>
      </w:tr>
      <w:tr w:rsidR="00D339B5" w:rsidRPr="00952466" w14:paraId="52DC3383" w14:textId="77777777" w:rsidTr="0082285A">
        <w:trPr>
          <w:trHeight w:val="855"/>
        </w:trPr>
        <w:tc>
          <w:tcPr>
            <w:tcW w:w="93" w:type="pct"/>
            <w:vMerge/>
            <w:tcBorders>
              <w:left w:val="single" w:sz="4" w:space="0" w:color="auto"/>
              <w:bottom w:val="single" w:sz="4" w:space="0" w:color="000000"/>
              <w:right w:val="single" w:sz="4" w:space="0" w:color="auto"/>
            </w:tcBorders>
            <w:vAlign w:val="center"/>
          </w:tcPr>
          <w:p w14:paraId="41A5A106" w14:textId="77777777" w:rsidR="00D339B5" w:rsidRPr="001300FD" w:rsidRDefault="00D339B5" w:rsidP="009211E1">
            <w:pPr>
              <w:spacing w:before="240" w:line="240" w:lineRule="auto"/>
              <w:contextualSpacing/>
              <w:rPr>
                <w:rFonts w:ascii="Times New Roman" w:eastAsia="Times New Roman" w:hAnsi="Times New Roman" w:cs="Times New Roman"/>
                <w:sz w:val="19"/>
                <w:szCs w:val="19"/>
                <w:lang w:val="en-US" w:eastAsia="ru-RU"/>
              </w:rPr>
            </w:pPr>
          </w:p>
        </w:tc>
        <w:tc>
          <w:tcPr>
            <w:tcW w:w="597" w:type="pct"/>
            <w:vMerge/>
            <w:tcBorders>
              <w:left w:val="single" w:sz="4" w:space="0" w:color="auto"/>
              <w:bottom w:val="single" w:sz="4" w:space="0" w:color="000000"/>
              <w:right w:val="single" w:sz="4" w:space="0" w:color="auto"/>
            </w:tcBorders>
            <w:vAlign w:val="center"/>
          </w:tcPr>
          <w:p w14:paraId="0A1F3B1B" w14:textId="77777777" w:rsidR="00D339B5" w:rsidRPr="001300FD" w:rsidRDefault="00D339B5" w:rsidP="009211E1">
            <w:pPr>
              <w:spacing w:before="240" w:line="240" w:lineRule="auto"/>
              <w:contextualSpacing/>
              <w:rPr>
                <w:rFonts w:ascii="Times New Roman" w:eastAsia="Times New Roman" w:hAnsi="Times New Roman" w:cs="Times New Roman"/>
                <w:sz w:val="19"/>
                <w:szCs w:val="19"/>
                <w:lang w:val="en-US" w:eastAsia="ru-RU"/>
              </w:rPr>
            </w:pPr>
          </w:p>
        </w:tc>
        <w:tc>
          <w:tcPr>
            <w:tcW w:w="616" w:type="pct"/>
            <w:vMerge/>
            <w:tcBorders>
              <w:left w:val="single" w:sz="4" w:space="0" w:color="auto"/>
              <w:bottom w:val="single" w:sz="4" w:space="0" w:color="auto"/>
              <w:right w:val="single" w:sz="4" w:space="0" w:color="auto"/>
            </w:tcBorders>
            <w:shd w:val="clear" w:color="auto" w:fill="F2F2F2" w:themeFill="background1" w:themeFillShade="F2"/>
            <w:vAlign w:val="center"/>
          </w:tcPr>
          <w:p w14:paraId="6B2B3FD1" w14:textId="77777777" w:rsidR="00D339B5" w:rsidRPr="001300FD" w:rsidRDefault="00D339B5" w:rsidP="00514054">
            <w:pPr>
              <w:spacing w:before="240" w:line="240" w:lineRule="auto"/>
              <w:contextualSpacing/>
              <w:jc w:val="center"/>
              <w:rPr>
                <w:rFonts w:ascii="Times New Roman" w:eastAsia="Times New Roman" w:hAnsi="Times New Roman" w:cs="Times New Roman"/>
                <w:sz w:val="19"/>
                <w:szCs w:val="19"/>
                <w:lang w:val="en-US" w:eastAsia="ru-RU"/>
              </w:rPr>
            </w:pPr>
          </w:p>
        </w:tc>
        <w:tc>
          <w:tcPr>
            <w:tcW w:w="1668" w:type="pct"/>
            <w:tcBorders>
              <w:top w:val="single" w:sz="4" w:space="0" w:color="auto"/>
              <w:left w:val="nil"/>
              <w:bottom w:val="single" w:sz="4" w:space="0" w:color="auto"/>
              <w:right w:val="single" w:sz="4" w:space="0" w:color="auto"/>
            </w:tcBorders>
            <w:vAlign w:val="center"/>
          </w:tcPr>
          <w:p w14:paraId="753C19ED" w14:textId="447AA548" w:rsidR="00D339B5" w:rsidRPr="00692819" w:rsidRDefault="00D339B5" w:rsidP="00514054">
            <w:pPr>
              <w:spacing w:before="240" w:line="240" w:lineRule="auto"/>
              <w:contextualSpacing/>
              <w:jc w:val="both"/>
              <w:rPr>
                <w:rFonts w:ascii="Times New Roman" w:eastAsia="Times New Roman" w:hAnsi="Times New Roman" w:cs="Times New Roman"/>
                <w:sz w:val="19"/>
                <w:szCs w:val="19"/>
                <w:lang w:val="en-US" w:eastAsia="ru-RU"/>
              </w:rPr>
            </w:pPr>
            <w:r w:rsidRPr="001300FD">
              <w:rPr>
                <w:rFonts w:ascii="Times New Roman" w:eastAsia="Times New Roman" w:hAnsi="Times New Roman" w:cs="Times New Roman"/>
                <w:i/>
                <w:sz w:val="19"/>
                <w:szCs w:val="19"/>
                <w:lang w:val="en-US" w:eastAsia="ru-RU"/>
              </w:rPr>
              <w:t xml:space="preserve">Exception: </w:t>
            </w:r>
            <w:r w:rsidR="00692819">
              <w:rPr>
                <w:rFonts w:ascii="Times New Roman" w:eastAsia="Times New Roman" w:hAnsi="Times New Roman" w:cs="Times New Roman"/>
                <w:i/>
                <w:sz w:val="19"/>
                <w:szCs w:val="19"/>
                <w:lang w:val="en-US" w:eastAsia="ru-RU"/>
              </w:rPr>
              <w:t>an</w:t>
            </w:r>
            <w:r w:rsidR="00692819" w:rsidRPr="003943B8">
              <w:rPr>
                <w:rFonts w:ascii="Times New Roman" w:eastAsia="Times New Roman" w:hAnsi="Times New Roman" w:cs="Times New Roman"/>
                <w:i/>
                <w:sz w:val="19"/>
                <w:szCs w:val="19"/>
                <w:lang w:val="en-US" w:eastAsia="ru-RU"/>
              </w:rPr>
              <w:t xml:space="preserve"> </w:t>
            </w:r>
            <w:r w:rsidR="00692819" w:rsidRPr="00724462">
              <w:rPr>
                <w:rFonts w:ascii="Times New Roman" w:eastAsia="Times New Roman" w:hAnsi="Times New Roman" w:cs="Times New Roman"/>
                <w:i/>
                <w:sz w:val="19"/>
                <w:szCs w:val="19"/>
                <w:lang w:val="en-US" w:eastAsia="ru-RU"/>
              </w:rPr>
              <w:t>account of a foreign organization</w:t>
            </w:r>
            <w:r w:rsidR="00692819">
              <w:rPr>
                <w:rFonts w:ascii="Times New Roman" w:eastAsia="Times New Roman" w:hAnsi="Times New Roman" w:cs="Times New Roman"/>
                <w:i/>
                <w:sz w:val="19"/>
                <w:szCs w:val="19"/>
                <w:lang w:val="en-US" w:eastAsia="ru-RU"/>
              </w:rPr>
              <w:t>’s</w:t>
            </w:r>
            <w:r w:rsidR="00692819" w:rsidRPr="00724462">
              <w:rPr>
                <w:rFonts w:ascii="Times New Roman" w:eastAsia="Times New Roman" w:hAnsi="Times New Roman" w:cs="Times New Roman"/>
                <w:i/>
                <w:sz w:val="19"/>
                <w:szCs w:val="19"/>
                <w:lang w:val="en-US" w:eastAsia="ru-RU"/>
              </w:rPr>
              <w:t xml:space="preserve"> branch</w:t>
            </w:r>
            <w:r w:rsidR="00692819">
              <w:rPr>
                <w:rFonts w:ascii="Times New Roman" w:eastAsia="Times New Roman" w:hAnsi="Times New Roman" w:cs="Times New Roman"/>
                <w:i/>
                <w:sz w:val="19"/>
                <w:szCs w:val="19"/>
                <w:lang w:val="en-US" w:eastAsia="ru-RU"/>
              </w:rPr>
              <w:t xml:space="preserve"> </w:t>
            </w:r>
            <w:r w:rsidR="00692819" w:rsidRPr="00724462">
              <w:rPr>
                <w:rFonts w:ascii="Times New Roman" w:eastAsia="Times New Roman" w:hAnsi="Times New Roman" w:cs="Times New Roman"/>
                <w:i/>
                <w:sz w:val="19"/>
                <w:szCs w:val="19"/>
                <w:lang w:val="en-US" w:eastAsia="ru-RU"/>
              </w:rPr>
              <w:t>(representative office)</w:t>
            </w:r>
            <w:r w:rsidR="00692819">
              <w:rPr>
                <w:rFonts w:ascii="Times New Roman" w:eastAsia="Times New Roman" w:hAnsi="Times New Roman" w:cs="Times New Roman"/>
                <w:i/>
                <w:sz w:val="19"/>
                <w:szCs w:val="19"/>
                <w:lang w:val="en-US" w:eastAsia="ru-RU"/>
              </w:rPr>
              <w:t xml:space="preserve"> and </w:t>
            </w:r>
            <w:proofErr w:type="gramStart"/>
            <w:r w:rsidR="00692819">
              <w:rPr>
                <w:rFonts w:ascii="Times New Roman" w:eastAsia="Times New Roman" w:hAnsi="Times New Roman" w:cs="Times New Roman"/>
                <w:i/>
                <w:sz w:val="19"/>
                <w:szCs w:val="19"/>
                <w:lang w:val="en-US" w:eastAsia="ru-RU"/>
              </w:rPr>
              <w:t xml:space="preserve">a </w:t>
            </w:r>
            <w:r w:rsidR="00692819" w:rsidRPr="00724462">
              <w:rPr>
                <w:rFonts w:ascii="Times New Roman" w:eastAsia="Times New Roman" w:hAnsi="Times New Roman" w:cs="Times New Roman"/>
                <w:i/>
                <w:sz w:val="19"/>
                <w:szCs w:val="19"/>
                <w:lang w:val="en-US" w:eastAsia="ru-RU"/>
              </w:rPr>
              <w:t xml:space="preserve"> participant</w:t>
            </w:r>
            <w:proofErr w:type="gramEnd"/>
            <w:r w:rsidR="00692819" w:rsidRPr="00724462">
              <w:rPr>
                <w:rFonts w:ascii="Times New Roman" w:eastAsia="Times New Roman" w:hAnsi="Times New Roman" w:cs="Times New Roman"/>
                <w:i/>
                <w:sz w:val="19"/>
                <w:szCs w:val="19"/>
                <w:lang w:val="en-US" w:eastAsia="ru-RU"/>
              </w:rPr>
              <w:t xml:space="preserve"> of the AIFC</w:t>
            </w:r>
          </w:p>
        </w:tc>
        <w:tc>
          <w:tcPr>
            <w:tcW w:w="1465" w:type="pct"/>
            <w:vMerge/>
            <w:tcBorders>
              <w:left w:val="nil"/>
              <w:bottom w:val="single" w:sz="4" w:space="0" w:color="auto"/>
              <w:right w:val="single" w:sz="4" w:space="0" w:color="auto"/>
            </w:tcBorders>
            <w:shd w:val="clear" w:color="auto" w:fill="F2F2F2" w:themeFill="background1" w:themeFillShade="F2"/>
            <w:vAlign w:val="center"/>
          </w:tcPr>
          <w:p w14:paraId="1DBB939C" w14:textId="77777777" w:rsidR="00D339B5" w:rsidRPr="001300FD" w:rsidRDefault="00D339B5" w:rsidP="009211E1">
            <w:pPr>
              <w:spacing w:before="240" w:line="240" w:lineRule="auto"/>
              <w:contextualSpacing/>
              <w:rPr>
                <w:rFonts w:ascii="Times New Roman" w:eastAsia="Times New Roman" w:hAnsi="Times New Roman" w:cs="Times New Roman"/>
                <w:sz w:val="19"/>
                <w:szCs w:val="19"/>
                <w:lang w:val="en-US" w:eastAsia="ru-RU"/>
              </w:rPr>
            </w:pPr>
          </w:p>
        </w:tc>
        <w:tc>
          <w:tcPr>
            <w:tcW w:w="560" w:type="pct"/>
            <w:vMerge/>
            <w:tcBorders>
              <w:left w:val="nil"/>
              <w:bottom w:val="single" w:sz="4" w:space="0" w:color="auto"/>
              <w:right w:val="single" w:sz="4" w:space="0" w:color="auto"/>
            </w:tcBorders>
            <w:shd w:val="clear" w:color="auto" w:fill="F2F2F2" w:themeFill="background1" w:themeFillShade="F2"/>
            <w:vAlign w:val="center"/>
          </w:tcPr>
          <w:p w14:paraId="401A7A8C" w14:textId="77777777" w:rsidR="00D339B5" w:rsidRPr="001300FD" w:rsidRDefault="00D339B5" w:rsidP="009211E1">
            <w:pPr>
              <w:spacing w:before="240" w:line="240" w:lineRule="auto"/>
              <w:contextualSpacing/>
              <w:rPr>
                <w:rFonts w:ascii="Times New Roman" w:eastAsia="Times New Roman" w:hAnsi="Times New Roman" w:cs="Times New Roman"/>
                <w:sz w:val="19"/>
                <w:szCs w:val="19"/>
                <w:lang w:val="en-US" w:eastAsia="ru-RU"/>
              </w:rPr>
            </w:pPr>
          </w:p>
        </w:tc>
      </w:tr>
    </w:tbl>
    <w:p w14:paraId="64B0FC95" w14:textId="77777777" w:rsidR="00A06D83" w:rsidRPr="001300FD" w:rsidRDefault="00A06D83">
      <w:pPr>
        <w:rPr>
          <w:lang w:val="en-US"/>
        </w:rPr>
      </w:pPr>
    </w:p>
    <w:sectPr w:rsidR="00A06D83" w:rsidRPr="001300FD" w:rsidSect="00E9113E">
      <w:footnotePr>
        <w:pos w:val="beneathText"/>
      </w:footnotePr>
      <w:endnotePr>
        <w:numFmt w:val="decimal"/>
      </w:endnotePr>
      <w:pgSz w:w="16838" w:h="11906" w:orient="landscape"/>
      <w:pgMar w:top="284" w:right="284" w:bottom="28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73EF37" w14:textId="77777777" w:rsidR="00813834" w:rsidRDefault="00813834" w:rsidP="0019275D">
      <w:pPr>
        <w:spacing w:after="0" w:line="240" w:lineRule="auto"/>
      </w:pPr>
      <w:r>
        <w:separator/>
      </w:r>
    </w:p>
  </w:endnote>
  <w:endnote w:type="continuationSeparator" w:id="0">
    <w:p w14:paraId="1203B1A8" w14:textId="77777777" w:rsidR="00813834" w:rsidRDefault="00813834" w:rsidP="0019275D">
      <w:pPr>
        <w:spacing w:after="0" w:line="240" w:lineRule="auto"/>
      </w:pPr>
      <w:r>
        <w:continuationSeparator/>
      </w:r>
    </w:p>
  </w:endnote>
  <w:endnote w:id="1">
    <w:p w14:paraId="3C7DC339" w14:textId="13FA8770" w:rsidR="00A13F1D" w:rsidRPr="001300FD" w:rsidRDefault="0019275D" w:rsidP="008E2FB5">
      <w:pPr>
        <w:pStyle w:val="a6"/>
        <w:ind w:firstLine="425"/>
        <w:jc w:val="both"/>
        <w:rPr>
          <w:rFonts w:ascii="Times New Roman" w:hAnsi="Times New Roman" w:cs="Times New Roman"/>
          <w:lang w:val="en-US"/>
        </w:rPr>
      </w:pPr>
      <w:r w:rsidRPr="004D0BCB">
        <w:rPr>
          <w:rStyle w:val="a8"/>
          <w:rFonts w:ascii="Times New Roman" w:hAnsi="Times New Roman" w:cs="Times New Roman"/>
        </w:rPr>
        <w:endnoteRef/>
      </w:r>
      <w:r w:rsidR="00B207C1" w:rsidRPr="001300FD">
        <w:rPr>
          <w:rFonts w:ascii="Times New Roman" w:hAnsi="Times New Roman" w:cs="Times New Roman"/>
          <w:lang w:val="en-US"/>
        </w:rPr>
        <w:t xml:space="preserve">In accordance with the Law of the Republic of Kazakhstan "On Currency Regulation and Currency Control" </w:t>
      </w:r>
      <w:r w:rsidR="006E0DA8" w:rsidRPr="006E0DA8">
        <w:rPr>
          <w:rFonts w:ascii="Times New Roman" w:hAnsi="Times New Roman" w:cs="Times New Roman"/>
          <w:lang w:val="en-US"/>
        </w:rPr>
        <w:t>№</w:t>
      </w:r>
      <w:r w:rsidR="00B207C1" w:rsidRPr="001300FD">
        <w:rPr>
          <w:rFonts w:ascii="Times New Roman" w:hAnsi="Times New Roman" w:cs="Times New Roman"/>
          <w:lang w:val="en-US"/>
        </w:rPr>
        <w:t xml:space="preserve"> 167-VI dated 02.07.2018 and the Rules for Monitoring Foreign Exchange Transactions in the Republic of Kazakhstan, approved by Resolution of the National Bank of the Republic of Kazakhstan </w:t>
      </w:r>
      <w:r w:rsidR="006E0DA8" w:rsidRPr="006E0DA8">
        <w:rPr>
          <w:rFonts w:ascii="Times New Roman" w:hAnsi="Times New Roman" w:cs="Times New Roman"/>
          <w:lang w:val="en-US"/>
        </w:rPr>
        <w:t>№</w:t>
      </w:r>
      <w:r w:rsidR="00B207C1" w:rsidRPr="001300FD">
        <w:rPr>
          <w:rFonts w:ascii="Times New Roman" w:hAnsi="Times New Roman" w:cs="Times New Roman"/>
          <w:lang w:val="en-US"/>
        </w:rPr>
        <w:t xml:space="preserve"> 64 dated 10.04.2019 (hereinafter – the Rules).</w:t>
      </w:r>
    </w:p>
    <w:p w14:paraId="3FB7400B" w14:textId="77777777" w:rsidR="006D685A" w:rsidRPr="001300FD" w:rsidRDefault="006D685A" w:rsidP="008E2FB5">
      <w:pPr>
        <w:pStyle w:val="a6"/>
        <w:ind w:firstLine="425"/>
        <w:jc w:val="both"/>
        <w:rPr>
          <w:rFonts w:ascii="Times New Roman" w:hAnsi="Times New Roman" w:cs="Times New Roman"/>
          <w:lang w:val="en-US"/>
        </w:rPr>
      </w:pPr>
    </w:p>
  </w:endnote>
  <w:endnote w:id="2">
    <w:p w14:paraId="54FC12C3" w14:textId="088F52A1" w:rsidR="00464BCB" w:rsidRPr="007D46FA" w:rsidRDefault="00464BCB" w:rsidP="00464BCB">
      <w:pPr>
        <w:pStyle w:val="a6"/>
        <w:ind w:firstLine="425"/>
        <w:jc w:val="both"/>
        <w:rPr>
          <w:rFonts w:ascii="Times New Roman" w:hAnsi="Times New Roman" w:cs="Times New Roman"/>
          <w:lang w:val="en-US"/>
        </w:rPr>
      </w:pPr>
      <w:r w:rsidRPr="007D46FA">
        <w:rPr>
          <w:rStyle w:val="a8"/>
          <w:rFonts w:ascii="Times New Roman" w:hAnsi="Times New Roman" w:cs="Times New Roman"/>
        </w:rPr>
        <w:endnoteRef/>
      </w:r>
      <w:r w:rsidRPr="007D46FA">
        <w:rPr>
          <w:rFonts w:ascii="Times New Roman" w:hAnsi="Times New Roman" w:cs="Times New Roman"/>
          <w:lang w:val="en-US"/>
        </w:rPr>
        <w:t> </w:t>
      </w:r>
      <w:r w:rsidR="00C60E37" w:rsidRPr="00C60E37">
        <w:rPr>
          <w:rFonts w:ascii="Times New Roman" w:hAnsi="Times New Roman" w:cs="Times New Roman"/>
          <w:lang w:val="en-US"/>
        </w:rPr>
        <w:t xml:space="preserve">Assignment of a registration number </w:t>
      </w:r>
      <w:r w:rsidRPr="007D46FA">
        <w:rPr>
          <w:rFonts w:ascii="Times New Roman" w:hAnsi="Times New Roman" w:cs="Times New Roman"/>
          <w:lang w:val="en-US"/>
        </w:rPr>
        <w:t xml:space="preserve">is required for foreign exchange agreements on the capital flow in the amount exceeding 500,000 US dollars in equivalent, and also if the amount of the contract is not indicated in the foreign exchange agreement on the capital flow on the date of its signing (if it is absent - on the date of entry into force) (clauses </w:t>
      </w:r>
      <w:r w:rsidR="00C60E37" w:rsidRPr="00C60E37">
        <w:rPr>
          <w:rFonts w:ascii="Times New Roman" w:hAnsi="Times New Roman" w:cs="Times New Roman"/>
          <w:lang w:val="en-US"/>
        </w:rPr>
        <w:t>8</w:t>
      </w:r>
      <w:r w:rsidRPr="007D46FA">
        <w:rPr>
          <w:rFonts w:ascii="Times New Roman" w:hAnsi="Times New Roman" w:cs="Times New Roman"/>
          <w:lang w:val="en-US"/>
        </w:rPr>
        <w:t xml:space="preserve"> and </w:t>
      </w:r>
      <w:r w:rsidR="00C60E37" w:rsidRPr="00C60E37">
        <w:rPr>
          <w:rFonts w:ascii="Times New Roman" w:hAnsi="Times New Roman" w:cs="Times New Roman"/>
          <w:lang w:val="en-US"/>
        </w:rPr>
        <w:t>9</w:t>
      </w:r>
      <w:r w:rsidRPr="007D46FA">
        <w:rPr>
          <w:rFonts w:ascii="Times New Roman" w:hAnsi="Times New Roman" w:cs="Times New Roman"/>
          <w:lang w:val="en-US"/>
        </w:rPr>
        <w:t xml:space="preserve"> of the Rules).</w:t>
      </w:r>
    </w:p>
    <w:p w14:paraId="656898A1" w14:textId="77777777" w:rsidR="00464BCB" w:rsidRPr="007D46FA" w:rsidRDefault="00464BCB" w:rsidP="00464BCB">
      <w:pPr>
        <w:pStyle w:val="a6"/>
        <w:ind w:firstLine="425"/>
        <w:jc w:val="both"/>
        <w:rPr>
          <w:rFonts w:ascii="Times New Roman" w:hAnsi="Times New Roman" w:cs="Times New Roman"/>
          <w:lang w:val="en-US"/>
        </w:rPr>
      </w:pPr>
    </w:p>
    <w:p w14:paraId="740B2D74" w14:textId="77777777" w:rsidR="00DB1A64" w:rsidRPr="004D0BCB" w:rsidRDefault="00DB1A64" w:rsidP="00DB1A64">
      <w:pPr>
        <w:pStyle w:val="a6"/>
        <w:ind w:firstLine="425"/>
        <w:jc w:val="both"/>
        <w:rPr>
          <w:rFonts w:ascii="Times New Roman" w:hAnsi="Times New Roman" w:cs="Times New Roman"/>
          <w:lang w:val="ru-KZ"/>
        </w:rPr>
      </w:pPr>
      <w:r w:rsidRPr="004D0BCB">
        <w:rPr>
          <w:rFonts w:ascii="Times New Roman" w:hAnsi="Times New Roman" w:cs="Times New Roman"/>
          <w:lang w:val="ru-KZ"/>
        </w:rPr>
        <w:t xml:space="preserve">The following foreign exchange capital </w:t>
      </w:r>
      <w:r w:rsidRPr="007D46FA">
        <w:rPr>
          <w:rFonts w:ascii="Times New Roman" w:hAnsi="Times New Roman" w:cs="Times New Roman"/>
          <w:lang w:val="en-US"/>
        </w:rPr>
        <w:t>flow</w:t>
      </w:r>
      <w:r w:rsidRPr="004D0BCB">
        <w:rPr>
          <w:rFonts w:ascii="Times New Roman" w:hAnsi="Times New Roman" w:cs="Times New Roman"/>
          <w:lang w:val="ru-KZ"/>
        </w:rPr>
        <w:t xml:space="preserve"> agreements are not subject to assignment of a registration number:</w:t>
      </w:r>
    </w:p>
    <w:p w14:paraId="399BB165" w14:textId="77777777" w:rsidR="00464BCB" w:rsidRPr="007D46FA" w:rsidRDefault="00464BCB" w:rsidP="00464BCB">
      <w:pPr>
        <w:pStyle w:val="a6"/>
        <w:ind w:firstLine="425"/>
        <w:jc w:val="both"/>
        <w:rPr>
          <w:rFonts w:ascii="Times New Roman" w:hAnsi="Times New Roman" w:cs="Times New Roman"/>
          <w:lang w:val="en-US"/>
        </w:rPr>
      </w:pPr>
      <w:r w:rsidRPr="007D46FA">
        <w:rPr>
          <w:rFonts w:ascii="Times New Roman" w:hAnsi="Times New Roman" w:cs="Times New Roman"/>
          <w:lang w:val="en-US"/>
        </w:rPr>
        <w:t>1) currency agreements on capital flow, whose parties are the National Bank and (or) the Ministry of Finance of the Republic of Kazakhstan;</w:t>
      </w:r>
    </w:p>
    <w:p w14:paraId="24F15020" w14:textId="5D143097" w:rsidR="00464BCB" w:rsidRPr="007D46FA" w:rsidRDefault="00464BCB" w:rsidP="00464BCB">
      <w:pPr>
        <w:pStyle w:val="a6"/>
        <w:ind w:firstLine="425"/>
        <w:jc w:val="both"/>
        <w:rPr>
          <w:rFonts w:ascii="Times New Roman" w:hAnsi="Times New Roman" w:cs="Times New Roman"/>
          <w:lang w:val="en-US"/>
        </w:rPr>
      </w:pPr>
      <w:r w:rsidRPr="007D46FA">
        <w:rPr>
          <w:rFonts w:ascii="Times New Roman" w:hAnsi="Times New Roman" w:cs="Times New Roman"/>
          <w:lang w:val="en-US"/>
        </w:rPr>
        <w:t xml:space="preserve">2) foreign exchange contracts on capital </w:t>
      </w:r>
      <w:r w:rsidR="00DB1A64">
        <w:rPr>
          <w:rFonts w:ascii="Times New Roman" w:hAnsi="Times New Roman" w:cs="Times New Roman"/>
          <w:lang w:val="en-US"/>
        </w:rPr>
        <w:t>flow</w:t>
      </w:r>
      <w:r w:rsidRPr="007D46FA">
        <w:rPr>
          <w:rFonts w:ascii="Times New Roman" w:hAnsi="Times New Roman" w:cs="Times New Roman"/>
          <w:lang w:val="en-US"/>
        </w:rPr>
        <w:t>, the only resident participant(s) of which is (are) (a) participant(s) of the Astana International Financial Centre;</w:t>
      </w:r>
    </w:p>
    <w:p w14:paraId="589BACB2" w14:textId="77777777" w:rsidR="00464BCB" w:rsidRPr="007D46FA" w:rsidRDefault="00464BCB" w:rsidP="00464BCB">
      <w:pPr>
        <w:pStyle w:val="a6"/>
        <w:ind w:firstLine="425"/>
        <w:jc w:val="both"/>
        <w:rPr>
          <w:rFonts w:ascii="Times New Roman" w:hAnsi="Times New Roman" w:cs="Times New Roman"/>
          <w:lang w:val="en-US"/>
        </w:rPr>
      </w:pPr>
      <w:r w:rsidRPr="007D46FA">
        <w:rPr>
          <w:rFonts w:ascii="Times New Roman" w:hAnsi="Times New Roman" w:cs="Times New Roman"/>
          <w:lang w:val="en-US"/>
        </w:rPr>
        <w:t>3) agreements on state external loans of the Republic of Kazakhstan, non-state external loans with state guarantees of the Republic of Kazakhstan.</w:t>
      </w:r>
    </w:p>
    <w:p w14:paraId="673D1708" w14:textId="77777777" w:rsidR="00464BCB" w:rsidRPr="007D46FA" w:rsidRDefault="00464BCB" w:rsidP="00464BCB">
      <w:pPr>
        <w:pStyle w:val="a6"/>
        <w:ind w:firstLine="425"/>
        <w:jc w:val="both"/>
        <w:rPr>
          <w:rFonts w:ascii="Times New Roman" w:hAnsi="Times New Roman" w:cs="Times New Roman"/>
          <w:lang w:val="en-US"/>
        </w:rPr>
      </w:pPr>
    </w:p>
    <w:p w14:paraId="492B3A3B" w14:textId="77777777" w:rsidR="00DB1A64" w:rsidRPr="004D0BCB" w:rsidRDefault="00DB1A64" w:rsidP="00DB1A64">
      <w:pPr>
        <w:pStyle w:val="a6"/>
        <w:ind w:firstLine="425"/>
        <w:jc w:val="both"/>
        <w:rPr>
          <w:rFonts w:ascii="Times New Roman" w:hAnsi="Times New Roman" w:cs="Times New Roman"/>
          <w:lang w:val="ru-KZ"/>
        </w:rPr>
      </w:pPr>
      <w:r w:rsidRPr="004D0BCB">
        <w:rPr>
          <w:rFonts w:ascii="Times New Roman" w:hAnsi="Times New Roman" w:cs="Times New Roman"/>
          <w:lang w:val="ru-KZ"/>
        </w:rPr>
        <w:t xml:space="preserve">Foreign exchange agreements are not subject to assignment of a registration number if they involve the following </w:t>
      </w:r>
      <w:r w:rsidRPr="007D46FA">
        <w:rPr>
          <w:rFonts w:ascii="Times New Roman" w:hAnsi="Times New Roman" w:cs="Times New Roman"/>
          <w:lang w:val="en-US"/>
        </w:rPr>
        <w:t>capital flow transactions</w:t>
      </w:r>
      <w:r w:rsidRPr="004D0BCB">
        <w:rPr>
          <w:rFonts w:ascii="Times New Roman" w:hAnsi="Times New Roman" w:cs="Times New Roman"/>
          <w:lang w:val="ru-KZ"/>
        </w:rPr>
        <w:t xml:space="preserve"> and operations equivalent to them:</w:t>
      </w:r>
    </w:p>
    <w:p w14:paraId="60DDD73B" w14:textId="77777777" w:rsidR="00DB1A64" w:rsidRPr="004D0BCB" w:rsidRDefault="00DB1A64" w:rsidP="00DB1A64">
      <w:pPr>
        <w:pStyle w:val="a6"/>
        <w:ind w:firstLine="425"/>
        <w:jc w:val="both"/>
        <w:rPr>
          <w:rFonts w:ascii="Times New Roman" w:hAnsi="Times New Roman" w:cs="Times New Roman"/>
          <w:lang w:val="ru-KZ"/>
        </w:rPr>
      </w:pPr>
      <w:r w:rsidRPr="004D0BCB">
        <w:rPr>
          <w:rFonts w:ascii="Times New Roman" w:hAnsi="Times New Roman" w:cs="Times New Roman"/>
          <w:lang w:val="ru-KZ"/>
        </w:rPr>
        <w:t>1) conducted by diplomatic missions of the Republic of Kazakhstan, branches (representative offices) of foreign organizations operating in the territory of the Republic of Kazakhstan;</w:t>
      </w:r>
    </w:p>
    <w:p w14:paraId="3996CAC6" w14:textId="77777777" w:rsidR="00DB1A64" w:rsidRPr="004D0BCB" w:rsidRDefault="00DB1A64" w:rsidP="00DB1A64">
      <w:pPr>
        <w:pStyle w:val="a6"/>
        <w:ind w:firstLine="425"/>
        <w:jc w:val="both"/>
        <w:rPr>
          <w:rFonts w:ascii="Times New Roman" w:hAnsi="Times New Roman" w:cs="Times New Roman"/>
          <w:lang w:val="ru-KZ"/>
        </w:rPr>
      </w:pPr>
      <w:r w:rsidRPr="004D0BCB">
        <w:rPr>
          <w:rFonts w:ascii="Times New Roman" w:hAnsi="Times New Roman" w:cs="Times New Roman"/>
          <w:lang w:val="ru-KZ"/>
        </w:rPr>
        <w:t xml:space="preserve">2) own capital </w:t>
      </w:r>
      <w:r>
        <w:rPr>
          <w:rFonts w:ascii="Times New Roman" w:hAnsi="Times New Roman" w:cs="Times New Roman"/>
          <w:lang w:val="ru-KZ"/>
        </w:rPr>
        <w:t>flow</w:t>
      </w:r>
      <w:r w:rsidRPr="004D0BCB">
        <w:rPr>
          <w:rFonts w:ascii="Times New Roman" w:hAnsi="Times New Roman" w:cs="Times New Roman"/>
          <w:lang w:val="ru-KZ"/>
        </w:rPr>
        <w:t xml:space="preserve"> operations of banks, insurance (reinsurance) organizations, brokers and (or) dealers, management companies, branches of non-resident banks of the Republic of Kazakhstan, and branches of non-resident insurance (reinsurance) organizations of the Republic of Kazakhstan operating in the territory of the Republic of Kazakhstan;</w:t>
      </w:r>
    </w:p>
    <w:p w14:paraId="68EDEDB0" w14:textId="77777777" w:rsidR="00DB1A64" w:rsidRPr="004D0BCB" w:rsidRDefault="00DB1A64" w:rsidP="00DB1A64">
      <w:pPr>
        <w:pStyle w:val="a6"/>
        <w:ind w:firstLine="425"/>
        <w:jc w:val="both"/>
        <w:rPr>
          <w:rFonts w:ascii="Times New Roman" w:hAnsi="Times New Roman" w:cs="Times New Roman"/>
          <w:lang w:val="ru-KZ"/>
        </w:rPr>
      </w:pPr>
      <w:r w:rsidRPr="004D0BCB">
        <w:rPr>
          <w:rFonts w:ascii="Times New Roman" w:hAnsi="Times New Roman" w:cs="Times New Roman"/>
          <w:lang w:val="ru-KZ"/>
        </w:rPr>
        <w:t>3) operations related to the investment of own and (or) pension assets of the Unified Accumulation Pension Fund and voluntary accumulation pension funds;</w:t>
      </w:r>
    </w:p>
    <w:p w14:paraId="0AC45806" w14:textId="77777777" w:rsidR="00DB1A64" w:rsidRPr="004D0BCB" w:rsidRDefault="00DB1A64" w:rsidP="00DB1A64">
      <w:pPr>
        <w:pStyle w:val="a6"/>
        <w:ind w:firstLine="425"/>
        <w:jc w:val="both"/>
        <w:rPr>
          <w:rFonts w:ascii="Times New Roman" w:hAnsi="Times New Roman" w:cs="Times New Roman"/>
          <w:lang w:val="ru-KZ"/>
        </w:rPr>
      </w:pPr>
      <w:r w:rsidRPr="004D0BCB">
        <w:rPr>
          <w:rFonts w:ascii="Times New Roman" w:hAnsi="Times New Roman" w:cs="Times New Roman"/>
          <w:lang w:val="ru-KZ"/>
        </w:rPr>
        <w:t>4) placement, redemption, acquisition, sale:</w:t>
      </w:r>
    </w:p>
    <w:p w14:paraId="2971A4EA" w14:textId="77777777" w:rsidR="00DB1A64" w:rsidRPr="004D0BCB" w:rsidRDefault="00DB1A64" w:rsidP="00DB1A64">
      <w:pPr>
        <w:pStyle w:val="a6"/>
        <w:numPr>
          <w:ilvl w:val="0"/>
          <w:numId w:val="9"/>
        </w:numPr>
        <w:jc w:val="both"/>
        <w:rPr>
          <w:rFonts w:ascii="Times New Roman" w:hAnsi="Times New Roman" w:cs="Times New Roman"/>
          <w:lang w:val="ru-KZ"/>
        </w:rPr>
      </w:pPr>
      <w:r w:rsidRPr="004D0BCB">
        <w:rPr>
          <w:rFonts w:ascii="Times New Roman" w:hAnsi="Times New Roman" w:cs="Times New Roman"/>
          <w:lang w:val="ru-KZ"/>
        </w:rPr>
        <w:t>of government securities of the Republic of Kazakhstan;</w:t>
      </w:r>
    </w:p>
    <w:p w14:paraId="07D06A78" w14:textId="77777777" w:rsidR="00DB1A64" w:rsidRPr="004D0BCB" w:rsidRDefault="00DB1A64" w:rsidP="00DB1A64">
      <w:pPr>
        <w:pStyle w:val="a6"/>
        <w:numPr>
          <w:ilvl w:val="0"/>
          <w:numId w:val="9"/>
        </w:numPr>
        <w:jc w:val="both"/>
        <w:rPr>
          <w:rFonts w:ascii="Times New Roman" w:hAnsi="Times New Roman" w:cs="Times New Roman"/>
          <w:lang w:val="ru-KZ"/>
        </w:rPr>
      </w:pPr>
      <w:r w:rsidRPr="004D0BCB">
        <w:rPr>
          <w:rFonts w:ascii="Times New Roman" w:hAnsi="Times New Roman" w:cs="Times New Roman"/>
          <w:lang w:val="ru-KZ"/>
        </w:rPr>
        <w:t>of securities of a resident issuer, issued in accordance with the legislation of another state and on its territory (including depository receipts, the underlying asset of which are securities of a resident issuer);</w:t>
      </w:r>
    </w:p>
    <w:p w14:paraId="61913FAE" w14:textId="77777777" w:rsidR="00DB1A64" w:rsidRPr="004D0BCB" w:rsidRDefault="00DB1A64" w:rsidP="00DB1A64">
      <w:pPr>
        <w:pStyle w:val="a6"/>
        <w:numPr>
          <w:ilvl w:val="0"/>
          <w:numId w:val="9"/>
        </w:numPr>
        <w:jc w:val="both"/>
        <w:rPr>
          <w:rFonts w:ascii="Times New Roman" w:hAnsi="Times New Roman" w:cs="Times New Roman"/>
          <w:lang w:val="ru-KZ"/>
        </w:rPr>
      </w:pPr>
      <w:r w:rsidRPr="004D0BCB">
        <w:rPr>
          <w:rFonts w:ascii="Times New Roman" w:hAnsi="Times New Roman" w:cs="Times New Roman"/>
          <w:lang w:val="ru-KZ"/>
        </w:rPr>
        <w:t>of securities of a non-resident issuer, issued in accordance with the legislation of the Republic of Kazakhstan (including Kazakhstan depository receipts);</w:t>
      </w:r>
    </w:p>
    <w:p w14:paraId="1C44D7FF" w14:textId="77777777" w:rsidR="00DB1A64" w:rsidRPr="004D0BCB" w:rsidRDefault="00DB1A64" w:rsidP="00DB1A64">
      <w:pPr>
        <w:pStyle w:val="a6"/>
        <w:ind w:firstLine="425"/>
        <w:jc w:val="both"/>
        <w:rPr>
          <w:rFonts w:ascii="Times New Roman" w:hAnsi="Times New Roman" w:cs="Times New Roman"/>
          <w:lang w:val="ru-KZ"/>
        </w:rPr>
      </w:pPr>
      <w:r w:rsidRPr="004D0BCB">
        <w:rPr>
          <w:rFonts w:ascii="Times New Roman" w:hAnsi="Times New Roman" w:cs="Times New Roman"/>
          <w:lang w:val="ru-KZ"/>
        </w:rPr>
        <w:t>5) acquisition on the secondary market:</w:t>
      </w:r>
    </w:p>
    <w:p w14:paraId="181F06B0" w14:textId="77777777" w:rsidR="00DB1A64" w:rsidRPr="004D0BCB" w:rsidRDefault="00DB1A64" w:rsidP="00DB1A64">
      <w:pPr>
        <w:pStyle w:val="a6"/>
        <w:numPr>
          <w:ilvl w:val="0"/>
          <w:numId w:val="10"/>
        </w:numPr>
        <w:jc w:val="both"/>
        <w:rPr>
          <w:rFonts w:ascii="Times New Roman" w:hAnsi="Times New Roman" w:cs="Times New Roman"/>
          <w:lang w:val="ru-KZ"/>
        </w:rPr>
      </w:pPr>
      <w:r w:rsidRPr="004D0BCB">
        <w:rPr>
          <w:rFonts w:ascii="Times New Roman" w:hAnsi="Times New Roman" w:cs="Times New Roman"/>
          <w:lang w:val="ru-KZ"/>
        </w:rPr>
        <w:t>by a resident from a non-resident of debt securities of a resident issuer, issued in accordance with the legislation of the Republic of Kazakhstan;</w:t>
      </w:r>
    </w:p>
    <w:p w14:paraId="7950587D" w14:textId="77777777" w:rsidR="00DB1A64" w:rsidRPr="004D0BCB" w:rsidRDefault="00DB1A64" w:rsidP="00DB1A64">
      <w:pPr>
        <w:pStyle w:val="a6"/>
        <w:numPr>
          <w:ilvl w:val="0"/>
          <w:numId w:val="10"/>
        </w:numPr>
        <w:jc w:val="both"/>
        <w:rPr>
          <w:rFonts w:ascii="Times New Roman" w:hAnsi="Times New Roman" w:cs="Times New Roman"/>
          <w:lang w:val="ru-KZ"/>
        </w:rPr>
      </w:pPr>
      <w:r w:rsidRPr="004D0BCB">
        <w:rPr>
          <w:rFonts w:ascii="Times New Roman" w:hAnsi="Times New Roman" w:cs="Times New Roman"/>
          <w:lang w:val="ru-KZ"/>
        </w:rPr>
        <w:t>by a non-resident from a resident of debt securities of a non-resident issuer, issued in accordance with the legislation of another state and on its territory;</w:t>
      </w:r>
    </w:p>
    <w:p w14:paraId="1A5FA95A" w14:textId="77777777" w:rsidR="00DB1A64" w:rsidRPr="004D0BCB" w:rsidRDefault="00DB1A64" w:rsidP="00DB1A64">
      <w:pPr>
        <w:pStyle w:val="a6"/>
        <w:ind w:firstLine="425"/>
        <w:jc w:val="both"/>
        <w:rPr>
          <w:rFonts w:ascii="Times New Roman" w:hAnsi="Times New Roman" w:cs="Times New Roman"/>
          <w:lang w:val="ru-KZ"/>
        </w:rPr>
      </w:pPr>
      <w:r w:rsidRPr="004D0BCB">
        <w:rPr>
          <w:rFonts w:ascii="Times New Roman" w:hAnsi="Times New Roman" w:cs="Times New Roman"/>
          <w:lang w:val="ru-KZ"/>
        </w:rPr>
        <w:t>6) transactions of residents, carried out on the basis of a brokerage services agreement concluded with a resident broker, or on the basis of an investment portfolio management agreement concluded with a resident investment portfolio manager;</w:t>
      </w:r>
    </w:p>
    <w:p w14:paraId="62F09193" w14:textId="77777777" w:rsidR="00DB1A64" w:rsidRPr="004D0BCB" w:rsidRDefault="00DB1A64" w:rsidP="00DB1A64">
      <w:pPr>
        <w:pStyle w:val="a6"/>
        <w:ind w:firstLine="425"/>
        <w:jc w:val="both"/>
        <w:rPr>
          <w:rFonts w:ascii="Times New Roman" w:hAnsi="Times New Roman" w:cs="Times New Roman"/>
          <w:lang w:val="ru-KZ"/>
        </w:rPr>
      </w:pPr>
      <w:r w:rsidRPr="004D0BCB">
        <w:rPr>
          <w:rFonts w:ascii="Times New Roman" w:hAnsi="Times New Roman" w:cs="Times New Roman"/>
          <w:lang w:val="ru-KZ"/>
        </w:rPr>
        <w:t>7) acquisition of an exclusive right to the result of intellectual creative activity;</w:t>
      </w:r>
    </w:p>
    <w:p w14:paraId="420D90DD" w14:textId="77777777" w:rsidR="00DB1A64" w:rsidRPr="004D0BCB" w:rsidRDefault="00DB1A64" w:rsidP="00DB1A64">
      <w:pPr>
        <w:pStyle w:val="a6"/>
        <w:ind w:firstLine="425"/>
        <w:jc w:val="both"/>
        <w:rPr>
          <w:rFonts w:ascii="Times New Roman" w:hAnsi="Times New Roman" w:cs="Times New Roman"/>
          <w:lang w:val="ru-KZ"/>
        </w:rPr>
      </w:pPr>
      <w:r w:rsidRPr="004D0BCB">
        <w:rPr>
          <w:rFonts w:ascii="Times New Roman" w:hAnsi="Times New Roman" w:cs="Times New Roman"/>
          <w:lang w:val="ru-KZ"/>
        </w:rPr>
        <w:t>8) transactions of resident individuals:</w:t>
      </w:r>
    </w:p>
    <w:p w14:paraId="1D7B4DAC" w14:textId="77777777" w:rsidR="00DB1A64" w:rsidRPr="004D0BCB" w:rsidRDefault="00DB1A64" w:rsidP="00DB1A64">
      <w:pPr>
        <w:pStyle w:val="a6"/>
        <w:numPr>
          <w:ilvl w:val="0"/>
          <w:numId w:val="11"/>
        </w:numPr>
        <w:jc w:val="both"/>
        <w:rPr>
          <w:rFonts w:ascii="Times New Roman" w:hAnsi="Times New Roman" w:cs="Times New Roman"/>
          <w:lang w:val="ru-KZ"/>
        </w:rPr>
      </w:pPr>
      <w:r w:rsidRPr="004D0BCB">
        <w:rPr>
          <w:rFonts w:ascii="Times New Roman" w:hAnsi="Times New Roman" w:cs="Times New Roman"/>
          <w:lang w:val="ru-KZ"/>
        </w:rPr>
        <w:t>carried out on the basis of a brokerage services agreement concluded with a non-resident broker;</w:t>
      </w:r>
    </w:p>
    <w:p w14:paraId="1E5F7BBB" w14:textId="77777777" w:rsidR="00DB1A64" w:rsidRPr="004D0BCB" w:rsidRDefault="00DB1A64" w:rsidP="00DB1A64">
      <w:pPr>
        <w:pStyle w:val="a6"/>
        <w:numPr>
          <w:ilvl w:val="0"/>
          <w:numId w:val="11"/>
        </w:numPr>
        <w:jc w:val="both"/>
        <w:rPr>
          <w:rFonts w:ascii="Times New Roman" w:hAnsi="Times New Roman" w:cs="Times New Roman"/>
          <w:lang w:val="ru-KZ"/>
        </w:rPr>
      </w:pPr>
      <w:r w:rsidRPr="004D0BCB">
        <w:rPr>
          <w:rFonts w:ascii="Times New Roman" w:hAnsi="Times New Roman" w:cs="Times New Roman"/>
          <w:lang w:val="ru-KZ"/>
        </w:rPr>
        <w:t>carried out on the basis of an investment portfolio management agreement concluded with a non-resident investment portfolio manager;</w:t>
      </w:r>
    </w:p>
    <w:p w14:paraId="501A69E8" w14:textId="77777777" w:rsidR="00DB1A64" w:rsidRPr="004D0BCB" w:rsidRDefault="00DB1A64" w:rsidP="00DB1A64">
      <w:pPr>
        <w:pStyle w:val="a6"/>
        <w:numPr>
          <w:ilvl w:val="0"/>
          <w:numId w:val="11"/>
        </w:numPr>
        <w:jc w:val="both"/>
        <w:rPr>
          <w:rFonts w:ascii="Times New Roman" w:hAnsi="Times New Roman" w:cs="Times New Roman"/>
          <w:lang w:val="ru-KZ"/>
        </w:rPr>
      </w:pPr>
      <w:r w:rsidRPr="004D0BCB">
        <w:rPr>
          <w:rFonts w:ascii="Times New Roman" w:hAnsi="Times New Roman" w:cs="Times New Roman"/>
          <w:lang w:val="ru-KZ"/>
        </w:rPr>
        <w:t>related to the transfer of ownership of real estate;</w:t>
      </w:r>
    </w:p>
    <w:p w14:paraId="205DD33B" w14:textId="77777777" w:rsidR="00DB1A64" w:rsidRPr="004D0BCB" w:rsidRDefault="00DB1A64" w:rsidP="00DB1A64">
      <w:pPr>
        <w:pStyle w:val="a6"/>
        <w:numPr>
          <w:ilvl w:val="0"/>
          <w:numId w:val="11"/>
        </w:numPr>
        <w:jc w:val="both"/>
        <w:rPr>
          <w:rFonts w:ascii="Times New Roman" w:hAnsi="Times New Roman" w:cs="Times New Roman"/>
          <w:lang w:val="ru-KZ"/>
        </w:rPr>
      </w:pPr>
      <w:r w:rsidRPr="004D0BCB">
        <w:rPr>
          <w:rFonts w:ascii="Times New Roman" w:hAnsi="Times New Roman" w:cs="Times New Roman"/>
          <w:lang w:val="ru-KZ"/>
        </w:rPr>
        <w:t>related to the gratuitous transfer of money and other currency valuables, real estate;</w:t>
      </w:r>
    </w:p>
    <w:p w14:paraId="4A7D5221" w14:textId="77777777" w:rsidR="00DB1A64" w:rsidRPr="004D0BCB" w:rsidRDefault="00DB1A64" w:rsidP="00DB1A64">
      <w:pPr>
        <w:pStyle w:val="a6"/>
        <w:ind w:firstLine="425"/>
        <w:jc w:val="both"/>
        <w:rPr>
          <w:rFonts w:ascii="Times New Roman" w:hAnsi="Times New Roman" w:cs="Times New Roman"/>
          <w:lang w:val="ru-KZ"/>
        </w:rPr>
      </w:pPr>
      <w:r w:rsidRPr="004D0BCB">
        <w:rPr>
          <w:rFonts w:ascii="Times New Roman" w:hAnsi="Times New Roman" w:cs="Times New Roman"/>
          <w:lang w:val="ru-KZ"/>
        </w:rPr>
        <w:t>9) transactions of residents within the framework of stock option programs of non-resident issuers for employees of resident legal entities;</w:t>
      </w:r>
    </w:p>
    <w:p w14:paraId="44C491B5" w14:textId="77777777" w:rsidR="00DB1A64" w:rsidRPr="004D0BCB" w:rsidRDefault="00DB1A64" w:rsidP="00DB1A64">
      <w:pPr>
        <w:pStyle w:val="a6"/>
        <w:ind w:firstLine="425"/>
        <w:jc w:val="both"/>
        <w:rPr>
          <w:rFonts w:ascii="Times New Roman" w:hAnsi="Times New Roman" w:cs="Times New Roman"/>
          <w:lang w:val="ru-KZ"/>
        </w:rPr>
      </w:pPr>
      <w:r w:rsidRPr="004D0BCB">
        <w:rPr>
          <w:rFonts w:ascii="Times New Roman" w:hAnsi="Times New Roman" w:cs="Times New Roman"/>
          <w:lang w:val="ru-KZ"/>
        </w:rPr>
        <w:t>10) transactions involving the assignment of claims, transfer of debt, cession, if the basis for such claim or obligation is a foreign exchange contract for export or import.</w:t>
      </w:r>
    </w:p>
    <w:p w14:paraId="61C1D48E" w14:textId="77777777" w:rsidR="00464BCB" w:rsidRPr="00DB1A64" w:rsidRDefault="00464BCB" w:rsidP="00464BCB">
      <w:pPr>
        <w:pStyle w:val="a6"/>
        <w:ind w:firstLine="425"/>
        <w:jc w:val="both"/>
        <w:rPr>
          <w:rFonts w:ascii="Times New Roman" w:hAnsi="Times New Roman" w:cs="Times New Roman"/>
          <w:lang w:val="ru-KZ"/>
        </w:rPr>
      </w:pPr>
    </w:p>
    <w:p w14:paraId="64042533" w14:textId="01C312D1" w:rsidR="00464BCB" w:rsidRPr="007D46FA" w:rsidRDefault="00464BCB" w:rsidP="00464BCB">
      <w:pPr>
        <w:pStyle w:val="a6"/>
        <w:ind w:firstLine="425"/>
        <w:jc w:val="both"/>
        <w:rPr>
          <w:rFonts w:ascii="Times New Roman" w:hAnsi="Times New Roman" w:cs="Times New Roman"/>
          <w:lang w:val="en-US"/>
        </w:rPr>
      </w:pPr>
      <w:r w:rsidRPr="007D46FA">
        <w:rPr>
          <w:rFonts w:ascii="Times New Roman" w:hAnsi="Times New Roman" w:cs="Times New Roman"/>
          <w:lang w:val="en-US"/>
        </w:rPr>
        <w:t>A</w:t>
      </w:r>
      <w:r w:rsidR="00DB1A64">
        <w:rPr>
          <w:rFonts w:ascii="Times New Roman" w:hAnsi="Times New Roman" w:cs="Times New Roman"/>
          <w:lang w:val="en-US"/>
        </w:rPr>
        <w:t xml:space="preserve"> </w:t>
      </w:r>
      <w:r w:rsidR="00DB1A64" w:rsidRPr="004D0BCB">
        <w:rPr>
          <w:rFonts w:ascii="Times New Roman" w:hAnsi="Times New Roman" w:cs="Times New Roman"/>
          <w:lang w:val="ru-KZ"/>
        </w:rPr>
        <w:t xml:space="preserve">registration </w:t>
      </w:r>
      <w:r w:rsidRPr="007D46FA">
        <w:rPr>
          <w:rFonts w:ascii="Times New Roman" w:hAnsi="Times New Roman" w:cs="Times New Roman"/>
          <w:lang w:val="en-US"/>
        </w:rPr>
        <w:t>number shall not be assigned to:</w:t>
      </w:r>
    </w:p>
    <w:p w14:paraId="0E13F8A9" w14:textId="77777777" w:rsidR="00464BCB" w:rsidRPr="007D46FA" w:rsidRDefault="00464BCB" w:rsidP="00464BCB">
      <w:pPr>
        <w:pStyle w:val="a6"/>
        <w:ind w:firstLine="425"/>
        <w:jc w:val="both"/>
        <w:rPr>
          <w:rFonts w:ascii="Times New Roman" w:hAnsi="Times New Roman" w:cs="Times New Roman"/>
          <w:lang w:val="en-US"/>
        </w:rPr>
      </w:pPr>
      <w:r w:rsidRPr="007D46FA">
        <w:rPr>
          <w:rFonts w:ascii="Times New Roman" w:hAnsi="Times New Roman" w:cs="Times New Roman"/>
          <w:lang w:val="en-US"/>
        </w:rPr>
        <w:t>1) an agreement for gratuitous transfer by a resident to a non-resident (non-resident to a resident) of money or other currency values or the right of ownership of real estate abroad, if as a result of such transfer the fulfillment or termination of obligations or alienation of the right of ownership of currency values, real estate abroad under a currency agreement on capital flow for which the resident previously received an account number;</w:t>
      </w:r>
    </w:p>
    <w:p w14:paraId="2F372AC9" w14:textId="77777777" w:rsidR="00464BCB" w:rsidRPr="007D46FA" w:rsidRDefault="00464BCB" w:rsidP="00464BCB">
      <w:pPr>
        <w:pStyle w:val="a6"/>
        <w:ind w:firstLine="425"/>
        <w:jc w:val="both"/>
        <w:rPr>
          <w:rFonts w:ascii="Times New Roman" w:hAnsi="Times New Roman" w:cs="Times New Roman"/>
          <w:lang w:val="en-US"/>
        </w:rPr>
      </w:pPr>
      <w:r w:rsidRPr="007D46FA">
        <w:rPr>
          <w:rFonts w:ascii="Times New Roman" w:hAnsi="Times New Roman" w:cs="Times New Roman"/>
          <w:lang w:val="en-US"/>
        </w:rPr>
        <w:t>2) an agreement for the sale by a resident to a non-resident of shares, equity interests in the capital of a non-resident investment object, real estate abroad, if the resident has previously received a registration number for a currency agreement on the capital flow for the resident's participation in the capital (acquisition by a resident of shares, equity interests) of a non-resident investment object, for the acquisition of real estate abroad in ownership;</w:t>
      </w:r>
    </w:p>
    <w:p w14:paraId="72712E1E" w14:textId="77777777" w:rsidR="00464BCB" w:rsidRPr="007D46FA" w:rsidRDefault="00464BCB" w:rsidP="00464BCB">
      <w:pPr>
        <w:pStyle w:val="a6"/>
        <w:ind w:firstLine="425"/>
        <w:jc w:val="both"/>
        <w:rPr>
          <w:rFonts w:ascii="Times New Roman" w:hAnsi="Times New Roman" w:cs="Times New Roman"/>
          <w:lang w:val="en-US"/>
        </w:rPr>
      </w:pPr>
      <w:r w:rsidRPr="007D46FA">
        <w:rPr>
          <w:rFonts w:ascii="Times New Roman" w:hAnsi="Times New Roman" w:cs="Times New Roman"/>
          <w:lang w:val="en-US"/>
        </w:rPr>
        <w:t>3) an agreement for the repurchase by a resident investment object from a non-resident of its own shares, interests in the capital, if the resident has previously received an accounting number for a currency agreement on the capital flow on the non-resident’s participation in the capital of a resident investment object;</w:t>
      </w:r>
    </w:p>
    <w:p w14:paraId="7B033193" w14:textId="77777777" w:rsidR="00464BCB" w:rsidRPr="007D46FA" w:rsidRDefault="00464BCB" w:rsidP="00464BCB">
      <w:pPr>
        <w:pStyle w:val="a6"/>
        <w:ind w:firstLine="425"/>
        <w:jc w:val="both"/>
        <w:rPr>
          <w:rFonts w:ascii="Times New Roman" w:hAnsi="Times New Roman" w:cs="Times New Roman"/>
          <w:lang w:val="en-US"/>
        </w:rPr>
      </w:pPr>
      <w:r w:rsidRPr="007D46FA">
        <w:rPr>
          <w:rFonts w:ascii="Times New Roman" w:hAnsi="Times New Roman" w:cs="Times New Roman"/>
          <w:lang w:val="en-US"/>
        </w:rPr>
        <w:t>4) advances for participation in trading on collateral – securities, equity instruments, real estate.</w:t>
      </w:r>
    </w:p>
    <w:p w14:paraId="2B05FF81" w14:textId="77777777" w:rsidR="00464BCB" w:rsidRPr="007D46FA" w:rsidRDefault="00464BCB" w:rsidP="00464BCB">
      <w:pPr>
        <w:pStyle w:val="a6"/>
        <w:ind w:firstLine="425"/>
        <w:jc w:val="both"/>
        <w:rPr>
          <w:rFonts w:ascii="Times New Roman" w:hAnsi="Times New Roman" w:cs="Times New Roman"/>
          <w:lang w:val="en-US"/>
        </w:rPr>
      </w:pPr>
    </w:p>
  </w:endnote>
  <w:endnote w:id="3">
    <w:p w14:paraId="0A121EA5" w14:textId="73EAD063" w:rsidR="00D339B5" w:rsidRPr="001300FD" w:rsidRDefault="00D339B5" w:rsidP="008E2FB5">
      <w:pPr>
        <w:pStyle w:val="a6"/>
        <w:ind w:firstLine="425"/>
        <w:jc w:val="both"/>
        <w:rPr>
          <w:rFonts w:ascii="Times New Roman" w:hAnsi="Times New Roman" w:cs="Times New Roman"/>
          <w:lang w:val="en-US"/>
        </w:rPr>
      </w:pPr>
      <w:r w:rsidRPr="008379BF">
        <w:rPr>
          <w:rStyle w:val="a8"/>
          <w:rFonts w:ascii="Times New Roman" w:hAnsi="Times New Roman" w:cs="Times New Roman"/>
        </w:rPr>
        <w:endnoteRef/>
      </w:r>
      <w:r w:rsidRPr="001300FD">
        <w:rPr>
          <w:rFonts w:ascii="Times New Roman" w:hAnsi="Times New Roman" w:cs="Times New Roman"/>
          <w:lang w:val="en-US"/>
        </w:rPr>
        <w:t>For foreign exchange transactions amounting to 50,000 US dollars or more in equivalent. From January 1, 2025, the threshold for foreign exchange transactions of individuals is reduced from 50,000 US dollars to 10,000 US dollars.</w:t>
      </w:r>
    </w:p>
    <w:p w14:paraId="742E61F3" w14:textId="77777777" w:rsidR="00D339B5" w:rsidRPr="001300FD" w:rsidRDefault="00D339B5" w:rsidP="008E2FB5">
      <w:pPr>
        <w:pStyle w:val="a6"/>
        <w:ind w:firstLine="425"/>
        <w:jc w:val="both"/>
        <w:rPr>
          <w:rFonts w:ascii="Times New Roman" w:hAnsi="Times New Roman" w:cs="Times New Roman"/>
          <w:lang w:val="en-US"/>
        </w:rPr>
      </w:pPr>
    </w:p>
  </w:endnote>
  <w:endnote w:id="4">
    <w:p w14:paraId="71985F92" w14:textId="77777777" w:rsidR="00D06DA2" w:rsidRPr="001300FD" w:rsidRDefault="00D06DA2" w:rsidP="00D06DA2">
      <w:pPr>
        <w:pStyle w:val="a6"/>
        <w:ind w:firstLine="425"/>
        <w:jc w:val="both"/>
        <w:rPr>
          <w:rFonts w:ascii="Times New Roman" w:hAnsi="Times New Roman" w:cs="Times New Roman"/>
          <w:lang w:val="en-US"/>
        </w:rPr>
      </w:pPr>
      <w:r w:rsidRPr="004D0BCB">
        <w:rPr>
          <w:rStyle w:val="a8"/>
          <w:rFonts w:ascii="Times New Roman" w:hAnsi="Times New Roman" w:cs="Times New Roman"/>
        </w:rPr>
        <w:endnoteRef/>
      </w:r>
      <w:r w:rsidRPr="001300FD">
        <w:rPr>
          <w:rFonts w:ascii="Times New Roman" w:hAnsi="Times New Roman" w:cs="Times New Roman"/>
          <w:lang w:val="en-US"/>
        </w:rPr>
        <w:t>Transactions related to a derivative financial instrument, which is acquired for the purpose of using or realizing the underlying asset and cannot be transferred (sold) independently of the underlying asset, are considered as foreign exchange transactions with the underlying asset.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800CA" w14:textId="77777777" w:rsidR="00813834" w:rsidRDefault="00813834" w:rsidP="0019275D">
      <w:pPr>
        <w:spacing w:after="0" w:line="240" w:lineRule="auto"/>
      </w:pPr>
      <w:r>
        <w:separator/>
      </w:r>
    </w:p>
  </w:footnote>
  <w:footnote w:type="continuationSeparator" w:id="0">
    <w:p w14:paraId="360B8278" w14:textId="77777777" w:rsidR="00813834" w:rsidRDefault="00813834" w:rsidP="001927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40664"/>
    <w:multiLevelType w:val="hybridMultilevel"/>
    <w:tmpl w:val="AADE864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15:restartNumberingAfterBreak="0">
    <w:nsid w:val="2E0B2729"/>
    <w:multiLevelType w:val="hybridMultilevel"/>
    <w:tmpl w:val="B04CCDE8"/>
    <w:lvl w:ilvl="0" w:tplc="303CC95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08E05A4"/>
    <w:multiLevelType w:val="hybridMultilevel"/>
    <w:tmpl w:val="1C8A3AC4"/>
    <w:lvl w:ilvl="0" w:tplc="BE94A47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36C13727"/>
    <w:multiLevelType w:val="hybridMultilevel"/>
    <w:tmpl w:val="1EFAA898"/>
    <w:lvl w:ilvl="0" w:tplc="04090001">
      <w:start w:val="1"/>
      <w:numFmt w:val="bullet"/>
      <w:lvlText w:val=""/>
      <w:lvlJc w:val="left"/>
      <w:pPr>
        <w:ind w:left="1145" w:hanging="360"/>
      </w:pPr>
      <w:rPr>
        <w:rFonts w:ascii="Symbol" w:hAnsi="Symbol" w:hint="default"/>
      </w:rPr>
    </w:lvl>
    <w:lvl w:ilvl="1" w:tplc="20000003" w:tentative="1">
      <w:start w:val="1"/>
      <w:numFmt w:val="bullet"/>
      <w:lvlText w:val="o"/>
      <w:lvlJc w:val="left"/>
      <w:pPr>
        <w:ind w:left="1865" w:hanging="360"/>
      </w:pPr>
      <w:rPr>
        <w:rFonts w:ascii="Courier New" w:hAnsi="Courier New" w:cs="Courier New" w:hint="default"/>
      </w:rPr>
    </w:lvl>
    <w:lvl w:ilvl="2" w:tplc="20000005" w:tentative="1">
      <w:start w:val="1"/>
      <w:numFmt w:val="bullet"/>
      <w:lvlText w:val=""/>
      <w:lvlJc w:val="left"/>
      <w:pPr>
        <w:ind w:left="2585" w:hanging="360"/>
      </w:pPr>
      <w:rPr>
        <w:rFonts w:ascii="Wingdings" w:hAnsi="Wingdings" w:hint="default"/>
      </w:rPr>
    </w:lvl>
    <w:lvl w:ilvl="3" w:tplc="20000001" w:tentative="1">
      <w:start w:val="1"/>
      <w:numFmt w:val="bullet"/>
      <w:lvlText w:val=""/>
      <w:lvlJc w:val="left"/>
      <w:pPr>
        <w:ind w:left="3305" w:hanging="360"/>
      </w:pPr>
      <w:rPr>
        <w:rFonts w:ascii="Symbol" w:hAnsi="Symbol" w:hint="default"/>
      </w:rPr>
    </w:lvl>
    <w:lvl w:ilvl="4" w:tplc="20000003" w:tentative="1">
      <w:start w:val="1"/>
      <w:numFmt w:val="bullet"/>
      <w:lvlText w:val="o"/>
      <w:lvlJc w:val="left"/>
      <w:pPr>
        <w:ind w:left="4025" w:hanging="360"/>
      </w:pPr>
      <w:rPr>
        <w:rFonts w:ascii="Courier New" w:hAnsi="Courier New" w:cs="Courier New" w:hint="default"/>
      </w:rPr>
    </w:lvl>
    <w:lvl w:ilvl="5" w:tplc="20000005" w:tentative="1">
      <w:start w:val="1"/>
      <w:numFmt w:val="bullet"/>
      <w:lvlText w:val=""/>
      <w:lvlJc w:val="left"/>
      <w:pPr>
        <w:ind w:left="4745" w:hanging="360"/>
      </w:pPr>
      <w:rPr>
        <w:rFonts w:ascii="Wingdings" w:hAnsi="Wingdings" w:hint="default"/>
      </w:rPr>
    </w:lvl>
    <w:lvl w:ilvl="6" w:tplc="20000001" w:tentative="1">
      <w:start w:val="1"/>
      <w:numFmt w:val="bullet"/>
      <w:lvlText w:val=""/>
      <w:lvlJc w:val="left"/>
      <w:pPr>
        <w:ind w:left="5465" w:hanging="360"/>
      </w:pPr>
      <w:rPr>
        <w:rFonts w:ascii="Symbol" w:hAnsi="Symbol" w:hint="default"/>
      </w:rPr>
    </w:lvl>
    <w:lvl w:ilvl="7" w:tplc="20000003" w:tentative="1">
      <w:start w:val="1"/>
      <w:numFmt w:val="bullet"/>
      <w:lvlText w:val="o"/>
      <w:lvlJc w:val="left"/>
      <w:pPr>
        <w:ind w:left="6185" w:hanging="360"/>
      </w:pPr>
      <w:rPr>
        <w:rFonts w:ascii="Courier New" w:hAnsi="Courier New" w:cs="Courier New" w:hint="default"/>
      </w:rPr>
    </w:lvl>
    <w:lvl w:ilvl="8" w:tplc="20000005" w:tentative="1">
      <w:start w:val="1"/>
      <w:numFmt w:val="bullet"/>
      <w:lvlText w:val=""/>
      <w:lvlJc w:val="left"/>
      <w:pPr>
        <w:ind w:left="6905" w:hanging="360"/>
      </w:pPr>
      <w:rPr>
        <w:rFonts w:ascii="Wingdings" w:hAnsi="Wingdings" w:hint="default"/>
      </w:rPr>
    </w:lvl>
  </w:abstractNum>
  <w:abstractNum w:abstractNumId="4" w15:restartNumberingAfterBreak="0">
    <w:nsid w:val="3EFD3B65"/>
    <w:multiLevelType w:val="hybridMultilevel"/>
    <w:tmpl w:val="2B8AD9FC"/>
    <w:lvl w:ilvl="0" w:tplc="BE94A47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3FDA4C22"/>
    <w:multiLevelType w:val="hybridMultilevel"/>
    <w:tmpl w:val="09B24BC0"/>
    <w:lvl w:ilvl="0" w:tplc="43CC45B0">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6" w15:restartNumberingAfterBreak="0">
    <w:nsid w:val="43391D79"/>
    <w:multiLevelType w:val="hybridMultilevel"/>
    <w:tmpl w:val="AB7C4F58"/>
    <w:lvl w:ilvl="0" w:tplc="43CC45B0">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7" w15:restartNumberingAfterBreak="0">
    <w:nsid w:val="4F4C56AB"/>
    <w:multiLevelType w:val="hybridMultilevel"/>
    <w:tmpl w:val="F72A8C16"/>
    <w:lvl w:ilvl="0" w:tplc="10BAF900">
      <w:start w:val="1"/>
      <w:numFmt w:val="decimal"/>
      <w:lvlText w:val="%1)"/>
      <w:lvlJc w:val="left"/>
      <w:pPr>
        <w:ind w:left="1146" w:hanging="360"/>
      </w:pPr>
      <w:rPr>
        <w:rFonts w:hint="default"/>
      </w:rPr>
    </w:lvl>
    <w:lvl w:ilvl="1" w:tplc="04190019">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8" w15:restartNumberingAfterBreak="0">
    <w:nsid w:val="51464064"/>
    <w:multiLevelType w:val="hybridMultilevel"/>
    <w:tmpl w:val="F72A8C16"/>
    <w:lvl w:ilvl="0" w:tplc="10BAF900">
      <w:start w:val="1"/>
      <w:numFmt w:val="decimal"/>
      <w:lvlText w:val="%1)"/>
      <w:lvlJc w:val="left"/>
      <w:pPr>
        <w:ind w:left="1146" w:hanging="360"/>
      </w:pPr>
      <w:rPr>
        <w:rFonts w:hint="default"/>
      </w:rPr>
    </w:lvl>
    <w:lvl w:ilvl="1" w:tplc="04190019">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9" w15:restartNumberingAfterBreak="0">
    <w:nsid w:val="5FB31812"/>
    <w:multiLevelType w:val="hybridMultilevel"/>
    <w:tmpl w:val="2E082DDC"/>
    <w:lvl w:ilvl="0" w:tplc="43CC45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AD24E94"/>
    <w:multiLevelType w:val="hybridMultilevel"/>
    <w:tmpl w:val="B4D848EA"/>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1" w15:restartNumberingAfterBreak="0">
    <w:nsid w:val="6EE6473C"/>
    <w:multiLevelType w:val="hybridMultilevel"/>
    <w:tmpl w:val="182469D4"/>
    <w:lvl w:ilvl="0" w:tplc="04090001">
      <w:start w:val="1"/>
      <w:numFmt w:val="bullet"/>
      <w:lvlText w:val=""/>
      <w:lvlJc w:val="left"/>
      <w:pPr>
        <w:ind w:left="1145" w:hanging="360"/>
      </w:pPr>
      <w:rPr>
        <w:rFonts w:ascii="Symbol" w:hAnsi="Symbol" w:hint="default"/>
      </w:rPr>
    </w:lvl>
    <w:lvl w:ilvl="1" w:tplc="20000003" w:tentative="1">
      <w:start w:val="1"/>
      <w:numFmt w:val="bullet"/>
      <w:lvlText w:val="o"/>
      <w:lvlJc w:val="left"/>
      <w:pPr>
        <w:ind w:left="1865" w:hanging="360"/>
      </w:pPr>
      <w:rPr>
        <w:rFonts w:ascii="Courier New" w:hAnsi="Courier New" w:cs="Courier New" w:hint="default"/>
      </w:rPr>
    </w:lvl>
    <w:lvl w:ilvl="2" w:tplc="20000005" w:tentative="1">
      <w:start w:val="1"/>
      <w:numFmt w:val="bullet"/>
      <w:lvlText w:val=""/>
      <w:lvlJc w:val="left"/>
      <w:pPr>
        <w:ind w:left="2585" w:hanging="360"/>
      </w:pPr>
      <w:rPr>
        <w:rFonts w:ascii="Wingdings" w:hAnsi="Wingdings" w:hint="default"/>
      </w:rPr>
    </w:lvl>
    <w:lvl w:ilvl="3" w:tplc="20000001" w:tentative="1">
      <w:start w:val="1"/>
      <w:numFmt w:val="bullet"/>
      <w:lvlText w:val=""/>
      <w:lvlJc w:val="left"/>
      <w:pPr>
        <w:ind w:left="3305" w:hanging="360"/>
      </w:pPr>
      <w:rPr>
        <w:rFonts w:ascii="Symbol" w:hAnsi="Symbol" w:hint="default"/>
      </w:rPr>
    </w:lvl>
    <w:lvl w:ilvl="4" w:tplc="20000003" w:tentative="1">
      <w:start w:val="1"/>
      <w:numFmt w:val="bullet"/>
      <w:lvlText w:val="o"/>
      <w:lvlJc w:val="left"/>
      <w:pPr>
        <w:ind w:left="4025" w:hanging="360"/>
      </w:pPr>
      <w:rPr>
        <w:rFonts w:ascii="Courier New" w:hAnsi="Courier New" w:cs="Courier New" w:hint="default"/>
      </w:rPr>
    </w:lvl>
    <w:lvl w:ilvl="5" w:tplc="20000005" w:tentative="1">
      <w:start w:val="1"/>
      <w:numFmt w:val="bullet"/>
      <w:lvlText w:val=""/>
      <w:lvlJc w:val="left"/>
      <w:pPr>
        <w:ind w:left="4745" w:hanging="360"/>
      </w:pPr>
      <w:rPr>
        <w:rFonts w:ascii="Wingdings" w:hAnsi="Wingdings" w:hint="default"/>
      </w:rPr>
    </w:lvl>
    <w:lvl w:ilvl="6" w:tplc="20000001" w:tentative="1">
      <w:start w:val="1"/>
      <w:numFmt w:val="bullet"/>
      <w:lvlText w:val=""/>
      <w:lvlJc w:val="left"/>
      <w:pPr>
        <w:ind w:left="5465" w:hanging="360"/>
      </w:pPr>
      <w:rPr>
        <w:rFonts w:ascii="Symbol" w:hAnsi="Symbol" w:hint="default"/>
      </w:rPr>
    </w:lvl>
    <w:lvl w:ilvl="7" w:tplc="20000003" w:tentative="1">
      <w:start w:val="1"/>
      <w:numFmt w:val="bullet"/>
      <w:lvlText w:val="o"/>
      <w:lvlJc w:val="left"/>
      <w:pPr>
        <w:ind w:left="6185" w:hanging="360"/>
      </w:pPr>
      <w:rPr>
        <w:rFonts w:ascii="Courier New" w:hAnsi="Courier New" w:cs="Courier New" w:hint="default"/>
      </w:rPr>
    </w:lvl>
    <w:lvl w:ilvl="8" w:tplc="20000005" w:tentative="1">
      <w:start w:val="1"/>
      <w:numFmt w:val="bullet"/>
      <w:lvlText w:val=""/>
      <w:lvlJc w:val="left"/>
      <w:pPr>
        <w:ind w:left="6905" w:hanging="360"/>
      </w:pPr>
      <w:rPr>
        <w:rFonts w:ascii="Wingdings" w:hAnsi="Wingdings" w:hint="default"/>
      </w:rPr>
    </w:lvl>
  </w:abstractNum>
  <w:abstractNum w:abstractNumId="12" w15:restartNumberingAfterBreak="0">
    <w:nsid w:val="73705417"/>
    <w:multiLevelType w:val="hybridMultilevel"/>
    <w:tmpl w:val="6B82D0DE"/>
    <w:lvl w:ilvl="0" w:tplc="43CC45B0">
      <w:start w:val="1"/>
      <w:numFmt w:val="bullet"/>
      <w:lvlText w:val=""/>
      <w:lvlJc w:val="left"/>
      <w:pPr>
        <w:ind w:left="1145" w:hanging="360"/>
      </w:pPr>
      <w:rPr>
        <w:rFonts w:ascii="Symbol" w:hAnsi="Symbol" w:hint="default"/>
      </w:rPr>
    </w:lvl>
    <w:lvl w:ilvl="1" w:tplc="04190003" w:tentative="1">
      <w:start w:val="1"/>
      <w:numFmt w:val="bullet"/>
      <w:lvlText w:val="o"/>
      <w:lvlJc w:val="left"/>
      <w:pPr>
        <w:ind w:left="1865" w:hanging="360"/>
      </w:pPr>
      <w:rPr>
        <w:rFonts w:ascii="Courier New" w:hAnsi="Courier New" w:cs="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cs="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cs="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3" w15:restartNumberingAfterBreak="0">
    <w:nsid w:val="77122ED6"/>
    <w:multiLevelType w:val="hybridMultilevel"/>
    <w:tmpl w:val="12B06F4E"/>
    <w:lvl w:ilvl="0" w:tplc="04090001">
      <w:start w:val="1"/>
      <w:numFmt w:val="bullet"/>
      <w:lvlText w:val=""/>
      <w:lvlJc w:val="left"/>
      <w:pPr>
        <w:ind w:left="1145" w:hanging="360"/>
      </w:pPr>
      <w:rPr>
        <w:rFonts w:ascii="Symbol" w:hAnsi="Symbol" w:hint="default"/>
      </w:rPr>
    </w:lvl>
    <w:lvl w:ilvl="1" w:tplc="20000003" w:tentative="1">
      <w:start w:val="1"/>
      <w:numFmt w:val="bullet"/>
      <w:lvlText w:val="o"/>
      <w:lvlJc w:val="left"/>
      <w:pPr>
        <w:ind w:left="1865" w:hanging="360"/>
      </w:pPr>
      <w:rPr>
        <w:rFonts w:ascii="Courier New" w:hAnsi="Courier New" w:cs="Courier New" w:hint="default"/>
      </w:rPr>
    </w:lvl>
    <w:lvl w:ilvl="2" w:tplc="20000005" w:tentative="1">
      <w:start w:val="1"/>
      <w:numFmt w:val="bullet"/>
      <w:lvlText w:val=""/>
      <w:lvlJc w:val="left"/>
      <w:pPr>
        <w:ind w:left="2585" w:hanging="360"/>
      </w:pPr>
      <w:rPr>
        <w:rFonts w:ascii="Wingdings" w:hAnsi="Wingdings" w:hint="default"/>
      </w:rPr>
    </w:lvl>
    <w:lvl w:ilvl="3" w:tplc="20000001" w:tentative="1">
      <w:start w:val="1"/>
      <w:numFmt w:val="bullet"/>
      <w:lvlText w:val=""/>
      <w:lvlJc w:val="left"/>
      <w:pPr>
        <w:ind w:left="3305" w:hanging="360"/>
      </w:pPr>
      <w:rPr>
        <w:rFonts w:ascii="Symbol" w:hAnsi="Symbol" w:hint="default"/>
      </w:rPr>
    </w:lvl>
    <w:lvl w:ilvl="4" w:tplc="20000003" w:tentative="1">
      <w:start w:val="1"/>
      <w:numFmt w:val="bullet"/>
      <w:lvlText w:val="o"/>
      <w:lvlJc w:val="left"/>
      <w:pPr>
        <w:ind w:left="4025" w:hanging="360"/>
      </w:pPr>
      <w:rPr>
        <w:rFonts w:ascii="Courier New" w:hAnsi="Courier New" w:cs="Courier New" w:hint="default"/>
      </w:rPr>
    </w:lvl>
    <w:lvl w:ilvl="5" w:tplc="20000005" w:tentative="1">
      <w:start w:val="1"/>
      <w:numFmt w:val="bullet"/>
      <w:lvlText w:val=""/>
      <w:lvlJc w:val="left"/>
      <w:pPr>
        <w:ind w:left="4745" w:hanging="360"/>
      </w:pPr>
      <w:rPr>
        <w:rFonts w:ascii="Wingdings" w:hAnsi="Wingdings" w:hint="default"/>
      </w:rPr>
    </w:lvl>
    <w:lvl w:ilvl="6" w:tplc="20000001" w:tentative="1">
      <w:start w:val="1"/>
      <w:numFmt w:val="bullet"/>
      <w:lvlText w:val=""/>
      <w:lvlJc w:val="left"/>
      <w:pPr>
        <w:ind w:left="5465" w:hanging="360"/>
      </w:pPr>
      <w:rPr>
        <w:rFonts w:ascii="Symbol" w:hAnsi="Symbol" w:hint="default"/>
      </w:rPr>
    </w:lvl>
    <w:lvl w:ilvl="7" w:tplc="20000003" w:tentative="1">
      <w:start w:val="1"/>
      <w:numFmt w:val="bullet"/>
      <w:lvlText w:val="o"/>
      <w:lvlJc w:val="left"/>
      <w:pPr>
        <w:ind w:left="6185" w:hanging="360"/>
      </w:pPr>
      <w:rPr>
        <w:rFonts w:ascii="Courier New" w:hAnsi="Courier New" w:cs="Courier New" w:hint="default"/>
      </w:rPr>
    </w:lvl>
    <w:lvl w:ilvl="8" w:tplc="20000005" w:tentative="1">
      <w:start w:val="1"/>
      <w:numFmt w:val="bullet"/>
      <w:lvlText w:val=""/>
      <w:lvlJc w:val="left"/>
      <w:pPr>
        <w:ind w:left="6905" w:hanging="360"/>
      </w:pPr>
      <w:rPr>
        <w:rFonts w:ascii="Wingdings" w:hAnsi="Wingdings" w:hint="default"/>
      </w:rPr>
    </w:lvl>
  </w:abstractNum>
  <w:num w:numId="1" w16cid:durableId="1273897309">
    <w:abstractNumId w:val="10"/>
  </w:num>
  <w:num w:numId="2" w16cid:durableId="996345744">
    <w:abstractNumId w:val="8"/>
  </w:num>
  <w:num w:numId="3" w16cid:durableId="1899507833">
    <w:abstractNumId w:val="7"/>
  </w:num>
  <w:num w:numId="4" w16cid:durableId="65108315">
    <w:abstractNumId w:val="0"/>
  </w:num>
  <w:num w:numId="5" w16cid:durableId="1203249777">
    <w:abstractNumId w:val="4"/>
  </w:num>
  <w:num w:numId="6" w16cid:durableId="86195567">
    <w:abstractNumId w:val="2"/>
  </w:num>
  <w:num w:numId="7" w16cid:durableId="2045203589">
    <w:abstractNumId w:val="9"/>
  </w:num>
  <w:num w:numId="8" w16cid:durableId="1196191116">
    <w:abstractNumId w:val="1"/>
  </w:num>
  <w:num w:numId="9" w16cid:durableId="1568151615">
    <w:abstractNumId w:val="11"/>
  </w:num>
  <w:num w:numId="10" w16cid:durableId="1224679763">
    <w:abstractNumId w:val="3"/>
  </w:num>
  <w:num w:numId="11" w16cid:durableId="1616792370">
    <w:abstractNumId w:val="13"/>
  </w:num>
  <w:num w:numId="12" w16cid:durableId="1794253359">
    <w:abstractNumId w:val="12"/>
  </w:num>
  <w:num w:numId="13" w16cid:durableId="803229638">
    <w:abstractNumId w:val="5"/>
  </w:num>
  <w:num w:numId="14" w16cid:durableId="14677740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characterSpacingControl w:val="doNotCompress"/>
  <w:footnotePr>
    <w:pos w:val="beneathTex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50B"/>
    <w:rsid w:val="00024F1E"/>
    <w:rsid w:val="000326B4"/>
    <w:rsid w:val="00035590"/>
    <w:rsid w:val="00042CD2"/>
    <w:rsid w:val="00050D32"/>
    <w:rsid w:val="00074A0E"/>
    <w:rsid w:val="000841B1"/>
    <w:rsid w:val="000867FF"/>
    <w:rsid w:val="000B21D0"/>
    <w:rsid w:val="000B638C"/>
    <w:rsid w:val="000C1507"/>
    <w:rsid w:val="000C40E7"/>
    <w:rsid w:val="000F3C64"/>
    <w:rsid w:val="00101CA5"/>
    <w:rsid w:val="00115A85"/>
    <w:rsid w:val="00124550"/>
    <w:rsid w:val="001300FD"/>
    <w:rsid w:val="00133A3A"/>
    <w:rsid w:val="00147E9B"/>
    <w:rsid w:val="001547F3"/>
    <w:rsid w:val="00155BFA"/>
    <w:rsid w:val="00157EFC"/>
    <w:rsid w:val="00171DCF"/>
    <w:rsid w:val="00192314"/>
    <w:rsid w:val="0019275D"/>
    <w:rsid w:val="001977F2"/>
    <w:rsid w:val="001B3D47"/>
    <w:rsid w:val="001B4F20"/>
    <w:rsid w:val="001C103A"/>
    <w:rsid w:val="001D601F"/>
    <w:rsid w:val="001E5FFA"/>
    <w:rsid w:val="001E6B7F"/>
    <w:rsid w:val="001E750B"/>
    <w:rsid w:val="001F78A3"/>
    <w:rsid w:val="002032CC"/>
    <w:rsid w:val="002055FE"/>
    <w:rsid w:val="002311C3"/>
    <w:rsid w:val="00234F54"/>
    <w:rsid w:val="0024655F"/>
    <w:rsid w:val="002468F9"/>
    <w:rsid w:val="002719DB"/>
    <w:rsid w:val="00274929"/>
    <w:rsid w:val="002A1DE9"/>
    <w:rsid w:val="002B107A"/>
    <w:rsid w:val="002B75AE"/>
    <w:rsid w:val="002C05F8"/>
    <w:rsid w:val="002C5259"/>
    <w:rsid w:val="002C7E7E"/>
    <w:rsid w:val="002F0FF1"/>
    <w:rsid w:val="002F692A"/>
    <w:rsid w:val="002F790A"/>
    <w:rsid w:val="00315799"/>
    <w:rsid w:val="003221A5"/>
    <w:rsid w:val="00330F6A"/>
    <w:rsid w:val="00333F6B"/>
    <w:rsid w:val="00355F7F"/>
    <w:rsid w:val="0037423A"/>
    <w:rsid w:val="00377030"/>
    <w:rsid w:val="00385278"/>
    <w:rsid w:val="003B2C02"/>
    <w:rsid w:val="003D48E5"/>
    <w:rsid w:val="003E1340"/>
    <w:rsid w:val="003F13EE"/>
    <w:rsid w:val="003F3ACE"/>
    <w:rsid w:val="00405410"/>
    <w:rsid w:val="00422CF3"/>
    <w:rsid w:val="004274FD"/>
    <w:rsid w:val="00430E09"/>
    <w:rsid w:val="00450B0B"/>
    <w:rsid w:val="00464BCB"/>
    <w:rsid w:val="00486114"/>
    <w:rsid w:val="004C549E"/>
    <w:rsid w:val="004D0BCB"/>
    <w:rsid w:val="004D4275"/>
    <w:rsid w:val="004E0F61"/>
    <w:rsid w:val="004F4805"/>
    <w:rsid w:val="00501AEC"/>
    <w:rsid w:val="00514054"/>
    <w:rsid w:val="00516816"/>
    <w:rsid w:val="005175E9"/>
    <w:rsid w:val="0055262A"/>
    <w:rsid w:val="0056033C"/>
    <w:rsid w:val="00560445"/>
    <w:rsid w:val="00577AC8"/>
    <w:rsid w:val="005A0A8E"/>
    <w:rsid w:val="005B0BB8"/>
    <w:rsid w:val="005D10D9"/>
    <w:rsid w:val="005D34A0"/>
    <w:rsid w:val="005F43CB"/>
    <w:rsid w:val="005F7F53"/>
    <w:rsid w:val="00622A98"/>
    <w:rsid w:val="0066189D"/>
    <w:rsid w:val="00685267"/>
    <w:rsid w:val="00692819"/>
    <w:rsid w:val="006A0B7E"/>
    <w:rsid w:val="006A5822"/>
    <w:rsid w:val="006B126C"/>
    <w:rsid w:val="006D127D"/>
    <w:rsid w:val="006D685A"/>
    <w:rsid w:val="006E0DA8"/>
    <w:rsid w:val="006E6F80"/>
    <w:rsid w:val="00712B82"/>
    <w:rsid w:val="007161A6"/>
    <w:rsid w:val="00734BD5"/>
    <w:rsid w:val="0073622E"/>
    <w:rsid w:val="0074485A"/>
    <w:rsid w:val="00754C0C"/>
    <w:rsid w:val="007632B8"/>
    <w:rsid w:val="007B0061"/>
    <w:rsid w:val="007D131E"/>
    <w:rsid w:val="008060F5"/>
    <w:rsid w:val="00813834"/>
    <w:rsid w:val="0081633C"/>
    <w:rsid w:val="00821D34"/>
    <w:rsid w:val="0082285A"/>
    <w:rsid w:val="00826C85"/>
    <w:rsid w:val="008322AD"/>
    <w:rsid w:val="008332DC"/>
    <w:rsid w:val="008379BF"/>
    <w:rsid w:val="00854C74"/>
    <w:rsid w:val="00882E3D"/>
    <w:rsid w:val="008C00C4"/>
    <w:rsid w:val="008E2FB5"/>
    <w:rsid w:val="008F2783"/>
    <w:rsid w:val="009211E1"/>
    <w:rsid w:val="00921EB4"/>
    <w:rsid w:val="00937B36"/>
    <w:rsid w:val="00952466"/>
    <w:rsid w:val="00955E3D"/>
    <w:rsid w:val="009677A8"/>
    <w:rsid w:val="00976A0D"/>
    <w:rsid w:val="009965E4"/>
    <w:rsid w:val="009B3C1E"/>
    <w:rsid w:val="009C12FA"/>
    <w:rsid w:val="009D423C"/>
    <w:rsid w:val="009E34B3"/>
    <w:rsid w:val="009E648D"/>
    <w:rsid w:val="009F08FB"/>
    <w:rsid w:val="00A01C6A"/>
    <w:rsid w:val="00A06D83"/>
    <w:rsid w:val="00A10D52"/>
    <w:rsid w:val="00A13F1D"/>
    <w:rsid w:val="00A37CAB"/>
    <w:rsid w:val="00A45BEF"/>
    <w:rsid w:val="00A61A70"/>
    <w:rsid w:val="00AB0D7C"/>
    <w:rsid w:val="00AC08CD"/>
    <w:rsid w:val="00AC418E"/>
    <w:rsid w:val="00AC6936"/>
    <w:rsid w:val="00B042C4"/>
    <w:rsid w:val="00B1442E"/>
    <w:rsid w:val="00B207C1"/>
    <w:rsid w:val="00B449D9"/>
    <w:rsid w:val="00B5059F"/>
    <w:rsid w:val="00B67A38"/>
    <w:rsid w:val="00B75B66"/>
    <w:rsid w:val="00B90CF7"/>
    <w:rsid w:val="00BC7E93"/>
    <w:rsid w:val="00BD09A1"/>
    <w:rsid w:val="00BD0B43"/>
    <w:rsid w:val="00BF284A"/>
    <w:rsid w:val="00BF4E1B"/>
    <w:rsid w:val="00C00654"/>
    <w:rsid w:val="00C0226E"/>
    <w:rsid w:val="00C03EC6"/>
    <w:rsid w:val="00C13AE4"/>
    <w:rsid w:val="00C13E65"/>
    <w:rsid w:val="00C60E37"/>
    <w:rsid w:val="00C6613C"/>
    <w:rsid w:val="00C6615C"/>
    <w:rsid w:val="00C976EA"/>
    <w:rsid w:val="00CD3E4A"/>
    <w:rsid w:val="00CE0F66"/>
    <w:rsid w:val="00CF143C"/>
    <w:rsid w:val="00CF48A3"/>
    <w:rsid w:val="00D06DA2"/>
    <w:rsid w:val="00D23B83"/>
    <w:rsid w:val="00D2464A"/>
    <w:rsid w:val="00D25784"/>
    <w:rsid w:val="00D267F0"/>
    <w:rsid w:val="00D339B5"/>
    <w:rsid w:val="00D45A5B"/>
    <w:rsid w:val="00D5306C"/>
    <w:rsid w:val="00D53456"/>
    <w:rsid w:val="00D637A4"/>
    <w:rsid w:val="00DA0C5E"/>
    <w:rsid w:val="00DB1A64"/>
    <w:rsid w:val="00DE3032"/>
    <w:rsid w:val="00DE472E"/>
    <w:rsid w:val="00DF0299"/>
    <w:rsid w:val="00E05FAA"/>
    <w:rsid w:val="00E07B5C"/>
    <w:rsid w:val="00E2071E"/>
    <w:rsid w:val="00E218CA"/>
    <w:rsid w:val="00E24393"/>
    <w:rsid w:val="00E32A03"/>
    <w:rsid w:val="00E44E1C"/>
    <w:rsid w:val="00E62A94"/>
    <w:rsid w:val="00E63F63"/>
    <w:rsid w:val="00E73C2F"/>
    <w:rsid w:val="00E73D73"/>
    <w:rsid w:val="00E82461"/>
    <w:rsid w:val="00E85DB3"/>
    <w:rsid w:val="00E9113E"/>
    <w:rsid w:val="00EB2F03"/>
    <w:rsid w:val="00ED1E02"/>
    <w:rsid w:val="00ED32F1"/>
    <w:rsid w:val="00F04D22"/>
    <w:rsid w:val="00F0778B"/>
    <w:rsid w:val="00F36382"/>
    <w:rsid w:val="00F36E1B"/>
    <w:rsid w:val="00F4688B"/>
    <w:rsid w:val="00F57DF5"/>
    <w:rsid w:val="00F72529"/>
    <w:rsid w:val="00F84C81"/>
    <w:rsid w:val="00F86381"/>
    <w:rsid w:val="00FA1651"/>
    <w:rsid w:val="00FD3E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70BBAA"/>
  <w15:docId w15:val="{A9080EAB-214A-4313-85FE-D7C0FB0CB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3">
    <w:name w:val="heading 3"/>
    <w:basedOn w:val="a"/>
    <w:next w:val="a"/>
    <w:link w:val="30"/>
    <w:uiPriority w:val="9"/>
    <w:semiHidden/>
    <w:unhideWhenUsed/>
    <w:qFormat/>
    <w:rsid w:val="002719D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19275D"/>
    <w:pPr>
      <w:spacing w:after="0" w:line="240" w:lineRule="auto"/>
    </w:pPr>
    <w:rPr>
      <w:sz w:val="20"/>
      <w:szCs w:val="20"/>
    </w:rPr>
  </w:style>
  <w:style w:type="character" w:customStyle="1" w:styleId="a4">
    <w:name w:val="Текст сноски Знак"/>
    <w:basedOn w:val="a0"/>
    <w:link w:val="a3"/>
    <w:uiPriority w:val="99"/>
    <w:semiHidden/>
    <w:rsid w:val="0019275D"/>
    <w:rPr>
      <w:sz w:val="20"/>
      <w:szCs w:val="20"/>
    </w:rPr>
  </w:style>
  <w:style w:type="character" w:styleId="a5">
    <w:name w:val="footnote reference"/>
    <w:basedOn w:val="a0"/>
    <w:uiPriority w:val="99"/>
    <w:semiHidden/>
    <w:unhideWhenUsed/>
    <w:rsid w:val="0019275D"/>
    <w:rPr>
      <w:vertAlign w:val="superscript"/>
    </w:rPr>
  </w:style>
  <w:style w:type="paragraph" w:styleId="a6">
    <w:name w:val="endnote text"/>
    <w:basedOn w:val="a"/>
    <w:link w:val="a7"/>
    <w:uiPriority w:val="99"/>
    <w:unhideWhenUsed/>
    <w:rsid w:val="0019275D"/>
    <w:pPr>
      <w:spacing w:after="0" w:line="240" w:lineRule="auto"/>
    </w:pPr>
    <w:rPr>
      <w:sz w:val="20"/>
      <w:szCs w:val="20"/>
    </w:rPr>
  </w:style>
  <w:style w:type="character" w:customStyle="1" w:styleId="a7">
    <w:name w:val="Текст концевой сноски Знак"/>
    <w:basedOn w:val="a0"/>
    <w:link w:val="a6"/>
    <w:uiPriority w:val="99"/>
    <w:rsid w:val="0019275D"/>
    <w:rPr>
      <w:sz w:val="20"/>
      <w:szCs w:val="20"/>
    </w:rPr>
  </w:style>
  <w:style w:type="character" w:styleId="a8">
    <w:name w:val="endnote reference"/>
    <w:basedOn w:val="a0"/>
    <w:uiPriority w:val="99"/>
    <w:semiHidden/>
    <w:unhideWhenUsed/>
    <w:rsid w:val="0019275D"/>
    <w:rPr>
      <w:vertAlign w:val="superscript"/>
    </w:rPr>
  </w:style>
  <w:style w:type="paragraph" w:styleId="a9">
    <w:name w:val="List Paragraph"/>
    <w:basedOn w:val="a"/>
    <w:uiPriority w:val="34"/>
    <w:qFormat/>
    <w:rsid w:val="00D637A4"/>
    <w:pPr>
      <w:ind w:left="720"/>
      <w:contextualSpacing/>
    </w:pPr>
  </w:style>
  <w:style w:type="paragraph" w:styleId="aa">
    <w:name w:val="Balloon Text"/>
    <w:basedOn w:val="a"/>
    <w:link w:val="ab"/>
    <w:uiPriority w:val="99"/>
    <w:semiHidden/>
    <w:unhideWhenUsed/>
    <w:rsid w:val="004F480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4F4805"/>
    <w:rPr>
      <w:rFonts w:ascii="Tahoma" w:hAnsi="Tahoma" w:cs="Tahoma"/>
      <w:sz w:val="16"/>
      <w:szCs w:val="16"/>
    </w:rPr>
  </w:style>
  <w:style w:type="character" w:customStyle="1" w:styleId="s0">
    <w:name w:val="s0"/>
    <w:rsid w:val="00B207C1"/>
    <w:rPr>
      <w:rFonts w:ascii="Times New Roman" w:hAnsi="Times New Roman" w:cs="Times New Roman" w:hint="default"/>
      <w:b w:val="0"/>
      <w:bCs w:val="0"/>
      <w:i w:val="0"/>
      <w:iCs w:val="0"/>
      <w:color w:val="000000"/>
    </w:rPr>
  </w:style>
  <w:style w:type="character" w:customStyle="1" w:styleId="30">
    <w:name w:val="Заголовок 3 Знак"/>
    <w:basedOn w:val="a0"/>
    <w:link w:val="3"/>
    <w:uiPriority w:val="9"/>
    <w:semiHidden/>
    <w:rsid w:val="002719DB"/>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267572">
      <w:bodyDiv w:val="1"/>
      <w:marLeft w:val="0"/>
      <w:marRight w:val="0"/>
      <w:marTop w:val="0"/>
      <w:marBottom w:val="0"/>
      <w:divBdr>
        <w:top w:val="none" w:sz="0" w:space="0" w:color="auto"/>
        <w:left w:val="none" w:sz="0" w:space="0" w:color="auto"/>
        <w:bottom w:val="none" w:sz="0" w:space="0" w:color="auto"/>
        <w:right w:val="none" w:sz="0" w:space="0" w:color="auto"/>
      </w:divBdr>
    </w:div>
    <w:div w:id="1962571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012167-AE16-4B2B-AAB2-E201201752BC}">
  <ds:schemaRefs>
    <ds:schemaRef ds:uri="http://schemas.openxmlformats.org/officeDocument/2006/bibliography"/>
  </ds:schemaRefs>
</ds:datastoreItem>
</file>

<file path=docMetadata/LabelInfo.xml><?xml version="1.0" encoding="utf-8"?>
<clbl:labelList xmlns:clbl="http://schemas.microsoft.com/office/2020/mipLabelMetadata">
  <clbl:label id="{defa4170-0d19-0005-0004-bc88714345d2}" enabled="1" method="Standard" siteId="{0da131ea-90c3-4fe2-b77e-8d865025425f}"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Pages>
  <Words>946</Words>
  <Characters>5393</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ЕМ</dc:creator>
  <cp:lastModifiedBy>Мадина Ергалиева</cp:lastModifiedBy>
  <cp:revision>2</cp:revision>
  <dcterms:created xsi:type="dcterms:W3CDTF">2026-10-13T06:54:00Z</dcterms:created>
  <dcterms:modified xsi:type="dcterms:W3CDTF">2026-10-13T06:54:00Z</dcterms:modified>
</cp:coreProperties>
</file>