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60FC0" w14:textId="77777777" w:rsidR="00A10D52" w:rsidRPr="0074485A" w:rsidRDefault="00A10D52" w:rsidP="00155BFA">
      <w:pPr>
        <w:spacing w:after="0" w:line="240" w:lineRule="auto"/>
        <w:jc w:val="center"/>
        <w:rPr>
          <w:rFonts w:ascii="Times New Roman CYR" w:eastAsia="Times New Roman" w:hAnsi="Times New Roman CYR" w:cs="Times New Roman CYR"/>
          <w:b/>
          <w:bCs/>
          <w:sz w:val="20"/>
          <w:szCs w:val="28"/>
          <w:lang w:eastAsia="ru-RU"/>
        </w:rPr>
      </w:pPr>
      <w:r w:rsidRPr="0074485A">
        <w:rPr>
          <w:rFonts w:ascii="Times New Roman CYR" w:eastAsia="Times New Roman" w:hAnsi="Times New Roman CYR" w:cs="Times New Roman CYR"/>
          <w:b/>
          <w:bCs/>
          <w:sz w:val="20"/>
          <w:szCs w:val="28"/>
          <w:lang w:eastAsia="ru-RU"/>
        </w:rPr>
        <w:t xml:space="preserve">Присвоение учетного номера валютным договорам по движению капитала, а также уведомление о счетах, </w:t>
      </w:r>
    </w:p>
    <w:p w14:paraId="673D3AC8" w14:textId="3C26CB67" w:rsidR="0019275D" w:rsidRPr="0074485A" w:rsidRDefault="00A10D52" w:rsidP="00155BFA">
      <w:pPr>
        <w:spacing w:after="0" w:line="240" w:lineRule="auto"/>
        <w:jc w:val="center"/>
        <w:rPr>
          <w:rFonts w:ascii="Times New Roman CYR" w:eastAsia="Times New Roman" w:hAnsi="Times New Roman CYR" w:cs="Times New Roman CYR"/>
          <w:b/>
          <w:bCs/>
          <w:sz w:val="20"/>
          <w:szCs w:val="28"/>
          <w:vertAlign w:val="superscript"/>
          <w:lang w:eastAsia="ru-RU"/>
        </w:rPr>
      </w:pPr>
      <w:r w:rsidRPr="0074485A">
        <w:rPr>
          <w:rFonts w:ascii="Times New Roman CYR" w:eastAsia="Times New Roman" w:hAnsi="Times New Roman CYR" w:cs="Times New Roman CYR"/>
          <w:b/>
          <w:bCs/>
          <w:sz w:val="20"/>
          <w:szCs w:val="28"/>
          <w:lang w:eastAsia="ru-RU"/>
        </w:rPr>
        <w:t>открытых в иностранных банках и международных финансовых организациях</w:t>
      </w:r>
      <w:r w:rsidRPr="0074485A">
        <w:rPr>
          <w:rFonts w:ascii="Times New Roman CYR" w:eastAsia="Times New Roman" w:hAnsi="Times New Roman CYR" w:cs="Times New Roman CYR"/>
          <w:b/>
          <w:bCs/>
          <w:sz w:val="20"/>
          <w:szCs w:val="28"/>
          <w:vertAlign w:val="superscript"/>
          <w:lang w:eastAsia="ru-RU"/>
        </w:rPr>
        <w:t xml:space="preserve"> </w:t>
      </w:r>
      <w:r w:rsidR="0019275D" w:rsidRPr="0074485A">
        <w:rPr>
          <w:rStyle w:val="a8"/>
          <w:rFonts w:ascii="Times New Roman CYR" w:eastAsia="Times New Roman" w:hAnsi="Times New Roman CYR" w:cs="Times New Roman CYR"/>
          <w:b/>
          <w:bCs/>
          <w:sz w:val="20"/>
          <w:szCs w:val="28"/>
          <w:lang w:eastAsia="ru-RU"/>
        </w:rPr>
        <w:endnoteReference w:id="1"/>
      </w:r>
    </w:p>
    <w:p w14:paraId="5EB302D0" w14:textId="77777777" w:rsidR="007632B8" w:rsidRPr="00E9113E" w:rsidRDefault="007632B8" w:rsidP="00155BFA">
      <w:pPr>
        <w:spacing w:after="0" w:line="240" w:lineRule="auto"/>
        <w:jc w:val="center"/>
        <w:rPr>
          <w:sz w:val="18"/>
          <w:szCs w:val="18"/>
        </w:rPr>
      </w:pPr>
    </w:p>
    <w:tbl>
      <w:tblPr>
        <w:tblW w:w="5000" w:type="pct"/>
        <w:tblLook w:val="04A0" w:firstRow="1" w:lastRow="0" w:firstColumn="1" w:lastColumn="0" w:noHBand="0" w:noVBand="1"/>
      </w:tblPr>
      <w:tblGrid>
        <w:gridCol w:w="311"/>
        <w:gridCol w:w="1858"/>
        <w:gridCol w:w="1918"/>
        <w:gridCol w:w="5281"/>
        <w:gridCol w:w="4635"/>
        <w:gridCol w:w="1974"/>
      </w:tblGrid>
      <w:tr w:rsidR="00E218CA" w:rsidRPr="00E9113E" w14:paraId="66FE1D72" w14:textId="77777777" w:rsidTr="0082285A">
        <w:trPr>
          <w:trHeight w:val="945"/>
          <w:tblHeader/>
        </w:trPr>
        <w:tc>
          <w:tcPr>
            <w:tcW w:w="93" w:type="pct"/>
            <w:tcBorders>
              <w:top w:val="single" w:sz="4" w:space="0" w:color="auto"/>
              <w:left w:val="single" w:sz="4" w:space="0" w:color="auto"/>
              <w:bottom w:val="single" w:sz="4" w:space="0" w:color="auto"/>
              <w:right w:val="single" w:sz="4" w:space="0" w:color="auto"/>
            </w:tcBorders>
            <w:shd w:val="clear" w:color="000000" w:fill="92D050"/>
            <w:vAlign w:val="center"/>
            <w:hideMark/>
          </w:tcPr>
          <w:p w14:paraId="147FE04C" w14:textId="77777777" w:rsidR="00E218CA" w:rsidRPr="00E9113E" w:rsidRDefault="00E218CA" w:rsidP="00D2464A">
            <w:pPr>
              <w:spacing w:after="0" w:line="240" w:lineRule="auto"/>
              <w:jc w:val="center"/>
              <w:rPr>
                <w:rFonts w:ascii="Times New Roman" w:eastAsia="Times New Roman" w:hAnsi="Times New Roman" w:cs="Times New Roman"/>
                <w:b/>
                <w:bCs/>
                <w:sz w:val="19"/>
                <w:szCs w:val="19"/>
                <w:lang w:eastAsia="ru-RU"/>
              </w:rPr>
            </w:pPr>
          </w:p>
        </w:tc>
        <w:tc>
          <w:tcPr>
            <w:tcW w:w="597" w:type="pct"/>
            <w:tcBorders>
              <w:top w:val="single" w:sz="4" w:space="0" w:color="auto"/>
              <w:left w:val="nil"/>
              <w:bottom w:val="single" w:sz="4" w:space="0" w:color="auto"/>
              <w:right w:val="single" w:sz="4" w:space="0" w:color="auto"/>
            </w:tcBorders>
            <w:shd w:val="clear" w:color="000000" w:fill="92D050"/>
            <w:vAlign w:val="center"/>
            <w:hideMark/>
          </w:tcPr>
          <w:p w14:paraId="08CC8B52" w14:textId="77777777" w:rsidR="00F72529" w:rsidRPr="0074485A" w:rsidRDefault="00E218CA" w:rsidP="00D2464A">
            <w:pPr>
              <w:spacing w:after="0" w:line="240" w:lineRule="auto"/>
              <w:jc w:val="center"/>
              <w:rPr>
                <w:rFonts w:ascii="Times New Roman" w:eastAsia="Times New Roman" w:hAnsi="Times New Roman" w:cs="Times New Roman"/>
                <w:b/>
                <w:bCs/>
                <w:sz w:val="19"/>
                <w:szCs w:val="19"/>
                <w:lang w:eastAsia="ru-RU"/>
              </w:rPr>
            </w:pPr>
            <w:r w:rsidRPr="0074485A">
              <w:rPr>
                <w:rFonts w:ascii="Times New Roman" w:eastAsia="Times New Roman" w:hAnsi="Times New Roman" w:cs="Times New Roman"/>
                <w:b/>
                <w:bCs/>
                <w:sz w:val="19"/>
                <w:szCs w:val="19"/>
                <w:lang w:eastAsia="ru-RU"/>
              </w:rPr>
              <w:t xml:space="preserve">Операции движения капитала, </w:t>
            </w:r>
          </w:p>
          <w:p w14:paraId="2A0975BF" w14:textId="1559428B" w:rsidR="00E218CA" w:rsidRPr="0074485A" w:rsidRDefault="00E218CA" w:rsidP="00D2464A">
            <w:pPr>
              <w:spacing w:after="0" w:line="240" w:lineRule="auto"/>
              <w:jc w:val="center"/>
              <w:rPr>
                <w:rFonts w:ascii="Times New Roman" w:eastAsia="Times New Roman" w:hAnsi="Times New Roman" w:cs="Times New Roman"/>
                <w:b/>
                <w:bCs/>
                <w:sz w:val="19"/>
                <w:szCs w:val="19"/>
                <w:lang w:eastAsia="ru-RU"/>
              </w:rPr>
            </w:pPr>
            <w:r w:rsidRPr="0074485A">
              <w:rPr>
                <w:rFonts w:ascii="Times New Roman" w:eastAsia="Times New Roman" w:hAnsi="Times New Roman" w:cs="Times New Roman"/>
                <w:b/>
                <w:bCs/>
                <w:sz w:val="19"/>
                <w:szCs w:val="19"/>
                <w:lang w:eastAsia="ru-RU"/>
              </w:rPr>
              <w:t>счета в иностранных банках</w:t>
            </w:r>
            <w:r w:rsidR="00A61A70" w:rsidRPr="0074485A">
              <w:rPr>
                <w:rFonts w:ascii="Times New Roman" w:eastAsia="Times New Roman" w:hAnsi="Times New Roman" w:cs="Times New Roman"/>
                <w:b/>
                <w:bCs/>
                <w:sz w:val="19"/>
                <w:szCs w:val="19"/>
                <w:lang w:eastAsia="ru-RU"/>
              </w:rPr>
              <w:t xml:space="preserve"> и международных финансовых организациях</w:t>
            </w:r>
          </w:p>
        </w:tc>
        <w:tc>
          <w:tcPr>
            <w:tcW w:w="616" w:type="pct"/>
            <w:tcBorders>
              <w:top w:val="single" w:sz="4" w:space="0" w:color="auto"/>
              <w:left w:val="single" w:sz="4" w:space="0" w:color="auto"/>
              <w:bottom w:val="single" w:sz="4" w:space="0" w:color="auto"/>
              <w:right w:val="single" w:sz="4" w:space="0" w:color="auto"/>
            </w:tcBorders>
            <w:shd w:val="clear" w:color="000000" w:fill="92D050"/>
            <w:vAlign w:val="center"/>
            <w:hideMark/>
          </w:tcPr>
          <w:p w14:paraId="47F6F9A0" w14:textId="7123E315" w:rsidR="00E218CA" w:rsidRPr="0074485A" w:rsidRDefault="00A61A70" w:rsidP="00854C74">
            <w:pPr>
              <w:spacing w:after="0" w:line="240" w:lineRule="auto"/>
              <w:jc w:val="center"/>
              <w:rPr>
                <w:rFonts w:ascii="Times New Roman" w:eastAsia="Times New Roman" w:hAnsi="Times New Roman" w:cs="Times New Roman"/>
                <w:b/>
                <w:bCs/>
                <w:sz w:val="19"/>
                <w:szCs w:val="19"/>
                <w:lang w:eastAsia="ru-RU"/>
              </w:rPr>
            </w:pPr>
            <w:r w:rsidRPr="0074485A">
              <w:rPr>
                <w:rFonts w:ascii="Times New Roman" w:eastAsia="Times New Roman" w:hAnsi="Times New Roman" w:cs="Times New Roman"/>
                <w:b/>
                <w:bCs/>
                <w:sz w:val="19"/>
                <w:szCs w:val="19"/>
                <w:lang w:eastAsia="ru-RU"/>
              </w:rPr>
              <w:t>Банки, филиалы банков-нерезидентов Республики Казахстан, осуществляющие деятельность на территории Республики Казахстан</w:t>
            </w:r>
          </w:p>
        </w:tc>
        <w:tc>
          <w:tcPr>
            <w:tcW w:w="1668" w:type="pct"/>
            <w:tcBorders>
              <w:top w:val="single" w:sz="4" w:space="0" w:color="auto"/>
              <w:left w:val="nil"/>
              <w:bottom w:val="single" w:sz="4" w:space="0" w:color="auto"/>
              <w:right w:val="single" w:sz="4" w:space="0" w:color="auto"/>
            </w:tcBorders>
            <w:shd w:val="clear" w:color="000000" w:fill="92D050"/>
            <w:vAlign w:val="center"/>
            <w:hideMark/>
          </w:tcPr>
          <w:p w14:paraId="0E8E874A" w14:textId="0512600A" w:rsidR="00E218CA" w:rsidRPr="0074485A" w:rsidRDefault="00A61A70" w:rsidP="00D2464A">
            <w:pPr>
              <w:spacing w:after="0" w:line="240" w:lineRule="auto"/>
              <w:jc w:val="center"/>
              <w:rPr>
                <w:rFonts w:ascii="Times New Roman" w:eastAsia="Times New Roman" w:hAnsi="Times New Roman" w:cs="Times New Roman"/>
                <w:b/>
                <w:bCs/>
                <w:sz w:val="19"/>
                <w:szCs w:val="19"/>
                <w:lang w:eastAsia="ru-RU"/>
              </w:rPr>
            </w:pPr>
            <w:r w:rsidRPr="0074485A">
              <w:rPr>
                <w:rFonts w:ascii="Times New Roman" w:eastAsia="Times New Roman" w:hAnsi="Times New Roman" w:cs="Times New Roman"/>
                <w:b/>
                <w:bCs/>
                <w:sz w:val="19"/>
                <w:szCs w:val="19"/>
                <w:lang w:eastAsia="ru-RU"/>
              </w:rPr>
              <w:t>Другие финансовые и нефинансовые организации</w:t>
            </w:r>
          </w:p>
        </w:tc>
        <w:tc>
          <w:tcPr>
            <w:tcW w:w="1465" w:type="pct"/>
            <w:tcBorders>
              <w:top w:val="single" w:sz="4" w:space="0" w:color="auto"/>
              <w:left w:val="nil"/>
              <w:bottom w:val="single" w:sz="4" w:space="0" w:color="auto"/>
              <w:right w:val="single" w:sz="4" w:space="0" w:color="auto"/>
            </w:tcBorders>
            <w:shd w:val="clear" w:color="000000" w:fill="92D050"/>
            <w:vAlign w:val="center"/>
            <w:hideMark/>
          </w:tcPr>
          <w:p w14:paraId="0CE8ED1D" w14:textId="77777777" w:rsidR="00E218CA" w:rsidRPr="00E9113E" w:rsidRDefault="00E218CA" w:rsidP="00D2464A">
            <w:pPr>
              <w:spacing w:after="0" w:line="240" w:lineRule="auto"/>
              <w:jc w:val="center"/>
              <w:rPr>
                <w:rFonts w:ascii="Times New Roman" w:eastAsia="Times New Roman" w:hAnsi="Times New Roman" w:cs="Times New Roman"/>
                <w:b/>
                <w:bCs/>
                <w:sz w:val="19"/>
                <w:szCs w:val="19"/>
                <w:lang w:eastAsia="ru-RU"/>
              </w:rPr>
            </w:pPr>
            <w:r w:rsidRPr="00E9113E">
              <w:rPr>
                <w:rFonts w:ascii="Times New Roman" w:eastAsia="Times New Roman" w:hAnsi="Times New Roman" w:cs="Times New Roman"/>
                <w:b/>
                <w:bCs/>
                <w:sz w:val="19"/>
                <w:szCs w:val="19"/>
                <w:lang w:eastAsia="ru-RU"/>
              </w:rPr>
              <w:t>Физические лица</w:t>
            </w:r>
          </w:p>
        </w:tc>
        <w:tc>
          <w:tcPr>
            <w:tcW w:w="560" w:type="pct"/>
            <w:tcBorders>
              <w:top w:val="single" w:sz="4" w:space="0" w:color="auto"/>
              <w:left w:val="nil"/>
              <w:bottom w:val="single" w:sz="4" w:space="0" w:color="auto"/>
              <w:right w:val="single" w:sz="4" w:space="0" w:color="auto"/>
            </w:tcBorders>
            <w:shd w:val="clear" w:color="000000" w:fill="92D050"/>
            <w:vAlign w:val="center"/>
          </w:tcPr>
          <w:p w14:paraId="5EDD3319" w14:textId="77777777" w:rsidR="00E218CA" w:rsidRPr="00E9113E" w:rsidRDefault="00E218CA" w:rsidP="00D2464A">
            <w:pPr>
              <w:spacing w:after="0" w:line="240" w:lineRule="auto"/>
              <w:jc w:val="center"/>
              <w:rPr>
                <w:rFonts w:ascii="Times New Roman" w:eastAsia="Times New Roman" w:hAnsi="Times New Roman" w:cs="Times New Roman"/>
                <w:b/>
                <w:bCs/>
                <w:sz w:val="19"/>
                <w:szCs w:val="19"/>
                <w:lang w:eastAsia="ru-RU"/>
              </w:rPr>
            </w:pPr>
            <w:r w:rsidRPr="008379BF">
              <w:rPr>
                <w:rFonts w:ascii="Times New Roman" w:eastAsia="Times New Roman" w:hAnsi="Times New Roman" w:cs="Times New Roman"/>
                <w:b/>
                <w:bCs/>
                <w:sz w:val="19"/>
                <w:szCs w:val="19"/>
                <w:lang w:eastAsia="ru-RU"/>
              </w:rPr>
              <w:t>Уполномоченные</w:t>
            </w:r>
            <w:r w:rsidRPr="00E9113E">
              <w:rPr>
                <w:rFonts w:ascii="Times New Roman" w:eastAsia="Times New Roman" w:hAnsi="Times New Roman" w:cs="Times New Roman"/>
                <w:b/>
                <w:bCs/>
                <w:sz w:val="19"/>
                <w:szCs w:val="19"/>
                <w:lang w:eastAsia="ru-RU"/>
              </w:rPr>
              <w:t xml:space="preserve"> банки</w:t>
            </w:r>
          </w:p>
        </w:tc>
      </w:tr>
      <w:tr w:rsidR="00D339B5" w:rsidRPr="00E9113E" w14:paraId="27DE5898" w14:textId="77777777" w:rsidTr="0082285A">
        <w:trPr>
          <w:trHeight w:val="197"/>
        </w:trPr>
        <w:tc>
          <w:tcPr>
            <w:tcW w:w="93" w:type="pct"/>
            <w:vMerge w:val="restart"/>
            <w:tcBorders>
              <w:top w:val="nil"/>
              <w:left w:val="single" w:sz="4" w:space="0" w:color="auto"/>
              <w:right w:val="single" w:sz="4" w:space="0" w:color="auto"/>
            </w:tcBorders>
            <w:vAlign w:val="center"/>
            <w:hideMark/>
          </w:tcPr>
          <w:p w14:paraId="3DBC96AD" w14:textId="77777777" w:rsidR="00D339B5" w:rsidRPr="00E9113E" w:rsidRDefault="00D339B5" w:rsidP="00D2464A">
            <w:pPr>
              <w:spacing w:before="240" w:line="240" w:lineRule="auto"/>
              <w:contextualSpacing/>
              <w:rPr>
                <w:rFonts w:ascii="Times New Roman" w:eastAsia="Times New Roman" w:hAnsi="Times New Roman" w:cs="Times New Roman"/>
                <w:sz w:val="19"/>
                <w:szCs w:val="19"/>
                <w:lang w:eastAsia="ru-RU"/>
              </w:rPr>
            </w:pPr>
            <w:r w:rsidRPr="00E9113E">
              <w:rPr>
                <w:rFonts w:ascii="Times New Roman" w:eastAsia="Times New Roman" w:hAnsi="Times New Roman" w:cs="Times New Roman"/>
                <w:sz w:val="19"/>
                <w:szCs w:val="19"/>
                <w:lang w:eastAsia="ru-RU"/>
              </w:rPr>
              <w:t>1</w:t>
            </w:r>
          </w:p>
        </w:tc>
        <w:tc>
          <w:tcPr>
            <w:tcW w:w="597" w:type="pct"/>
            <w:vMerge w:val="restart"/>
            <w:tcBorders>
              <w:top w:val="nil"/>
              <w:left w:val="single" w:sz="4" w:space="0" w:color="auto"/>
              <w:right w:val="single" w:sz="4" w:space="0" w:color="auto"/>
            </w:tcBorders>
            <w:vAlign w:val="center"/>
            <w:hideMark/>
          </w:tcPr>
          <w:p w14:paraId="06ED32C8" w14:textId="77777777" w:rsidR="00D339B5" w:rsidRPr="00E9113E" w:rsidRDefault="00D339B5" w:rsidP="00D2464A">
            <w:pPr>
              <w:spacing w:before="240" w:line="240" w:lineRule="auto"/>
              <w:contextualSpacing/>
              <w:rPr>
                <w:rFonts w:ascii="Times New Roman" w:eastAsia="Times New Roman" w:hAnsi="Times New Roman" w:cs="Times New Roman"/>
                <w:sz w:val="19"/>
                <w:szCs w:val="19"/>
                <w:lang w:eastAsia="ru-RU"/>
              </w:rPr>
            </w:pPr>
            <w:r w:rsidRPr="00E9113E">
              <w:rPr>
                <w:rFonts w:ascii="Times New Roman" w:eastAsia="Times New Roman" w:hAnsi="Times New Roman" w:cs="Times New Roman"/>
                <w:sz w:val="19"/>
                <w:szCs w:val="19"/>
                <w:lang w:eastAsia="ru-RU"/>
              </w:rPr>
              <w:t>Участие в капитале</w:t>
            </w:r>
          </w:p>
        </w:tc>
        <w:tc>
          <w:tcPr>
            <w:tcW w:w="616"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4C1E484" w14:textId="77777777" w:rsidR="00D339B5" w:rsidRPr="0074485A" w:rsidRDefault="00D339B5" w:rsidP="00D2464A">
            <w:pPr>
              <w:spacing w:before="240" w:line="240" w:lineRule="auto"/>
              <w:contextualSpacing/>
              <w:rPr>
                <w:rFonts w:ascii="Times New Roman" w:eastAsia="Times New Roman" w:hAnsi="Times New Roman" w:cs="Times New Roman"/>
                <w:sz w:val="19"/>
                <w:szCs w:val="19"/>
                <w:lang w:eastAsia="ru-RU"/>
              </w:rPr>
            </w:pPr>
          </w:p>
        </w:tc>
        <w:tc>
          <w:tcPr>
            <w:tcW w:w="1668" w:type="pct"/>
            <w:tcBorders>
              <w:top w:val="nil"/>
              <w:left w:val="nil"/>
              <w:bottom w:val="single" w:sz="4" w:space="0" w:color="auto"/>
              <w:right w:val="single" w:sz="4" w:space="0" w:color="auto"/>
            </w:tcBorders>
            <w:vAlign w:val="center"/>
            <w:hideMark/>
          </w:tcPr>
          <w:p w14:paraId="2D688F32" w14:textId="3CB1D1F6" w:rsidR="00D339B5" w:rsidRPr="0074485A" w:rsidRDefault="001977F2" w:rsidP="00D2464A">
            <w:pPr>
              <w:spacing w:before="240" w:line="240" w:lineRule="auto"/>
              <w:jc w:val="center"/>
              <w:rPr>
                <w:rFonts w:ascii="Times New Roman" w:eastAsia="Times New Roman" w:hAnsi="Times New Roman" w:cs="Times New Roman"/>
                <w:sz w:val="19"/>
                <w:szCs w:val="19"/>
                <w:lang w:eastAsia="ru-RU"/>
              </w:rPr>
            </w:pPr>
            <w:r w:rsidRPr="0074485A">
              <w:rPr>
                <w:rFonts w:ascii="Times New Roman" w:eastAsia="Times New Roman" w:hAnsi="Times New Roman" w:cs="Times New Roman"/>
                <w:sz w:val="19"/>
                <w:szCs w:val="19"/>
                <w:lang w:eastAsia="ru-RU"/>
              </w:rPr>
              <w:t>Присвоение учетного номера в ТФ НБРК</w:t>
            </w:r>
            <w:r w:rsidRPr="0074485A">
              <w:rPr>
                <w:rStyle w:val="a8"/>
                <w:rFonts w:ascii="Times New Roman" w:eastAsia="Times New Roman" w:hAnsi="Times New Roman" w:cs="Times New Roman"/>
                <w:sz w:val="19"/>
                <w:szCs w:val="19"/>
                <w:vertAlign w:val="baseline"/>
                <w:lang w:eastAsia="ru-RU"/>
              </w:rPr>
              <w:t xml:space="preserve"> </w:t>
            </w:r>
            <w:r w:rsidR="00D339B5" w:rsidRPr="0074485A">
              <w:rPr>
                <w:rStyle w:val="a8"/>
                <w:rFonts w:ascii="Times New Roman" w:eastAsia="Times New Roman" w:hAnsi="Times New Roman" w:cs="Times New Roman"/>
                <w:sz w:val="19"/>
                <w:szCs w:val="19"/>
                <w:lang w:eastAsia="ru-RU"/>
              </w:rPr>
              <w:endnoteReference w:id="2"/>
            </w:r>
          </w:p>
        </w:tc>
        <w:tc>
          <w:tcPr>
            <w:tcW w:w="1465" w:type="pct"/>
            <w:tcBorders>
              <w:top w:val="single" w:sz="4" w:space="0" w:color="auto"/>
              <w:left w:val="nil"/>
              <w:bottom w:val="single" w:sz="4" w:space="0" w:color="auto"/>
              <w:right w:val="single" w:sz="4" w:space="0" w:color="auto"/>
            </w:tcBorders>
            <w:vAlign w:val="center"/>
            <w:hideMark/>
          </w:tcPr>
          <w:p w14:paraId="1F4A3294" w14:textId="24C7785A" w:rsidR="00D339B5" w:rsidRPr="0074485A" w:rsidRDefault="001977F2" w:rsidP="00D2464A">
            <w:pPr>
              <w:spacing w:before="240" w:line="240" w:lineRule="auto"/>
              <w:jc w:val="center"/>
              <w:rPr>
                <w:rFonts w:ascii="Times New Roman" w:eastAsia="Times New Roman" w:hAnsi="Times New Roman" w:cs="Times New Roman"/>
                <w:sz w:val="19"/>
                <w:szCs w:val="19"/>
                <w:lang w:eastAsia="ru-RU"/>
              </w:rPr>
            </w:pPr>
            <w:r w:rsidRPr="0074485A">
              <w:rPr>
                <w:rFonts w:ascii="Times New Roman" w:eastAsia="Times New Roman" w:hAnsi="Times New Roman" w:cs="Times New Roman"/>
                <w:sz w:val="19"/>
                <w:szCs w:val="19"/>
                <w:lang w:eastAsia="ru-RU"/>
              </w:rPr>
              <w:t>Присвоение учетного номера в ТФ НБРК</w:t>
            </w:r>
            <w:r w:rsidRPr="0074485A">
              <w:rPr>
                <w:rStyle w:val="a8"/>
                <w:rFonts w:ascii="Times New Roman" w:eastAsia="Times New Roman" w:hAnsi="Times New Roman" w:cs="Times New Roman"/>
                <w:sz w:val="19"/>
                <w:szCs w:val="19"/>
                <w:vertAlign w:val="baseline"/>
                <w:lang w:eastAsia="ru-RU"/>
              </w:rPr>
              <w:t xml:space="preserve"> </w:t>
            </w:r>
            <w:r w:rsidR="00D339B5" w:rsidRPr="0074485A">
              <w:rPr>
                <w:rFonts w:ascii="Times New Roman" w:eastAsia="Times New Roman" w:hAnsi="Times New Roman" w:cs="Times New Roman"/>
                <w:sz w:val="19"/>
                <w:szCs w:val="19"/>
                <w:vertAlign w:val="superscript"/>
                <w:lang w:eastAsia="ru-RU"/>
              </w:rPr>
              <w:t>2</w:t>
            </w:r>
          </w:p>
        </w:tc>
        <w:tc>
          <w:tcPr>
            <w:tcW w:w="560" w:type="pct"/>
            <w:vMerge w:val="restart"/>
            <w:tcBorders>
              <w:top w:val="single" w:sz="4" w:space="0" w:color="auto"/>
              <w:left w:val="nil"/>
              <w:right w:val="single" w:sz="4" w:space="0" w:color="auto"/>
            </w:tcBorders>
          </w:tcPr>
          <w:p w14:paraId="7C832131" w14:textId="34720914" w:rsidR="00D339B5" w:rsidRPr="008379BF" w:rsidRDefault="00D339B5" w:rsidP="00C13E65">
            <w:pPr>
              <w:spacing w:before="240" w:line="240" w:lineRule="auto"/>
              <w:ind w:left="142" w:right="142"/>
              <w:jc w:val="both"/>
              <w:rPr>
                <w:rFonts w:ascii="Times New Roman" w:eastAsia="Times New Roman" w:hAnsi="Times New Roman" w:cs="Times New Roman"/>
                <w:sz w:val="19"/>
                <w:szCs w:val="19"/>
                <w:lang w:eastAsia="ru-RU"/>
              </w:rPr>
            </w:pPr>
            <w:r w:rsidRPr="008379BF">
              <w:rPr>
                <w:rFonts w:ascii="Times New Roman" w:eastAsia="Times New Roman" w:hAnsi="Times New Roman" w:cs="Times New Roman"/>
                <w:sz w:val="19"/>
                <w:szCs w:val="19"/>
                <w:lang w:eastAsia="ru-RU"/>
              </w:rPr>
              <w:t>Уведомление ЦА НБРК о проведенных валютных операциях, в том числе по поручению клиентов, в форме отчета</w:t>
            </w:r>
            <w:r w:rsidR="009F08FB" w:rsidRPr="008379BF">
              <w:rPr>
                <w:rFonts w:ascii="Times New Roman" w:eastAsia="Times New Roman" w:hAnsi="Times New Roman" w:cs="Times New Roman"/>
                <w:sz w:val="19"/>
                <w:szCs w:val="19"/>
                <w:lang w:eastAsia="ru-RU"/>
              </w:rPr>
              <w:t xml:space="preserve"> (индекс формы – ПР-9)</w:t>
            </w:r>
            <w:r w:rsidRPr="008379BF">
              <w:rPr>
                <w:rFonts w:ascii="Times New Roman" w:eastAsia="Times New Roman" w:hAnsi="Times New Roman" w:cs="Times New Roman"/>
                <w:sz w:val="19"/>
                <w:szCs w:val="19"/>
                <w:lang w:eastAsia="ru-RU"/>
              </w:rPr>
              <w:t xml:space="preserve"> по Приложению </w:t>
            </w:r>
            <w:r w:rsidR="005175E9" w:rsidRPr="008379BF">
              <w:rPr>
                <w:rFonts w:ascii="Times New Roman" w:eastAsia="Times New Roman" w:hAnsi="Times New Roman" w:cs="Times New Roman"/>
                <w:sz w:val="19"/>
                <w:szCs w:val="19"/>
                <w:lang w:eastAsia="ru-RU"/>
              </w:rPr>
              <w:t>3</w:t>
            </w:r>
            <w:r w:rsidRPr="008379BF">
              <w:rPr>
                <w:rFonts w:ascii="Times New Roman" w:eastAsia="Times New Roman" w:hAnsi="Times New Roman" w:cs="Times New Roman"/>
                <w:sz w:val="19"/>
                <w:szCs w:val="19"/>
                <w:lang w:eastAsia="ru-RU"/>
              </w:rPr>
              <w:t xml:space="preserve"> к </w:t>
            </w:r>
            <w:r w:rsidR="005175E9" w:rsidRPr="008379BF">
              <w:rPr>
                <w:rFonts w:ascii="Times New Roman" w:eastAsia="Times New Roman" w:hAnsi="Times New Roman" w:cs="Times New Roman"/>
                <w:sz w:val="19"/>
                <w:szCs w:val="19"/>
                <w:lang w:eastAsia="ru-RU"/>
              </w:rPr>
              <w:t>Правилам осуществления валютных операций в Республике Казахстан</w:t>
            </w:r>
            <w:r w:rsidRPr="008379BF">
              <w:rPr>
                <w:rStyle w:val="a8"/>
                <w:rFonts w:ascii="Times New Roman" w:eastAsia="Times New Roman" w:hAnsi="Times New Roman" w:cs="Times New Roman"/>
                <w:sz w:val="19"/>
                <w:szCs w:val="19"/>
                <w:lang w:eastAsia="ru-RU"/>
              </w:rPr>
              <w:endnoteReference w:id="3"/>
            </w:r>
          </w:p>
          <w:p w14:paraId="4D9D554D" w14:textId="673885D8" w:rsidR="00D339B5" w:rsidRPr="008379BF" w:rsidRDefault="009F08FB" w:rsidP="00450B0B">
            <w:pPr>
              <w:spacing w:before="240" w:line="240" w:lineRule="auto"/>
              <w:ind w:left="142" w:right="142"/>
              <w:jc w:val="both"/>
              <w:rPr>
                <w:rFonts w:ascii="Times New Roman" w:eastAsia="Times New Roman" w:hAnsi="Times New Roman" w:cs="Times New Roman"/>
                <w:i/>
                <w:sz w:val="19"/>
                <w:szCs w:val="19"/>
                <w:lang w:eastAsia="ru-RU"/>
              </w:rPr>
            </w:pPr>
            <w:r w:rsidRPr="008379BF">
              <w:rPr>
                <w:rFonts w:ascii="Times New Roman" w:eastAsia="Times New Roman" w:hAnsi="Times New Roman" w:cs="Times New Roman"/>
                <w:i/>
                <w:sz w:val="19"/>
                <w:szCs w:val="19"/>
                <w:lang w:eastAsia="ru-RU"/>
              </w:rPr>
              <w:t>Исключение: не требуется в случаях, предусмотренных пунктами 16 и 17 пояснений по заполнению отчета по приложению 3 к Правилам осуществления валютных операций в Республике Казахстан.</w:t>
            </w:r>
          </w:p>
        </w:tc>
      </w:tr>
      <w:tr w:rsidR="00D339B5" w:rsidRPr="00E9113E" w14:paraId="238D59A6" w14:textId="77777777" w:rsidTr="0082285A">
        <w:trPr>
          <w:trHeight w:val="1483"/>
        </w:trPr>
        <w:tc>
          <w:tcPr>
            <w:tcW w:w="93" w:type="pct"/>
            <w:vMerge/>
            <w:tcBorders>
              <w:left w:val="single" w:sz="4" w:space="0" w:color="auto"/>
              <w:bottom w:val="single" w:sz="4" w:space="0" w:color="auto"/>
              <w:right w:val="single" w:sz="4" w:space="0" w:color="auto"/>
            </w:tcBorders>
            <w:vAlign w:val="center"/>
          </w:tcPr>
          <w:p w14:paraId="17F98F18" w14:textId="77777777" w:rsidR="00D339B5" w:rsidRPr="00E9113E" w:rsidRDefault="00D339B5" w:rsidP="00D2464A">
            <w:pPr>
              <w:spacing w:before="240" w:line="240" w:lineRule="auto"/>
              <w:contextualSpacing/>
              <w:rPr>
                <w:rFonts w:ascii="Times New Roman" w:eastAsia="Times New Roman" w:hAnsi="Times New Roman" w:cs="Times New Roman"/>
                <w:sz w:val="19"/>
                <w:szCs w:val="19"/>
                <w:lang w:eastAsia="ru-RU"/>
              </w:rPr>
            </w:pPr>
          </w:p>
        </w:tc>
        <w:tc>
          <w:tcPr>
            <w:tcW w:w="597" w:type="pct"/>
            <w:vMerge/>
            <w:tcBorders>
              <w:left w:val="single" w:sz="4" w:space="0" w:color="auto"/>
              <w:bottom w:val="single" w:sz="4" w:space="0" w:color="auto"/>
              <w:right w:val="single" w:sz="4" w:space="0" w:color="auto"/>
            </w:tcBorders>
            <w:vAlign w:val="center"/>
          </w:tcPr>
          <w:p w14:paraId="5BF35752" w14:textId="77777777" w:rsidR="00D339B5" w:rsidRPr="00E9113E" w:rsidRDefault="00D339B5" w:rsidP="00D2464A">
            <w:pPr>
              <w:spacing w:before="240" w:line="240" w:lineRule="auto"/>
              <w:contextualSpacing/>
              <w:rPr>
                <w:rFonts w:ascii="Times New Roman" w:eastAsia="Times New Roman" w:hAnsi="Times New Roman" w:cs="Times New Roman"/>
                <w:sz w:val="19"/>
                <w:szCs w:val="19"/>
                <w:lang w:eastAsia="ru-RU"/>
              </w:rPr>
            </w:pPr>
          </w:p>
        </w:tc>
        <w:tc>
          <w:tcPr>
            <w:tcW w:w="616" w:type="pct"/>
            <w:vMerge/>
            <w:tcBorders>
              <w:left w:val="single" w:sz="4" w:space="0" w:color="auto"/>
              <w:bottom w:val="single" w:sz="4" w:space="0" w:color="auto"/>
              <w:right w:val="single" w:sz="4" w:space="0" w:color="auto"/>
            </w:tcBorders>
            <w:shd w:val="clear" w:color="auto" w:fill="F2F2F2" w:themeFill="background1" w:themeFillShade="F2"/>
            <w:vAlign w:val="center"/>
          </w:tcPr>
          <w:p w14:paraId="2169C932" w14:textId="77777777" w:rsidR="00D339B5" w:rsidRPr="0074485A" w:rsidRDefault="00D339B5" w:rsidP="00D2464A">
            <w:pPr>
              <w:spacing w:before="240" w:line="240" w:lineRule="auto"/>
              <w:contextualSpacing/>
              <w:rPr>
                <w:rFonts w:ascii="Times New Roman" w:eastAsia="Times New Roman" w:hAnsi="Times New Roman" w:cs="Times New Roman"/>
                <w:sz w:val="19"/>
                <w:szCs w:val="19"/>
                <w:lang w:eastAsia="ru-RU"/>
              </w:rPr>
            </w:pPr>
          </w:p>
        </w:tc>
        <w:tc>
          <w:tcPr>
            <w:tcW w:w="3134" w:type="pct"/>
            <w:gridSpan w:val="2"/>
            <w:tcBorders>
              <w:top w:val="nil"/>
              <w:left w:val="nil"/>
              <w:bottom w:val="single" w:sz="4" w:space="0" w:color="auto"/>
              <w:right w:val="single" w:sz="4" w:space="0" w:color="auto"/>
            </w:tcBorders>
            <w:vAlign w:val="center"/>
          </w:tcPr>
          <w:p w14:paraId="725845EC" w14:textId="77777777" w:rsidR="00D339B5" w:rsidRPr="0074485A" w:rsidRDefault="00D339B5" w:rsidP="00F84C81">
            <w:pPr>
              <w:spacing w:after="0" w:line="240" w:lineRule="auto"/>
              <w:jc w:val="both"/>
              <w:rPr>
                <w:rFonts w:ascii="Times New Roman" w:hAnsi="Times New Roman" w:cs="Times New Roman"/>
                <w:sz w:val="19"/>
                <w:szCs w:val="19"/>
              </w:rPr>
            </w:pPr>
            <w:r w:rsidRPr="0074485A">
              <w:rPr>
                <w:rFonts w:ascii="Times New Roman" w:eastAsia="Times New Roman" w:hAnsi="Times New Roman" w:cs="Times New Roman"/>
                <w:i/>
                <w:sz w:val="19"/>
                <w:szCs w:val="19"/>
                <w:lang w:eastAsia="ru-RU"/>
              </w:rPr>
              <w:t>Исключение:</w:t>
            </w:r>
            <w:r w:rsidRPr="0074485A">
              <w:rPr>
                <w:rFonts w:ascii="Times New Roman" w:hAnsi="Times New Roman" w:cs="Times New Roman"/>
                <w:sz w:val="19"/>
                <w:szCs w:val="19"/>
              </w:rPr>
              <w:t xml:space="preserve"> </w:t>
            </w:r>
          </w:p>
          <w:p w14:paraId="3F7F68DE" w14:textId="77777777" w:rsidR="00D339B5" w:rsidRPr="0074485A" w:rsidRDefault="00D339B5" w:rsidP="00F84C81">
            <w:pPr>
              <w:spacing w:after="0" w:line="240" w:lineRule="auto"/>
              <w:contextualSpacing/>
              <w:jc w:val="both"/>
              <w:rPr>
                <w:rFonts w:ascii="Times New Roman" w:eastAsia="Times New Roman" w:hAnsi="Times New Roman" w:cs="Times New Roman"/>
                <w:i/>
                <w:sz w:val="19"/>
                <w:szCs w:val="19"/>
                <w:lang w:eastAsia="ru-RU"/>
              </w:rPr>
            </w:pPr>
            <w:r w:rsidRPr="0074485A">
              <w:rPr>
                <w:rFonts w:ascii="Times New Roman" w:eastAsia="Times New Roman" w:hAnsi="Times New Roman" w:cs="Times New Roman"/>
                <w:i/>
                <w:sz w:val="19"/>
                <w:szCs w:val="19"/>
                <w:lang w:eastAsia="ru-RU"/>
              </w:rPr>
              <w:t>1) договор на продажу резидентом нерезиденту акций, долей участия в капитале объекта инвестирования-нерезидента, если резидентом ранее получен учетный номер для валютного договора по движению капитала по участию резидента в капитале (приобретению резидентом акций, долей участия) объекта инвестирования-нерезидента;</w:t>
            </w:r>
          </w:p>
          <w:p w14:paraId="6044DDAF" w14:textId="7762E5C0" w:rsidR="00D339B5" w:rsidRPr="0074485A" w:rsidRDefault="00D339B5" w:rsidP="00F84C81">
            <w:pPr>
              <w:spacing w:after="0" w:line="240" w:lineRule="auto"/>
              <w:jc w:val="both"/>
              <w:rPr>
                <w:rFonts w:ascii="Times New Roman" w:eastAsia="Times New Roman" w:hAnsi="Times New Roman" w:cs="Times New Roman"/>
                <w:i/>
                <w:sz w:val="19"/>
                <w:szCs w:val="19"/>
                <w:lang w:val="kk-KZ" w:eastAsia="ru-RU"/>
              </w:rPr>
            </w:pPr>
            <w:r w:rsidRPr="0074485A">
              <w:rPr>
                <w:rFonts w:ascii="Times New Roman" w:eastAsia="Times New Roman" w:hAnsi="Times New Roman" w:cs="Times New Roman"/>
                <w:i/>
                <w:sz w:val="19"/>
                <w:szCs w:val="19"/>
                <w:lang w:eastAsia="ru-RU"/>
              </w:rPr>
              <w:t>2) договор на выкуп объектом инвестирования-резидентом у нерезидента собственных акций, долей участия в капитале, если резидентом ранее получен учетный номер для валютного договора по движению капитала по участию нерезидента в капитале объекта инвестирования-резидента</w:t>
            </w:r>
          </w:p>
          <w:p w14:paraId="15E6E97D" w14:textId="49811080" w:rsidR="00F84C81" w:rsidRPr="0074485A" w:rsidRDefault="00F84C81" w:rsidP="00F84C81">
            <w:pPr>
              <w:spacing w:after="0" w:line="240" w:lineRule="auto"/>
              <w:jc w:val="both"/>
              <w:rPr>
                <w:rFonts w:ascii="Times New Roman" w:eastAsia="Times New Roman" w:hAnsi="Times New Roman" w:cs="Times New Roman"/>
                <w:i/>
                <w:sz w:val="19"/>
                <w:szCs w:val="19"/>
                <w:lang w:eastAsia="ru-RU"/>
              </w:rPr>
            </w:pPr>
          </w:p>
        </w:tc>
        <w:tc>
          <w:tcPr>
            <w:tcW w:w="560" w:type="pct"/>
            <w:vMerge/>
            <w:tcBorders>
              <w:left w:val="nil"/>
              <w:right w:val="single" w:sz="4" w:space="0" w:color="auto"/>
            </w:tcBorders>
            <w:vAlign w:val="center"/>
          </w:tcPr>
          <w:p w14:paraId="569815E8" w14:textId="77777777" w:rsidR="00D339B5" w:rsidRPr="00E9113E" w:rsidRDefault="00D339B5" w:rsidP="00D2464A">
            <w:pPr>
              <w:spacing w:before="240" w:line="240" w:lineRule="auto"/>
              <w:contextualSpacing/>
              <w:rPr>
                <w:rFonts w:ascii="Times New Roman" w:eastAsia="Times New Roman" w:hAnsi="Times New Roman" w:cs="Times New Roman"/>
                <w:i/>
                <w:sz w:val="19"/>
                <w:szCs w:val="19"/>
                <w:lang w:eastAsia="ru-RU"/>
              </w:rPr>
            </w:pPr>
          </w:p>
        </w:tc>
      </w:tr>
      <w:tr w:rsidR="00D339B5" w:rsidRPr="00E9113E" w14:paraId="0256D900" w14:textId="77777777" w:rsidTr="0082285A">
        <w:trPr>
          <w:trHeight w:val="173"/>
        </w:trPr>
        <w:tc>
          <w:tcPr>
            <w:tcW w:w="93" w:type="pct"/>
            <w:vMerge w:val="restart"/>
            <w:tcBorders>
              <w:top w:val="nil"/>
              <w:left w:val="single" w:sz="4" w:space="0" w:color="auto"/>
              <w:right w:val="single" w:sz="4" w:space="0" w:color="auto"/>
            </w:tcBorders>
            <w:vAlign w:val="center"/>
            <w:hideMark/>
          </w:tcPr>
          <w:p w14:paraId="00B4EC28" w14:textId="77777777" w:rsidR="00D339B5" w:rsidRPr="00E9113E" w:rsidRDefault="00D339B5" w:rsidP="00D2464A">
            <w:pPr>
              <w:spacing w:before="240" w:line="240" w:lineRule="auto"/>
              <w:contextualSpacing/>
              <w:rPr>
                <w:rFonts w:ascii="Times New Roman" w:eastAsia="Times New Roman" w:hAnsi="Times New Roman" w:cs="Times New Roman"/>
                <w:sz w:val="19"/>
                <w:szCs w:val="19"/>
                <w:lang w:eastAsia="ru-RU"/>
              </w:rPr>
            </w:pPr>
            <w:r w:rsidRPr="00E9113E">
              <w:rPr>
                <w:rFonts w:ascii="Times New Roman" w:eastAsia="Times New Roman" w:hAnsi="Times New Roman" w:cs="Times New Roman"/>
                <w:sz w:val="19"/>
                <w:szCs w:val="19"/>
                <w:lang w:eastAsia="ru-RU"/>
              </w:rPr>
              <w:t>2</w:t>
            </w:r>
          </w:p>
        </w:tc>
        <w:tc>
          <w:tcPr>
            <w:tcW w:w="597" w:type="pct"/>
            <w:vMerge w:val="restart"/>
            <w:tcBorders>
              <w:top w:val="nil"/>
              <w:left w:val="single" w:sz="4" w:space="0" w:color="auto"/>
              <w:right w:val="single" w:sz="4" w:space="0" w:color="auto"/>
            </w:tcBorders>
            <w:vAlign w:val="center"/>
            <w:hideMark/>
          </w:tcPr>
          <w:p w14:paraId="37D46C82" w14:textId="77777777" w:rsidR="00D339B5" w:rsidRPr="00E9113E" w:rsidRDefault="00D339B5" w:rsidP="00D2464A">
            <w:pPr>
              <w:spacing w:before="240" w:line="240" w:lineRule="auto"/>
              <w:contextualSpacing/>
              <w:rPr>
                <w:rFonts w:ascii="Times New Roman" w:eastAsia="Times New Roman" w:hAnsi="Times New Roman" w:cs="Times New Roman"/>
                <w:sz w:val="19"/>
                <w:szCs w:val="19"/>
                <w:lang w:eastAsia="ru-RU"/>
              </w:rPr>
            </w:pPr>
            <w:r w:rsidRPr="00E9113E">
              <w:rPr>
                <w:rFonts w:ascii="Times New Roman" w:eastAsia="Times New Roman" w:hAnsi="Times New Roman" w:cs="Times New Roman"/>
                <w:sz w:val="19"/>
                <w:szCs w:val="19"/>
                <w:lang w:eastAsia="ru-RU"/>
              </w:rPr>
              <w:t>Финансовые займы</w:t>
            </w:r>
          </w:p>
        </w:tc>
        <w:tc>
          <w:tcPr>
            <w:tcW w:w="616" w:type="pct"/>
            <w:vMerge w:val="restart"/>
            <w:tcBorders>
              <w:top w:val="nil"/>
              <w:left w:val="single" w:sz="4" w:space="0" w:color="auto"/>
              <w:right w:val="single" w:sz="4" w:space="0" w:color="auto"/>
            </w:tcBorders>
            <w:vAlign w:val="center"/>
          </w:tcPr>
          <w:p w14:paraId="6B5396FC" w14:textId="6E8EF162" w:rsidR="00D339B5" w:rsidRPr="0074485A" w:rsidRDefault="002719DB" w:rsidP="002719DB">
            <w:pPr>
              <w:spacing w:before="120" w:after="120" w:line="240" w:lineRule="auto"/>
              <w:rPr>
                <w:rFonts w:ascii="Times New Roman" w:eastAsia="Times New Roman" w:hAnsi="Times New Roman" w:cs="Times New Roman"/>
                <w:sz w:val="19"/>
                <w:szCs w:val="19"/>
                <w:lang w:eastAsia="ru-RU"/>
              </w:rPr>
            </w:pPr>
            <w:r w:rsidRPr="0074485A">
              <w:rPr>
                <w:rFonts w:ascii="Times New Roman" w:eastAsia="Times New Roman" w:hAnsi="Times New Roman" w:cs="Times New Roman"/>
                <w:sz w:val="19"/>
                <w:szCs w:val="19"/>
                <w:lang w:eastAsia="ru-RU"/>
              </w:rPr>
              <w:t xml:space="preserve">Ежеквартальное представление в ЦА НБРК отчета по форме согласно Приложению 6 к </w:t>
            </w:r>
            <w:r w:rsidR="00D339B5" w:rsidRPr="0074485A">
              <w:rPr>
                <w:rFonts w:ascii="Times New Roman" w:eastAsia="Times New Roman" w:hAnsi="Times New Roman" w:cs="Times New Roman"/>
                <w:sz w:val="19"/>
                <w:szCs w:val="19"/>
                <w:lang w:eastAsia="ru-RU"/>
              </w:rPr>
              <w:t xml:space="preserve">Правилам </w:t>
            </w:r>
            <w:r w:rsidRPr="0074485A">
              <w:rPr>
                <w:rFonts w:ascii="Times New Roman" w:eastAsia="Times New Roman" w:hAnsi="Times New Roman" w:cs="Times New Roman"/>
                <w:sz w:val="19"/>
                <w:szCs w:val="19"/>
                <w:lang w:val="ru-KZ" w:eastAsia="ru-RU"/>
              </w:rPr>
              <w:t>об освоении и обслуживании финансовых займов, а также обязательств</w:t>
            </w:r>
            <w:r w:rsidRPr="0074485A">
              <w:rPr>
                <w:rFonts w:ascii="Times New Roman" w:eastAsia="Times New Roman" w:hAnsi="Times New Roman" w:cs="Times New Roman"/>
                <w:sz w:val="19"/>
                <w:szCs w:val="19"/>
                <w:lang w:val="ru-KZ" w:eastAsia="ru-RU"/>
              </w:rPr>
              <w:br/>
              <w:t>по операциям РЕПО, привлеченных от нерезидентов, по которым имеются непогашенные</w:t>
            </w:r>
            <w:r w:rsidRPr="0074485A">
              <w:rPr>
                <w:rFonts w:ascii="Times New Roman" w:eastAsia="Times New Roman" w:hAnsi="Times New Roman" w:cs="Times New Roman"/>
                <w:sz w:val="19"/>
                <w:szCs w:val="19"/>
                <w:lang w:val="ru-KZ" w:eastAsia="ru-RU"/>
              </w:rPr>
              <w:br/>
              <w:t>обязательства на начало и (или) конец отчетного периода</w:t>
            </w:r>
          </w:p>
        </w:tc>
        <w:tc>
          <w:tcPr>
            <w:tcW w:w="1668" w:type="pct"/>
            <w:tcBorders>
              <w:top w:val="nil"/>
              <w:left w:val="nil"/>
              <w:bottom w:val="single" w:sz="4" w:space="0" w:color="auto"/>
              <w:right w:val="single" w:sz="4" w:space="0" w:color="auto"/>
            </w:tcBorders>
            <w:vAlign w:val="center"/>
            <w:hideMark/>
          </w:tcPr>
          <w:p w14:paraId="00D42C19" w14:textId="6A64114C" w:rsidR="00274929" w:rsidRPr="0074485A" w:rsidRDefault="001977F2" w:rsidP="00274929">
            <w:pPr>
              <w:spacing w:after="0" w:line="240" w:lineRule="auto"/>
              <w:jc w:val="center"/>
              <w:rPr>
                <w:rFonts w:ascii="Times New Roman" w:eastAsia="Times New Roman" w:hAnsi="Times New Roman" w:cs="Times New Roman"/>
                <w:sz w:val="19"/>
                <w:szCs w:val="19"/>
                <w:vertAlign w:val="superscript"/>
                <w:lang w:eastAsia="ru-RU"/>
              </w:rPr>
            </w:pPr>
            <w:r w:rsidRPr="0074485A">
              <w:rPr>
                <w:rFonts w:ascii="Times New Roman" w:eastAsia="Times New Roman" w:hAnsi="Times New Roman" w:cs="Times New Roman"/>
                <w:sz w:val="19"/>
                <w:szCs w:val="19"/>
                <w:lang w:eastAsia="ru-RU"/>
              </w:rPr>
              <w:t>Присвоение учетного номера в ТФ НБРК</w:t>
            </w:r>
            <w:r w:rsidRPr="0074485A">
              <w:rPr>
                <w:rStyle w:val="a8"/>
                <w:rFonts w:ascii="Times New Roman" w:eastAsia="Times New Roman" w:hAnsi="Times New Roman" w:cs="Times New Roman"/>
                <w:sz w:val="19"/>
                <w:szCs w:val="19"/>
                <w:vertAlign w:val="baseline"/>
                <w:lang w:eastAsia="ru-RU"/>
              </w:rPr>
              <w:t xml:space="preserve"> </w:t>
            </w:r>
            <w:r w:rsidR="00274929" w:rsidRPr="0074485A">
              <w:rPr>
                <w:rFonts w:ascii="Times New Roman" w:eastAsia="Times New Roman" w:hAnsi="Times New Roman" w:cs="Times New Roman"/>
                <w:sz w:val="19"/>
                <w:szCs w:val="19"/>
                <w:vertAlign w:val="superscript"/>
                <w:lang w:eastAsia="ru-RU"/>
              </w:rPr>
              <w:t>2</w:t>
            </w:r>
          </w:p>
        </w:tc>
        <w:tc>
          <w:tcPr>
            <w:tcW w:w="1465" w:type="pct"/>
            <w:tcBorders>
              <w:top w:val="nil"/>
              <w:left w:val="nil"/>
              <w:bottom w:val="single" w:sz="4" w:space="0" w:color="auto"/>
              <w:right w:val="single" w:sz="4" w:space="0" w:color="auto"/>
            </w:tcBorders>
            <w:vAlign w:val="center"/>
            <w:hideMark/>
          </w:tcPr>
          <w:p w14:paraId="66AC79F2" w14:textId="27F40667" w:rsidR="00274929" w:rsidRPr="0074485A" w:rsidRDefault="001977F2" w:rsidP="00274929">
            <w:pPr>
              <w:spacing w:before="240" w:line="240" w:lineRule="auto"/>
              <w:jc w:val="center"/>
              <w:rPr>
                <w:rFonts w:ascii="Times New Roman" w:eastAsia="Times New Roman" w:hAnsi="Times New Roman" w:cs="Times New Roman"/>
                <w:sz w:val="19"/>
                <w:szCs w:val="19"/>
                <w:vertAlign w:val="superscript"/>
                <w:lang w:eastAsia="ru-RU"/>
              </w:rPr>
            </w:pPr>
            <w:r w:rsidRPr="0074485A">
              <w:rPr>
                <w:rFonts w:ascii="Times New Roman" w:eastAsia="Times New Roman" w:hAnsi="Times New Roman" w:cs="Times New Roman"/>
                <w:sz w:val="19"/>
                <w:szCs w:val="19"/>
                <w:lang w:eastAsia="ru-RU"/>
              </w:rPr>
              <w:t>Присвоение учетного номера в ТФ НБРК</w:t>
            </w:r>
            <w:r w:rsidRPr="0074485A">
              <w:rPr>
                <w:rStyle w:val="a8"/>
                <w:rFonts w:ascii="Times New Roman" w:eastAsia="Times New Roman" w:hAnsi="Times New Roman" w:cs="Times New Roman"/>
                <w:sz w:val="19"/>
                <w:szCs w:val="19"/>
                <w:vertAlign w:val="baseline"/>
                <w:lang w:eastAsia="ru-RU"/>
              </w:rPr>
              <w:t xml:space="preserve"> </w:t>
            </w:r>
            <w:r w:rsidR="00D339B5" w:rsidRPr="0074485A">
              <w:rPr>
                <w:rFonts w:ascii="Times New Roman" w:eastAsia="Times New Roman" w:hAnsi="Times New Roman" w:cs="Times New Roman"/>
                <w:sz w:val="19"/>
                <w:szCs w:val="19"/>
                <w:vertAlign w:val="superscript"/>
                <w:lang w:eastAsia="ru-RU"/>
              </w:rPr>
              <w:t>2</w:t>
            </w:r>
          </w:p>
        </w:tc>
        <w:tc>
          <w:tcPr>
            <w:tcW w:w="560" w:type="pct"/>
            <w:vMerge/>
            <w:tcBorders>
              <w:left w:val="nil"/>
              <w:right w:val="single" w:sz="4" w:space="0" w:color="auto"/>
            </w:tcBorders>
            <w:vAlign w:val="center"/>
          </w:tcPr>
          <w:p w14:paraId="01CF21F8" w14:textId="77777777" w:rsidR="00D339B5" w:rsidRPr="00E9113E" w:rsidRDefault="00D339B5" w:rsidP="00D2464A">
            <w:pPr>
              <w:spacing w:before="240" w:line="240" w:lineRule="auto"/>
              <w:contextualSpacing/>
              <w:rPr>
                <w:rFonts w:ascii="Times New Roman" w:eastAsia="Times New Roman" w:hAnsi="Times New Roman" w:cs="Times New Roman"/>
                <w:sz w:val="19"/>
                <w:szCs w:val="19"/>
                <w:lang w:eastAsia="ru-RU"/>
              </w:rPr>
            </w:pPr>
          </w:p>
        </w:tc>
      </w:tr>
      <w:tr w:rsidR="00D339B5" w:rsidRPr="00E9113E" w14:paraId="4EE806FD" w14:textId="77777777" w:rsidTr="0082285A">
        <w:trPr>
          <w:trHeight w:val="413"/>
        </w:trPr>
        <w:tc>
          <w:tcPr>
            <w:tcW w:w="93" w:type="pct"/>
            <w:vMerge/>
            <w:tcBorders>
              <w:left w:val="single" w:sz="4" w:space="0" w:color="auto"/>
              <w:bottom w:val="single" w:sz="4" w:space="0" w:color="auto"/>
              <w:right w:val="single" w:sz="4" w:space="0" w:color="auto"/>
            </w:tcBorders>
            <w:vAlign w:val="center"/>
          </w:tcPr>
          <w:p w14:paraId="58CF876E" w14:textId="77777777" w:rsidR="00D339B5" w:rsidRPr="00E9113E" w:rsidRDefault="00D339B5" w:rsidP="00D2464A">
            <w:pPr>
              <w:spacing w:before="240" w:line="240" w:lineRule="auto"/>
              <w:contextualSpacing/>
              <w:rPr>
                <w:rFonts w:ascii="Times New Roman" w:eastAsia="Times New Roman" w:hAnsi="Times New Roman" w:cs="Times New Roman"/>
                <w:sz w:val="19"/>
                <w:szCs w:val="19"/>
                <w:lang w:eastAsia="ru-RU"/>
              </w:rPr>
            </w:pPr>
          </w:p>
        </w:tc>
        <w:tc>
          <w:tcPr>
            <w:tcW w:w="597" w:type="pct"/>
            <w:vMerge/>
            <w:tcBorders>
              <w:left w:val="single" w:sz="4" w:space="0" w:color="auto"/>
              <w:bottom w:val="single" w:sz="4" w:space="0" w:color="auto"/>
              <w:right w:val="single" w:sz="4" w:space="0" w:color="auto"/>
            </w:tcBorders>
            <w:vAlign w:val="center"/>
          </w:tcPr>
          <w:p w14:paraId="2C8B5ACD" w14:textId="77777777" w:rsidR="00D339B5" w:rsidRPr="00E9113E" w:rsidRDefault="00D339B5" w:rsidP="00D2464A">
            <w:pPr>
              <w:spacing w:before="240" w:line="240" w:lineRule="auto"/>
              <w:contextualSpacing/>
              <w:rPr>
                <w:rFonts w:ascii="Times New Roman" w:eastAsia="Times New Roman" w:hAnsi="Times New Roman" w:cs="Times New Roman"/>
                <w:sz w:val="19"/>
                <w:szCs w:val="19"/>
                <w:lang w:eastAsia="ru-RU"/>
              </w:rPr>
            </w:pPr>
          </w:p>
        </w:tc>
        <w:tc>
          <w:tcPr>
            <w:tcW w:w="616" w:type="pct"/>
            <w:vMerge/>
            <w:tcBorders>
              <w:left w:val="single" w:sz="4" w:space="0" w:color="auto"/>
              <w:bottom w:val="single" w:sz="4" w:space="0" w:color="auto"/>
              <w:right w:val="single" w:sz="4" w:space="0" w:color="auto"/>
            </w:tcBorders>
            <w:vAlign w:val="center"/>
          </w:tcPr>
          <w:p w14:paraId="7927467B" w14:textId="77777777" w:rsidR="00D339B5" w:rsidRPr="0074485A" w:rsidRDefault="00D339B5" w:rsidP="00D2464A">
            <w:pPr>
              <w:spacing w:before="240" w:line="240" w:lineRule="auto"/>
              <w:contextualSpacing/>
              <w:rPr>
                <w:rFonts w:ascii="Times New Roman" w:eastAsia="Times New Roman" w:hAnsi="Times New Roman" w:cs="Times New Roman"/>
                <w:sz w:val="19"/>
                <w:szCs w:val="19"/>
                <w:lang w:eastAsia="ru-RU"/>
              </w:rPr>
            </w:pPr>
          </w:p>
        </w:tc>
        <w:tc>
          <w:tcPr>
            <w:tcW w:w="3134" w:type="pct"/>
            <w:gridSpan w:val="2"/>
            <w:tcBorders>
              <w:top w:val="nil"/>
              <w:left w:val="nil"/>
              <w:bottom w:val="single" w:sz="4" w:space="0" w:color="auto"/>
              <w:right w:val="single" w:sz="4" w:space="0" w:color="auto"/>
            </w:tcBorders>
            <w:vAlign w:val="center"/>
          </w:tcPr>
          <w:p w14:paraId="72C7DEFB" w14:textId="0E798C3B" w:rsidR="00D339B5" w:rsidRPr="00FE7401" w:rsidRDefault="00D339B5" w:rsidP="00514054">
            <w:pPr>
              <w:spacing w:before="240" w:line="240" w:lineRule="auto"/>
              <w:contextualSpacing/>
              <w:jc w:val="both"/>
              <w:rPr>
                <w:rFonts w:ascii="Times New Roman" w:eastAsia="Times New Roman" w:hAnsi="Times New Roman" w:cs="Times New Roman"/>
                <w:i/>
                <w:sz w:val="19"/>
                <w:szCs w:val="19"/>
                <w:lang w:eastAsia="ru-RU"/>
              </w:rPr>
            </w:pPr>
            <w:r w:rsidRPr="0074485A">
              <w:rPr>
                <w:rFonts w:ascii="Times New Roman" w:eastAsia="Times New Roman" w:hAnsi="Times New Roman" w:cs="Times New Roman"/>
                <w:i/>
                <w:sz w:val="19"/>
                <w:szCs w:val="19"/>
                <w:lang w:eastAsia="ru-RU"/>
              </w:rPr>
              <w:t>Исключение:</w:t>
            </w:r>
            <w:r w:rsidR="00FE7401">
              <w:rPr>
                <w:rFonts w:ascii="Times New Roman" w:eastAsia="Times New Roman" w:hAnsi="Times New Roman" w:cs="Times New Roman"/>
                <w:i/>
                <w:sz w:val="19"/>
                <w:szCs w:val="19"/>
                <w:lang w:eastAsia="ru-RU"/>
              </w:rPr>
              <w:t xml:space="preserve"> </w:t>
            </w:r>
            <w:r w:rsidRPr="0074485A">
              <w:rPr>
                <w:rFonts w:ascii="Times New Roman" w:eastAsia="Times New Roman" w:hAnsi="Times New Roman" w:cs="Times New Roman"/>
                <w:i/>
                <w:sz w:val="19"/>
                <w:szCs w:val="19"/>
                <w:lang w:eastAsia="ru-RU"/>
              </w:rPr>
              <w:t>соглашения о государственных внешних займах РК, негосударственных внешних займах, имеющих государственные гарантии</w:t>
            </w:r>
            <w:r w:rsidR="001924BB">
              <w:rPr>
                <w:rFonts w:ascii="Times New Roman" w:eastAsia="Times New Roman" w:hAnsi="Times New Roman" w:cs="Times New Roman"/>
                <w:i/>
                <w:sz w:val="19"/>
                <w:szCs w:val="19"/>
                <w:lang w:eastAsia="ru-RU"/>
              </w:rPr>
              <w:t> </w:t>
            </w:r>
            <w:r w:rsidRPr="0074485A">
              <w:rPr>
                <w:rFonts w:ascii="Times New Roman" w:eastAsia="Times New Roman" w:hAnsi="Times New Roman" w:cs="Times New Roman"/>
                <w:i/>
                <w:sz w:val="19"/>
                <w:szCs w:val="19"/>
                <w:lang w:eastAsia="ru-RU"/>
              </w:rPr>
              <w:t>РК</w:t>
            </w:r>
          </w:p>
        </w:tc>
        <w:tc>
          <w:tcPr>
            <w:tcW w:w="560" w:type="pct"/>
            <w:vMerge/>
            <w:tcBorders>
              <w:left w:val="nil"/>
              <w:right w:val="single" w:sz="4" w:space="0" w:color="auto"/>
            </w:tcBorders>
            <w:vAlign w:val="center"/>
          </w:tcPr>
          <w:p w14:paraId="78C23E96" w14:textId="77777777" w:rsidR="00D339B5" w:rsidRPr="00E9113E" w:rsidRDefault="00D339B5" w:rsidP="00D2464A">
            <w:pPr>
              <w:spacing w:before="240" w:line="240" w:lineRule="auto"/>
              <w:contextualSpacing/>
              <w:rPr>
                <w:rFonts w:ascii="Times New Roman" w:eastAsia="Times New Roman" w:hAnsi="Times New Roman" w:cs="Times New Roman"/>
                <w:sz w:val="19"/>
                <w:szCs w:val="19"/>
                <w:lang w:eastAsia="ru-RU"/>
              </w:rPr>
            </w:pPr>
          </w:p>
        </w:tc>
      </w:tr>
      <w:tr w:rsidR="00D339B5" w:rsidRPr="00E9113E" w14:paraId="6268A7B3" w14:textId="77777777" w:rsidTr="0082285A">
        <w:trPr>
          <w:trHeight w:val="297"/>
        </w:trPr>
        <w:tc>
          <w:tcPr>
            <w:tcW w:w="93" w:type="pct"/>
            <w:vMerge w:val="restart"/>
            <w:tcBorders>
              <w:top w:val="nil"/>
              <w:left w:val="single" w:sz="4" w:space="0" w:color="auto"/>
              <w:right w:val="single" w:sz="4" w:space="0" w:color="auto"/>
            </w:tcBorders>
            <w:vAlign w:val="center"/>
            <w:hideMark/>
          </w:tcPr>
          <w:p w14:paraId="3660F38C" w14:textId="77777777" w:rsidR="00D339B5" w:rsidRPr="00E9113E" w:rsidRDefault="00D339B5" w:rsidP="00D2464A">
            <w:pPr>
              <w:spacing w:before="240" w:line="240" w:lineRule="auto"/>
              <w:contextualSpacing/>
              <w:rPr>
                <w:rFonts w:ascii="Times New Roman" w:eastAsia="Times New Roman" w:hAnsi="Times New Roman" w:cs="Times New Roman"/>
                <w:sz w:val="19"/>
                <w:szCs w:val="19"/>
                <w:lang w:eastAsia="ru-RU"/>
              </w:rPr>
            </w:pPr>
            <w:r w:rsidRPr="00E9113E">
              <w:rPr>
                <w:rFonts w:ascii="Times New Roman" w:eastAsia="Times New Roman" w:hAnsi="Times New Roman" w:cs="Times New Roman"/>
                <w:sz w:val="19"/>
                <w:szCs w:val="19"/>
                <w:lang w:eastAsia="ru-RU"/>
              </w:rPr>
              <w:t>3</w:t>
            </w:r>
          </w:p>
        </w:tc>
        <w:tc>
          <w:tcPr>
            <w:tcW w:w="597" w:type="pct"/>
            <w:vMerge w:val="restart"/>
            <w:tcBorders>
              <w:top w:val="nil"/>
              <w:left w:val="single" w:sz="4" w:space="0" w:color="auto"/>
              <w:right w:val="single" w:sz="4" w:space="0" w:color="auto"/>
            </w:tcBorders>
            <w:vAlign w:val="center"/>
            <w:hideMark/>
          </w:tcPr>
          <w:p w14:paraId="406C2151" w14:textId="33377536" w:rsidR="00D339B5" w:rsidRPr="00E9113E" w:rsidRDefault="00D339B5" w:rsidP="00D2464A">
            <w:pPr>
              <w:spacing w:before="240" w:line="240" w:lineRule="auto"/>
              <w:contextualSpacing/>
              <w:rPr>
                <w:rFonts w:ascii="Times New Roman" w:eastAsia="Times New Roman" w:hAnsi="Times New Roman" w:cs="Times New Roman"/>
                <w:sz w:val="19"/>
                <w:szCs w:val="19"/>
                <w:lang w:eastAsia="ru-RU"/>
              </w:rPr>
            </w:pPr>
            <w:r w:rsidRPr="00E9113E">
              <w:rPr>
                <w:rFonts w:ascii="Times New Roman" w:eastAsia="Times New Roman" w:hAnsi="Times New Roman" w:cs="Times New Roman"/>
                <w:sz w:val="19"/>
                <w:szCs w:val="19"/>
                <w:lang w:eastAsia="ru-RU"/>
              </w:rPr>
              <w:t xml:space="preserve">Операции с ценными бумагами, долями участия и производными финансовыми </w:t>
            </w:r>
            <w:r w:rsidRPr="0074485A">
              <w:rPr>
                <w:rFonts w:ascii="Times New Roman" w:eastAsia="Times New Roman" w:hAnsi="Times New Roman" w:cs="Times New Roman"/>
                <w:sz w:val="19"/>
                <w:szCs w:val="19"/>
                <w:lang w:eastAsia="ru-RU"/>
              </w:rPr>
              <w:t>инструментами</w:t>
            </w:r>
            <w:r w:rsidR="00D06DA2" w:rsidRPr="0074485A">
              <w:rPr>
                <w:rStyle w:val="a8"/>
                <w:rFonts w:ascii="Times New Roman" w:eastAsia="Times New Roman" w:hAnsi="Times New Roman" w:cs="Times New Roman"/>
                <w:sz w:val="19"/>
                <w:szCs w:val="19"/>
                <w:lang w:eastAsia="ru-RU"/>
              </w:rPr>
              <w:endnoteReference w:id="4"/>
            </w:r>
          </w:p>
        </w:tc>
        <w:tc>
          <w:tcPr>
            <w:tcW w:w="616" w:type="pct"/>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0F470A01" w14:textId="77777777" w:rsidR="00D339B5" w:rsidRPr="0074485A" w:rsidRDefault="00D339B5" w:rsidP="00D2464A">
            <w:pPr>
              <w:spacing w:before="240" w:line="240" w:lineRule="auto"/>
              <w:contextualSpacing/>
              <w:rPr>
                <w:rFonts w:ascii="Times New Roman" w:eastAsia="Times New Roman" w:hAnsi="Times New Roman" w:cs="Times New Roman"/>
                <w:sz w:val="19"/>
                <w:szCs w:val="19"/>
                <w:lang w:eastAsia="ru-RU"/>
              </w:rPr>
            </w:pPr>
          </w:p>
        </w:tc>
        <w:tc>
          <w:tcPr>
            <w:tcW w:w="1668" w:type="pct"/>
            <w:tcBorders>
              <w:top w:val="nil"/>
              <w:left w:val="nil"/>
              <w:bottom w:val="single" w:sz="4" w:space="0" w:color="auto"/>
              <w:right w:val="single" w:sz="4" w:space="0" w:color="auto"/>
            </w:tcBorders>
            <w:vAlign w:val="center"/>
            <w:hideMark/>
          </w:tcPr>
          <w:p w14:paraId="33577938" w14:textId="26A23239" w:rsidR="00D339B5" w:rsidRPr="0074485A" w:rsidRDefault="001977F2" w:rsidP="00D2464A">
            <w:pPr>
              <w:spacing w:before="240" w:line="240" w:lineRule="auto"/>
              <w:jc w:val="center"/>
              <w:rPr>
                <w:rFonts w:ascii="Times New Roman" w:eastAsia="Times New Roman" w:hAnsi="Times New Roman" w:cs="Times New Roman"/>
                <w:sz w:val="19"/>
                <w:szCs w:val="19"/>
                <w:lang w:eastAsia="ru-RU"/>
              </w:rPr>
            </w:pPr>
            <w:r w:rsidRPr="0074485A">
              <w:rPr>
                <w:rFonts w:ascii="Times New Roman" w:eastAsia="Times New Roman" w:hAnsi="Times New Roman" w:cs="Times New Roman"/>
                <w:sz w:val="19"/>
                <w:szCs w:val="19"/>
                <w:lang w:eastAsia="ru-RU"/>
              </w:rPr>
              <w:t>Присвоение учетного номера в ТФ НБРК</w:t>
            </w:r>
            <w:r w:rsidRPr="0074485A">
              <w:rPr>
                <w:rStyle w:val="a8"/>
                <w:rFonts w:ascii="Times New Roman" w:eastAsia="Times New Roman" w:hAnsi="Times New Roman" w:cs="Times New Roman"/>
                <w:sz w:val="19"/>
                <w:szCs w:val="19"/>
                <w:vertAlign w:val="baseline"/>
                <w:lang w:eastAsia="ru-RU"/>
              </w:rPr>
              <w:t xml:space="preserve"> </w:t>
            </w:r>
            <w:r w:rsidR="00D339B5" w:rsidRPr="0074485A">
              <w:rPr>
                <w:rFonts w:ascii="Times New Roman" w:eastAsia="Times New Roman" w:hAnsi="Times New Roman" w:cs="Times New Roman"/>
                <w:sz w:val="19"/>
                <w:szCs w:val="19"/>
                <w:vertAlign w:val="superscript"/>
                <w:lang w:eastAsia="ru-RU"/>
              </w:rPr>
              <w:t>2</w:t>
            </w:r>
          </w:p>
        </w:tc>
        <w:tc>
          <w:tcPr>
            <w:tcW w:w="1465" w:type="pct"/>
            <w:tcBorders>
              <w:top w:val="single" w:sz="4" w:space="0" w:color="auto"/>
              <w:left w:val="nil"/>
              <w:bottom w:val="single" w:sz="4" w:space="0" w:color="auto"/>
              <w:right w:val="single" w:sz="4" w:space="0" w:color="auto"/>
            </w:tcBorders>
            <w:vAlign w:val="center"/>
            <w:hideMark/>
          </w:tcPr>
          <w:p w14:paraId="3DD21D4E" w14:textId="7F58F5AB" w:rsidR="00D339B5" w:rsidRPr="0074485A" w:rsidRDefault="001977F2" w:rsidP="00D2464A">
            <w:pPr>
              <w:spacing w:before="240" w:line="240" w:lineRule="auto"/>
              <w:jc w:val="center"/>
              <w:rPr>
                <w:rFonts w:ascii="Times New Roman" w:eastAsia="Times New Roman" w:hAnsi="Times New Roman" w:cs="Times New Roman"/>
                <w:sz w:val="19"/>
                <w:szCs w:val="19"/>
                <w:lang w:eastAsia="ru-RU"/>
              </w:rPr>
            </w:pPr>
            <w:r w:rsidRPr="0074485A">
              <w:rPr>
                <w:rFonts w:ascii="Times New Roman" w:eastAsia="Times New Roman" w:hAnsi="Times New Roman" w:cs="Times New Roman"/>
                <w:sz w:val="19"/>
                <w:szCs w:val="19"/>
                <w:lang w:eastAsia="ru-RU"/>
              </w:rPr>
              <w:t>Присвоение учетного номера в ТФ НБРК</w:t>
            </w:r>
            <w:r w:rsidRPr="0074485A">
              <w:rPr>
                <w:rStyle w:val="a8"/>
                <w:rFonts w:ascii="Times New Roman" w:eastAsia="Times New Roman" w:hAnsi="Times New Roman" w:cs="Times New Roman"/>
                <w:sz w:val="19"/>
                <w:szCs w:val="19"/>
                <w:vertAlign w:val="baseline"/>
                <w:lang w:eastAsia="ru-RU"/>
              </w:rPr>
              <w:t xml:space="preserve"> </w:t>
            </w:r>
            <w:r w:rsidR="00D339B5" w:rsidRPr="0074485A">
              <w:rPr>
                <w:rFonts w:ascii="Times New Roman" w:eastAsia="Times New Roman" w:hAnsi="Times New Roman" w:cs="Times New Roman"/>
                <w:sz w:val="19"/>
                <w:szCs w:val="19"/>
                <w:vertAlign w:val="superscript"/>
                <w:lang w:eastAsia="ru-RU"/>
              </w:rPr>
              <w:t>2</w:t>
            </w:r>
          </w:p>
        </w:tc>
        <w:tc>
          <w:tcPr>
            <w:tcW w:w="560" w:type="pct"/>
            <w:vMerge/>
            <w:tcBorders>
              <w:left w:val="nil"/>
              <w:right w:val="single" w:sz="4" w:space="0" w:color="auto"/>
            </w:tcBorders>
            <w:vAlign w:val="center"/>
          </w:tcPr>
          <w:p w14:paraId="40BB0982" w14:textId="77777777" w:rsidR="00D339B5" w:rsidRPr="00E9113E" w:rsidRDefault="00D339B5" w:rsidP="00D2464A">
            <w:pPr>
              <w:spacing w:before="240" w:line="240" w:lineRule="auto"/>
              <w:contextualSpacing/>
              <w:rPr>
                <w:rFonts w:ascii="Times New Roman" w:eastAsia="Times New Roman" w:hAnsi="Times New Roman" w:cs="Times New Roman"/>
                <w:sz w:val="19"/>
                <w:szCs w:val="19"/>
                <w:lang w:eastAsia="ru-RU"/>
              </w:rPr>
            </w:pPr>
          </w:p>
        </w:tc>
      </w:tr>
      <w:tr w:rsidR="00D339B5" w:rsidRPr="00E9113E" w14:paraId="7617E98E" w14:textId="77777777" w:rsidTr="0082285A">
        <w:trPr>
          <w:trHeight w:val="367"/>
        </w:trPr>
        <w:tc>
          <w:tcPr>
            <w:tcW w:w="93" w:type="pct"/>
            <w:vMerge/>
            <w:tcBorders>
              <w:left w:val="single" w:sz="4" w:space="0" w:color="auto"/>
              <w:bottom w:val="single" w:sz="4" w:space="0" w:color="000000"/>
              <w:right w:val="single" w:sz="4" w:space="0" w:color="auto"/>
            </w:tcBorders>
            <w:vAlign w:val="center"/>
          </w:tcPr>
          <w:p w14:paraId="63F6784F" w14:textId="77777777" w:rsidR="00D339B5" w:rsidRPr="00E9113E" w:rsidRDefault="00D339B5" w:rsidP="00D2464A">
            <w:pPr>
              <w:spacing w:before="240" w:line="240" w:lineRule="auto"/>
              <w:contextualSpacing/>
              <w:rPr>
                <w:rFonts w:ascii="Times New Roman" w:eastAsia="Times New Roman" w:hAnsi="Times New Roman" w:cs="Times New Roman"/>
                <w:sz w:val="19"/>
                <w:szCs w:val="19"/>
                <w:lang w:eastAsia="ru-RU"/>
              </w:rPr>
            </w:pPr>
          </w:p>
        </w:tc>
        <w:tc>
          <w:tcPr>
            <w:tcW w:w="597" w:type="pct"/>
            <w:vMerge/>
            <w:tcBorders>
              <w:left w:val="single" w:sz="4" w:space="0" w:color="auto"/>
              <w:bottom w:val="single" w:sz="4" w:space="0" w:color="000000"/>
              <w:right w:val="single" w:sz="4" w:space="0" w:color="auto"/>
            </w:tcBorders>
            <w:vAlign w:val="center"/>
          </w:tcPr>
          <w:p w14:paraId="01725954" w14:textId="77777777" w:rsidR="00D339B5" w:rsidRPr="00E9113E" w:rsidRDefault="00D339B5" w:rsidP="00D2464A">
            <w:pPr>
              <w:spacing w:before="240" w:line="240" w:lineRule="auto"/>
              <w:contextualSpacing/>
              <w:rPr>
                <w:rFonts w:ascii="Times New Roman" w:eastAsia="Times New Roman" w:hAnsi="Times New Roman" w:cs="Times New Roman"/>
                <w:sz w:val="19"/>
                <w:szCs w:val="19"/>
                <w:lang w:eastAsia="ru-RU"/>
              </w:rPr>
            </w:pPr>
          </w:p>
        </w:tc>
        <w:tc>
          <w:tcPr>
            <w:tcW w:w="616" w:type="pct"/>
            <w:vMerge/>
            <w:tcBorders>
              <w:left w:val="single" w:sz="4" w:space="0" w:color="auto"/>
              <w:bottom w:val="single" w:sz="4" w:space="0" w:color="auto"/>
              <w:right w:val="single" w:sz="4" w:space="0" w:color="auto"/>
            </w:tcBorders>
            <w:shd w:val="clear" w:color="auto" w:fill="F2F2F2" w:themeFill="background1" w:themeFillShade="F2"/>
            <w:vAlign w:val="center"/>
          </w:tcPr>
          <w:p w14:paraId="1AD98AD7" w14:textId="77777777" w:rsidR="00D339B5" w:rsidRPr="00E9113E" w:rsidRDefault="00D339B5" w:rsidP="00D2464A">
            <w:pPr>
              <w:spacing w:before="240" w:line="240" w:lineRule="auto"/>
              <w:contextualSpacing/>
              <w:rPr>
                <w:rFonts w:ascii="Times New Roman" w:eastAsia="Times New Roman" w:hAnsi="Times New Roman" w:cs="Times New Roman"/>
                <w:sz w:val="19"/>
                <w:szCs w:val="19"/>
                <w:lang w:eastAsia="ru-RU"/>
              </w:rPr>
            </w:pPr>
          </w:p>
        </w:tc>
        <w:tc>
          <w:tcPr>
            <w:tcW w:w="3134" w:type="pct"/>
            <w:gridSpan w:val="2"/>
            <w:tcBorders>
              <w:top w:val="nil"/>
              <w:left w:val="nil"/>
              <w:bottom w:val="single" w:sz="4" w:space="0" w:color="auto"/>
              <w:right w:val="single" w:sz="4" w:space="0" w:color="auto"/>
            </w:tcBorders>
            <w:vAlign w:val="center"/>
          </w:tcPr>
          <w:p w14:paraId="26B00ABD" w14:textId="77777777" w:rsidR="00D339B5" w:rsidRPr="0074485A" w:rsidRDefault="00D339B5" w:rsidP="008C00C4">
            <w:pPr>
              <w:spacing w:before="160" w:after="0" w:line="240" w:lineRule="auto"/>
              <w:jc w:val="both"/>
              <w:rPr>
                <w:rFonts w:ascii="Times New Roman" w:hAnsi="Times New Roman" w:cs="Times New Roman"/>
                <w:sz w:val="19"/>
                <w:szCs w:val="19"/>
              </w:rPr>
            </w:pPr>
            <w:r w:rsidRPr="0074485A">
              <w:rPr>
                <w:rFonts w:ascii="Times New Roman" w:eastAsia="Times New Roman" w:hAnsi="Times New Roman" w:cs="Times New Roman"/>
                <w:i/>
                <w:sz w:val="19"/>
                <w:szCs w:val="19"/>
                <w:lang w:eastAsia="ru-RU"/>
              </w:rPr>
              <w:t>Исключение:</w:t>
            </w:r>
            <w:r w:rsidRPr="0074485A">
              <w:rPr>
                <w:rFonts w:ascii="Times New Roman" w:hAnsi="Times New Roman" w:cs="Times New Roman"/>
                <w:sz w:val="19"/>
                <w:szCs w:val="19"/>
              </w:rPr>
              <w:t xml:space="preserve"> </w:t>
            </w:r>
          </w:p>
          <w:p w14:paraId="78AD0D14" w14:textId="2318FE08" w:rsidR="006B126C" w:rsidRPr="006B126C" w:rsidRDefault="006B126C" w:rsidP="006B126C">
            <w:pPr>
              <w:spacing w:after="0" w:line="240" w:lineRule="auto"/>
              <w:contextualSpacing/>
              <w:jc w:val="both"/>
              <w:rPr>
                <w:rFonts w:ascii="Times New Roman" w:eastAsia="Times New Roman" w:hAnsi="Times New Roman" w:cs="Times New Roman"/>
                <w:i/>
                <w:sz w:val="19"/>
                <w:szCs w:val="19"/>
                <w:lang w:eastAsia="ru-RU"/>
              </w:rPr>
            </w:pPr>
            <w:r>
              <w:rPr>
                <w:rFonts w:ascii="Times New Roman" w:eastAsia="Times New Roman" w:hAnsi="Times New Roman" w:cs="Times New Roman"/>
                <w:i/>
                <w:sz w:val="19"/>
                <w:szCs w:val="19"/>
                <w:lang w:eastAsia="ru-RU"/>
              </w:rPr>
              <w:t>1) </w:t>
            </w:r>
            <w:r w:rsidRPr="006B126C">
              <w:rPr>
                <w:rFonts w:ascii="Times New Roman" w:eastAsia="Times New Roman" w:hAnsi="Times New Roman" w:cs="Times New Roman"/>
                <w:i/>
                <w:sz w:val="19"/>
                <w:szCs w:val="19"/>
                <w:lang w:eastAsia="ru-RU"/>
              </w:rPr>
              <w:t>размещение, погашение, приобретение, продажа:</w:t>
            </w:r>
          </w:p>
          <w:p w14:paraId="21DBAEE1" w14:textId="45895A34" w:rsidR="006B126C" w:rsidRPr="006B126C" w:rsidRDefault="006B126C" w:rsidP="006B126C">
            <w:pPr>
              <w:spacing w:after="0" w:line="240" w:lineRule="auto"/>
              <w:ind w:firstLine="284"/>
              <w:contextualSpacing/>
              <w:jc w:val="both"/>
              <w:rPr>
                <w:rFonts w:ascii="Times New Roman" w:eastAsia="Times New Roman" w:hAnsi="Times New Roman" w:cs="Times New Roman"/>
                <w:i/>
                <w:sz w:val="19"/>
                <w:szCs w:val="19"/>
                <w:lang w:eastAsia="ru-RU"/>
              </w:rPr>
            </w:pPr>
            <w:r>
              <w:rPr>
                <w:rFonts w:ascii="Times New Roman" w:eastAsia="Times New Roman" w:hAnsi="Times New Roman" w:cs="Times New Roman"/>
                <w:i/>
                <w:sz w:val="19"/>
                <w:szCs w:val="19"/>
                <w:lang w:eastAsia="ru-RU"/>
              </w:rPr>
              <w:lastRenderedPageBreak/>
              <w:t>- </w:t>
            </w:r>
            <w:r w:rsidRPr="006B126C">
              <w:rPr>
                <w:rFonts w:ascii="Times New Roman" w:eastAsia="Times New Roman" w:hAnsi="Times New Roman" w:cs="Times New Roman"/>
                <w:i/>
                <w:sz w:val="19"/>
                <w:szCs w:val="19"/>
                <w:lang w:eastAsia="ru-RU"/>
              </w:rPr>
              <w:t>государственных ценных бумаг Республики Казахстан;</w:t>
            </w:r>
          </w:p>
          <w:p w14:paraId="03D0B5E6" w14:textId="2AB6F9AC" w:rsidR="006B126C" w:rsidRPr="006B126C" w:rsidRDefault="006B126C" w:rsidP="006B126C">
            <w:pPr>
              <w:spacing w:after="0" w:line="240" w:lineRule="auto"/>
              <w:ind w:firstLine="284"/>
              <w:contextualSpacing/>
              <w:jc w:val="both"/>
              <w:rPr>
                <w:rFonts w:ascii="Times New Roman" w:eastAsia="Times New Roman" w:hAnsi="Times New Roman" w:cs="Times New Roman"/>
                <w:i/>
                <w:sz w:val="19"/>
                <w:szCs w:val="19"/>
                <w:lang w:eastAsia="ru-RU"/>
              </w:rPr>
            </w:pPr>
            <w:r>
              <w:rPr>
                <w:rFonts w:ascii="Times New Roman" w:eastAsia="Times New Roman" w:hAnsi="Times New Roman" w:cs="Times New Roman"/>
                <w:i/>
                <w:sz w:val="19"/>
                <w:szCs w:val="19"/>
                <w:lang w:eastAsia="ru-RU"/>
              </w:rPr>
              <w:t>- </w:t>
            </w:r>
            <w:r w:rsidRPr="006B126C">
              <w:rPr>
                <w:rFonts w:ascii="Times New Roman" w:eastAsia="Times New Roman" w:hAnsi="Times New Roman" w:cs="Times New Roman"/>
                <w:i/>
                <w:sz w:val="19"/>
                <w:szCs w:val="19"/>
                <w:lang w:eastAsia="ru-RU"/>
              </w:rPr>
              <w:t>ценных бумаг эмитента-резидента, выпущенных в соответствии с законодательством другого государства и на его территории (включая депозитарные расписки, базовым активом которых являются ценные бумаги эмитента-резидента);</w:t>
            </w:r>
          </w:p>
          <w:p w14:paraId="78DEE8F5" w14:textId="1923B10D" w:rsidR="006B126C" w:rsidRPr="006B126C" w:rsidRDefault="006B126C" w:rsidP="006B126C">
            <w:pPr>
              <w:spacing w:after="0" w:line="240" w:lineRule="auto"/>
              <w:ind w:firstLine="284"/>
              <w:contextualSpacing/>
              <w:jc w:val="both"/>
              <w:rPr>
                <w:rFonts w:ascii="Times New Roman" w:eastAsia="Times New Roman" w:hAnsi="Times New Roman" w:cs="Times New Roman"/>
                <w:i/>
                <w:sz w:val="19"/>
                <w:szCs w:val="19"/>
                <w:lang w:eastAsia="ru-RU"/>
              </w:rPr>
            </w:pPr>
            <w:r>
              <w:rPr>
                <w:rFonts w:ascii="Times New Roman" w:eastAsia="Times New Roman" w:hAnsi="Times New Roman" w:cs="Times New Roman"/>
                <w:i/>
                <w:sz w:val="19"/>
                <w:szCs w:val="19"/>
                <w:lang w:eastAsia="ru-RU"/>
              </w:rPr>
              <w:t>- </w:t>
            </w:r>
            <w:r w:rsidRPr="006B126C">
              <w:rPr>
                <w:rFonts w:ascii="Times New Roman" w:eastAsia="Times New Roman" w:hAnsi="Times New Roman" w:cs="Times New Roman"/>
                <w:i/>
                <w:sz w:val="19"/>
                <w:szCs w:val="19"/>
                <w:lang w:eastAsia="ru-RU"/>
              </w:rPr>
              <w:t>ценных бумаг эмитента-нерезидента, выпущенных в соответствии с законодательством Республики Казахстан (включая казахстанские депозитарные расписки);</w:t>
            </w:r>
          </w:p>
          <w:p w14:paraId="1A9BE5E2" w14:textId="465E07EB" w:rsidR="006B126C" w:rsidRPr="006B126C" w:rsidRDefault="006B126C" w:rsidP="006B126C">
            <w:pPr>
              <w:spacing w:after="0" w:line="240" w:lineRule="auto"/>
              <w:contextualSpacing/>
              <w:jc w:val="both"/>
              <w:rPr>
                <w:rFonts w:ascii="Times New Roman" w:eastAsia="Times New Roman" w:hAnsi="Times New Roman" w:cs="Times New Roman"/>
                <w:i/>
                <w:sz w:val="19"/>
                <w:szCs w:val="19"/>
                <w:lang w:eastAsia="ru-RU"/>
              </w:rPr>
            </w:pPr>
            <w:r>
              <w:rPr>
                <w:rFonts w:ascii="Times New Roman" w:eastAsia="Times New Roman" w:hAnsi="Times New Roman" w:cs="Times New Roman"/>
                <w:i/>
                <w:sz w:val="19"/>
                <w:szCs w:val="19"/>
                <w:lang w:eastAsia="ru-RU"/>
              </w:rPr>
              <w:t>2</w:t>
            </w:r>
            <w:r w:rsidRPr="006B126C">
              <w:rPr>
                <w:rFonts w:ascii="Times New Roman" w:eastAsia="Times New Roman" w:hAnsi="Times New Roman" w:cs="Times New Roman"/>
                <w:i/>
                <w:sz w:val="19"/>
                <w:szCs w:val="19"/>
                <w:lang w:eastAsia="ru-RU"/>
              </w:rPr>
              <w:t>) приобретение на вторичном рынке:</w:t>
            </w:r>
          </w:p>
          <w:p w14:paraId="69CED1B6" w14:textId="638BBEC9" w:rsidR="006B126C" w:rsidRPr="006B126C" w:rsidRDefault="006B126C" w:rsidP="006B126C">
            <w:pPr>
              <w:spacing w:after="0" w:line="240" w:lineRule="auto"/>
              <w:ind w:firstLine="284"/>
              <w:contextualSpacing/>
              <w:jc w:val="both"/>
              <w:rPr>
                <w:rFonts w:ascii="Times New Roman" w:eastAsia="Times New Roman" w:hAnsi="Times New Roman" w:cs="Times New Roman"/>
                <w:i/>
                <w:sz w:val="19"/>
                <w:szCs w:val="19"/>
                <w:lang w:eastAsia="ru-RU"/>
              </w:rPr>
            </w:pPr>
            <w:r>
              <w:rPr>
                <w:rFonts w:ascii="Times New Roman" w:eastAsia="Times New Roman" w:hAnsi="Times New Roman" w:cs="Times New Roman"/>
                <w:i/>
                <w:sz w:val="19"/>
                <w:szCs w:val="19"/>
                <w:lang w:eastAsia="ru-RU"/>
              </w:rPr>
              <w:t>- </w:t>
            </w:r>
            <w:r w:rsidRPr="006B126C">
              <w:rPr>
                <w:rFonts w:ascii="Times New Roman" w:eastAsia="Times New Roman" w:hAnsi="Times New Roman" w:cs="Times New Roman"/>
                <w:i/>
                <w:sz w:val="19"/>
                <w:szCs w:val="19"/>
                <w:lang w:eastAsia="ru-RU"/>
              </w:rPr>
              <w:t>резидентом у нерезидента долговых ценных бумаг эмитента-резидента, выпущенных в соответствии с законодательством Республики Казахстан;</w:t>
            </w:r>
          </w:p>
          <w:p w14:paraId="40DE759F" w14:textId="4BF14B27" w:rsidR="006B126C" w:rsidRDefault="006B126C" w:rsidP="006B126C">
            <w:pPr>
              <w:spacing w:after="120" w:line="240" w:lineRule="auto"/>
              <w:ind w:firstLine="284"/>
              <w:contextualSpacing/>
              <w:jc w:val="both"/>
              <w:rPr>
                <w:rFonts w:ascii="Times New Roman" w:eastAsia="Times New Roman" w:hAnsi="Times New Roman" w:cs="Times New Roman"/>
                <w:i/>
                <w:sz w:val="19"/>
                <w:szCs w:val="19"/>
                <w:lang w:eastAsia="ru-RU"/>
              </w:rPr>
            </w:pPr>
            <w:r>
              <w:rPr>
                <w:rFonts w:ascii="Times New Roman" w:eastAsia="Times New Roman" w:hAnsi="Times New Roman" w:cs="Times New Roman"/>
                <w:i/>
                <w:sz w:val="19"/>
                <w:szCs w:val="19"/>
                <w:lang w:eastAsia="ru-RU"/>
              </w:rPr>
              <w:t>- </w:t>
            </w:r>
            <w:r w:rsidRPr="006B126C">
              <w:rPr>
                <w:rFonts w:ascii="Times New Roman" w:eastAsia="Times New Roman" w:hAnsi="Times New Roman" w:cs="Times New Roman"/>
                <w:i/>
                <w:sz w:val="19"/>
                <w:szCs w:val="19"/>
                <w:lang w:eastAsia="ru-RU"/>
              </w:rPr>
              <w:t>нерезидентом у резидента долговых ценных бумаг эмитента-нерезидента, выпущенных в соответствии с законодательством другого государства и на его территории</w:t>
            </w:r>
            <w:r w:rsidR="001924BB">
              <w:rPr>
                <w:rFonts w:ascii="Times New Roman" w:eastAsia="Times New Roman" w:hAnsi="Times New Roman" w:cs="Times New Roman"/>
                <w:i/>
                <w:sz w:val="19"/>
                <w:szCs w:val="19"/>
                <w:lang w:eastAsia="ru-RU"/>
              </w:rPr>
              <w:t>;</w:t>
            </w:r>
          </w:p>
          <w:p w14:paraId="6F0B8E66" w14:textId="74B8A5F1" w:rsidR="001924BB" w:rsidRPr="001924BB" w:rsidRDefault="001924BB" w:rsidP="001924BB">
            <w:pPr>
              <w:spacing w:after="120" w:line="240" w:lineRule="auto"/>
              <w:contextualSpacing/>
              <w:jc w:val="both"/>
              <w:rPr>
                <w:rFonts w:ascii="Times New Roman" w:eastAsia="Times New Roman" w:hAnsi="Times New Roman" w:cs="Times New Roman"/>
                <w:i/>
                <w:sz w:val="19"/>
                <w:szCs w:val="19"/>
                <w:lang w:val="ru-KZ" w:eastAsia="ru-RU"/>
              </w:rPr>
            </w:pPr>
            <w:r>
              <w:rPr>
                <w:rFonts w:ascii="Times New Roman" w:eastAsia="Times New Roman" w:hAnsi="Times New Roman" w:cs="Times New Roman"/>
                <w:i/>
                <w:sz w:val="19"/>
                <w:szCs w:val="19"/>
                <w:lang w:eastAsia="ru-RU"/>
              </w:rPr>
              <w:t xml:space="preserve">3) </w:t>
            </w:r>
            <w:r w:rsidRPr="001924BB">
              <w:rPr>
                <w:rFonts w:ascii="Times New Roman" w:eastAsia="Times New Roman" w:hAnsi="Times New Roman" w:cs="Times New Roman"/>
                <w:i/>
                <w:sz w:val="19"/>
                <w:szCs w:val="19"/>
                <w:lang w:eastAsia="ru-RU"/>
              </w:rPr>
              <w:t>операции резидентов в рамках программ опционов на ценные бумаги эмитентов-нерезидентов для работников юридических лиц-резидентов</w:t>
            </w:r>
          </w:p>
          <w:p w14:paraId="1C46A7FD" w14:textId="12673C5F" w:rsidR="006B126C" w:rsidRPr="006B126C" w:rsidRDefault="006B126C" w:rsidP="006B126C">
            <w:pPr>
              <w:spacing w:after="120" w:line="240" w:lineRule="auto"/>
              <w:ind w:firstLine="284"/>
              <w:contextualSpacing/>
              <w:jc w:val="both"/>
              <w:rPr>
                <w:rFonts w:ascii="Times New Roman" w:eastAsia="Times New Roman" w:hAnsi="Times New Roman" w:cs="Times New Roman"/>
                <w:i/>
                <w:sz w:val="19"/>
                <w:szCs w:val="19"/>
                <w:lang w:val="ru-KZ" w:eastAsia="ru-RU"/>
              </w:rPr>
            </w:pPr>
          </w:p>
        </w:tc>
        <w:tc>
          <w:tcPr>
            <w:tcW w:w="560" w:type="pct"/>
            <w:vMerge/>
            <w:tcBorders>
              <w:left w:val="nil"/>
              <w:right w:val="single" w:sz="4" w:space="0" w:color="auto"/>
            </w:tcBorders>
            <w:vAlign w:val="center"/>
          </w:tcPr>
          <w:p w14:paraId="5DA74BE8" w14:textId="77777777" w:rsidR="00D339B5" w:rsidRPr="00E9113E" w:rsidRDefault="00D339B5" w:rsidP="00D2464A">
            <w:pPr>
              <w:spacing w:before="240" w:line="240" w:lineRule="auto"/>
              <w:contextualSpacing/>
              <w:rPr>
                <w:rFonts w:ascii="Times New Roman" w:eastAsia="Times New Roman" w:hAnsi="Times New Roman" w:cs="Times New Roman"/>
                <w:i/>
                <w:sz w:val="19"/>
                <w:szCs w:val="19"/>
                <w:lang w:eastAsia="ru-RU"/>
              </w:rPr>
            </w:pPr>
          </w:p>
        </w:tc>
      </w:tr>
      <w:tr w:rsidR="00D339B5" w:rsidRPr="00E9113E" w14:paraId="42A2FF83" w14:textId="77777777" w:rsidTr="0082285A">
        <w:trPr>
          <w:trHeight w:val="556"/>
        </w:trPr>
        <w:tc>
          <w:tcPr>
            <w:tcW w:w="93" w:type="pct"/>
            <w:vMerge w:val="restart"/>
            <w:tcBorders>
              <w:top w:val="nil"/>
              <w:left w:val="single" w:sz="4" w:space="0" w:color="auto"/>
              <w:right w:val="single" w:sz="4" w:space="0" w:color="auto"/>
            </w:tcBorders>
            <w:vAlign w:val="center"/>
            <w:hideMark/>
          </w:tcPr>
          <w:p w14:paraId="0E67EA78" w14:textId="77777777" w:rsidR="00D339B5" w:rsidRPr="00E9113E" w:rsidRDefault="00D339B5" w:rsidP="00D2464A">
            <w:pPr>
              <w:spacing w:before="240" w:line="240" w:lineRule="auto"/>
              <w:contextualSpacing/>
              <w:rPr>
                <w:rFonts w:ascii="Times New Roman" w:eastAsia="Times New Roman" w:hAnsi="Times New Roman" w:cs="Times New Roman"/>
                <w:sz w:val="19"/>
                <w:szCs w:val="19"/>
                <w:lang w:eastAsia="ru-RU"/>
              </w:rPr>
            </w:pPr>
            <w:r w:rsidRPr="00E9113E">
              <w:rPr>
                <w:rFonts w:ascii="Times New Roman" w:eastAsia="Times New Roman" w:hAnsi="Times New Roman" w:cs="Times New Roman"/>
                <w:sz w:val="19"/>
                <w:szCs w:val="19"/>
                <w:lang w:eastAsia="ru-RU"/>
              </w:rPr>
              <w:t>4</w:t>
            </w:r>
          </w:p>
        </w:tc>
        <w:tc>
          <w:tcPr>
            <w:tcW w:w="597" w:type="pct"/>
            <w:vMerge w:val="restart"/>
            <w:tcBorders>
              <w:top w:val="nil"/>
              <w:left w:val="single" w:sz="4" w:space="0" w:color="auto"/>
              <w:right w:val="single" w:sz="4" w:space="0" w:color="auto"/>
            </w:tcBorders>
            <w:vAlign w:val="center"/>
            <w:hideMark/>
          </w:tcPr>
          <w:p w14:paraId="439AB710" w14:textId="77777777" w:rsidR="00D339B5" w:rsidRDefault="00D339B5" w:rsidP="00D2464A">
            <w:pPr>
              <w:spacing w:before="240" w:line="240" w:lineRule="auto"/>
              <w:contextualSpacing/>
              <w:rPr>
                <w:rFonts w:ascii="Times New Roman" w:eastAsia="Times New Roman" w:hAnsi="Times New Roman" w:cs="Times New Roman"/>
                <w:i/>
                <w:sz w:val="19"/>
                <w:szCs w:val="19"/>
                <w:lang w:eastAsia="ru-RU"/>
              </w:rPr>
            </w:pPr>
            <w:r w:rsidRPr="00E9113E">
              <w:rPr>
                <w:rFonts w:ascii="Times New Roman" w:eastAsia="Times New Roman" w:hAnsi="Times New Roman" w:cs="Times New Roman"/>
                <w:sz w:val="19"/>
                <w:szCs w:val="19"/>
                <w:lang w:eastAsia="ru-RU"/>
              </w:rPr>
              <w:t xml:space="preserve">Приобретение права собственности на недвижимость, </w:t>
            </w:r>
            <w:r w:rsidRPr="00E9113E">
              <w:rPr>
                <w:rFonts w:ascii="Times New Roman" w:eastAsia="Times New Roman" w:hAnsi="Times New Roman" w:cs="Times New Roman"/>
                <w:i/>
                <w:sz w:val="19"/>
                <w:szCs w:val="19"/>
                <w:lang w:eastAsia="ru-RU"/>
              </w:rPr>
              <w:t>за исключением движимых вещей, приравненных либо отнесенных законами РК к недвижимости</w:t>
            </w:r>
          </w:p>
          <w:p w14:paraId="216DC6DE" w14:textId="77777777" w:rsidR="008C00C4" w:rsidRPr="00E9113E" w:rsidRDefault="008C00C4" w:rsidP="00D2464A">
            <w:pPr>
              <w:spacing w:before="240" w:line="240" w:lineRule="auto"/>
              <w:contextualSpacing/>
              <w:rPr>
                <w:rFonts w:ascii="Times New Roman" w:eastAsia="Times New Roman" w:hAnsi="Times New Roman" w:cs="Times New Roman"/>
                <w:sz w:val="19"/>
                <w:szCs w:val="19"/>
                <w:lang w:eastAsia="ru-RU"/>
              </w:rPr>
            </w:pPr>
          </w:p>
        </w:tc>
        <w:tc>
          <w:tcPr>
            <w:tcW w:w="616" w:type="pct"/>
            <w:vMerge w:val="restart"/>
            <w:tcBorders>
              <w:top w:val="nil"/>
              <w:left w:val="single" w:sz="4" w:space="0" w:color="auto"/>
              <w:right w:val="single" w:sz="4" w:space="0" w:color="auto"/>
            </w:tcBorders>
            <w:shd w:val="clear" w:color="auto" w:fill="F2F2F2" w:themeFill="background1" w:themeFillShade="F2"/>
            <w:vAlign w:val="center"/>
          </w:tcPr>
          <w:p w14:paraId="0B72F543" w14:textId="77777777" w:rsidR="00D339B5" w:rsidRPr="00E9113E" w:rsidRDefault="00D339B5" w:rsidP="00D2464A">
            <w:pPr>
              <w:spacing w:before="240" w:line="240" w:lineRule="auto"/>
              <w:contextualSpacing/>
              <w:rPr>
                <w:rFonts w:ascii="Times New Roman" w:eastAsia="Times New Roman" w:hAnsi="Times New Roman" w:cs="Times New Roman"/>
                <w:sz w:val="19"/>
                <w:szCs w:val="19"/>
                <w:lang w:eastAsia="ru-RU"/>
              </w:rPr>
            </w:pPr>
          </w:p>
        </w:tc>
        <w:tc>
          <w:tcPr>
            <w:tcW w:w="1668" w:type="pct"/>
            <w:tcBorders>
              <w:top w:val="single" w:sz="4" w:space="0" w:color="auto"/>
              <w:left w:val="nil"/>
              <w:bottom w:val="single" w:sz="4" w:space="0" w:color="auto"/>
              <w:right w:val="single" w:sz="4" w:space="0" w:color="auto"/>
            </w:tcBorders>
            <w:vAlign w:val="center"/>
            <w:hideMark/>
          </w:tcPr>
          <w:p w14:paraId="5437D12C" w14:textId="087AF1A5" w:rsidR="00D339B5" w:rsidRPr="0074485A" w:rsidRDefault="001977F2" w:rsidP="007D131E">
            <w:pPr>
              <w:spacing w:before="240" w:line="240" w:lineRule="auto"/>
              <w:contextualSpacing/>
              <w:jc w:val="center"/>
              <w:rPr>
                <w:rFonts w:ascii="Times New Roman" w:eastAsia="Times New Roman" w:hAnsi="Times New Roman" w:cs="Times New Roman"/>
                <w:sz w:val="19"/>
                <w:szCs w:val="19"/>
                <w:lang w:eastAsia="ru-RU"/>
              </w:rPr>
            </w:pPr>
            <w:r w:rsidRPr="0074485A">
              <w:rPr>
                <w:rFonts w:ascii="Times New Roman" w:eastAsia="Times New Roman" w:hAnsi="Times New Roman" w:cs="Times New Roman"/>
                <w:sz w:val="19"/>
                <w:szCs w:val="19"/>
                <w:lang w:eastAsia="ru-RU"/>
              </w:rPr>
              <w:t>Присвоение учетного номера в ТФ НБРК</w:t>
            </w:r>
            <w:r w:rsidRPr="0074485A">
              <w:rPr>
                <w:rStyle w:val="a8"/>
                <w:rFonts w:ascii="Times New Roman" w:eastAsia="Times New Roman" w:hAnsi="Times New Roman" w:cs="Times New Roman"/>
                <w:sz w:val="19"/>
                <w:szCs w:val="19"/>
                <w:vertAlign w:val="baseline"/>
                <w:lang w:eastAsia="ru-RU"/>
              </w:rPr>
              <w:t xml:space="preserve"> </w:t>
            </w:r>
            <w:r w:rsidR="00D339B5" w:rsidRPr="0074485A">
              <w:rPr>
                <w:rFonts w:ascii="Times New Roman" w:eastAsia="Times New Roman" w:hAnsi="Times New Roman" w:cs="Times New Roman"/>
                <w:sz w:val="19"/>
                <w:szCs w:val="19"/>
                <w:vertAlign w:val="superscript"/>
                <w:lang w:eastAsia="ru-RU"/>
              </w:rPr>
              <w:t>2</w:t>
            </w:r>
          </w:p>
        </w:tc>
        <w:tc>
          <w:tcPr>
            <w:tcW w:w="1465" w:type="pct"/>
            <w:vMerge w:val="restart"/>
            <w:tcBorders>
              <w:top w:val="nil"/>
              <w:left w:val="nil"/>
              <w:right w:val="single" w:sz="4" w:space="0" w:color="auto"/>
            </w:tcBorders>
            <w:shd w:val="clear" w:color="auto" w:fill="F2F2F2" w:themeFill="background1" w:themeFillShade="F2"/>
            <w:vAlign w:val="center"/>
            <w:hideMark/>
          </w:tcPr>
          <w:p w14:paraId="7C6069E9" w14:textId="77777777" w:rsidR="00D339B5" w:rsidRPr="0074485A" w:rsidRDefault="00D339B5" w:rsidP="00D2464A">
            <w:pPr>
              <w:spacing w:before="240" w:line="240" w:lineRule="auto"/>
              <w:contextualSpacing/>
              <w:rPr>
                <w:rFonts w:ascii="Times New Roman" w:eastAsia="Times New Roman" w:hAnsi="Times New Roman" w:cs="Times New Roman"/>
                <w:sz w:val="19"/>
                <w:szCs w:val="19"/>
                <w:lang w:eastAsia="ru-RU"/>
              </w:rPr>
            </w:pPr>
          </w:p>
        </w:tc>
        <w:tc>
          <w:tcPr>
            <w:tcW w:w="560" w:type="pct"/>
            <w:vMerge/>
            <w:tcBorders>
              <w:left w:val="nil"/>
              <w:right w:val="single" w:sz="4" w:space="0" w:color="auto"/>
            </w:tcBorders>
            <w:shd w:val="clear" w:color="auto" w:fill="F2F2F2" w:themeFill="background1" w:themeFillShade="F2"/>
            <w:vAlign w:val="center"/>
          </w:tcPr>
          <w:p w14:paraId="19CC0330" w14:textId="77777777" w:rsidR="00D339B5" w:rsidRPr="00E9113E" w:rsidRDefault="00D339B5" w:rsidP="00D2464A">
            <w:pPr>
              <w:spacing w:before="240" w:line="240" w:lineRule="auto"/>
              <w:contextualSpacing/>
              <w:rPr>
                <w:rFonts w:ascii="Times New Roman" w:eastAsia="Times New Roman" w:hAnsi="Times New Roman" w:cs="Times New Roman"/>
                <w:sz w:val="19"/>
                <w:szCs w:val="19"/>
                <w:lang w:eastAsia="ru-RU"/>
              </w:rPr>
            </w:pPr>
          </w:p>
        </w:tc>
      </w:tr>
      <w:tr w:rsidR="00D339B5" w:rsidRPr="00E9113E" w14:paraId="49BFFF2A" w14:textId="77777777" w:rsidTr="0082285A">
        <w:trPr>
          <w:trHeight w:val="1395"/>
        </w:trPr>
        <w:tc>
          <w:tcPr>
            <w:tcW w:w="93" w:type="pct"/>
            <w:vMerge/>
            <w:tcBorders>
              <w:left w:val="single" w:sz="4" w:space="0" w:color="auto"/>
              <w:bottom w:val="single" w:sz="4" w:space="0" w:color="000000"/>
              <w:right w:val="single" w:sz="4" w:space="0" w:color="auto"/>
            </w:tcBorders>
            <w:vAlign w:val="center"/>
          </w:tcPr>
          <w:p w14:paraId="02310B7A" w14:textId="77777777" w:rsidR="00D339B5" w:rsidRPr="00E9113E" w:rsidRDefault="00D339B5" w:rsidP="00D2464A">
            <w:pPr>
              <w:spacing w:before="240" w:line="240" w:lineRule="auto"/>
              <w:contextualSpacing/>
              <w:rPr>
                <w:rFonts w:ascii="Times New Roman" w:eastAsia="Times New Roman" w:hAnsi="Times New Roman" w:cs="Times New Roman"/>
                <w:sz w:val="19"/>
                <w:szCs w:val="19"/>
                <w:lang w:eastAsia="ru-RU"/>
              </w:rPr>
            </w:pPr>
          </w:p>
        </w:tc>
        <w:tc>
          <w:tcPr>
            <w:tcW w:w="597" w:type="pct"/>
            <w:vMerge/>
            <w:tcBorders>
              <w:left w:val="single" w:sz="4" w:space="0" w:color="auto"/>
              <w:bottom w:val="single" w:sz="4" w:space="0" w:color="000000"/>
              <w:right w:val="single" w:sz="4" w:space="0" w:color="auto"/>
            </w:tcBorders>
            <w:vAlign w:val="center"/>
          </w:tcPr>
          <w:p w14:paraId="2E91F45B" w14:textId="77777777" w:rsidR="00D339B5" w:rsidRPr="00E9113E" w:rsidRDefault="00D339B5" w:rsidP="00D2464A">
            <w:pPr>
              <w:spacing w:before="240" w:line="240" w:lineRule="auto"/>
              <w:contextualSpacing/>
              <w:rPr>
                <w:rFonts w:ascii="Times New Roman" w:eastAsia="Times New Roman" w:hAnsi="Times New Roman" w:cs="Times New Roman"/>
                <w:sz w:val="19"/>
                <w:szCs w:val="19"/>
                <w:lang w:eastAsia="ru-RU"/>
              </w:rPr>
            </w:pPr>
          </w:p>
        </w:tc>
        <w:tc>
          <w:tcPr>
            <w:tcW w:w="616" w:type="pct"/>
            <w:vMerge/>
            <w:tcBorders>
              <w:left w:val="single" w:sz="4" w:space="0" w:color="auto"/>
              <w:bottom w:val="single" w:sz="4" w:space="0" w:color="auto"/>
              <w:right w:val="single" w:sz="4" w:space="0" w:color="auto"/>
            </w:tcBorders>
            <w:shd w:val="clear" w:color="auto" w:fill="F2F2F2" w:themeFill="background1" w:themeFillShade="F2"/>
            <w:vAlign w:val="center"/>
          </w:tcPr>
          <w:p w14:paraId="305800E8" w14:textId="77777777" w:rsidR="00D339B5" w:rsidRPr="00E9113E" w:rsidRDefault="00D339B5" w:rsidP="00D2464A">
            <w:pPr>
              <w:spacing w:before="240" w:line="240" w:lineRule="auto"/>
              <w:contextualSpacing/>
              <w:rPr>
                <w:rFonts w:ascii="Times New Roman" w:eastAsia="Times New Roman" w:hAnsi="Times New Roman" w:cs="Times New Roman"/>
                <w:sz w:val="19"/>
                <w:szCs w:val="19"/>
                <w:lang w:eastAsia="ru-RU"/>
              </w:rPr>
            </w:pPr>
          </w:p>
        </w:tc>
        <w:tc>
          <w:tcPr>
            <w:tcW w:w="1668" w:type="pct"/>
            <w:tcBorders>
              <w:top w:val="single" w:sz="4" w:space="0" w:color="auto"/>
              <w:left w:val="nil"/>
              <w:bottom w:val="single" w:sz="4" w:space="0" w:color="auto"/>
              <w:right w:val="single" w:sz="4" w:space="0" w:color="auto"/>
            </w:tcBorders>
            <w:vAlign w:val="center"/>
          </w:tcPr>
          <w:p w14:paraId="3B279774" w14:textId="77777777" w:rsidR="00D339B5" w:rsidRPr="0074485A" w:rsidRDefault="00D339B5" w:rsidP="00514054">
            <w:pPr>
              <w:spacing w:before="240" w:line="240" w:lineRule="auto"/>
              <w:contextualSpacing/>
              <w:jc w:val="both"/>
              <w:rPr>
                <w:rFonts w:ascii="Times New Roman" w:hAnsi="Times New Roman" w:cs="Times New Roman"/>
                <w:sz w:val="19"/>
                <w:szCs w:val="19"/>
              </w:rPr>
            </w:pPr>
            <w:r w:rsidRPr="0074485A">
              <w:rPr>
                <w:rFonts w:ascii="Times New Roman" w:eastAsia="Times New Roman" w:hAnsi="Times New Roman" w:cs="Times New Roman"/>
                <w:i/>
                <w:sz w:val="19"/>
                <w:szCs w:val="19"/>
                <w:lang w:eastAsia="ru-RU"/>
              </w:rPr>
              <w:t>Исключение:</w:t>
            </w:r>
            <w:r w:rsidRPr="0074485A">
              <w:rPr>
                <w:rFonts w:ascii="Times New Roman" w:hAnsi="Times New Roman" w:cs="Times New Roman"/>
                <w:sz w:val="19"/>
                <w:szCs w:val="19"/>
              </w:rPr>
              <w:t xml:space="preserve"> </w:t>
            </w:r>
            <w:r w:rsidRPr="0074485A">
              <w:rPr>
                <w:rFonts w:ascii="Times New Roman" w:eastAsia="Times New Roman" w:hAnsi="Times New Roman" w:cs="Times New Roman"/>
                <w:i/>
                <w:sz w:val="19"/>
                <w:szCs w:val="19"/>
                <w:lang w:eastAsia="ru-RU"/>
              </w:rPr>
              <w:t>договор на продажу резидентом нерезиденту недвижимости за границей, если резидентом ранее получен учетный номер для валютного договора по движению капитала по приобретению недвижимости за границей в собственность</w:t>
            </w:r>
          </w:p>
          <w:p w14:paraId="78EA0871" w14:textId="77777777" w:rsidR="00D339B5" w:rsidRPr="0074485A" w:rsidRDefault="00D339B5" w:rsidP="00DE3032">
            <w:pPr>
              <w:spacing w:before="240" w:line="240" w:lineRule="auto"/>
              <w:contextualSpacing/>
              <w:rPr>
                <w:rFonts w:ascii="Times New Roman" w:eastAsia="Times New Roman" w:hAnsi="Times New Roman" w:cs="Times New Roman"/>
                <w:sz w:val="19"/>
                <w:szCs w:val="19"/>
                <w:lang w:eastAsia="ru-RU"/>
              </w:rPr>
            </w:pPr>
          </w:p>
        </w:tc>
        <w:tc>
          <w:tcPr>
            <w:tcW w:w="1465" w:type="pct"/>
            <w:vMerge/>
            <w:tcBorders>
              <w:left w:val="nil"/>
              <w:bottom w:val="single" w:sz="4" w:space="0" w:color="auto"/>
              <w:right w:val="single" w:sz="4" w:space="0" w:color="auto"/>
            </w:tcBorders>
            <w:shd w:val="clear" w:color="auto" w:fill="F2F2F2" w:themeFill="background1" w:themeFillShade="F2"/>
            <w:vAlign w:val="center"/>
          </w:tcPr>
          <w:p w14:paraId="4552C5F2" w14:textId="77777777" w:rsidR="00D339B5" w:rsidRPr="0074485A" w:rsidRDefault="00D339B5" w:rsidP="00D2464A">
            <w:pPr>
              <w:spacing w:before="240" w:line="240" w:lineRule="auto"/>
              <w:contextualSpacing/>
              <w:rPr>
                <w:rFonts w:ascii="Times New Roman" w:eastAsia="Times New Roman" w:hAnsi="Times New Roman" w:cs="Times New Roman"/>
                <w:sz w:val="19"/>
                <w:szCs w:val="19"/>
                <w:lang w:eastAsia="ru-RU"/>
              </w:rPr>
            </w:pPr>
          </w:p>
        </w:tc>
        <w:tc>
          <w:tcPr>
            <w:tcW w:w="560" w:type="pct"/>
            <w:vMerge/>
            <w:tcBorders>
              <w:left w:val="nil"/>
              <w:right w:val="single" w:sz="4" w:space="0" w:color="auto"/>
            </w:tcBorders>
            <w:shd w:val="clear" w:color="auto" w:fill="F2F2F2" w:themeFill="background1" w:themeFillShade="F2"/>
            <w:vAlign w:val="center"/>
          </w:tcPr>
          <w:p w14:paraId="1380A82A" w14:textId="77777777" w:rsidR="00D339B5" w:rsidRPr="00E9113E" w:rsidRDefault="00D339B5" w:rsidP="00D2464A">
            <w:pPr>
              <w:spacing w:before="240" w:line="240" w:lineRule="auto"/>
              <w:contextualSpacing/>
              <w:rPr>
                <w:rFonts w:ascii="Times New Roman" w:eastAsia="Times New Roman" w:hAnsi="Times New Roman" w:cs="Times New Roman"/>
                <w:sz w:val="19"/>
                <w:szCs w:val="19"/>
                <w:lang w:eastAsia="ru-RU"/>
              </w:rPr>
            </w:pPr>
          </w:p>
        </w:tc>
      </w:tr>
      <w:tr w:rsidR="00D339B5" w:rsidRPr="00E9113E" w14:paraId="5432F714" w14:textId="77777777" w:rsidTr="0082285A">
        <w:trPr>
          <w:trHeight w:val="574"/>
        </w:trPr>
        <w:tc>
          <w:tcPr>
            <w:tcW w:w="93" w:type="pct"/>
            <w:vMerge w:val="restart"/>
            <w:tcBorders>
              <w:top w:val="nil"/>
              <w:left w:val="single" w:sz="4" w:space="0" w:color="auto"/>
              <w:right w:val="single" w:sz="4" w:space="0" w:color="auto"/>
            </w:tcBorders>
            <w:vAlign w:val="center"/>
            <w:hideMark/>
          </w:tcPr>
          <w:p w14:paraId="65ACD907" w14:textId="77777777" w:rsidR="00D339B5" w:rsidRPr="00E9113E" w:rsidRDefault="00D339B5" w:rsidP="00D2464A">
            <w:pPr>
              <w:spacing w:before="240" w:line="240" w:lineRule="auto"/>
              <w:contextualSpacing/>
              <w:rPr>
                <w:rFonts w:ascii="Times New Roman" w:eastAsia="Times New Roman" w:hAnsi="Times New Roman" w:cs="Times New Roman"/>
                <w:sz w:val="19"/>
                <w:szCs w:val="19"/>
                <w:lang w:eastAsia="ru-RU"/>
              </w:rPr>
            </w:pPr>
            <w:r w:rsidRPr="00E9113E">
              <w:rPr>
                <w:rFonts w:ascii="Times New Roman" w:eastAsia="Times New Roman" w:hAnsi="Times New Roman" w:cs="Times New Roman"/>
                <w:sz w:val="19"/>
                <w:szCs w:val="19"/>
                <w:lang w:eastAsia="ru-RU"/>
              </w:rPr>
              <w:t>5</w:t>
            </w:r>
          </w:p>
        </w:tc>
        <w:tc>
          <w:tcPr>
            <w:tcW w:w="597" w:type="pct"/>
            <w:vMerge w:val="restart"/>
            <w:tcBorders>
              <w:top w:val="nil"/>
              <w:left w:val="single" w:sz="4" w:space="0" w:color="auto"/>
              <w:right w:val="single" w:sz="4" w:space="0" w:color="auto"/>
            </w:tcBorders>
            <w:vAlign w:val="center"/>
            <w:hideMark/>
          </w:tcPr>
          <w:p w14:paraId="330EDB87" w14:textId="77777777" w:rsidR="00D339B5" w:rsidRDefault="00D339B5" w:rsidP="00D2464A">
            <w:pPr>
              <w:spacing w:before="240" w:line="240" w:lineRule="auto"/>
              <w:contextualSpacing/>
              <w:rPr>
                <w:rFonts w:ascii="Times New Roman" w:eastAsia="Times New Roman" w:hAnsi="Times New Roman" w:cs="Times New Roman"/>
                <w:sz w:val="19"/>
                <w:szCs w:val="19"/>
                <w:lang w:eastAsia="ru-RU"/>
              </w:rPr>
            </w:pPr>
            <w:r w:rsidRPr="00E9113E">
              <w:rPr>
                <w:rFonts w:ascii="Times New Roman" w:eastAsia="Times New Roman" w:hAnsi="Times New Roman" w:cs="Times New Roman"/>
                <w:sz w:val="19"/>
                <w:szCs w:val="19"/>
                <w:lang w:eastAsia="ru-RU"/>
              </w:rPr>
              <w:t>Приобретение полностью исключительных прав на объекты интеллектуальной собственности</w:t>
            </w:r>
          </w:p>
          <w:p w14:paraId="5C0898CB" w14:textId="77777777" w:rsidR="008C00C4" w:rsidRPr="00E9113E" w:rsidRDefault="008C00C4" w:rsidP="00D2464A">
            <w:pPr>
              <w:spacing w:before="240" w:line="240" w:lineRule="auto"/>
              <w:contextualSpacing/>
              <w:rPr>
                <w:rFonts w:ascii="Times New Roman" w:eastAsia="Times New Roman" w:hAnsi="Times New Roman" w:cs="Times New Roman"/>
                <w:sz w:val="19"/>
                <w:szCs w:val="19"/>
                <w:lang w:eastAsia="ru-RU"/>
              </w:rPr>
            </w:pPr>
          </w:p>
        </w:tc>
        <w:tc>
          <w:tcPr>
            <w:tcW w:w="616" w:type="pct"/>
            <w:vMerge w:val="restart"/>
            <w:tcBorders>
              <w:top w:val="nil"/>
              <w:left w:val="single" w:sz="4" w:space="0" w:color="auto"/>
              <w:right w:val="single" w:sz="4" w:space="0" w:color="auto"/>
            </w:tcBorders>
            <w:shd w:val="clear" w:color="auto" w:fill="F2F2F2" w:themeFill="background1" w:themeFillShade="F2"/>
            <w:vAlign w:val="center"/>
          </w:tcPr>
          <w:p w14:paraId="50DA79EA" w14:textId="77777777" w:rsidR="00D339B5" w:rsidRPr="00E9113E" w:rsidRDefault="00D339B5" w:rsidP="00D2464A">
            <w:pPr>
              <w:spacing w:before="240" w:line="240" w:lineRule="auto"/>
              <w:contextualSpacing/>
              <w:rPr>
                <w:rFonts w:ascii="Times New Roman" w:eastAsia="Times New Roman" w:hAnsi="Times New Roman" w:cs="Times New Roman"/>
                <w:sz w:val="19"/>
                <w:szCs w:val="19"/>
                <w:lang w:eastAsia="ru-RU"/>
              </w:rPr>
            </w:pPr>
          </w:p>
        </w:tc>
        <w:tc>
          <w:tcPr>
            <w:tcW w:w="1668" w:type="pct"/>
            <w:tcBorders>
              <w:top w:val="nil"/>
              <w:left w:val="nil"/>
              <w:bottom w:val="single" w:sz="4" w:space="0" w:color="auto"/>
              <w:right w:val="single" w:sz="4" w:space="0" w:color="auto"/>
            </w:tcBorders>
            <w:vAlign w:val="center"/>
            <w:hideMark/>
          </w:tcPr>
          <w:p w14:paraId="6883DB80" w14:textId="404698D4" w:rsidR="00D339B5" w:rsidRPr="0074485A" w:rsidRDefault="001977F2" w:rsidP="00234F54">
            <w:pPr>
              <w:spacing w:before="240" w:line="240" w:lineRule="auto"/>
              <w:contextualSpacing/>
              <w:jc w:val="center"/>
              <w:rPr>
                <w:rFonts w:ascii="Times New Roman" w:eastAsia="Times New Roman" w:hAnsi="Times New Roman" w:cs="Times New Roman"/>
                <w:sz w:val="19"/>
                <w:szCs w:val="19"/>
                <w:lang w:eastAsia="ru-RU"/>
              </w:rPr>
            </w:pPr>
            <w:r w:rsidRPr="0074485A">
              <w:rPr>
                <w:rFonts w:ascii="Times New Roman" w:eastAsia="Times New Roman" w:hAnsi="Times New Roman" w:cs="Times New Roman"/>
                <w:sz w:val="19"/>
                <w:szCs w:val="19"/>
                <w:lang w:eastAsia="ru-RU"/>
              </w:rPr>
              <w:t>Присвоение учетного номера в ТФ НБРК</w:t>
            </w:r>
            <w:r w:rsidRPr="0074485A">
              <w:rPr>
                <w:rStyle w:val="a8"/>
                <w:rFonts w:ascii="Times New Roman" w:eastAsia="Times New Roman" w:hAnsi="Times New Roman" w:cs="Times New Roman"/>
                <w:sz w:val="19"/>
                <w:szCs w:val="19"/>
                <w:vertAlign w:val="baseline"/>
                <w:lang w:eastAsia="ru-RU"/>
              </w:rPr>
              <w:t xml:space="preserve"> </w:t>
            </w:r>
            <w:r w:rsidR="00D339B5" w:rsidRPr="0074485A">
              <w:rPr>
                <w:rFonts w:ascii="Times New Roman" w:eastAsia="Times New Roman" w:hAnsi="Times New Roman" w:cs="Times New Roman"/>
                <w:sz w:val="19"/>
                <w:szCs w:val="19"/>
                <w:vertAlign w:val="superscript"/>
                <w:lang w:eastAsia="ru-RU"/>
              </w:rPr>
              <w:t>2</w:t>
            </w:r>
          </w:p>
        </w:tc>
        <w:tc>
          <w:tcPr>
            <w:tcW w:w="1465" w:type="pct"/>
            <w:tcBorders>
              <w:top w:val="single" w:sz="4" w:space="0" w:color="auto"/>
              <w:left w:val="nil"/>
              <w:bottom w:val="single" w:sz="4" w:space="0" w:color="auto"/>
              <w:right w:val="single" w:sz="4" w:space="0" w:color="auto"/>
            </w:tcBorders>
            <w:vAlign w:val="center"/>
            <w:hideMark/>
          </w:tcPr>
          <w:p w14:paraId="2588A102" w14:textId="189BD44D" w:rsidR="00D339B5" w:rsidRPr="0074485A" w:rsidRDefault="001977F2" w:rsidP="00234F54">
            <w:pPr>
              <w:spacing w:before="240" w:line="240" w:lineRule="auto"/>
              <w:contextualSpacing/>
              <w:jc w:val="center"/>
              <w:rPr>
                <w:rFonts w:ascii="Times New Roman" w:eastAsia="Times New Roman" w:hAnsi="Times New Roman" w:cs="Times New Roman"/>
                <w:sz w:val="19"/>
                <w:szCs w:val="19"/>
                <w:lang w:eastAsia="ru-RU"/>
              </w:rPr>
            </w:pPr>
            <w:r w:rsidRPr="0074485A">
              <w:rPr>
                <w:rFonts w:ascii="Times New Roman" w:eastAsia="Times New Roman" w:hAnsi="Times New Roman" w:cs="Times New Roman"/>
                <w:sz w:val="19"/>
                <w:szCs w:val="19"/>
                <w:lang w:eastAsia="ru-RU"/>
              </w:rPr>
              <w:t>Присвоение учетного номера в ТФ НБРК</w:t>
            </w:r>
            <w:r w:rsidRPr="0074485A">
              <w:rPr>
                <w:rStyle w:val="a8"/>
                <w:rFonts w:ascii="Times New Roman" w:eastAsia="Times New Roman" w:hAnsi="Times New Roman" w:cs="Times New Roman"/>
                <w:sz w:val="19"/>
                <w:szCs w:val="19"/>
                <w:vertAlign w:val="baseline"/>
                <w:lang w:eastAsia="ru-RU"/>
              </w:rPr>
              <w:t xml:space="preserve"> </w:t>
            </w:r>
            <w:r w:rsidR="00D339B5" w:rsidRPr="0074485A">
              <w:rPr>
                <w:rFonts w:ascii="Times New Roman" w:eastAsia="Times New Roman" w:hAnsi="Times New Roman" w:cs="Times New Roman"/>
                <w:sz w:val="19"/>
                <w:szCs w:val="19"/>
                <w:vertAlign w:val="superscript"/>
                <w:lang w:eastAsia="ru-RU"/>
              </w:rPr>
              <w:t>2</w:t>
            </w:r>
          </w:p>
        </w:tc>
        <w:tc>
          <w:tcPr>
            <w:tcW w:w="560" w:type="pct"/>
            <w:vMerge/>
            <w:tcBorders>
              <w:left w:val="nil"/>
              <w:right w:val="single" w:sz="4" w:space="0" w:color="auto"/>
            </w:tcBorders>
            <w:vAlign w:val="center"/>
          </w:tcPr>
          <w:p w14:paraId="05958599" w14:textId="77777777" w:rsidR="00D339B5" w:rsidRPr="00E9113E" w:rsidRDefault="00D339B5" w:rsidP="00D2464A">
            <w:pPr>
              <w:spacing w:before="240" w:line="240" w:lineRule="auto"/>
              <w:contextualSpacing/>
              <w:rPr>
                <w:rFonts w:ascii="Times New Roman" w:eastAsia="Times New Roman" w:hAnsi="Times New Roman" w:cs="Times New Roman"/>
                <w:sz w:val="19"/>
                <w:szCs w:val="19"/>
                <w:lang w:eastAsia="ru-RU"/>
              </w:rPr>
            </w:pPr>
          </w:p>
        </w:tc>
      </w:tr>
      <w:tr w:rsidR="00D339B5" w:rsidRPr="00E9113E" w14:paraId="35B2260F" w14:textId="77777777" w:rsidTr="0082285A">
        <w:trPr>
          <w:trHeight w:val="554"/>
        </w:trPr>
        <w:tc>
          <w:tcPr>
            <w:tcW w:w="93" w:type="pct"/>
            <w:vMerge/>
            <w:tcBorders>
              <w:left w:val="single" w:sz="4" w:space="0" w:color="auto"/>
              <w:bottom w:val="single" w:sz="4" w:space="0" w:color="000000"/>
              <w:right w:val="single" w:sz="4" w:space="0" w:color="auto"/>
            </w:tcBorders>
            <w:vAlign w:val="center"/>
          </w:tcPr>
          <w:p w14:paraId="423D9275" w14:textId="77777777" w:rsidR="00D339B5" w:rsidRPr="00E9113E" w:rsidRDefault="00D339B5" w:rsidP="00D2464A">
            <w:pPr>
              <w:spacing w:before="240" w:line="240" w:lineRule="auto"/>
              <w:contextualSpacing/>
              <w:rPr>
                <w:rFonts w:ascii="Times New Roman" w:eastAsia="Times New Roman" w:hAnsi="Times New Roman" w:cs="Times New Roman"/>
                <w:sz w:val="19"/>
                <w:szCs w:val="19"/>
                <w:lang w:eastAsia="ru-RU"/>
              </w:rPr>
            </w:pPr>
          </w:p>
        </w:tc>
        <w:tc>
          <w:tcPr>
            <w:tcW w:w="597" w:type="pct"/>
            <w:vMerge/>
            <w:tcBorders>
              <w:left w:val="single" w:sz="4" w:space="0" w:color="auto"/>
              <w:bottom w:val="single" w:sz="4" w:space="0" w:color="000000"/>
              <w:right w:val="single" w:sz="4" w:space="0" w:color="auto"/>
            </w:tcBorders>
            <w:vAlign w:val="center"/>
          </w:tcPr>
          <w:p w14:paraId="4F286453" w14:textId="77777777" w:rsidR="00D339B5" w:rsidRPr="00E9113E" w:rsidRDefault="00D339B5" w:rsidP="00D2464A">
            <w:pPr>
              <w:spacing w:before="240" w:line="240" w:lineRule="auto"/>
              <w:contextualSpacing/>
              <w:rPr>
                <w:rFonts w:ascii="Times New Roman" w:eastAsia="Times New Roman" w:hAnsi="Times New Roman" w:cs="Times New Roman"/>
                <w:sz w:val="19"/>
                <w:szCs w:val="19"/>
                <w:lang w:eastAsia="ru-RU"/>
              </w:rPr>
            </w:pPr>
          </w:p>
        </w:tc>
        <w:tc>
          <w:tcPr>
            <w:tcW w:w="616" w:type="pct"/>
            <w:vMerge/>
            <w:tcBorders>
              <w:left w:val="single" w:sz="4" w:space="0" w:color="auto"/>
              <w:bottom w:val="single" w:sz="4" w:space="0" w:color="auto"/>
              <w:right w:val="single" w:sz="4" w:space="0" w:color="auto"/>
            </w:tcBorders>
            <w:shd w:val="clear" w:color="auto" w:fill="F2F2F2" w:themeFill="background1" w:themeFillShade="F2"/>
            <w:vAlign w:val="center"/>
          </w:tcPr>
          <w:p w14:paraId="5B9DAB7A" w14:textId="77777777" w:rsidR="00D339B5" w:rsidRPr="00E9113E" w:rsidRDefault="00D339B5" w:rsidP="00D2464A">
            <w:pPr>
              <w:spacing w:before="240" w:line="240" w:lineRule="auto"/>
              <w:contextualSpacing/>
              <w:rPr>
                <w:rFonts w:ascii="Times New Roman" w:eastAsia="Times New Roman" w:hAnsi="Times New Roman" w:cs="Times New Roman"/>
                <w:sz w:val="19"/>
                <w:szCs w:val="19"/>
                <w:lang w:eastAsia="ru-RU"/>
              </w:rPr>
            </w:pPr>
          </w:p>
        </w:tc>
        <w:tc>
          <w:tcPr>
            <w:tcW w:w="3134" w:type="pct"/>
            <w:gridSpan w:val="2"/>
            <w:tcBorders>
              <w:top w:val="nil"/>
              <w:left w:val="nil"/>
              <w:bottom w:val="single" w:sz="4" w:space="0" w:color="auto"/>
              <w:right w:val="single" w:sz="4" w:space="0" w:color="auto"/>
            </w:tcBorders>
            <w:vAlign w:val="center"/>
          </w:tcPr>
          <w:p w14:paraId="4AC853AB" w14:textId="77777777" w:rsidR="00D339B5" w:rsidRPr="0074485A" w:rsidRDefault="00D339B5" w:rsidP="00514054">
            <w:pPr>
              <w:spacing w:before="240" w:line="240" w:lineRule="auto"/>
              <w:contextualSpacing/>
              <w:jc w:val="both"/>
              <w:rPr>
                <w:rFonts w:ascii="Times New Roman" w:eastAsia="Times New Roman" w:hAnsi="Times New Roman" w:cs="Times New Roman"/>
                <w:sz w:val="19"/>
                <w:szCs w:val="19"/>
                <w:lang w:eastAsia="ru-RU"/>
              </w:rPr>
            </w:pPr>
            <w:r w:rsidRPr="0074485A">
              <w:rPr>
                <w:rFonts w:ascii="Times New Roman" w:eastAsia="Times New Roman" w:hAnsi="Times New Roman" w:cs="Times New Roman"/>
                <w:i/>
                <w:sz w:val="19"/>
                <w:szCs w:val="19"/>
                <w:lang w:eastAsia="ru-RU"/>
              </w:rPr>
              <w:t>Исключение: приобретение полностью исключительного права на результат интеллектуальной творческой деятельности</w:t>
            </w:r>
          </w:p>
        </w:tc>
        <w:tc>
          <w:tcPr>
            <w:tcW w:w="560" w:type="pct"/>
            <w:vMerge/>
            <w:tcBorders>
              <w:left w:val="nil"/>
              <w:right w:val="single" w:sz="4" w:space="0" w:color="auto"/>
            </w:tcBorders>
            <w:vAlign w:val="center"/>
          </w:tcPr>
          <w:p w14:paraId="023E93A1" w14:textId="77777777" w:rsidR="00D339B5" w:rsidRPr="00E9113E" w:rsidRDefault="00D339B5" w:rsidP="00D2464A">
            <w:pPr>
              <w:spacing w:before="240" w:line="240" w:lineRule="auto"/>
              <w:contextualSpacing/>
              <w:rPr>
                <w:rFonts w:ascii="Times New Roman" w:eastAsia="Times New Roman" w:hAnsi="Times New Roman" w:cs="Times New Roman"/>
                <w:i/>
                <w:sz w:val="19"/>
                <w:szCs w:val="19"/>
                <w:lang w:eastAsia="ru-RU"/>
              </w:rPr>
            </w:pPr>
          </w:p>
        </w:tc>
      </w:tr>
      <w:tr w:rsidR="00D339B5" w:rsidRPr="00E9113E" w14:paraId="0A653F98" w14:textId="77777777" w:rsidTr="0082285A">
        <w:trPr>
          <w:trHeight w:val="685"/>
        </w:trPr>
        <w:tc>
          <w:tcPr>
            <w:tcW w:w="93" w:type="pct"/>
            <w:vMerge w:val="restart"/>
            <w:tcBorders>
              <w:top w:val="nil"/>
              <w:left w:val="single" w:sz="4" w:space="0" w:color="auto"/>
              <w:right w:val="single" w:sz="4" w:space="0" w:color="auto"/>
            </w:tcBorders>
            <w:vAlign w:val="center"/>
            <w:hideMark/>
          </w:tcPr>
          <w:p w14:paraId="0E6AEB7D" w14:textId="77777777" w:rsidR="00D339B5" w:rsidRPr="00E9113E" w:rsidRDefault="00D339B5" w:rsidP="00D2464A">
            <w:pPr>
              <w:spacing w:before="240" w:line="240" w:lineRule="auto"/>
              <w:contextualSpacing/>
              <w:rPr>
                <w:rFonts w:ascii="Times New Roman" w:eastAsia="Times New Roman" w:hAnsi="Times New Roman" w:cs="Times New Roman"/>
                <w:sz w:val="19"/>
                <w:szCs w:val="19"/>
                <w:lang w:eastAsia="ru-RU"/>
              </w:rPr>
            </w:pPr>
            <w:r w:rsidRPr="00E9113E">
              <w:rPr>
                <w:rFonts w:ascii="Times New Roman" w:eastAsia="Times New Roman" w:hAnsi="Times New Roman" w:cs="Times New Roman"/>
                <w:sz w:val="19"/>
                <w:szCs w:val="19"/>
                <w:lang w:eastAsia="ru-RU"/>
              </w:rPr>
              <w:t>6</w:t>
            </w:r>
          </w:p>
        </w:tc>
        <w:tc>
          <w:tcPr>
            <w:tcW w:w="597" w:type="pct"/>
            <w:vMerge w:val="restart"/>
            <w:tcBorders>
              <w:top w:val="nil"/>
              <w:left w:val="single" w:sz="4" w:space="0" w:color="auto"/>
              <w:right w:val="single" w:sz="4" w:space="0" w:color="auto"/>
            </w:tcBorders>
            <w:vAlign w:val="center"/>
            <w:hideMark/>
          </w:tcPr>
          <w:p w14:paraId="36D8E351" w14:textId="77777777" w:rsidR="00D339B5" w:rsidRDefault="00D339B5" w:rsidP="00D2464A">
            <w:pPr>
              <w:spacing w:before="240" w:line="240" w:lineRule="auto"/>
              <w:contextualSpacing/>
              <w:rPr>
                <w:rFonts w:ascii="Times New Roman" w:eastAsia="Times New Roman" w:hAnsi="Times New Roman" w:cs="Times New Roman"/>
                <w:sz w:val="19"/>
                <w:szCs w:val="19"/>
                <w:lang w:eastAsia="ru-RU"/>
              </w:rPr>
            </w:pPr>
            <w:r w:rsidRPr="00E9113E">
              <w:rPr>
                <w:rFonts w:ascii="Times New Roman" w:eastAsia="Times New Roman" w:hAnsi="Times New Roman" w:cs="Times New Roman"/>
                <w:sz w:val="19"/>
                <w:szCs w:val="19"/>
                <w:lang w:eastAsia="ru-RU"/>
              </w:rPr>
              <w:t xml:space="preserve">Передача денег и иного имущества во исполнение </w:t>
            </w:r>
            <w:r w:rsidRPr="00E9113E">
              <w:rPr>
                <w:rFonts w:ascii="Times New Roman" w:eastAsia="Times New Roman" w:hAnsi="Times New Roman" w:cs="Times New Roman"/>
                <w:sz w:val="19"/>
                <w:szCs w:val="19"/>
                <w:lang w:eastAsia="ru-RU"/>
              </w:rPr>
              <w:lastRenderedPageBreak/>
              <w:t>обязательств участника совместной деятельности, а также в доверительное управление, траст</w:t>
            </w:r>
          </w:p>
          <w:p w14:paraId="39956A26" w14:textId="77777777" w:rsidR="008C00C4" w:rsidRPr="00E9113E" w:rsidRDefault="008C00C4" w:rsidP="00D2464A">
            <w:pPr>
              <w:spacing w:before="240" w:line="240" w:lineRule="auto"/>
              <w:contextualSpacing/>
              <w:rPr>
                <w:rFonts w:ascii="Times New Roman" w:eastAsia="Times New Roman" w:hAnsi="Times New Roman" w:cs="Times New Roman"/>
                <w:sz w:val="19"/>
                <w:szCs w:val="19"/>
                <w:lang w:eastAsia="ru-RU"/>
              </w:rPr>
            </w:pPr>
          </w:p>
        </w:tc>
        <w:tc>
          <w:tcPr>
            <w:tcW w:w="616" w:type="pct"/>
            <w:vMerge w:val="restart"/>
            <w:tcBorders>
              <w:top w:val="nil"/>
              <w:left w:val="single" w:sz="4" w:space="0" w:color="auto"/>
              <w:right w:val="single" w:sz="4" w:space="0" w:color="auto"/>
            </w:tcBorders>
            <w:shd w:val="clear" w:color="auto" w:fill="F2F2F2" w:themeFill="background1" w:themeFillShade="F2"/>
            <w:vAlign w:val="center"/>
          </w:tcPr>
          <w:p w14:paraId="341617D6" w14:textId="77777777" w:rsidR="00D339B5" w:rsidRPr="00E9113E" w:rsidRDefault="00D339B5" w:rsidP="00D45A5B">
            <w:pPr>
              <w:spacing w:before="240" w:line="240" w:lineRule="auto"/>
              <w:contextualSpacing/>
              <w:jc w:val="both"/>
              <w:rPr>
                <w:rFonts w:ascii="Times New Roman" w:eastAsia="Times New Roman" w:hAnsi="Times New Roman" w:cs="Times New Roman"/>
                <w:sz w:val="19"/>
                <w:szCs w:val="19"/>
                <w:lang w:eastAsia="ru-RU"/>
              </w:rPr>
            </w:pPr>
          </w:p>
        </w:tc>
        <w:tc>
          <w:tcPr>
            <w:tcW w:w="1668" w:type="pct"/>
            <w:tcBorders>
              <w:top w:val="nil"/>
              <w:left w:val="nil"/>
              <w:bottom w:val="single" w:sz="4" w:space="0" w:color="auto"/>
              <w:right w:val="single" w:sz="4" w:space="0" w:color="auto"/>
            </w:tcBorders>
            <w:vAlign w:val="center"/>
            <w:hideMark/>
          </w:tcPr>
          <w:p w14:paraId="4E9D3306" w14:textId="174799E6" w:rsidR="00D339B5" w:rsidRPr="0074485A" w:rsidRDefault="001977F2" w:rsidP="00D45A5B">
            <w:pPr>
              <w:spacing w:before="240" w:line="240" w:lineRule="auto"/>
              <w:contextualSpacing/>
              <w:jc w:val="center"/>
              <w:rPr>
                <w:rFonts w:ascii="Times New Roman" w:eastAsia="Times New Roman" w:hAnsi="Times New Roman" w:cs="Times New Roman"/>
                <w:sz w:val="19"/>
                <w:szCs w:val="19"/>
                <w:lang w:eastAsia="ru-RU"/>
              </w:rPr>
            </w:pPr>
            <w:r w:rsidRPr="0074485A">
              <w:rPr>
                <w:rFonts w:ascii="Times New Roman" w:eastAsia="Times New Roman" w:hAnsi="Times New Roman" w:cs="Times New Roman"/>
                <w:sz w:val="19"/>
                <w:szCs w:val="19"/>
                <w:lang w:eastAsia="ru-RU"/>
              </w:rPr>
              <w:t>Присвоение учетного номера в ТФ НБРК</w:t>
            </w:r>
            <w:r w:rsidRPr="0074485A">
              <w:rPr>
                <w:rStyle w:val="a8"/>
                <w:rFonts w:ascii="Times New Roman" w:eastAsia="Times New Roman" w:hAnsi="Times New Roman" w:cs="Times New Roman"/>
                <w:sz w:val="19"/>
                <w:szCs w:val="19"/>
                <w:vertAlign w:val="baseline"/>
                <w:lang w:eastAsia="ru-RU"/>
              </w:rPr>
              <w:t xml:space="preserve"> </w:t>
            </w:r>
            <w:r w:rsidR="00D339B5" w:rsidRPr="0074485A">
              <w:rPr>
                <w:rFonts w:ascii="Times New Roman" w:eastAsia="Times New Roman" w:hAnsi="Times New Roman" w:cs="Times New Roman"/>
                <w:sz w:val="19"/>
                <w:szCs w:val="19"/>
                <w:vertAlign w:val="superscript"/>
                <w:lang w:eastAsia="ru-RU"/>
              </w:rPr>
              <w:t>2</w:t>
            </w:r>
          </w:p>
        </w:tc>
        <w:tc>
          <w:tcPr>
            <w:tcW w:w="1465" w:type="pct"/>
            <w:tcBorders>
              <w:top w:val="single" w:sz="4" w:space="0" w:color="auto"/>
              <w:left w:val="nil"/>
              <w:bottom w:val="single" w:sz="4" w:space="0" w:color="auto"/>
              <w:right w:val="single" w:sz="4" w:space="0" w:color="auto"/>
            </w:tcBorders>
            <w:vAlign w:val="center"/>
            <w:hideMark/>
          </w:tcPr>
          <w:p w14:paraId="7FBB558D" w14:textId="471D74CD" w:rsidR="00D339B5" w:rsidRPr="0074485A" w:rsidRDefault="001977F2" w:rsidP="00D2464A">
            <w:pPr>
              <w:spacing w:before="240" w:line="240" w:lineRule="auto"/>
              <w:contextualSpacing/>
              <w:jc w:val="center"/>
              <w:rPr>
                <w:rFonts w:ascii="Times New Roman" w:eastAsia="Times New Roman" w:hAnsi="Times New Roman" w:cs="Times New Roman"/>
                <w:sz w:val="19"/>
                <w:szCs w:val="19"/>
                <w:lang w:eastAsia="ru-RU"/>
              </w:rPr>
            </w:pPr>
            <w:r w:rsidRPr="0074485A">
              <w:rPr>
                <w:rFonts w:ascii="Times New Roman" w:eastAsia="Times New Roman" w:hAnsi="Times New Roman" w:cs="Times New Roman"/>
                <w:sz w:val="19"/>
                <w:szCs w:val="19"/>
                <w:lang w:eastAsia="ru-RU"/>
              </w:rPr>
              <w:t>Присвоение учетного номера в ТФ НБРК</w:t>
            </w:r>
            <w:r w:rsidRPr="0074485A">
              <w:rPr>
                <w:rStyle w:val="a8"/>
                <w:rFonts w:ascii="Times New Roman" w:eastAsia="Times New Roman" w:hAnsi="Times New Roman" w:cs="Times New Roman"/>
                <w:sz w:val="19"/>
                <w:szCs w:val="19"/>
                <w:vertAlign w:val="baseline"/>
                <w:lang w:eastAsia="ru-RU"/>
              </w:rPr>
              <w:t xml:space="preserve"> </w:t>
            </w:r>
            <w:r w:rsidR="00D339B5" w:rsidRPr="0074485A">
              <w:rPr>
                <w:rFonts w:ascii="Times New Roman" w:eastAsia="Times New Roman" w:hAnsi="Times New Roman" w:cs="Times New Roman"/>
                <w:sz w:val="19"/>
                <w:szCs w:val="19"/>
                <w:vertAlign w:val="superscript"/>
                <w:lang w:eastAsia="ru-RU"/>
              </w:rPr>
              <w:t>2</w:t>
            </w:r>
          </w:p>
        </w:tc>
        <w:tc>
          <w:tcPr>
            <w:tcW w:w="560" w:type="pct"/>
            <w:vMerge/>
            <w:tcBorders>
              <w:left w:val="nil"/>
              <w:right w:val="single" w:sz="4" w:space="0" w:color="auto"/>
            </w:tcBorders>
            <w:vAlign w:val="center"/>
          </w:tcPr>
          <w:p w14:paraId="50CE0366" w14:textId="77777777" w:rsidR="00D339B5" w:rsidRPr="00E9113E" w:rsidRDefault="00D339B5" w:rsidP="00D2464A">
            <w:pPr>
              <w:spacing w:before="240" w:line="240" w:lineRule="auto"/>
              <w:contextualSpacing/>
              <w:rPr>
                <w:rFonts w:ascii="Times New Roman" w:eastAsia="Times New Roman" w:hAnsi="Times New Roman" w:cs="Times New Roman"/>
                <w:sz w:val="19"/>
                <w:szCs w:val="19"/>
                <w:lang w:eastAsia="ru-RU"/>
              </w:rPr>
            </w:pPr>
          </w:p>
        </w:tc>
      </w:tr>
      <w:tr w:rsidR="00D339B5" w:rsidRPr="00E9113E" w14:paraId="5948AE16" w14:textId="77777777" w:rsidTr="0082285A">
        <w:trPr>
          <w:trHeight w:val="1485"/>
        </w:trPr>
        <w:tc>
          <w:tcPr>
            <w:tcW w:w="93" w:type="pct"/>
            <w:vMerge/>
            <w:tcBorders>
              <w:left w:val="single" w:sz="4" w:space="0" w:color="auto"/>
              <w:bottom w:val="single" w:sz="4" w:space="0" w:color="000000"/>
              <w:right w:val="single" w:sz="4" w:space="0" w:color="auto"/>
            </w:tcBorders>
            <w:vAlign w:val="center"/>
          </w:tcPr>
          <w:p w14:paraId="69454E08" w14:textId="77777777" w:rsidR="00D339B5" w:rsidRPr="00E9113E" w:rsidRDefault="00D339B5" w:rsidP="00D45A5B">
            <w:pPr>
              <w:spacing w:before="240" w:line="240" w:lineRule="auto"/>
              <w:contextualSpacing/>
              <w:rPr>
                <w:rFonts w:ascii="Times New Roman" w:eastAsia="Times New Roman" w:hAnsi="Times New Roman" w:cs="Times New Roman"/>
                <w:sz w:val="19"/>
                <w:szCs w:val="19"/>
                <w:lang w:eastAsia="ru-RU"/>
              </w:rPr>
            </w:pPr>
          </w:p>
        </w:tc>
        <w:tc>
          <w:tcPr>
            <w:tcW w:w="597" w:type="pct"/>
            <w:vMerge/>
            <w:tcBorders>
              <w:left w:val="single" w:sz="4" w:space="0" w:color="auto"/>
              <w:bottom w:val="single" w:sz="4" w:space="0" w:color="000000"/>
              <w:right w:val="single" w:sz="4" w:space="0" w:color="auto"/>
            </w:tcBorders>
            <w:vAlign w:val="center"/>
          </w:tcPr>
          <w:p w14:paraId="22CF825E" w14:textId="77777777" w:rsidR="00D339B5" w:rsidRPr="00E9113E" w:rsidRDefault="00D339B5" w:rsidP="00D45A5B">
            <w:pPr>
              <w:spacing w:before="240" w:line="240" w:lineRule="auto"/>
              <w:contextualSpacing/>
              <w:rPr>
                <w:rFonts w:ascii="Times New Roman" w:eastAsia="Times New Roman" w:hAnsi="Times New Roman" w:cs="Times New Roman"/>
                <w:sz w:val="19"/>
                <w:szCs w:val="19"/>
                <w:lang w:eastAsia="ru-RU"/>
              </w:rPr>
            </w:pPr>
          </w:p>
        </w:tc>
        <w:tc>
          <w:tcPr>
            <w:tcW w:w="616" w:type="pct"/>
            <w:vMerge/>
            <w:tcBorders>
              <w:left w:val="single" w:sz="4" w:space="0" w:color="auto"/>
              <w:bottom w:val="single" w:sz="4" w:space="0" w:color="auto"/>
              <w:right w:val="single" w:sz="4" w:space="0" w:color="auto"/>
            </w:tcBorders>
            <w:shd w:val="clear" w:color="auto" w:fill="F2F2F2" w:themeFill="background1" w:themeFillShade="F2"/>
            <w:vAlign w:val="center"/>
          </w:tcPr>
          <w:p w14:paraId="0DC9147D" w14:textId="77777777" w:rsidR="00D339B5" w:rsidRPr="00E9113E" w:rsidRDefault="00D339B5" w:rsidP="00D45A5B">
            <w:pPr>
              <w:spacing w:before="240" w:line="240" w:lineRule="auto"/>
              <w:contextualSpacing/>
              <w:jc w:val="both"/>
              <w:rPr>
                <w:rFonts w:ascii="Times New Roman" w:eastAsia="Times New Roman" w:hAnsi="Times New Roman" w:cs="Times New Roman"/>
                <w:sz w:val="19"/>
                <w:szCs w:val="19"/>
                <w:lang w:eastAsia="ru-RU"/>
              </w:rPr>
            </w:pPr>
          </w:p>
        </w:tc>
        <w:tc>
          <w:tcPr>
            <w:tcW w:w="1668" w:type="pct"/>
            <w:tcBorders>
              <w:top w:val="single" w:sz="4" w:space="0" w:color="auto"/>
              <w:left w:val="nil"/>
              <w:bottom w:val="single" w:sz="4" w:space="0" w:color="auto"/>
              <w:right w:val="single" w:sz="4" w:space="0" w:color="auto"/>
            </w:tcBorders>
            <w:vAlign w:val="center"/>
          </w:tcPr>
          <w:p w14:paraId="7623A5B2" w14:textId="77777777" w:rsidR="00D339B5" w:rsidRPr="00E9113E" w:rsidRDefault="00D339B5" w:rsidP="00D45A5B">
            <w:pPr>
              <w:spacing w:before="240" w:line="240" w:lineRule="auto"/>
              <w:contextualSpacing/>
              <w:jc w:val="both"/>
              <w:rPr>
                <w:rFonts w:ascii="Times New Roman" w:eastAsia="Times New Roman" w:hAnsi="Times New Roman" w:cs="Times New Roman"/>
                <w:sz w:val="19"/>
                <w:szCs w:val="19"/>
                <w:lang w:eastAsia="ru-RU"/>
              </w:rPr>
            </w:pPr>
            <w:r w:rsidRPr="00E9113E">
              <w:rPr>
                <w:rFonts w:ascii="Times New Roman" w:eastAsia="Times New Roman" w:hAnsi="Times New Roman" w:cs="Times New Roman"/>
                <w:i/>
                <w:sz w:val="19"/>
                <w:szCs w:val="19"/>
                <w:lang w:eastAsia="ru-RU"/>
              </w:rPr>
              <w:t xml:space="preserve">Исключение: </w:t>
            </w:r>
            <w:r w:rsidRPr="00D45A5B">
              <w:rPr>
                <w:rFonts w:ascii="Times New Roman" w:eastAsia="Times New Roman" w:hAnsi="Times New Roman" w:cs="Times New Roman"/>
                <w:i/>
                <w:sz w:val="19"/>
                <w:szCs w:val="19"/>
                <w:lang w:eastAsia="ru-RU"/>
              </w:rPr>
              <w:t>операции резидентов, осуществляемые на основании договора по управлению инвестиционным портфелем, заключенного с управляющим инвестиционным портфелем-резидентом</w:t>
            </w:r>
          </w:p>
        </w:tc>
        <w:tc>
          <w:tcPr>
            <w:tcW w:w="1465" w:type="pct"/>
            <w:tcBorders>
              <w:top w:val="single" w:sz="4" w:space="0" w:color="auto"/>
              <w:left w:val="nil"/>
              <w:bottom w:val="single" w:sz="4" w:space="0" w:color="auto"/>
              <w:right w:val="single" w:sz="4" w:space="0" w:color="auto"/>
            </w:tcBorders>
            <w:vAlign w:val="center"/>
          </w:tcPr>
          <w:p w14:paraId="509896E6" w14:textId="77777777" w:rsidR="00D339B5" w:rsidRPr="00D45A5B" w:rsidRDefault="00D339B5" w:rsidP="003221A5">
            <w:pPr>
              <w:spacing w:before="240" w:line="240" w:lineRule="auto"/>
              <w:contextualSpacing/>
              <w:jc w:val="both"/>
              <w:rPr>
                <w:rFonts w:ascii="Times New Roman" w:eastAsia="Times New Roman" w:hAnsi="Times New Roman" w:cs="Times New Roman"/>
                <w:i/>
                <w:sz w:val="19"/>
                <w:szCs w:val="19"/>
                <w:lang w:eastAsia="ru-RU"/>
              </w:rPr>
            </w:pPr>
            <w:r w:rsidRPr="00E9113E">
              <w:rPr>
                <w:rFonts w:ascii="Times New Roman" w:eastAsia="Times New Roman" w:hAnsi="Times New Roman" w:cs="Times New Roman"/>
                <w:i/>
                <w:sz w:val="19"/>
                <w:szCs w:val="19"/>
                <w:lang w:eastAsia="ru-RU"/>
              </w:rPr>
              <w:t xml:space="preserve">Исключение: </w:t>
            </w:r>
            <w:r w:rsidRPr="00D45A5B">
              <w:rPr>
                <w:rFonts w:ascii="Times New Roman" w:eastAsia="Times New Roman" w:hAnsi="Times New Roman" w:cs="Times New Roman"/>
                <w:i/>
                <w:sz w:val="19"/>
                <w:szCs w:val="19"/>
                <w:lang w:eastAsia="ru-RU"/>
              </w:rPr>
              <w:t>опе</w:t>
            </w:r>
            <w:r>
              <w:rPr>
                <w:rFonts w:ascii="Times New Roman" w:eastAsia="Times New Roman" w:hAnsi="Times New Roman" w:cs="Times New Roman"/>
                <w:i/>
                <w:sz w:val="19"/>
                <w:szCs w:val="19"/>
                <w:lang w:eastAsia="ru-RU"/>
              </w:rPr>
              <w:t>рации физических лиц-</w:t>
            </w:r>
            <w:proofErr w:type="gramStart"/>
            <w:r>
              <w:rPr>
                <w:rFonts w:ascii="Times New Roman" w:eastAsia="Times New Roman" w:hAnsi="Times New Roman" w:cs="Times New Roman"/>
                <w:i/>
                <w:sz w:val="19"/>
                <w:szCs w:val="19"/>
                <w:lang w:eastAsia="ru-RU"/>
              </w:rPr>
              <w:t xml:space="preserve">резидентов  </w:t>
            </w:r>
            <w:r w:rsidRPr="00D45A5B">
              <w:rPr>
                <w:rFonts w:ascii="Times New Roman" w:eastAsia="Times New Roman" w:hAnsi="Times New Roman" w:cs="Times New Roman"/>
                <w:i/>
                <w:sz w:val="19"/>
                <w:szCs w:val="19"/>
                <w:lang w:eastAsia="ru-RU"/>
              </w:rPr>
              <w:t>осуществляемые</w:t>
            </w:r>
            <w:proofErr w:type="gramEnd"/>
            <w:r w:rsidRPr="00D45A5B">
              <w:rPr>
                <w:rFonts w:ascii="Times New Roman" w:eastAsia="Times New Roman" w:hAnsi="Times New Roman" w:cs="Times New Roman"/>
                <w:i/>
                <w:sz w:val="19"/>
                <w:szCs w:val="19"/>
                <w:lang w:eastAsia="ru-RU"/>
              </w:rPr>
              <w:t xml:space="preserve"> на основании договора по управ</w:t>
            </w:r>
            <w:r>
              <w:rPr>
                <w:rFonts w:ascii="Times New Roman" w:eastAsia="Times New Roman" w:hAnsi="Times New Roman" w:cs="Times New Roman"/>
                <w:i/>
                <w:sz w:val="19"/>
                <w:szCs w:val="19"/>
                <w:lang w:eastAsia="ru-RU"/>
              </w:rPr>
              <w:t>лению инвестиционным портфелем</w:t>
            </w:r>
          </w:p>
        </w:tc>
        <w:tc>
          <w:tcPr>
            <w:tcW w:w="560" w:type="pct"/>
            <w:vMerge/>
            <w:tcBorders>
              <w:left w:val="nil"/>
              <w:right w:val="single" w:sz="4" w:space="0" w:color="auto"/>
            </w:tcBorders>
            <w:vAlign w:val="center"/>
          </w:tcPr>
          <w:p w14:paraId="08E1CB80" w14:textId="77777777" w:rsidR="00D339B5" w:rsidRPr="00E9113E" w:rsidRDefault="00D339B5" w:rsidP="00D45A5B">
            <w:pPr>
              <w:spacing w:before="240" w:line="240" w:lineRule="auto"/>
              <w:contextualSpacing/>
              <w:rPr>
                <w:rFonts w:ascii="Times New Roman" w:eastAsia="Times New Roman" w:hAnsi="Times New Roman" w:cs="Times New Roman"/>
                <w:sz w:val="19"/>
                <w:szCs w:val="19"/>
                <w:lang w:eastAsia="ru-RU"/>
              </w:rPr>
            </w:pPr>
          </w:p>
        </w:tc>
      </w:tr>
      <w:tr w:rsidR="00D339B5" w:rsidRPr="00E9113E" w14:paraId="4AE32FD8" w14:textId="77777777" w:rsidTr="0082285A">
        <w:trPr>
          <w:trHeight w:val="735"/>
        </w:trPr>
        <w:tc>
          <w:tcPr>
            <w:tcW w:w="93" w:type="pct"/>
            <w:vMerge w:val="restart"/>
            <w:tcBorders>
              <w:top w:val="nil"/>
              <w:left w:val="single" w:sz="4" w:space="0" w:color="auto"/>
              <w:right w:val="single" w:sz="4" w:space="0" w:color="auto"/>
            </w:tcBorders>
            <w:vAlign w:val="center"/>
          </w:tcPr>
          <w:p w14:paraId="544B71DC" w14:textId="77777777" w:rsidR="00D339B5" w:rsidRPr="00E9113E" w:rsidRDefault="00D339B5" w:rsidP="00D45A5B">
            <w:pPr>
              <w:spacing w:before="240" w:line="240" w:lineRule="auto"/>
              <w:contextualSpacing/>
              <w:rPr>
                <w:rFonts w:ascii="Times New Roman" w:eastAsia="Times New Roman" w:hAnsi="Times New Roman" w:cs="Times New Roman"/>
                <w:sz w:val="19"/>
                <w:szCs w:val="19"/>
                <w:lang w:eastAsia="ru-RU"/>
              </w:rPr>
            </w:pPr>
            <w:r w:rsidRPr="00E9113E">
              <w:rPr>
                <w:rFonts w:ascii="Times New Roman" w:eastAsia="Times New Roman" w:hAnsi="Times New Roman" w:cs="Times New Roman"/>
                <w:sz w:val="19"/>
                <w:szCs w:val="19"/>
                <w:lang w:eastAsia="ru-RU"/>
              </w:rPr>
              <w:t>7</w:t>
            </w:r>
          </w:p>
        </w:tc>
        <w:tc>
          <w:tcPr>
            <w:tcW w:w="597" w:type="pct"/>
            <w:vMerge w:val="restart"/>
            <w:tcBorders>
              <w:top w:val="nil"/>
              <w:left w:val="single" w:sz="4" w:space="0" w:color="auto"/>
              <w:right w:val="single" w:sz="4" w:space="0" w:color="auto"/>
            </w:tcBorders>
            <w:vAlign w:val="center"/>
          </w:tcPr>
          <w:p w14:paraId="6D5BE607" w14:textId="1CCBF25D" w:rsidR="00D339B5" w:rsidRPr="0074485A" w:rsidRDefault="00D339B5" w:rsidP="00D45A5B">
            <w:pPr>
              <w:spacing w:before="240" w:line="240" w:lineRule="auto"/>
              <w:contextualSpacing/>
              <w:rPr>
                <w:rFonts w:ascii="Times New Roman" w:eastAsia="Times New Roman" w:hAnsi="Times New Roman" w:cs="Times New Roman"/>
                <w:sz w:val="19"/>
                <w:szCs w:val="19"/>
                <w:lang w:eastAsia="ru-RU"/>
              </w:rPr>
            </w:pPr>
            <w:r w:rsidRPr="0074485A">
              <w:rPr>
                <w:rFonts w:ascii="Times New Roman" w:eastAsia="Times New Roman" w:hAnsi="Times New Roman" w:cs="Times New Roman"/>
                <w:sz w:val="19"/>
                <w:szCs w:val="19"/>
                <w:lang w:eastAsia="ru-RU"/>
              </w:rPr>
              <w:t>Передача денег и финансовых инструментов профессиональным участникам рынка ценных бумаг, осуществляющим валютные операции по поручениям клиентов, на счета для учета и хранения денег</w:t>
            </w:r>
            <w:r w:rsidR="00D23B83" w:rsidRPr="0074485A">
              <w:rPr>
                <w:rFonts w:ascii="Times New Roman" w:eastAsia="Times New Roman" w:hAnsi="Times New Roman" w:cs="Times New Roman"/>
                <w:sz w:val="19"/>
                <w:szCs w:val="19"/>
                <w:lang w:eastAsia="ru-RU"/>
              </w:rPr>
              <w:t xml:space="preserve"> и (или) финансовых инструментов</w:t>
            </w:r>
            <w:r w:rsidRPr="0074485A">
              <w:rPr>
                <w:rFonts w:ascii="Times New Roman" w:eastAsia="Times New Roman" w:hAnsi="Times New Roman" w:cs="Times New Roman"/>
                <w:sz w:val="19"/>
                <w:szCs w:val="19"/>
                <w:lang w:eastAsia="ru-RU"/>
              </w:rPr>
              <w:t>, принадлежащих клиентам</w:t>
            </w:r>
          </w:p>
          <w:p w14:paraId="799483F7" w14:textId="77777777" w:rsidR="008C00C4" w:rsidRPr="0074485A" w:rsidRDefault="008C00C4" w:rsidP="00D45A5B">
            <w:pPr>
              <w:spacing w:before="240" w:line="240" w:lineRule="auto"/>
              <w:contextualSpacing/>
              <w:rPr>
                <w:rFonts w:ascii="Times New Roman" w:eastAsia="Times New Roman" w:hAnsi="Times New Roman" w:cs="Times New Roman"/>
                <w:sz w:val="19"/>
                <w:szCs w:val="19"/>
                <w:lang w:eastAsia="ru-RU"/>
              </w:rPr>
            </w:pPr>
          </w:p>
        </w:tc>
        <w:tc>
          <w:tcPr>
            <w:tcW w:w="616" w:type="pct"/>
            <w:vMerge w:val="restart"/>
            <w:tcBorders>
              <w:top w:val="nil"/>
              <w:left w:val="single" w:sz="4" w:space="0" w:color="auto"/>
              <w:right w:val="single" w:sz="4" w:space="0" w:color="auto"/>
            </w:tcBorders>
            <w:shd w:val="clear" w:color="auto" w:fill="F2F2F2" w:themeFill="background1" w:themeFillShade="F2"/>
            <w:vAlign w:val="center"/>
          </w:tcPr>
          <w:p w14:paraId="51978A73" w14:textId="77777777" w:rsidR="00D339B5" w:rsidRPr="00E9113E" w:rsidRDefault="00D339B5" w:rsidP="00D45A5B">
            <w:pPr>
              <w:spacing w:before="240" w:line="240" w:lineRule="auto"/>
              <w:contextualSpacing/>
              <w:rPr>
                <w:rFonts w:ascii="Times New Roman" w:eastAsia="Times New Roman" w:hAnsi="Times New Roman" w:cs="Times New Roman"/>
                <w:sz w:val="19"/>
                <w:szCs w:val="19"/>
                <w:lang w:eastAsia="ru-RU"/>
              </w:rPr>
            </w:pPr>
          </w:p>
        </w:tc>
        <w:tc>
          <w:tcPr>
            <w:tcW w:w="1668" w:type="pct"/>
            <w:tcBorders>
              <w:top w:val="nil"/>
              <w:left w:val="nil"/>
              <w:bottom w:val="single" w:sz="4" w:space="0" w:color="auto"/>
              <w:right w:val="single" w:sz="4" w:space="0" w:color="auto"/>
            </w:tcBorders>
            <w:vAlign w:val="center"/>
          </w:tcPr>
          <w:p w14:paraId="3DA73106" w14:textId="11B0747F" w:rsidR="00D339B5" w:rsidRPr="0074485A" w:rsidRDefault="001977F2" w:rsidP="00D45A5B">
            <w:pPr>
              <w:spacing w:before="240" w:line="240" w:lineRule="auto"/>
              <w:contextualSpacing/>
              <w:jc w:val="center"/>
              <w:rPr>
                <w:rFonts w:ascii="Times New Roman" w:eastAsia="Times New Roman" w:hAnsi="Times New Roman" w:cs="Times New Roman"/>
                <w:sz w:val="19"/>
                <w:szCs w:val="19"/>
                <w:lang w:eastAsia="ru-RU"/>
              </w:rPr>
            </w:pPr>
            <w:r w:rsidRPr="0074485A">
              <w:rPr>
                <w:rFonts w:ascii="Times New Roman" w:eastAsia="Times New Roman" w:hAnsi="Times New Roman" w:cs="Times New Roman"/>
                <w:sz w:val="19"/>
                <w:szCs w:val="19"/>
                <w:lang w:eastAsia="ru-RU"/>
              </w:rPr>
              <w:t>Присвоение учетного номера в ТФ НБРК</w:t>
            </w:r>
            <w:r w:rsidRPr="0074485A">
              <w:rPr>
                <w:rStyle w:val="a8"/>
                <w:rFonts w:ascii="Times New Roman" w:eastAsia="Times New Roman" w:hAnsi="Times New Roman" w:cs="Times New Roman"/>
                <w:sz w:val="19"/>
                <w:szCs w:val="19"/>
                <w:vertAlign w:val="baseline"/>
                <w:lang w:eastAsia="ru-RU"/>
              </w:rPr>
              <w:t xml:space="preserve"> </w:t>
            </w:r>
            <w:r w:rsidR="00D339B5" w:rsidRPr="0074485A">
              <w:rPr>
                <w:rFonts w:ascii="Times New Roman" w:eastAsia="Times New Roman" w:hAnsi="Times New Roman" w:cs="Times New Roman"/>
                <w:sz w:val="19"/>
                <w:szCs w:val="19"/>
                <w:vertAlign w:val="superscript"/>
                <w:lang w:eastAsia="ru-RU"/>
              </w:rPr>
              <w:t>2</w:t>
            </w:r>
          </w:p>
        </w:tc>
        <w:tc>
          <w:tcPr>
            <w:tcW w:w="1465" w:type="pct"/>
            <w:vMerge w:val="restart"/>
            <w:tcBorders>
              <w:top w:val="nil"/>
              <w:left w:val="nil"/>
              <w:right w:val="single" w:sz="4" w:space="0" w:color="auto"/>
            </w:tcBorders>
            <w:shd w:val="clear" w:color="auto" w:fill="F2F2F2" w:themeFill="background1" w:themeFillShade="F2"/>
            <w:vAlign w:val="center"/>
          </w:tcPr>
          <w:p w14:paraId="52108573" w14:textId="77777777" w:rsidR="00D339B5" w:rsidRPr="00E05FAA" w:rsidRDefault="00D339B5" w:rsidP="00D45A5B">
            <w:pPr>
              <w:spacing w:before="240" w:line="240" w:lineRule="auto"/>
              <w:contextualSpacing/>
              <w:jc w:val="center"/>
              <w:rPr>
                <w:rFonts w:ascii="Times New Roman" w:eastAsia="Times New Roman" w:hAnsi="Times New Roman" w:cs="Times New Roman"/>
                <w:sz w:val="19"/>
                <w:szCs w:val="19"/>
                <w:highlight w:val="lightGray"/>
                <w:lang w:eastAsia="ru-RU"/>
              </w:rPr>
            </w:pPr>
          </w:p>
        </w:tc>
        <w:tc>
          <w:tcPr>
            <w:tcW w:w="560" w:type="pct"/>
            <w:vMerge/>
            <w:tcBorders>
              <w:left w:val="nil"/>
              <w:right w:val="single" w:sz="4" w:space="0" w:color="auto"/>
            </w:tcBorders>
            <w:vAlign w:val="center"/>
          </w:tcPr>
          <w:p w14:paraId="5EDC778C" w14:textId="77777777" w:rsidR="00D339B5" w:rsidRPr="00E9113E" w:rsidRDefault="00D339B5" w:rsidP="00D45A5B">
            <w:pPr>
              <w:spacing w:before="240" w:line="240" w:lineRule="auto"/>
              <w:contextualSpacing/>
              <w:rPr>
                <w:rFonts w:ascii="Times New Roman" w:eastAsia="Times New Roman" w:hAnsi="Times New Roman" w:cs="Times New Roman"/>
                <w:sz w:val="19"/>
                <w:szCs w:val="19"/>
                <w:lang w:eastAsia="ru-RU"/>
              </w:rPr>
            </w:pPr>
          </w:p>
        </w:tc>
      </w:tr>
      <w:tr w:rsidR="00D339B5" w:rsidRPr="00E9113E" w14:paraId="5E2D7C19" w14:textId="77777777" w:rsidTr="0082285A">
        <w:trPr>
          <w:trHeight w:val="2310"/>
        </w:trPr>
        <w:tc>
          <w:tcPr>
            <w:tcW w:w="93" w:type="pct"/>
            <w:vMerge/>
            <w:tcBorders>
              <w:left w:val="single" w:sz="4" w:space="0" w:color="auto"/>
              <w:bottom w:val="single" w:sz="4" w:space="0" w:color="000000"/>
              <w:right w:val="single" w:sz="4" w:space="0" w:color="auto"/>
            </w:tcBorders>
            <w:vAlign w:val="center"/>
          </w:tcPr>
          <w:p w14:paraId="08AF4039" w14:textId="77777777" w:rsidR="00D339B5" w:rsidRPr="00E9113E" w:rsidRDefault="00D339B5" w:rsidP="009211E1">
            <w:pPr>
              <w:spacing w:before="240" w:line="240" w:lineRule="auto"/>
              <w:contextualSpacing/>
              <w:rPr>
                <w:rFonts w:ascii="Times New Roman" w:eastAsia="Times New Roman" w:hAnsi="Times New Roman" w:cs="Times New Roman"/>
                <w:sz w:val="19"/>
                <w:szCs w:val="19"/>
                <w:lang w:eastAsia="ru-RU"/>
              </w:rPr>
            </w:pPr>
          </w:p>
        </w:tc>
        <w:tc>
          <w:tcPr>
            <w:tcW w:w="597" w:type="pct"/>
            <w:vMerge/>
            <w:tcBorders>
              <w:left w:val="single" w:sz="4" w:space="0" w:color="auto"/>
              <w:bottom w:val="single" w:sz="4" w:space="0" w:color="000000"/>
              <w:right w:val="single" w:sz="4" w:space="0" w:color="auto"/>
            </w:tcBorders>
            <w:vAlign w:val="center"/>
          </w:tcPr>
          <w:p w14:paraId="463F7A83" w14:textId="77777777" w:rsidR="00D339B5" w:rsidRPr="0074485A" w:rsidRDefault="00D339B5" w:rsidP="009211E1">
            <w:pPr>
              <w:spacing w:before="240" w:line="240" w:lineRule="auto"/>
              <w:contextualSpacing/>
              <w:rPr>
                <w:rFonts w:ascii="Times New Roman" w:eastAsia="Times New Roman" w:hAnsi="Times New Roman" w:cs="Times New Roman"/>
                <w:sz w:val="19"/>
                <w:szCs w:val="19"/>
                <w:lang w:eastAsia="ru-RU"/>
              </w:rPr>
            </w:pPr>
          </w:p>
        </w:tc>
        <w:tc>
          <w:tcPr>
            <w:tcW w:w="616" w:type="pct"/>
            <w:vMerge/>
            <w:tcBorders>
              <w:left w:val="single" w:sz="4" w:space="0" w:color="auto"/>
              <w:bottom w:val="single" w:sz="4" w:space="0" w:color="auto"/>
              <w:right w:val="single" w:sz="4" w:space="0" w:color="auto"/>
            </w:tcBorders>
            <w:shd w:val="clear" w:color="auto" w:fill="F2F2F2" w:themeFill="background1" w:themeFillShade="F2"/>
            <w:vAlign w:val="center"/>
          </w:tcPr>
          <w:p w14:paraId="0C4BC916" w14:textId="77777777" w:rsidR="00D339B5" w:rsidRPr="00E9113E" w:rsidRDefault="00D339B5" w:rsidP="009211E1">
            <w:pPr>
              <w:spacing w:before="240" w:line="240" w:lineRule="auto"/>
              <w:contextualSpacing/>
              <w:rPr>
                <w:rFonts w:ascii="Times New Roman" w:eastAsia="Times New Roman" w:hAnsi="Times New Roman" w:cs="Times New Roman"/>
                <w:sz w:val="19"/>
                <w:szCs w:val="19"/>
                <w:lang w:eastAsia="ru-RU"/>
              </w:rPr>
            </w:pPr>
          </w:p>
        </w:tc>
        <w:tc>
          <w:tcPr>
            <w:tcW w:w="1668" w:type="pct"/>
            <w:tcBorders>
              <w:top w:val="single" w:sz="4" w:space="0" w:color="auto"/>
              <w:left w:val="nil"/>
              <w:bottom w:val="single" w:sz="4" w:space="0" w:color="auto"/>
              <w:right w:val="single" w:sz="4" w:space="0" w:color="auto"/>
            </w:tcBorders>
            <w:vAlign w:val="center"/>
          </w:tcPr>
          <w:p w14:paraId="526E0E22" w14:textId="77777777" w:rsidR="00D339B5" w:rsidRPr="0074485A" w:rsidRDefault="00D339B5" w:rsidP="009211E1">
            <w:pPr>
              <w:spacing w:before="240" w:line="240" w:lineRule="auto"/>
              <w:contextualSpacing/>
              <w:jc w:val="both"/>
              <w:rPr>
                <w:rFonts w:ascii="Times New Roman" w:eastAsia="Times New Roman" w:hAnsi="Times New Roman" w:cs="Times New Roman"/>
                <w:sz w:val="19"/>
                <w:szCs w:val="19"/>
                <w:lang w:eastAsia="ru-RU"/>
              </w:rPr>
            </w:pPr>
            <w:r w:rsidRPr="0074485A">
              <w:rPr>
                <w:rFonts w:ascii="Times New Roman" w:eastAsia="Times New Roman" w:hAnsi="Times New Roman" w:cs="Times New Roman"/>
                <w:i/>
                <w:sz w:val="19"/>
                <w:szCs w:val="19"/>
                <w:lang w:eastAsia="ru-RU"/>
              </w:rPr>
              <w:t>Исключение: операции резидентов, осуществляемые на основании договора об оказании брокерских услуг, заключенного с брокером-резидентом</w:t>
            </w:r>
          </w:p>
        </w:tc>
        <w:tc>
          <w:tcPr>
            <w:tcW w:w="1465" w:type="pct"/>
            <w:vMerge/>
            <w:tcBorders>
              <w:left w:val="nil"/>
              <w:bottom w:val="single" w:sz="4" w:space="0" w:color="auto"/>
              <w:right w:val="single" w:sz="4" w:space="0" w:color="auto"/>
            </w:tcBorders>
            <w:shd w:val="clear" w:color="auto" w:fill="F2F2F2" w:themeFill="background1" w:themeFillShade="F2"/>
            <w:vAlign w:val="center"/>
          </w:tcPr>
          <w:p w14:paraId="63211095" w14:textId="77777777" w:rsidR="00D339B5" w:rsidRPr="00E9113E" w:rsidRDefault="00D339B5" w:rsidP="009211E1">
            <w:pPr>
              <w:spacing w:before="240" w:line="240" w:lineRule="auto"/>
              <w:contextualSpacing/>
              <w:jc w:val="both"/>
              <w:rPr>
                <w:rFonts w:ascii="Times New Roman" w:eastAsia="Times New Roman" w:hAnsi="Times New Roman" w:cs="Times New Roman"/>
                <w:sz w:val="19"/>
                <w:szCs w:val="19"/>
                <w:lang w:eastAsia="ru-RU"/>
              </w:rPr>
            </w:pPr>
          </w:p>
        </w:tc>
        <w:tc>
          <w:tcPr>
            <w:tcW w:w="560" w:type="pct"/>
            <w:vMerge/>
            <w:tcBorders>
              <w:left w:val="nil"/>
              <w:right w:val="single" w:sz="4" w:space="0" w:color="auto"/>
            </w:tcBorders>
            <w:vAlign w:val="center"/>
          </w:tcPr>
          <w:p w14:paraId="068602FE" w14:textId="77777777" w:rsidR="00D339B5" w:rsidRPr="00E9113E" w:rsidRDefault="00D339B5" w:rsidP="009211E1">
            <w:pPr>
              <w:spacing w:before="240" w:line="240" w:lineRule="auto"/>
              <w:contextualSpacing/>
              <w:rPr>
                <w:rFonts w:ascii="Times New Roman" w:eastAsia="Times New Roman" w:hAnsi="Times New Roman" w:cs="Times New Roman"/>
                <w:sz w:val="19"/>
                <w:szCs w:val="19"/>
                <w:lang w:eastAsia="ru-RU"/>
              </w:rPr>
            </w:pPr>
          </w:p>
        </w:tc>
      </w:tr>
      <w:tr w:rsidR="00D339B5" w:rsidRPr="00E9113E" w14:paraId="50B98254" w14:textId="77777777" w:rsidTr="0082285A">
        <w:trPr>
          <w:trHeight w:val="301"/>
        </w:trPr>
        <w:tc>
          <w:tcPr>
            <w:tcW w:w="93" w:type="pct"/>
            <w:vMerge w:val="restart"/>
            <w:tcBorders>
              <w:top w:val="nil"/>
              <w:left w:val="single" w:sz="4" w:space="0" w:color="auto"/>
              <w:right w:val="single" w:sz="4" w:space="0" w:color="auto"/>
            </w:tcBorders>
            <w:vAlign w:val="center"/>
          </w:tcPr>
          <w:p w14:paraId="11FEC345" w14:textId="77777777" w:rsidR="00D339B5" w:rsidRPr="00E9113E" w:rsidRDefault="00D339B5" w:rsidP="009211E1">
            <w:pPr>
              <w:spacing w:before="240" w:line="240" w:lineRule="auto"/>
              <w:contextualSpacing/>
              <w:rPr>
                <w:rFonts w:ascii="Times New Roman" w:eastAsia="Times New Roman" w:hAnsi="Times New Roman" w:cs="Times New Roman"/>
                <w:sz w:val="19"/>
                <w:szCs w:val="19"/>
                <w:lang w:eastAsia="ru-RU"/>
              </w:rPr>
            </w:pPr>
            <w:r w:rsidRPr="00E9113E">
              <w:rPr>
                <w:rFonts w:ascii="Times New Roman" w:eastAsia="Times New Roman" w:hAnsi="Times New Roman" w:cs="Times New Roman"/>
                <w:sz w:val="19"/>
                <w:szCs w:val="19"/>
                <w:lang w:eastAsia="ru-RU"/>
              </w:rPr>
              <w:t>8</w:t>
            </w:r>
          </w:p>
        </w:tc>
        <w:tc>
          <w:tcPr>
            <w:tcW w:w="597" w:type="pct"/>
            <w:vMerge w:val="restart"/>
            <w:tcBorders>
              <w:top w:val="nil"/>
              <w:left w:val="single" w:sz="4" w:space="0" w:color="auto"/>
              <w:right w:val="single" w:sz="4" w:space="0" w:color="auto"/>
            </w:tcBorders>
            <w:vAlign w:val="center"/>
          </w:tcPr>
          <w:p w14:paraId="7595EF07" w14:textId="3BCC8957" w:rsidR="00D339B5" w:rsidRPr="0074485A" w:rsidRDefault="00D339B5" w:rsidP="009211E1">
            <w:pPr>
              <w:spacing w:before="240" w:line="240" w:lineRule="auto"/>
              <w:contextualSpacing/>
              <w:rPr>
                <w:rFonts w:ascii="Times New Roman" w:eastAsia="Times New Roman" w:hAnsi="Times New Roman" w:cs="Times New Roman"/>
                <w:sz w:val="19"/>
                <w:szCs w:val="19"/>
                <w:lang w:eastAsia="ru-RU"/>
              </w:rPr>
            </w:pPr>
            <w:r w:rsidRPr="0074485A">
              <w:rPr>
                <w:rFonts w:ascii="Times New Roman" w:eastAsia="Times New Roman" w:hAnsi="Times New Roman" w:cs="Times New Roman"/>
                <w:sz w:val="19"/>
                <w:szCs w:val="19"/>
                <w:lang w:eastAsia="ru-RU"/>
              </w:rPr>
              <w:t>Безвозмездная передача денег и иных валютных ценностей</w:t>
            </w:r>
            <w:r w:rsidR="00D23B83" w:rsidRPr="0074485A">
              <w:rPr>
                <w:rFonts w:ascii="Times New Roman" w:eastAsia="Times New Roman" w:hAnsi="Times New Roman" w:cs="Times New Roman"/>
                <w:sz w:val="19"/>
                <w:szCs w:val="19"/>
                <w:lang w:eastAsia="ru-RU"/>
              </w:rPr>
              <w:t>, недвижимости</w:t>
            </w:r>
          </w:p>
        </w:tc>
        <w:tc>
          <w:tcPr>
            <w:tcW w:w="616" w:type="pct"/>
            <w:vMerge w:val="restart"/>
            <w:tcBorders>
              <w:top w:val="nil"/>
              <w:left w:val="single" w:sz="4" w:space="0" w:color="auto"/>
              <w:right w:val="single" w:sz="4" w:space="0" w:color="auto"/>
            </w:tcBorders>
            <w:shd w:val="clear" w:color="auto" w:fill="F2F2F2" w:themeFill="background1" w:themeFillShade="F2"/>
            <w:vAlign w:val="center"/>
          </w:tcPr>
          <w:p w14:paraId="13FFCBE4" w14:textId="77777777" w:rsidR="00D339B5" w:rsidRPr="00E9113E" w:rsidRDefault="00D339B5" w:rsidP="009211E1">
            <w:pPr>
              <w:spacing w:before="240" w:line="240" w:lineRule="auto"/>
              <w:contextualSpacing/>
              <w:rPr>
                <w:rFonts w:ascii="Times New Roman" w:eastAsia="Times New Roman" w:hAnsi="Times New Roman" w:cs="Times New Roman"/>
                <w:sz w:val="19"/>
                <w:szCs w:val="19"/>
                <w:lang w:eastAsia="ru-RU"/>
              </w:rPr>
            </w:pPr>
          </w:p>
        </w:tc>
        <w:tc>
          <w:tcPr>
            <w:tcW w:w="1668" w:type="pct"/>
            <w:tcBorders>
              <w:top w:val="nil"/>
              <w:left w:val="nil"/>
              <w:bottom w:val="single" w:sz="4" w:space="0" w:color="auto"/>
              <w:right w:val="single" w:sz="4" w:space="0" w:color="auto"/>
            </w:tcBorders>
            <w:vAlign w:val="center"/>
          </w:tcPr>
          <w:p w14:paraId="573DB67B" w14:textId="631A7EFF" w:rsidR="00D339B5" w:rsidRPr="0074485A" w:rsidRDefault="001977F2" w:rsidP="001B4F20">
            <w:pPr>
              <w:spacing w:before="160" w:line="240" w:lineRule="auto"/>
              <w:jc w:val="center"/>
              <w:rPr>
                <w:rFonts w:ascii="Times New Roman" w:eastAsia="Times New Roman" w:hAnsi="Times New Roman" w:cs="Times New Roman"/>
                <w:sz w:val="19"/>
                <w:szCs w:val="19"/>
                <w:lang w:eastAsia="ru-RU"/>
              </w:rPr>
            </w:pPr>
            <w:r w:rsidRPr="0074485A">
              <w:rPr>
                <w:rFonts w:ascii="Times New Roman" w:eastAsia="Times New Roman" w:hAnsi="Times New Roman" w:cs="Times New Roman"/>
                <w:sz w:val="19"/>
                <w:szCs w:val="19"/>
                <w:lang w:eastAsia="ru-RU"/>
              </w:rPr>
              <w:t>Присвоение учетного номера в ТФ НБРК</w:t>
            </w:r>
            <w:r w:rsidRPr="0074485A">
              <w:rPr>
                <w:rStyle w:val="a8"/>
                <w:rFonts w:ascii="Times New Roman" w:eastAsia="Times New Roman" w:hAnsi="Times New Roman" w:cs="Times New Roman"/>
                <w:sz w:val="19"/>
                <w:szCs w:val="19"/>
                <w:vertAlign w:val="baseline"/>
                <w:lang w:eastAsia="ru-RU"/>
              </w:rPr>
              <w:t xml:space="preserve"> </w:t>
            </w:r>
            <w:r w:rsidR="00D339B5" w:rsidRPr="0074485A">
              <w:rPr>
                <w:rFonts w:ascii="Times New Roman" w:eastAsia="Times New Roman" w:hAnsi="Times New Roman" w:cs="Times New Roman"/>
                <w:sz w:val="19"/>
                <w:szCs w:val="19"/>
                <w:vertAlign w:val="superscript"/>
                <w:lang w:eastAsia="ru-RU"/>
              </w:rPr>
              <w:t>2</w:t>
            </w:r>
          </w:p>
        </w:tc>
        <w:tc>
          <w:tcPr>
            <w:tcW w:w="1465" w:type="pct"/>
            <w:vMerge w:val="restart"/>
            <w:tcBorders>
              <w:top w:val="single" w:sz="4" w:space="0" w:color="auto"/>
              <w:left w:val="nil"/>
              <w:right w:val="single" w:sz="4" w:space="0" w:color="auto"/>
            </w:tcBorders>
            <w:shd w:val="clear" w:color="auto" w:fill="F2F2F2" w:themeFill="background1" w:themeFillShade="F2"/>
            <w:vAlign w:val="center"/>
          </w:tcPr>
          <w:p w14:paraId="758E5F8D" w14:textId="77777777" w:rsidR="00D339B5" w:rsidRPr="00E9113E" w:rsidRDefault="00D339B5" w:rsidP="009211E1">
            <w:pPr>
              <w:spacing w:before="240" w:line="240" w:lineRule="auto"/>
              <w:contextualSpacing/>
              <w:rPr>
                <w:rFonts w:ascii="Times New Roman" w:eastAsia="Times New Roman" w:hAnsi="Times New Roman" w:cs="Times New Roman"/>
                <w:sz w:val="19"/>
                <w:szCs w:val="19"/>
                <w:lang w:eastAsia="ru-RU"/>
              </w:rPr>
            </w:pPr>
            <w:r w:rsidRPr="00E9113E">
              <w:rPr>
                <w:rFonts w:ascii="Times New Roman" w:eastAsia="Times New Roman" w:hAnsi="Times New Roman" w:cs="Times New Roman"/>
                <w:sz w:val="19"/>
                <w:szCs w:val="19"/>
                <w:lang w:eastAsia="ru-RU"/>
              </w:rPr>
              <w:t> </w:t>
            </w:r>
          </w:p>
        </w:tc>
        <w:tc>
          <w:tcPr>
            <w:tcW w:w="560" w:type="pct"/>
            <w:vMerge/>
            <w:tcBorders>
              <w:left w:val="nil"/>
              <w:right w:val="single" w:sz="4" w:space="0" w:color="auto"/>
            </w:tcBorders>
            <w:shd w:val="clear" w:color="auto" w:fill="F2F2F2" w:themeFill="background1" w:themeFillShade="F2"/>
            <w:vAlign w:val="center"/>
          </w:tcPr>
          <w:p w14:paraId="71F4A060" w14:textId="77777777" w:rsidR="00D339B5" w:rsidRPr="00E9113E" w:rsidRDefault="00D339B5" w:rsidP="009211E1">
            <w:pPr>
              <w:spacing w:before="240" w:line="240" w:lineRule="auto"/>
              <w:contextualSpacing/>
              <w:rPr>
                <w:rFonts w:ascii="Times New Roman" w:eastAsia="Times New Roman" w:hAnsi="Times New Roman" w:cs="Times New Roman"/>
                <w:sz w:val="19"/>
                <w:szCs w:val="19"/>
                <w:lang w:eastAsia="ru-RU"/>
              </w:rPr>
            </w:pPr>
          </w:p>
        </w:tc>
      </w:tr>
      <w:tr w:rsidR="00D339B5" w:rsidRPr="00E9113E" w14:paraId="552A1E7D" w14:textId="77777777" w:rsidTr="0082285A">
        <w:trPr>
          <w:trHeight w:val="1650"/>
        </w:trPr>
        <w:tc>
          <w:tcPr>
            <w:tcW w:w="93" w:type="pct"/>
            <w:vMerge/>
            <w:tcBorders>
              <w:left w:val="single" w:sz="4" w:space="0" w:color="auto"/>
              <w:bottom w:val="single" w:sz="4" w:space="0" w:color="000000"/>
              <w:right w:val="single" w:sz="4" w:space="0" w:color="auto"/>
            </w:tcBorders>
            <w:vAlign w:val="center"/>
          </w:tcPr>
          <w:p w14:paraId="77C9A94D" w14:textId="77777777" w:rsidR="00D339B5" w:rsidRPr="00E9113E" w:rsidRDefault="00D339B5" w:rsidP="009211E1">
            <w:pPr>
              <w:spacing w:before="240" w:line="240" w:lineRule="auto"/>
              <w:contextualSpacing/>
              <w:rPr>
                <w:rFonts w:ascii="Times New Roman" w:eastAsia="Times New Roman" w:hAnsi="Times New Roman" w:cs="Times New Roman"/>
                <w:sz w:val="19"/>
                <w:szCs w:val="19"/>
                <w:lang w:eastAsia="ru-RU"/>
              </w:rPr>
            </w:pPr>
          </w:p>
        </w:tc>
        <w:tc>
          <w:tcPr>
            <w:tcW w:w="597" w:type="pct"/>
            <w:vMerge/>
            <w:tcBorders>
              <w:left w:val="single" w:sz="4" w:space="0" w:color="auto"/>
              <w:bottom w:val="single" w:sz="4" w:space="0" w:color="000000"/>
              <w:right w:val="single" w:sz="4" w:space="0" w:color="auto"/>
            </w:tcBorders>
            <w:vAlign w:val="center"/>
          </w:tcPr>
          <w:p w14:paraId="0E70F88B" w14:textId="77777777" w:rsidR="00D339B5" w:rsidRPr="0074485A" w:rsidRDefault="00D339B5" w:rsidP="009211E1">
            <w:pPr>
              <w:spacing w:before="240" w:line="240" w:lineRule="auto"/>
              <w:contextualSpacing/>
              <w:rPr>
                <w:rFonts w:ascii="Times New Roman" w:eastAsia="Times New Roman" w:hAnsi="Times New Roman" w:cs="Times New Roman"/>
                <w:sz w:val="19"/>
                <w:szCs w:val="19"/>
                <w:lang w:eastAsia="ru-RU"/>
              </w:rPr>
            </w:pPr>
          </w:p>
        </w:tc>
        <w:tc>
          <w:tcPr>
            <w:tcW w:w="616" w:type="pct"/>
            <w:vMerge/>
            <w:tcBorders>
              <w:left w:val="single" w:sz="4" w:space="0" w:color="auto"/>
              <w:bottom w:val="single" w:sz="4" w:space="0" w:color="auto"/>
              <w:right w:val="single" w:sz="4" w:space="0" w:color="auto"/>
            </w:tcBorders>
            <w:shd w:val="clear" w:color="auto" w:fill="F2F2F2" w:themeFill="background1" w:themeFillShade="F2"/>
            <w:vAlign w:val="center"/>
          </w:tcPr>
          <w:p w14:paraId="1EFBB2DB" w14:textId="77777777" w:rsidR="00D339B5" w:rsidRPr="00E9113E" w:rsidRDefault="00D339B5" w:rsidP="009211E1">
            <w:pPr>
              <w:spacing w:before="240" w:line="240" w:lineRule="auto"/>
              <w:contextualSpacing/>
              <w:rPr>
                <w:rFonts w:ascii="Times New Roman" w:eastAsia="Times New Roman" w:hAnsi="Times New Roman" w:cs="Times New Roman"/>
                <w:sz w:val="19"/>
                <w:szCs w:val="19"/>
                <w:lang w:eastAsia="ru-RU"/>
              </w:rPr>
            </w:pPr>
          </w:p>
        </w:tc>
        <w:tc>
          <w:tcPr>
            <w:tcW w:w="1668" w:type="pct"/>
            <w:tcBorders>
              <w:top w:val="single" w:sz="4" w:space="0" w:color="auto"/>
              <w:left w:val="nil"/>
              <w:bottom w:val="single" w:sz="4" w:space="0" w:color="auto"/>
              <w:right w:val="single" w:sz="4" w:space="0" w:color="auto"/>
            </w:tcBorders>
            <w:vAlign w:val="center"/>
          </w:tcPr>
          <w:p w14:paraId="3909448A" w14:textId="77777777" w:rsidR="00D339B5" w:rsidRDefault="00D339B5" w:rsidP="00E05FAA">
            <w:pPr>
              <w:spacing w:before="240" w:line="240" w:lineRule="auto"/>
              <w:contextualSpacing/>
              <w:jc w:val="both"/>
              <w:rPr>
                <w:rFonts w:ascii="Times New Roman" w:eastAsia="Times New Roman" w:hAnsi="Times New Roman" w:cs="Times New Roman"/>
                <w:i/>
                <w:sz w:val="19"/>
                <w:szCs w:val="19"/>
                <w:lang w:eastAsia="ru-RU"/>
              </w:rPr>
            </w:pPr>
          </w:p>
          <w:p w14:paraId="339738D3" w14:textId="77777777" w:rsidR="00D339B5" w:rsidRDefault="00D339B5" w:rsidP="00E05FAA">
            <w:pPr>
              <w:spacing w:before="240" w:line="240" w:lineRule="auto"/>
              <w:contextualSpacing/>
              <w:jc w:val="both"/>
              <w:rPr>
                <w:rFonts w:ascii="Times New Roman" w:eastAsia="Times New Roman" w:hAnsi="Times New Roman" w:cs="Times New Roman"/>
                <w:i/>
                <w:sz w:val="19"/>
                <w:szCs w:val="19"/>
                <w:lang w:eastAsia="ru-RU"/>
              </w:rPr>
            </w:pPr>
            <w:r w:rsidRPr="00E9113E">
              <w:rPr>
                <w:rFonts w:ascii="Times New Roman" w:eastAsia="Times New Roman" w:hAnsi="Times New Roman" w:cs="Times New Roman"/>
                <w:i/>
                <w:sz w:val="19"/>
                <w:szCs w:val="19"/>
                <w:lang w:eastAsia="ru-RU"/>
              </w:rPr>
              <w:t>Исключение: договор на безвозмездную передачу резидентом нерезиденту (нерезидентом резиденту) денег или иных валютных ценностей, если в результате такой передачи происходит исполнение или прекращение обязательств либо отчуждение права собственности на валютные ценности, по валютному договору по движению капитала, для которого резидентом ранее получен учетный номер.</w:t>
            </w:r>
          </w:p>
          <w:p w14:paraId="4B6BD68F" w14:textId="77777777" w:rsidR="00D339B5" w:rsidRPr="00E9113E" w:rsidRDefault="00D339B5" w:rsidP="00E05FAA">
            <w:pPr>
              <w:spacing w:before="240" w:line="240" w:lineRule="auto"/>
              <w:contextualSpacing/>
              <w:jc w:val="both"/>
              <w:rPr>
                <w:rFonts w:ascii="Times New Roman" w:eastAsia="Times New Roman" w:hAnsi="Times New Roman" w:cs="Times New Roman"/>
                <w:sz w:val="19"/>
                <w:szCs w:val="19"/>
                <w:lang w:eastAsia="ru-RU"/>
              </w:rPr>
            </w:pPr>
          </w:p>
        </w:tc>
        <w:tc>
          <w:tcPr>
            <w:tcW w:w="1465" w:type="pct"/>
            <w:vMerge/>
            <w:tcBorders>
              <w:left w:val="nil"/>
              <w:bottom w:val="single" w:sz="4" w:space="0" w:color="auto"/>
              <w:right w:val="single" w:sz="4" w:space="0" w:color="auto"/>
            </w:tcBorders>
            <w:shd w:val="clear" w:color="auto" w:fill="F2F2F2" w:themeFill="background1" w:themeFillShade="F2"/>
            <w:vAlign w:val="center"/>
          </w:tcPr>
          <w:p w14:paraId="031318F9" w14:textId="77777777" w:rsidR="00D339B5" w:rsidRPr="00E9113E" w:rsidRDefault="00D339B5" w:rsidP="009211E1">
            <w:pPr>
              <w:spacing w:before="240" w:line="240" w:lineRule="auto"/>
              <w:contextualSpacing/>
              <w:rPr>
                <w:rFonts w:ascii="Times New Roman" w:eastAsia="Times New Roman" w:hAnsi="Times New Roman" w:cs="Times New Roman"/>
                <w:sz w:val="19"/>
                <w:szCs w:val="19"/>
                <w:lang w:eastAsia="ru-RU"/>
              </w:rPr>
            </w:pPr>
          </w:p>
        </w:tc>
        <w:tc>
          <w:tcPr>
            <w:tcW w:w="560" w:type="pct"/>
            <w:vMerge/>
            <w:tcBorders>
              <w:left w:val="nil"/>
              <w:right w:val="single" w:sz="4" w:space="0" w:color="auto"/>
            </w:tcBorders>
            <w:shd w:val="clear" w:color="auto" w:fill="F2F2F2" w:themeFill="background1" w:themeFillShade="F2"/>
            <w:vAlign w:val="center"/>
          </w:tcPr>
          <w:p w14:paraId="0EB1C6F3" w14:textId="77777777" w:rsidR="00D339B5" w:rsidRPr="00E9113E" w:rsidRDefault="00D339B5" w:rsidP="009211E1">
            <w:pPr>
              <w:spacing w:before="240" w:line="240" w:lineRule="auto"/>
              <w:contextualSpacing/>
              <w:rPr>
                <w:rFonts w:ascii="Times New Roman" w:eastAsia="Times New Roman" w:hAnsi="Times New Roman" w:cs="Times New Roman"/>
                <w:sz w:val="19"/>
                <w:szCs w:val="19"/>
                <w:lang w:eastAsia="ru-RU"/>
              </w:rPr>
            </w:pPr>
          </w:p>
        </w:tc>
      </w:tr>
      <w:tr w:rsidR="00D339B5" w:rsidRPr="00E9113E" w14:paraId="040151A4" w14:textId="77777777" w:rsidTr="0082285A">
        <w:trPr>
          <w:trHeight w:val="441"/>
        </w:trPr>
        <w:tc>
          <w:tcPr>
            <w:tcW w:w="93" w:type="pct"/>
            <w:vMerge w:val="restart"/>
            <w:tcBorders>
              <w:top w:val="nil"/>
              <w:left w:val="single" w:sz="4" w:space="0" w:color="auto"/>
              <w:right w:val="single" w:sz="4" w:space="0" w:color="auto"/>
            </w:tcBorders>
            <w:vAlign w:val="center"/>
          </w:tcPr>
          <w:p w14:paraId="4BE07375" w14:textId="77777777" w:rsidR="00D339B5" w:rsidRPr="00E9113E" w:rsidRDefault="00D339B5" w:rsidP="009211E1">
            <w:pPr>
              <w:spacing w:before="240" w:line="240" w:lineRule="auto"/>
              <w:contextualSpacing/>
              <w:rPr>
                <w:rFonts w:ascii="Times New Roman" w:eastAsia="Times New Roman" w:hAnsi="Times New Roman" w:cs="Times New Roman"/>
                <w:sz w:val="19"/>
                <w:szCs w:val="19"/>
                <w:lang w:eastAsia="ru-RU"/>
              </w:rPr>
            </w:pPr>
            <w:r w:rsidRPr="00E9113E">
              <w:rPr>
                <w:rFonts w:ascii="Times New Roman" w:eastAsia="Times New Roman" w:hAnsi="Times New Roman" w:cs="Times New Roman"/>
                <w:sz w:val="19"/>
                <w:szCs w:val="19"/>
                <w:lang w:eastAsia="ru-RU"/>
              </w:rPr>
              <w:t>9</w:t>
            </w:r>
          </w:p>
        </w:tc>
        <w:tc>
          <w:tcPr>
            <w:tcW w:w="597" w:type="pct"/>
            <w:vMerge w:val="restart"/>
            <w:tcBorders>
              <w:top w:val="nil"/>
              <w:left w:val="single" w:sz="4" w:space="0" w:color="auto"/>
              <w:right w:val="single" w:sz="4" w:space="0" w:color="auto"/>
            </w:tcBorders>
            <w:vAlign w:val="center"/>
          </w:tcPr>
          <w:p w14:paraId="7CBA255E" w14:textId="07D90790" w:rsidR="00D339B5" w:rsidRPr="0074485A" w:rsidRDefault="00171DCF" w:rsidP="009211E1">
            <w:pPr>
              <w:spacing w:before="240" w:line="240" w:lineRule="auto"/>
              <w:contextualSpacing/>
              <w:rPr>
                <w:rFonts w:ascii="Times New Roman" w:eastAsia="Times New Roman" w:hAnsi="Times New Roman" w:cs="Times New Roman"/>
                <w:sz w:val="19"/>
                <w:szCs w:val="19"/>
                <w:lang w:eastAsia="ru-RU"/>
              </w:rPr>
            </w:pPr>
            <w:r w:rsidRPr="0074485A">
              <w:rPr>
                <w:rFonts w:ascii="Times New Roman" w:eastAsia="Times New Roman" w:hAnsi="Times New Roman" w:cs="Times New Roman"/>
                <w:sz w:val="19"/>
                <w:szCs w:val="19"/>
                <w:lang w:eastAsia="ru-RU"/>
              </w:rPr>
              <w:t xml:space="preserve">Открытие банковского, неаллокированного </w:t>
            </w:r>
            <w:r w:rsidRPr="0074485A">
              <w:rPr>
                <w:rFonts w:ascii="Times New Roman" w:eastAsia="Times New Roman" w:hAnsi="Times New Roman" w:cs="Times New Roman"/>
                <w:sz w:val="19"/>
                <w:szCs w:val="19"/>
                <w:lang w:eastAsia="ru-RU"/>
              </w:rPr>
              <w:lastRenderedPageBreak/>
              <w:t>металлического счета в иностранном банке, международной финансовой организации</w:t>
            </w:r>
          </w:p>
        </w:tc>
        <w:tc>
          <w:tcPr>
            <w:tcW w:w="616" w:type="pct"/>
            <w:vMerge w:val="restart"/>
            <w:tcBorders>
              <w:top w:val="nil"/>
              <w:left w:val="single" w:sz="4" w:space="0" w:color="auto"/>
              <w:right w:val="single" w:sz="4" w:space="0" w:color="auto"/>
            </w:tcBorders>
            <w:shd w:val="clear" w:color="auto" w:fill="F2F2F2" w:themeFill="background1" w:themeFillShade="F2"/>
            <w:vAlign w:val="center"/>
          </w:tcPr>
          <w:p w14:paraId="0C388D80" w14:textId="77777777" w:rsidR="00D339B5" w:rsidRPr="00E9113E" w:rsidRDefault="00D339B5" w:rsidP="00514054">
            <w:pPr>
              <w:spacing w:before="240" w:line="240" w:lineRule="auto"/>
              <w:contextualSpacing/>
              <w:jc w:val="center"/>
              <w:rPr>
                <w:rFonts w:ascii="Times New Roman" w:eastAsia="Times New Roman" w:hAnsi="Times New Roman" w:cs="Times New Roman"/>
                <w:sz w:val="19"/>
                <w:szCs w:val="19"/>
                <w:lang w:eastAsia="ru-RU"/>
              </w:rPr>
            </w:pPr>
          </w:p>
        </w:tc>
        <w:tc>
          <w:tcPr>
            <w:tcW w:w="1668" w:type="pct"/>
            <w:tcBorders>
              <w:top w:val="nil"/>
              <w:left w:val="nil"/>
              <w:bottom w:val="single" w:sz="4" w:space="0" w:color="auto"/>
              <w:right w:val="single" w:sz="4" w:space="0" w:color="auto"/>
            </w:tcBorders>
            <w:vAlign w:val="center"/>
          </w:tcPr>
          <w:p w14:paraId="70990ED6" w14:textId="77777777" w:rsidR="00D339B5" w:rsidRPr="00E9113E" w:rsidRDefault="00D339B5" w:rsidP="001B4F20">
            <w:pPr>
              <w:spacing w:before="160" w:line="240" w:lineRule="auto"/>
              <w:jc w:val="center"/>
              <w:rPr>
                <w:rFonts w:ascii="Times New Roman" w:eastAsia="Times New Roman" w:hAnsi="Times New Roman" w:cs="Times New Roman"/>
                <w:sz w:val="19"/>
                <w:szCs w:val="19"/>
                <w:lang w:eastAsia="ru-RU"/>
              </w:rPr>
            </w:pPr>
            <w:r w:rsidRPr="00E9113E">
              <w:rPr>
                <w:rFonts w:ascii="Times New Roman" w:eastAsia="Times New Roman" w:hAnsi="Times New Roman" w:cs="Times New Roman"/>
                <w:sz w:val="19"/>
                <w:szCs w:val="19"/>
                <w:lang w:eastAsia="ru-RU"/>
              </w:rPr>
              <w:t>Уведомление в ТФ НБРК (с получением учетного номера для счета)</w:t>
            </w:r>
          </w:p>
        </w:tc>
        <w:tc>
          <w:tcPr>
            <w:tcW w:w="1465" w:type="pct"/>
            <w:vMerge w:val="restart"/>
            <w:tcBorders>
              <w:top w:val="single" w:sz="4" w:space="0" w:color="auto"/>
              <w:left w:val="nil"/>
              <w:right w:val="single" w:sz="4" w:space="0" w:color="auto"/>
            </w:tcBorders>
            <w:shd w:val="clear" w:color="auto" w:fill="F2F2F2" w:themeFill="background1" w:themeFillShade="F2"/>
            <w:vAlign w:val="center"/>
          </w:tcPr>
          <w:p w14:paraId="3ADB0F72" w14:textId="77777777" w:rsidR="00D339B5" w:rsidRPr="00E9113E" w:rsidRDefault="00D339B5" w:rsidP="009211E1">
            <w:pPr>
              <w:spacing w:before="240" w:line="240" w:lineRule="auto"/>
              <w:contextualSpacing/>
              <w:rPr>
                <w:rFonts w:ascii="Times New Roman" w:eastAsia="Times New Roman" w:hAnsi="Times New Roman" w:cs="Times New Roman"/>
                <w:sz w:val="19"/>
                <w:szCs w:val="19"/>
                <w:lang w:eastAsia="ru-RU"/>
              </w:rPr>
            </w:pPr>
          </w:p>
        </w:tc>
        <w:tc>
          <w:tcPr>
            <w:tcW w:w="560" w:type="pct"/>
            <w:vMerge/>
            <w:tcBorders>
              <w:left w:val="nil"/>
              <w:right w:val="single" w:sz="4" w:space="0" w:color="auto"/>
            </w:tcBorders>
            <w:shd w:val="clear" w:color="auto" w:fill="F2F2F2" w:themeFill="background1" w:themeFillShade="F2"/>
            <w:vAlign w:val="center"/>
          </w:tcPr>
          <w:p w14:paraId="00EC4AE1" w14:textId="77777777" w:rsidR="00D339B5" w:rsidRPr="00E9113E" w:rsidRDefault="00D339B5" w:rsidP="009211E1">
            <w:pPr>
              <w:spacing w:before="240" w:line="240" w:lineRule="auto"/>
              <w:contextualSpacing/>
              <w:rPr>
                <w:rFonts w:ascii="Times New Roman" w:eastAsia="Times New Roman" w:hAnsi="Times New Roman" w:cs="Times New Roman"/>
                <w:sz w:val="19"/>
                <w:szCs w:val="19"/>
                <w:lang w:eastAsia="ru-RU"/>
              </w:rPr>
            </w:pPr>
          </w:p>
        </w:tc>
      </w:tr>
      <w:tr w:rsidR="00D339B5" w:rsidRPr="00E9113E" w14:paraId="52DC3383" w14:textId="77777777" w:rsidTr="0082285A">
        <w:trPr>
          <w:trHeight w:val="855"/>
        </w:trPr>
        <w:tc>
          <w:tcPr>
            <w:tcW w:w="93" w:type="pct"/>
            <w:vMerge/>
            <w:tcBorders>
              <w:left w:val="single" w:sz="4" w:space="0" w:color="auto"/>
              <w:bottom w:val="single" w:sz="4" w:space="0" w:color="000000"/>
              <w:right w:val="single" w:sz="4" w:space="0" w:color="auto"/>
            </w:tcBorders>
            <w:vAlign w:val="center"/>
          </w:tcPr>
          <w:p w14:paraId="41A5A106" w14:textId="77777777" w:rsidR="00D339B5" w:rsidRPr="00E9113E" w:rsidRDefault="00D339B5" w:rsidP="009211E1">
            <w:pPr>
              <w:spacing w:before="240" w:line="240" w:lineRule="auto"/>
              <w:contextualSpacing/>
              <w:rPr>
                <w:rFonts w:ascii="Times New Roman" w:eastAsia="Times New Roman" w:hAnsi="Times New Roman" w:cs="Times New Roman"/>
                <w:sz w:val="19"/>
                <w:szCs w:val="19"/>
                <w:lang w:eastAsia="ru-RU"/>
              </w:rPr>
            </w:pPr>
          </w:p>
        </w:tc>
        <w:tc>
          <w:tcPr>
            <w:tcW w:w="597" w:type="pct"/>
            <w:vMerge/>
            <w:tcBorders>
              <w:left w:val="single" w:sz="4" w:space="0" w:color="auto"/>
              <w:bottom w:val="single" w:sz="4" w:space="0" w:color="000000"/>
              <w:right w:val="single" w:sz="4" w:space="0" w:color="auto"/>
            </w:tcBorders>
            <w:vAlign w:val="center"/>
          </w:tcPr>
          <w:p w14:paraId="0A1F3B1B" w14:textId="77777777" w:rsidR="00D339B5" w:rsidRPr="00E9113E" w:rsidRDefault="00D339B5" w:rsidP="009211E1">
            <w:pPr>
              <w:spacing w:before="240" w:line="240" w:lineRule="auto"/>
              <w:contextualSpacing/>
              <w:rPr>
                <w:rFonts w:ascii="Times New Roman" w:eastAsia="Times New Roman" w:hAnsi="Times New Roman" w:cs="Times New Roman"/>
                <w:sz w:val="19"/>
                <w:szCs w:val="19"/>
                <w:lang w:eastAsia="ru-RU"/>
              </w:rPr>
            </w:pPr>
          </w:p>
        </w:tc>
        <w:tc>
          <w:tcPr>
            <w:tcW w:w="616" w:type="pct"/>
            <w:vMerge/>
            <w:tcBorders>
              <w:left w:val="single" w:sz="4" w:space="0" w:color="auto"/>
              <w:bottom w:val="single" w:sz="4" w:space="0" w:color="auto"/>
              <w:right w:val="single" w:sz="4" w:space="0" w:color="auto"/>
            </w:tcBorders>
            <w:shd w:val="clear" w:color="auto" w:fill="F2F2F2" w:themeFill="background1" w:themeFillShade="F2"/>
            <w:vAlign w:val="center"/>
          </w:tcPr>
          <w:p w14:paraId="6B2B3FD1" w14:textId="77777777" w:rsidR="00D339B5" w:rsidRPr="00E9113E" w:rsidRDefault="00D339B5" w:rsidP="00514054">
            <w:pPr>
              <w:spacing w:before="240" w:line="240" w:lineRule="auto"/>
              <w:contextualSpacing/>
              <w:jc w:val="center"/>
              <w:rPr>
                <w:rFonts w:ascii="Times New Roman" w:eastAsia="Times New Roman" w:hAnsi="Times New Roman" w:cs="Times New Roman"/>
                <w:sz w:val="19"/>
                <w:szCs w:val="19"/>
                <w:lang w:eastAsia="ru-RU"/>
              </w:rPr>
            </w:pPr>
          </w:p>
        </w:tc>
        <w:tc>
          <w:tcPr>
            <w:tcW w:w="1668" w:type="pct"/>
            <w:tcBorders>
              <w:top w:val="single" w:sz="4" w:space="0" w:color="auto"/>
              <w:left w:val="nil"/>
              <w:bottom w:val="single" w:sz="4" w:space="0" w:color="auto"/>
              <w:right w:val="single" w:sz="4" w:space="0" w:color="auto"/>
            </w:tcBorders>
            <w:vAlign w:val="center"/>
          </w:tcPr>
          <w:p w14:paraId="753C19ED" w14:textId="77777777" w:rsidR="00D339B5" w:rsidRPr="00E9113E" w:rsidRDefault="00D339B5" w:rsidP="00514054">
            <w:pPr>
              <w:spacing w:before="240" w:line="240" w:lineRule="auto"/>
              <w:contextualSpacing/>
              <w:jc w:val="both"/>
              <w:rPr>
                <w:rFonts w:ascii="Times New Roman" w:eastAsia="Times New Roman" w:hAnsi="Times New Roman" w:cs="Times New Roman"/>
                <w:sz w:val="19"/>
                <w:szCs w:val="19"/>
                <w:lang w:eastAsia="ru-RU"/>
              </w:rPr>
            </w:pPr>
            <w:r w:rsidRPr="00E9113E">
              <w:rPr>
                <w:rFonts w:ascii="Times New Roman" w:eastAsia="Times New Roman" w:hAnsi="Times New Roman" w:cs="Times New Roman"/>
                <w:i/>
                <w:sz w:val="19"/>
                <w:szCs w:val="19"/>
                <w:lang w:eastAsia="ru-RU"/>
              </w:rPr>
              <w:t>Исключение: счет филиала (представительства) иностранной организации</w:t>
            </w:r>
            <w:r>
              <w:rPr>
                <w:rFonts w:ascii="Times New Roman" w:eastAsia="Times New Roman" w:hAnsi="Times New Roman" w:cs="Times New Roman"/>
                <w:i/>
                <w:sz w:val="19"/>
                <w:szCs w:val="19"/>
                <w:lang w:eastAsia="ru-RU"/>
              </w:rPr>
              <w:t>,</w:t>
            </w:r>
            <w:r w:rsidRPr="00E9113E">
              <w:rPr>
                <w:rFonts w:ascii="Times New Roman" w:eastAsia="Times New Roman" w:hAnsi="Times New Roman" w:cs="Times New Roman"/>
                <w:i/>
                <w:sz w:val="19"/>
                <w:szCs w:val="19"/>
                <w:lang w:eastAsia="ru-RU"/>
              </w:rPr>
              <w:t xml:space="preserve"> участника МФЦА</w:t>
            </w:r>
          </w:p>
        </w:tc>
        <w:tc>
          <w:tcPr>
            <w:tcW w:w="1465" w:type="pct"/>
            <w:vMerge/>
            <w:tcBorders>
              <w:left w:val="nil"/>
              <w:bottom w:val="single" w:sz="4" w:space="0" w:color="auto"/>
              <w:right w:val="single" w:sz="4" w:space="0" w:color="auto"/>
            </w:tcBorders>
            <w:shd w:val="clear" w:color="auto" w:fill="F2F2F2" w:themeFill="background1" w:themeFillShade="F2"/>
            <w:vAlign w:val="center"/>
          </w:tcPr>
          <w:p w14:paraId="1DBB939C" w14:textId="77777777" w:rsidR="00D339B5" w:rsidRPr="00E9113E" w:rsidRDefault="00D339B5" w:rsidP="009211E1">
            <w:pPr>
              <w:spacing w:before="240" w:line="240" w:lineRule="auto"/>
              <w:contextualSpacing/>
              <w:rPr>
                <w:rFonts w:ascii="Times New Roman" w:eastAsia="Times New Roman" w:hAnsi="Times New Roman" w:cs="Times New Roman"/>
                <w:sz w:val="19"/>
                <w:szCs w:val="19"/>
                <w:lang w:eastAsia="ru-RU"/>
              </w:rPr>
            </w:pPr>
          </w:p>
        </w:tc>
        <w:tc>
          <w:tcPr>
            <w:tcW w:w="560" w:type="pct"/>
            <w:vMerge/>
            <w:tcBorders>
              <w:left w:val="nil"/>
              <w:bottom w:val="single" w:sz="4" w:space="0" w:color="auto"/>
              <w:right w:val="single" w:sz="4" w:space="0" w:color="auto"/>
            </w:tcBorders>
            <w:shd w:val="clear" w:color="auto" w:fill="F2F2F2" w:themeFill="background1" w:themeFillShade="F2"/>
            <w:vAlign w:val="center"/>
          </w:tcPr>
          <w:p w14:paraId="401A7A8C" w14:textId="77777777" w:rsidR="00D339B5" w:rsidRPr="00E9113E" w:rsidRDefault="00D339B5" w:rsidP="009211E1">
            <w:pPr>
              <w:spacing w:before="240" w:line="240" w:lineRule="auto"/>
              <w:contextualSpacing/>
              <w:rPr>
                <w:rFonts w:ascii="Times New Roman" w:eastAsia="Times New Roman" w:hAnsi="Times New Roman" w:cs="Times New Roman"/>
                <w:sz w:val="19"/>
                <w:szCs w:val="19"/>
                <w:lang w:eastAsia="ru-RU"/>
              </w:rPr>
            </w:pPr>
          </w:p>
        </w:tc>
      </w:tr>
    </w:tbl>
    <w:p w14:paraId="64B0FC95" w14:textId="77777777" w:rsidR="00A06D83" w:rsidRDefault="00A06D83"/>
    <w:sectPr w:rsidR="00A06D83" w:rsidSect="00E9113E">
      <w:footnotePr>
        <w:pos w:val="beneathText"/>
      </w:footnotePr>
      <w:endnotePr>
        <w:numFmt w:val="decimal"/>
      </w:endnotePr>
      <w:pgSz w:w="16838" w:h="11906" w:orient="landscape"/>
      <w:pgMar w:top="284" w:right="284" w:bottom="284"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B84BA" w14:textId="77777777" w:rsidR="00361370" w:rsidRDefault="00361370" w:rsidP="0019275D">
      <w:pPr>
        <w:spacing w:after="0" w:line="240" w:lineRule="auto"/>
      </w:pPr>
      <w:r>
        <w:separator/>
      </w:r>
    </w:p>
  </w:endnote>
  <w:endnote w:type="continuationSeparator" w:id="0">
    <w:p w14:paraId="2DF1C523" w14:textId="77777777" w:rsidR="00361370" w:rsidRDefault="00361370" w:rsidP="0019275D">
      <w:pPr>
        <w:spacing w:after="0" w:line="240" w:lineRule="auto"/>
      </w:pPr>
      <w:r>
        <w:continuationSeparator/>
      </w:r>
    </w:p>
  </w:endnote>
  <w:endnote w:id="1">
    <w:p w14:paraId="3C7DC339" w14:textId="6C31B9DD" w:rsidR="00A13F1D" w:rsidRPr="004D0BCB" w:rsidRDefault="0019275D" w:rsidP="008E2FB5">
      <w:pPr>
        <w:pStyle w:val="a6"/>
        <w:ind w:firstLine="425"/>
        <w:jc w:val="both"/>
        <w:rPr>
          <w:rFonts w:ascii="Times New Roman" w:hAnsi="Times New Roman" w:cs="Times New Roman"/>
        </w:rPr>
      </w:pPr>
      <w:r w:rsidRPr="004D0BCB">
        <w:rPr>
          <w:rStyle w:val="a8"/>
          <w:rFonts w:ascii="Times New Roman" w:hAnsi="Times New Roman" w:cs="Times New Roman"/>
        </w:rPr>
        <w:endnoteRef/>
      </w:r>
      <w:r w:rsidR="00B207C1" w:rsidRPr="004D0BCB">
        <w:rPr>
          <w:rFonts w:ascii="Times New Roman" w:hAnsi="Times New Roman" w:cs="Times New Roman"/>
        </w:rPr>
        <w:t> </w:t>
      </w:r>
      <w:r w:rsidRPr="004D0BCB">
        <w:rPr>
          <w:rFonts w:ascii="Times New Roman" w:hAnsi="Times New Roman" w:cs="Times New Roman"/>
        </w:rPr>
        <w:t>Согласно Закону РК «О валютном регулировании и валютном контроле» №167-</w:t>
      </w:r>
      <w:r w:rsidRPr="004D0BCB">
        <w:rPr>
          <w:rFonts w:ascii="Times New Roman" w:hAnsi="Times New Roman" w:cs="Times New Roman"/>
          <w:lang w:val="en-US"/>
        </w:rPr>
        <w:t>VI</w:t>
      </w:r>
      <w:r w:rsidRPr="004D0BCB">
        <w:rPr>
          <w:rFonts w:ascii="Times New Roman" w:hAnsi="Times New Roman" w:cs="Times New Roman"/>
        </w:rPr>
        <w:t xml:space="preserve"> от 02.07.2018</w:t>
      </w:r>
      <w:r w:rsidR="00685267" w:rsidRPr="004D0BCB">
        <w:rPr>
          <w:rFonts w:ascii="Times New Roman" w:hAnsi="Times New Roman" w:cs="Times New Roman"/>
        </w:rPr>
        <w:t> г.</w:t>
      </w:r>
      <w:r w:rsidRPr="004D0BCB">
        <w:rPr>
          <w:rFonts w:ascii="Times New Roman" w:hAnsi="Times New Roman" w:cs="Times New Roman"/>
        </w:rPr>
        <w:t xml:space="preserve"> и Правилам мониторинга валютных операций в Республике Казахстан, утвержденным ПП НБРК №64 от 10.04.2019</w:t>
      </w:r>
      <w:r w:rsidR="00685267" w:rsidRPr="004D0BCB">
        <w:rPr>
          <w:rFonts w:ascii="Times New Roman" w:hAnsi="Times New Roman" w:cs="Times New Roman"/>
        </w:rPr>
        <w:t> </w:t>
      </w:r>
      <w:r w:rsidRPr="004D0BCB">
        <w:rPr>
          <w:rFonts w:ascii="Times New Roman" w:hAnsi="Times New Roman" w:cs="Times New Roman"/>
        </w:rPr>
        <w:t>г</w:t>
      </w:r>
      <w:r w:rsidR="00685267" w:rsidRPr="004D0BCB">
        <w:rPr>
          <w:rFonts w:ascii="Times New Roman" w:hAnsi="Times New Roman" w:cs="Times New Roman"/>
        </w:rPr>
        <w:t xml:space="preserve">. </w:t>
      </w:r>
      <w:r w:rsidR="00D53456" w:rsidRPr="004D0BCB">
        <w:rPr>
          <w:rFonts w:ascii="Times New Roman" w:hAnsi="Times New Roman" w:cs="Times New Roman"/>
        </w:rPr>
        <w:t xml:space="preserve">(далее </w:t>
      </w:r>
      <w:r w:rsidR="00685267" w:rsidRPr="004D0BCB">
        <w:rPr>
          <w:rFonts w:ascii="Times New Roman" w:hAnsi="Times New Roman" w:cs="Times New Roman"/>
        </w:rPr>
        <w:t>–</w:t>
      </w:r>
      <w:r w:rsidR="00D53456" w:rsidRPr="004D0BCB">
        <w:rPr>
          <w:rFonts w:ascii="Times New Roman" w:hAnsi="Times New Roman" w:cs="Times New Roman"/>
        </w:rPr>
        <w:t xml:space="preserve"> Правила)</w:t>
      </w:r>
      <w:r w:rsidRPr="004D0BCB">
        <w:rPr>
          <w:rFonts w:ascii="Times New Roman" w:hAnsi="Times New Roman" w:cs="Times New Roman"/>
        </w:rPr>
        <w:t>.</w:t>
      </w:r>
    </w:p>
    <w:p w14:paraId="3FB7400B" w14:textId="77777777" w:rsidR="006D685A" w:rsidRPr="004D0BCB" w:rsidRDefault="006D685A" w:rsidP="008E2FB5">
      <w:pPr>
        <w:pStyle w:val="a6"/>
        <w:ind w:firstLine="425"/>
        <w:jc w:val="both"/>
        <w:rPr>
          <w:rFonts w:ascii="Times New Roman" w:hAnsi="Times New Roman" w:cs="Times New Roman"/>
        </w:rPr>
      </w:pPr>
    </w:p>
  </w:endnote>
  <w:endnote w:id="2">
    <w:p w14:paraId="259D7B3D" w14:textId="39053222" w:rsidR="00D339B5" w:rsidRPr="004D0BCB" w:rsidRDefault="00D339B5" w:rsidP="008E2FB5">
      <w:pPr>
        <w:pStyle w:val="a6"/>
        <w:ind w:firstLine="425"/>
        <w:jc w:val="both"/>
        <w:rPr>
          <w:rFonts w:ascii="Times New Roman" w:hAnsi="Times New Roman" w:cs="Times New Roman"/>
        </w:rPr>
      </w:pPr>
      <w:r w:rsidRPr="004D0BCB">
        <w:rPr>
          <w:rStyle w:val="a8"/>
          <w:rFonts w:ascii="Times New Roman" w:hAnsi="Times New Roman" w:cs="Times New Roman"/>
        </w:rPr>
        <w:endnoteRef/>
      </w:r>
      <w:r w:rsidRPr="004D0BCB">
        <w:rPr>
          <w:rFonts w:ascii="Times New Roman" w:hAnsi="Times New Roman" w:cs="Times New Roman"/>
        </w:rPr>
        <w:t> </w:t>
      </w:r>
      <w:r w:rsidR="00685267" w:rsidRPr="004D0BCB">
        <w:rPr>
          <w:rFonts w:ascii="Times New Roman" w:hAnsi="Times New Roman" w:cs="Times New Roman"/>
        </w:rPr>
        <w:t>Присвоению учетного номера подлежат валютные договоры по движению капитала на сумму, превышающую 500 000 долларов США в эквиваленте</w:t>
      </w:r>
      <w:r w:rsidR="00171DCF" w:rsidRPr="004D0BCB">
        <w:rPr>
          <w:rFonts w:ascii="Times New Roman" w:hAnsi="Times New Roman" w:cs="Times New Roman"/>
        </w:rPr>
        <w:t xml:space="preserve"> (без начисления вознаграждения, комиссионных, штрафов и других платежей)</w:t>
      </w:r>
      <w:r w:rsidR="00685267" w:rsidRPr="004D0BCB">
        <w:rPr>
          <w:rFonts w:ascii="Times New Roman" w:hAnsi="Times New Roman" w:cs="Times New Roman"/>
        </w:rPr>
        <w:t>, а также валютные договоры по движению капитала, в которых на дату их подписания (при отсутствии такой даты – на дату вступления договора в силу) сумма договора не указана (пункты 8 и 9 Правил).</w:t>
      </w:r>
    </w:p>
    <w:p w14:paraId="16F05BF8" w14:textId="77777777" w:rsidR="00685267" w:rsidRPr="004D0BCB" w:rsidRDefault="00685267" w:rsidP="008E2FB5">
      <w:pPr>
        <w:pStyle w:val="a6"/>
        <w:ind w:firstLine="425"/>
        <w:jc w:val="both"/>
        <w:rPr>
          <w:rFonts w:ascii="Times New Roman" w:hAnsi="Times New Roman" w:cs="Times New Roman"/>
        </w:rPr>
      </w:pPr>
    </w:p>
    <w:p w14:paraId="433A367D" w14:textId="06F45CB4" w:rsidR="00685267" w:rsidRPr="004D0BCB" w:rsidRDefault="00685267" w:rsidP="00685267">
      <w:pPr>
        <w:pStyle w:val="a6"/>
        <w:ind w:firstLine="425"/>
        <w:jc w:val="both"/>
        <w:rPr>
          <w:rFonts w:ascii="Times New Roman" w:hAnsi="Times New Roman" w:cs="Times New Roman"/>
          <w:lang w:val="ru-KZ"/>
        </w:rPr>
      </w:pPr>
      <w:r w:rsidRPr="004D0BCB">
        <w:rPr>
          <w:rFonts w:ascii="Times New Roman" w:hAnsi="Times New Roman" w:cs="Times New Roman"/>
          <w:lang w:val="ru-KZ"/>
        </w:rPr>
        <w:t>Не подлежат присвоению учетного номера следующие валютные договоры по движению капитала:</w:t>
      </w:r>
    </w:p>
    <w:p w14:paraId="2B494349" w14:textId="23273491" w:rsidR="00685267" w:rsidRPr="004D0BCB" w:rsidRDefault="00685267" w:rsidP="00685267">
      <w:pPr>
        <w:pStyle w:val="a6"/>
        <w:ind w:firstLine="425"/>
        <w:jc w:val="both"/>
        <w:rPr>
          <w:rFonts w:ascii="Times New Roman" w:hAnsi="Times New Roman" w:cs="Times New Roman"/>
          <w:lang w:val="ru-KZ"/>
        </w:rPr>
      </w:pPr>
      <w:r w:rsidRPr="004D0BCB">
        <w:rPr>
          <w:rFonts w:ascii="Times New Roman" w:hAnsi="Times New Roman" w:cs="Times New Roman"/>
          <w:lang w:val="ru-KZ"/>
        </w:rPr>
        <w:t>1) валютные договоры по движению капитала, участниками которых являются Национальный Банк и (или) Министерство финансов Республики Казахстан;</w:t>
      </w:r>
    </w:p>
    <w:p w14:paraId="34A7143F" w14:textId="321857B3" w:rsidR="00685267" w:rsidRPr="004D0BCB" w:rsidRDefault="00685267" w:rsidP="00685267">
      <w:pPr>
        <w:pStyle w:val="a6"/>
        <w:ind w:firstLine="425"/>
        <w:jc w:val="both"/>
        <w:rPr>
          <w:rFonts w:ascii="Times New Roman" w:hAnsi="Times New Roman" w:cs="Times New Roman"/>
          <w:lang w:val="ru-KZ"/>
        </w:rPr>
      </w:pPr>
      <w:r w:rsidRPr="004D0BCB">
        <w:rPr>
          <w:rFonts w:ascii="Times New Roman" w:hAnsi="Times New Roman" w:cs="Times New Roman"/>
          <w:lang w:val="ru-KZ"/>
        </w:rPr>
        <w:t>2) валютные договоры по движению капитала, единственным участником-резидентом (единственными участниками-резидентами) которых является (являются) участник (участники) Международного финансового центра "Астана";</w:t>
      </w:r>
    </w:p>
    <w:p w14:paraId="08C08EBB" w14:textId="0E077468" w:rsidR="00685267" w:rsidRPr="004D0BCB" w:rsidRDefault="00685267" w:rsidP="00685267">
      <w:pPr>
        <w:pStyle w:val="a6"/>
        <w:ind w:firstLine="425"/>
        <w:jc w:val="both"/>
        <w:rPr>
          <w:rFonts w:ascii="Times New Roman" w:hAnsi="Times New Roman" w:cs="Times New Roman"/>
          <w:lang w:val="ru-KZ"/>
        </w:rPr>
      </w:pPr>
      <w:r w:rsidRPr="004D0BCB">
        <w:rPr>
          <w:rFonts w:ascii="Times New Roman" w:hAnsi="Times New Roman" w:cs="Times New Roman"/>
          <w:lang w:val="ru-KZ"/>
        </w:rPr>
        <w:t>3) соглашения о государственных внешних займах Республики Казахстан, негосударственных внешних займах, имеющих государственные гарантии Республики Казахстан.</w:t>
      </w:r>
    </w:p>
    <w:p w14:paraId="3A1E32B7" w14:textId="77777777" w:rsidR="00685267" w:rsidRPr="004D0BCB" w:rsidRDefault="00685267" w:rsidP="00685267">
      <w:pPr>
        <w:pStyle w:val="a6"/>
        <w:ind w:firstLine="425"/>
        <w:jc w:val="both"/>
        <w:rPr>
          <w:rFonts w:ascii="Times New Roman" w:hAnsi="Times New Roman" w:cs="Times New Roman"/>
          <w:lang w:val="ru-KZ"/>
        </w:rPr>
      </w:pPr>
    </w:p>
    <w:p w14:paraId="5E30473E" w14:textId="4F097D71" w:rsidR="00685267" w:rsidRPr="004D0BCB" w:rsidRDefault="00685267" w:rsidP="00685267">
      <w:pPr>
        <w:pStyle w:val="a6"/>
        <w:ind w:firstLine="425"/>
        <w:jc w:val="both"/>
        <w:rPr>
          <w:rFonts w:ascii="Times New Roman" w:hAnsi="Times New Roman" w:cs="Times New Roman"/>
          <w:lang w:val="ru-KZ"/>
        </w:rPr>
      </w:pPr>
      <w:r w:rsidRPr="004D0BCB">
        <w:rPr>
          <w:rFonts w:ascii="Times New Roman" w:hAnsi="Times New Roman" w:cs="Times New Roman"/>
          <w:lang w:val="ru-KZ"/>
        </w:rPr>
        <w:t>Не подлежат присвоению учетного номера валютные договоры, в рамках которых предусмотрены следующие операции движения капитала и приравненные к ним операции:</w:t>
      </w:r>
    </w:p>
    <w:p w14:paraId="7D29EEE9" w14:textId="338C6814" w:rsidR="00685267" w:rsidRPr="004D0BCB" w:rsidRDefault="00685267" w:rsidP="00685267">
      <w:pPr>
        <w:pStyle w:val="a6"/>
        <w:ind w:firstLine="425"/>
        <w:jc w:val="both"/>
        <w:rPr>
          <w:rFonts w:ascii="Times New Roman" w:hAnsi="Times New Roman" w:cs="Times New Roman"/>
          <w:lang w:val="ru-KZ"/>
        </w:rPr>
      </w:pPr>
      <w:r w:rsidRPr="004D0BCB">
        <w:rPr>
          <w:rFonts w:ascii="Times New Roman" w:hAnsi="Times New Roman" w:cs="Times New Roman"/>
          <w:lang w:val="ru-KZ"/>
        </w:rPr>
        <w:t>1) проводимые загранучреждениями Республики Казахстан, филиалами (представительствами) иностранных организаций, осуществляющими свою деятельность на территории Республики Казахстан;</w:t>
      </w:r>
    </w:p>
    <w:p w14:paraId="4CBF553C" w14:textId="22EE8790" w:rsidR="00685267" w:rsidRPr="004D0BCB" w:rsidRDefault="00685267" w:rsidP="00685267">
      <w:pPr>
        <w:pStyle w:val="a6"/>
        <w:ind w:firstLine="425"/>
        <w:jc w:val="both"/>
        <w:rPr>
          <w:rFonts w:ascii="Times New Roman" w:hAnsi="Times New Roman" w:cs="Times New Roman"/>
          <w:lang w:val="ru-KZ"/>
        </w:rPr>
      </w:pPr>
      <w:r w:rsidRPr="004D0BCB">
        <w:rPr>
          <w:rFonts w:ascii="Times New Roman" w:hAnsi="Times New Roman" w:cs="Times New Roman"/>
          <w:lang w:val="ru-KZ"/>
        </w:rPr>
        <w:t>2) собственные операции движения капитала банков, страховых (перестраховочных) организаций, брокеров и (или) дилеров, управляющих компаний, филиалов банков-нерезидентов Республики Казахстан и филиалов страховых (перестраховочных) организаций-нерезидентов Республики Казахстан, осуществляющих свою деятельность на территории Республики Казахстан;</w:t>
      </w:r>
    </w:p>
    <w:p w14:paraId="6335AA8C" w14:textId="53FD9A3C" w:rsidR="00685267" w:rsidRPr="004D0BCB" w:rsidRDefault="00685267" w:rsidP="00685267">
      <w:pPr>
        <w:pStyle w:val="a6"/>
        <w:ind w:firstLine="425"/>
        <w:jc w:val="both"/>
        <w:rPr>
          <w:rFonts w:ascii="Times New Roman" w:hAnsi="Times New Roman" w:cs="Times New Roman"/>
          <w:lang w:val="ru-KZ"/>
        </w:rPr>
      </w:pPr>
      <w:r w:rsidRPr="004D0BCB">
        <w:rPr>
          <w:rFonts w:ascii="Times New Roman" w:hAnsi="Times New Roman" w:cs="Times New Roman"/>
          <w:lang w:val="ru-KZ"/>
        </w:rPr>
        <w:t>3) операции, связанные с инвестированием собственных и (или) пенсионных активов единого накопительного пенсионного фонда и добровольных накопительных пенсионных фондов;</w:t>
      </w:r>
    </w:p>
    <w:p w14:paraId="1CDCAF34" w14:textId="6FE402D3" w:rsidR="00685267" w:rsidRPr="004D0BCB" w:rsidRDefault="00685267" w:rsidP="00685267">
      <w:pPr>
        <w:pStyle w:val="a6"/>
        <w:ind w:firstLine="425"/>
        <w:jc w:val="both"/>
        <w:rPr>
          <w:rFonts w:ascii="Times New Roman" w:hAnsi="Times New Roman" w:cs="Times New Roman"/>
          <w:lang w:val="ru-KZ"/>
        </w:rPr>
      </w:pPr>
      <w:r w:rsidRPr="004D0BCB">
        <w:rPr>
          <w:rFonts w:ascii="Times New Roman" w:hAnsi="Times New Roman" w:cs="Times New Roman"/>
          <w:lang w:val="ru-KZ"/>
        </w:rPr>
        <w:t>4) размещение, погашение, приобретение, продажа:</w:t>
      </w:r>
    </w:p>
    <w:p w14:paraId="593A1869" w14:textId="31C7AF28" w:rsidR="00685267" w:rsidRPr="004D0BCB" w:rsidRDefault="00685267" w:rsidP="00685267">
      <w:pPr>
        <w:pStyle w:val="a6"/>
        <w:numPr>
          <w:ilvl w:val="0"/>
          <w:numId w:val="9"/>
        </w:numPr>
        <w:jc w:val="both"/>
        <w:rPr>
          <w:rFonts w:ascii="Times New Roman" w:hAnsi="Times New Roman" w:cs="Times New Roman"/>
          <w:lang w:val="ru-KZ"/>
        </w:rPr>
      </w:pPr>
      <w:r w:rsidRPr="004D0BCB">
        <w:rPr>
          <w:rFonts w:ascii="Times New Roman" w:hAnsi="Times New Roman" w:cs="Times New Roman"/>
          <w:lang w:val="ru-KZ"/>
        </w:rPr>
        <w:t>государственных ценных бумаг Республики Казахстан;</w:t>
      </w:r>
    </w:p>
    <w:p w14:paraId="24C748AA" w14:textId="57596F6B" w:rsidR="00685267" w:rsidRPr="004D0BCB" w:rsidRDefault="00685267" w:rsidP="00685267">
      <w:pPr>
        <w:pStyle w:val="a6"/>
        <w:numPr>
          <w:ilvl w:val="0"/>
          <w:numId w:val="9"/>
        </w:numPr>
        <w:jc w:val="both"/>
        <w:rPr>
          <w:rFonts w:ascii="Times New Roman" w:hAnsi="Times New Roman" w:cs="Times New Roman"/>
          <w:lang w:val="ru-KZ"/>
        </w:rPr>
      </w:pPr>
      <w:r w:rsidRPr="004D0BCB">
        <w:rPr>
          <w:rFonts w:ascii="Times New Roman" w:hAnsi="Times New Roman" w:cs="Times New Roman"/>
          <w:lang w:val="ru-KZ"/>
        </w:rPr>
        <w:t>ценных бумаг эмитента-резидента, выпущенных в соответствии с законодательством другого государства и на его территории (включая депозитарные расписки, базовым активом которых являются ценные бумаги эмитента-резидента);</w:t>
      </w:r>
    </w:p>
    <w:p w14:paraId="0C3B7768" w14:textId="21597BFE" w:rsidR="00685267" w:rsidRPr="004D0BCB" w:rsidRDefault="00685267" w:rsidP="00685267">
      <w:pPr>
        <w:pStyle w:val="a6"/>
        <w:numPr>
          <w:ilvl w:val="0"/>
          <w:numId w:val="9"/>
        </w:numPr>
        <w:jc w:val="both"/>
        <w:rPr>
          <w:rFonts w:ascii="Times New Roman" w:hAnsi="Times New Roman" w:cs="Times New Roman"/>
          <w:lang w:val="ru-KZ"/>
        </w:rPr>
      </w:pPr>
      <w:r w:rsidRPr="004D0BCB">
        <w:rPr>
          <w:rFonts w:ascii="Times New Roman" w:hAnsi="Times New Roman" w:cs="Times New Roman"/>
          <w:lang w:val="ru-KZ"/>
        </w:rPr>
        <w:t>ценных бумаг эмитента-нерезидента, выпущенных в соответствии с законодательством Республики Казахстан (включая казахстанские депозитарные расписки);</w:t>
      </w:r>
    </w:p>
    <w:p w14:paraId="6060757F" w14:textId="0A4108DD" w:rsidR="00685267" w:rsidRPr="004D0BCB" w:rsidRDefault="00685267" w:rsidP="00685267">
      <w:pPr>
        <w:pStyle w:val="a6"/>
        <w:ind w:firstLine="425"/>
        <w:jc w:val="both"/>
        <w:rPr>
          <w:rFonts w:ascii="Times New Roman" w:hAnsi="Times New Roman" w:cs="Times New Roman"/>
          <w:lang w:val="ru-KZ"/>
        </w:rPr>
      </w:pPr>
      <w:r w:rsidRPr="004D0BCB">
        <w:rPr>
          <w:rFonts w:ascii="Times New Roman" w:hAnsi="Times New Roman" w:cs="Times New Roman"/>
          <w:lang w:val="ru-KZ"/>
        </w:rPr>
        <w:t>5) приобретение на вторичном рынке:</w:t>
      </w:r>
    </w:p>
    <w:p w14:paraId="6F88631F" w14:textId="64A7CEAC" w:rsidR="00685267" w:rsidRPr="004D0BCB" w:rsidRDefault="00685267" w:rsidP="00685267">
      <w:pPr>
        <w:pStyle w:val="a6"/>
        <w:numPr>
          <w:ilvl w:val="0"/>
          <w:numId w:val="10"/>
        </w:numPr>
        <w:jc w:val="both"/>
        <w:rPr>
          <w:rFonts w:ascii="Times New Roman" w:hAnsi="Times New Roman" w:cs="Times New Roman"/>
          <w:lang w:val="ru-KZ"/>
        </w:rPr>
      </w:pPr>
      <w:r w:rsidRPr="004D0BCB">
        <w:rPr>
          <w:rFonts w:ascii="Times New Roman" w:hAnsi="Times New Roman" w:cs="Times New Roman"/>
          <w:lang w:val="ru-KZ"/>
        </w:rPr>
        <w:t>резидентом у нерезидента долговых ценных бумаг эмитента-резидента, выпущенных в соответствии с законодательством Республики Казахстан;</w:t>
      </w:r>
    </w:p>
    <w:p w14:paraId="5E4FA23B" w14:textId="4435B0D2" w:rsidR="00685267" w:rsidRPr="004D0BCB" w:rsidRDefault="00685267" w:rsidP="00685267">
      <w:pPr>
        <w:pStyle w:val="a6"/>
        <w:numPr>
          <w:ilvl w:val="0"/>
          <w:numId w:val="10"/>
        </w:numPr>
        <w:jc w:val="both"/>
        <w:rPr>
          <w:rFonts w:ascii="Times New Roman" w:hAnsi="Times New Roman" w:cs="Times New Roman"/>
          <w:lang w:val="ru-KZ"/>
        </w:rPr>
      </w:pPr>
      <w:r w:rsidRPr="004D0BCB">
        <w:rPr>
          <w:rFonts w:ascii="Times New Roman" w:hAnsi="Times New Roman" w:cs="Times New Roman"/>
          <w:lang w:val="ru-KZ"/>
        </w:rPr>
        <w:t>нерезидентом у резидента долговых ценных бумаг эмитента-нерезидента, выпущенных в соответствии с законодательством другого государства и на его территории;</w:t>
      </w:r>
    </w:p>
    <w:p w14:paraId="300FA8F2" w14:textId="7F4C4EFC" w:rsidR="00685267" w:rsidRPr="004D0BCB" w:rsidRDefault="00685267" w:rsidP="00685267">
      <w:pPr>
        <w:pStyle w:val="a6"/>
        <w:ind w:firstLine="425"/>
        <w:jc w:val="both"/>
        <w:rPr>
          <w:rFonts w:ascii="Times New Roman" w:hAnsi="Times New Roman" w:cs="Times New Roman"/>
          <w:lang w:val="ru-KZ"/>
        </w:rPr>
      </w:pPr>
      <w:r w:rsidRPr="004D0BCB">
        <w:rPr>
          <w:rFonts w:ascii="Times New Roman" w:hAnsi="Times New Roman" w:cs="Times New Roman"/>
          <w:lang w:val="ru-KZ"/>
        </w:rPr>
        <w:t>6) операции резидентов, осуществляемые на основании договора об оказании брокерских услуг, заключенного с брокером-резидентом, или на основании договора по управлению инвестиционным портфелем, заключенного с управляющим инвестиционным портфелем-резидентом;</w:t>
      </w:r>
    </w:p>
    <w:p w14:paraId="63D11AE3" w14:textId="5057E80B" w:rsidR="00685267" w:rsidRPr="004D0BCB" w:rsidRDefault="00685267" w:rsidP="00685267">
      <w:pPr>
        <w:pStyle w:val="a6"/>
        <w:ind w:firstLine="425"/>
        <w:jc w:val="both"/>
        <w:rPr>
          <w:rFonts w:ascii="Times New Roman" w:hAnsi="Times New Roman" w:cs="Times New Roman"/>
          <w:lang w:val="ru-KZ"/>
        </w:rPr>
      </w:pPr>
      <w:r w:rsidRPr="004D0BCB">
        <w:rPr>
          <w:rFonts w:ascii="Times New Roman" w:hAnsi="Times New Roman" w:cs="Times New Roman"/>
          <w:lang w:val="ru-KZ"/>
        </w:rPr>
        <w:t>7) приобретение полностью исключительного права на результат интеллектуальной творческой деятельности;</w:t>
      </w:r>
    </w:p>
    <w:p w14:paraId="68016189" w14:textId="2473404D" w:rsidR="00685267" w:rsidRPr="004D0BCB" w:rsidRDefault="00685267" w:rsidP="00685267">
      <w:pPr>
        <w:pStyle w:val="a6"/>
        <w:ind w:firstLine="425"/>
        <w:jc w:val="both"/>
        <w:rPr>
          <w:rFonts w:ascii="Times New Roman" w:hAnsi="Times New Roman" w:cs="Times New Roman"/>
          <w:lang w:val="ru-KZ"/>
        </w:rPr>
      </w:pPr>
      <w:r w:rsidRPr="004D0BCB">
        <w:rPr>
          <w:rFonts w:ascii="Times New Roman" w:hAnsi="Times New Roman" w:cs="Times New Roman"/>
          <w:lang w:val="ru-KZ"/>
        </w:rPr>
        <w:t>8) операции физических лиц-резидентов:</w:t>
      </w:r>
    </w:p>
    <w:p w14:paraId="1807B444" w14:textId="415CE2D9" w:rsidR="00685267" w:rsidRPr="004D0BCB" w:rsidRDefault="00685267" w:rsidP="00685267">
      <w:pPr>
        <w:pStyle w:val="a6"/>
        <w:numPr>
          <w:ilvl w:val="0"/>
          <w:numId w:val="11"/>
        </w:numPr>
        <w:jc w:val="both"/>
        <w:rPr>
          <w:rFonts w:ascii="Times New Roman" w:hAnsi="Times New Roman" w:cs="Times New Roman"/>
          <w:lang w:val="ru-KZ"/>
        </w:rPr>
      </w:pPr>
      <w:r w:rsidRPr="004D0BCB">
        <w:rPr>
          <w:rFonts w:ascii="Times New Roman" w:hAnsi="Times New Roman" w:cs="Times New Roman"/>
          <w:lang w:val="ru-KZ"/>
        </w:rPr>
        <w:t>осуществляемые на основании договора об оказании брокерских услуг, заключенного с брокером-нерезидентом;</w:t>
      </w:r>
    </w:p>
    <w:p w14:paraId="7A9B52F7" w14:textId="60932B35" w:rsidR="00685267" w:rsidRPr="004D0BCB" w:rsidRDefault="00685267" w:rsidP="00685267">
      <w:pPr>
        <w:pStyle w:val="a6"/>
        <w:numPr>
          <w:ilvl w:val="0"/>
          <w:numId w:val="11"/>
        </w:numPr>
        <w:jc w:val="both"/>
        <w:rPr>
          <w:rFonts w:ascii="Times New Roman" w:hAnsi="Times New Roman" w:cs="Times New Roman"/>
          <w:lang w:val="ru-KZ"/>
        </w:rPr>
      </w:pPr>
      <w:r w:rsidRPr="004D0BCB">
        <w:rPr>
          <w:rFonts w:ascii="Times New Roman" w:hAnsi="Times New Roman" w:cs="Times New Roman"/>
          <w:lang w:val="ru-KZ"/>
        </w:rPr>
        <w:t>осуществляемые на основании договора по управлению инвестиционным портфелем, заключенного с управляющим инвестиционным портфелем-нерезидентом;</w:t>
      </w:r>
    </w:p>
    <w:p w14:paraId="33CACBC3" w14:textId="6B467572" w:rsidR="00685267" w:rsidRPr="004D0BCB" w:rsidRDefault="00685267" w:rsidP="00685267">
      <w:pPr>
        <w:pStyle w:val="a6"/>
        <w:numPr>
          <w:ilvl w:val="0"/>
          <w:numId w:val="11"/>
        </w:numPr>
        <w:jc w:val="both"/>
        <w:rPr>
          <w:rFonts w:ascii="Times New Roman" w:hAnsi="Times New Roman" w:cs="Times New Roman"/>
          <w:lang w:val="ru-KZ"/>
        </w:rPr>
      </w:pPr>
      <w:r w:rsidRPr="004D0BCB">
        <w:rPr>
          <w:rFonts w:ascii="Times New Roman" w:hAnsi="Times New Roman" w:cs="Times New Roman"/>
          <w:lang w:val="ru-KZ"/>
        </w:rPr>
        <w:t>связанные с передачей права собственности на недвижимость;</w:t>
      </w:r>
    </w:p>
    <w:p w14:paraId="05F7BF66" w14:textId="0F9EE9C5" w:rsidR="00685267" w:rsidRPr="004D0BCB" w:rsidRDefault="00685267" w:rsidP="00685267">
      <w:pPr>
        <w:pStyle w:val="a6"/>
        <w:numPr>
          <w:ilvl w:val="0"/>
          <w:numId w:val="11"/>
        </w:numPr>
        <w:jc w:val="both"/>
        <w:rPr>
          <w:rFonts w:ascii="Times New Roman" w:hAnsi="Times New Roman" w:cs="Times New Roman"/>
          <w:lang w:val="ru-KZ"/>
        </w:rPr>
      </w:pPr>
      <w:r w:rsidRPr="004D0BCB">
        <w:rPr>
          <w:rFonts w:ascii="Times New Roman" w:hAnsi="Times New Roman" w:cs="Times New Roman"/>
          <w:lang w:val="ru-KZ"/>
        </w:rPr>
        <w:t>связанные с безвозмездной передачей денег и иных валютных ценностей, недвижимости;</w:t>
      </w:r>
    </w:p>
    <w:p w14:paraId="0C767171" w14:textId="4419358E" w:rsidR="00685267" w:rsidRPr="004D0BCB" w:rsidRDefault="00685267" w:rsidP="00685267">
      <w:pPr>
        <w:pStyle w:val="a6"/>
        <w:ind w:firstLine="425"/>
        <w:jc w:val="both"/>
        <w:rPr>
          <w:rFonts w:ascii="Times New Roman" w:hAnsi="Times New Roman" w:cs="Times New Roman"/>
          <w:lang w:val="ru-KZ"/>
        </w:rPr>
      </w:pPr>
      <w:r w:rsidRPr="004D0BCB">
        <w:rPr>
          <w:rFonts w:ascii="Times New Roman" w:hAnsi="Times New Roman" w:cs="Times New Roman"/>
          <w:lang w:val="ru-KZ"/>
        </w:rPr>
        <w:t>9) операции резидентов в рамках программ опционов на ценные бумаги эмитентов-нерезидентов для работников юридических лиц-резидентов;</w:t>
      </w:r>
    </w:p>
    <w:p w14:paraId="36EAB72C" w14:textId="42A294DF" w:rsidR="00685267" w:rsidRPr="004D0BCB" w:rsidRDefault="00685267" w:rsidP="00685267">
      <w:pPr>
        <w:pStyle w:val="a6"/>
        <w:ind w:firstLine="425"/>
        <w:jc w:val="both"/>
        <w:rPr>
          <w:rFonts w:ascii="Times New Roman" w:hAnsi="Times New Roman" w:cs="Times New Roman"/>
          <w:lang w:val="ru-KZ"/>
        </w:rPr>
      </w:pPr>
      <w:r w:rsidRPr="004D0BCB">
        <w:rPr>
          <w:rFonts w:ascii="Times New Roman" w:hAnsi="Times New Roman" w:cs="Times New Roman"/>
          <w:lang w:val="ru-KZ"/>
        </w:rPr>
        <w:t>10) операции по уступке права требования, переводу долга, цессии, если основанием такого требования или обязательства является валютный договор по экспорту или импорту.</w:t>
      </w:r>
    </w:p>
    <w:p w14:paraId="1C17B37E" w14:textId="77777777" w:rsidR="00685267" w:rsidRPr="004D0BCB" w:rsidRDefault="00685267" w:rsidP="00685267">
      <w:pPr>
        <w:pStyle w:val="a6"/>
        <w:ind w:firstLine="425"/>
        <w:jc w:val="both"/>
        <w:rPr>
          <w:rFonts w:ascii="Times New Roman" w:hAnsi="Times New Roman" w:cs="Times New Roman"/>
          <w:lang w:val="ru-KZ"/>
        </w:rPr>
      </w:pPr>
    </w:p>
    <w:p w14:paraId="6581D286" w14:textId="1FC678DF" w:rsidR="00685267" w:rsidRPr="004D0BCB" w:rsidRDefault="00685267" w:rsidP="00685267">
      <w:pPr>
        <w:pStyle w:val="a6"/>
        <w:ind w:firstLine="425"/>
        <w:jc w:val="both"/>
        <w:rPr>
          <w:rFonts w:ascii="Times New Roman" w:hAnsi="Times New Roman" w:cs="Times New Roman"/>
          <w:lang w:val="ru-KZ"/>
        </w:rPr>
      </w:pPr>
      <w:r w:rsidRPr="004D0BCB">
        <w:rPr>
          <w:rFonts w:ascii="Times New Roman" w:hAnsi="Times New Roman" w:cs="Times New Roman"/>
          <w:lang w:val="ru-KZ"/>
        </w:rPr>
        <w:t>Учетный номер не присваивается:</w:t>
      </w:r>
    </w:p>
    <w:p w14:paraId="407639B8" w14:textId="5E1C6446" w:rsidR="00685267" w:rsidRPr="004D0BCB" w:rsidRDefault="00685267" w:rsidP="00685267">
      <w:pPr>
        <w:pStyle w:val="a6"/>
        <w:ind w:firstLine="425"/>
        <w:jc w:val="both"/>
        <w:rPr>
          <w:rFonts w:ascii="Times New Roman" w:hAnsi="Times New Roman" w:cs="Times New Roman"/>
          <w:lang w:val="ru-KZ"/>
        </w:rPr>
      </w:pPr>
      <w:r w:rsidRPr="004D0BCB">
        <w:rPr>
          <w:rFonts w:ascii="Times New Roman" w:hAnsi="Times New Roman" w:cs="Times New Roman"/>
          <w:lang w:val="ru-KZ"/>
        </w:rPr>
        <w:t>1) договору на безвозмездную передачу резидентом нерезиденту (нерезидентом резиденту) денег или иных валютных ценностей либо права собственности на недвижимость за границей, если в результате такой передачи происходит исполнение или прекращение обязательств либо отчуждение права собственности на валютные ценности, на недвижимость за границей по валютному договору по движению капитала, которому ранее был присвоен учетный номер;</w:t>
      </w:r>
    </w:p>
    <w:p w14:paraId="129115EC" w14:textId="558EB4D2" w:rsidR="00685267" w:rsidRPr="004D0BCB" w:rsidRDefault="00685267" w:rsidP="00685267">
      <w:pPr>
        <w:pStyle w:val="a6"/>
        <w:ind w:firstLine="425"/>
        <w:jc w:val="both"/>
        <w:rPr>
          <w:rFonts w:ascii="Times New Roman" w:hAnsi="Times New Roman" w:cs="Times New Roman"/>
          <w:lang w:val="ru-KZ"/>
        </w:rPr>
      </w:pPr>
      <w:r w:rsidRPr="004D0BCB">
        <w:rPr>
          <w:rFonts w:ascii="Times New Roman" w:hAnsi="Times New Roman" w:cs="Times New Roman"/>
          <w:lang w:val="ru-KZ"/>
        </w:rPr>
        <w:t>2) договору на продажу резидентом нерезиденту акций, долей участия в капитале объекта инвестирования-нерезидента, недвижимости за границей, если ранее присвоен учетный номер валютному договору по движению капитала по участию резидента в капитале (приобретению резидентом акций, долей участия) объекта инвестирования-нерезидента, по приобретению недвижимости за границей в собственность;</w:t>
      </w:r>
    </w:p>
    <w:p w14:paraId="6302BC8C" w14:textId="55F3DC43" w:rsidR="00685267" w:rsidRPr="004D0BCB" w:rsidRDefault="00685267" w:rsidP="00685267">
      <w:pPr>
        <w:pStyle w:val="a6"/>
        <w:ind w:firstLine="425"/>
        <w:jc w:val="both"/>
        <w:rPr>
          <w:rFonts w:ascii="Times New Roman" w:hAnsi="Times New Roman" w:cs="Times New Roman"/>
          <w:lang w:val="ru-KZ"/>
        </w:rPr>
      </w:pPr>
      <w:r w:rsidRPr="004D0BCB">
        <w:rPr>
          <w:rFonts w:ascii="Times New Roman" w:hAnsi="Times New Roman" w:cs="Times New Roman"/>
          <w:lang w:val="ru-KZ"/>
        </w:rPr>
        <w:t>3) договору на выкуп объектом инвестирования-резидентом у нерезидента собственных акций, долей участия в капитале, если ранее присвоен учетный номер валютному договору по движению капитала по участию нерезидента в капитале объекта инвестирования-резидента;</w:t>
      </w:r>
    </w:p>
    <w:p w14:paraId="7B084170" w14:textId="0F576111" w:rsidR="00685267" w:rsidRPr="00685267" w:rsidRDefault="00685267" w:rsidP="00685267">
      <w:pPr>
        <w:pStyle w:val="a6"/>
        <w:ind w:firstLine="425"/>
        <w:jc w:val="both"/>
        <w:rPr>
          <w:rFonts w:ascii="Times New Roman" w:hAnsi="Times New Roman" w:cs="Times New Roman"/>
          <w:lang w:val="ru-KZ"/>
        </w:rPr>
      </w:pPr>
      <w:r w:rsidRPr="004D0BCB">
        <w:rPr>
          <w:rFonts w:ascii="Times New Roman" w:hAnsi="Times New Roman" w:cs="Times New Roman"/>
          <w:lang w:val="ru-KZ"/>
        </w:rPr>
        <w:t>4) авансам для участия в торгах по залоговому имуществу - ценным бумагам, инструментам участия в капитале, недвижимости.</w:t>
      </w:r>
    </w:p>
    <w:p w14:paraId="5A40FC0B" w14:textId="77777777" w:rsidR="00D339B5" w:rsidRPr="001D601F" w:rsidRDefault="00D339B5" w:rsidP="008E2FB5">
      <w:pPr>
        <w:pStyle w:val="a6"/>
        <w:ind w:firstLine="425"/>
        <w:jc w:val="both"/>
        <w:rPr>
          <w:rFonts w:ascii="Times New Roman" w:hAnsi="Times New Roman" w:cs="Times New Roman"/>
        </w:rPr>
      </w:pPr>
    </w:p>
  </w:endnote>
  <w:endnote w:id="3">
    <w:p w14:paraId="0A121EA5" w14:textId="73EAD063" w:rsidR="00D339B5" w:rsidRPr="001D601F" w:rsidRDefault="00D339B5" w:rsidP="008E2FB5">
      <w:pPr>
        <w:pStyle w:val="a6"/>
        <w:ind w:firstLine="425"/>
        <w:jc w:val="both"/>
        <w:rPr>
          <w:rFonts w:ascii="Times New Roman" w:hAnsi="Times New Roman" w:cs="Times New Roman"/>
        </w:rPr>
      </w:pPr>
      <w:r w:rsidRPr="008379BF">
        <w:rPr>
          <w:rStyle w:val="a8"/>
          <w:rFonts w:ascii="Times New Roman" w:hAnsi="Times New Roman" w:cs="Times New Roman"/>
        </w:rPr>
        <w:endnoteRef/>
      </w:r>
      <w:r w:rsidRPr="008379BF">
        <w:rPr>
          <w:rFonts w:ascii="Times New Roman" w:hAnsi="Times New Roman" w:cs="Times New Roman"/>
        </w:rPr>
        <w:t> По валютным операциям на сумму, равную или превышающую 50 000 долларов США в эквиваленте.</w:t>
      </w:r>
      <w:r w:rsidR="00330F6A" w:rsidRPr="008379BF">
        <w:rPr>
          <w:rFonts w:ascii="Times New Roman" w:hAnsi="Times New Roman" w:cs="Times New Roman"/>
        </w:rPr>
        <w:t xml:space="preserve"> С 1 января 2025 года </w:t>
      </w:r>
      <w:r w:rsidR="00486114" w:rsidRPr="008379BF">
        <w:rPr>
          <w:rFonts w:ascii="Times New Roman" w:hAnsi="Times New Roman" w:cs="Times New Roman"/>
        </w:rPr>
        <w:t>снижен порог по валютным операциям физических лиц с 50 000 долларов США до 10 000 долларов США.</w:t>
      </w:r>
    </w:p>
    <w:p w14:paraId="742E61F3" w14:textId="77777777" w:rsidR="00D339B5" w:rsidRPr="001D601F" w:rsidRDefault="00D339B5" w:rsidP="008E2FB5">
      <w:pPr>
        <w:pStyle w:val="a6"/>
        <w:ind w:firstLine="425"/>
        <w:jc w:val="both"/>
        <w:rPr>
          <w:rFonts w:ascii="Times New Roman" w:hAnsi="Times New Roman" w:cs="Times New Roman"/>
        </w:rPr>
      </w:pPr>
    </w:p>
  </w:endnote>
  <w:endnote w:id="4">
    <w:p w14:paraId="71985F92" w14:textId="77777777" w:rsidR="00D06DA2" w:rsidRPr="009D423C" w:rsidRDefault="00D06DA2" w:rsidP="00D06DA2">
      <w:pPr>
        <w:pStyle w:val="a6"/>
        <w:ind w:firstLine="425"/>
        <w:jc w:val="both"/>
        <w:rPr>
          <w:rFonts w:ascii="Times New Roman" w:hAnsi="Times New Roman" w:cs="Times New Roman"/>
        </w:rPr>
      </w:pPr>
      <w:r w:rsidRPr="004D0BCB">
        <w:rPr>
          <w:rStyle w:val="a8"/>
          <w:rFonts w:ascii="Times New Roman" w:hAnsi="Times New Roman" w:cs="Times New Roman"/>
        </w:rPr>
        <w:endnoteRef/>
      </w:r>
      <w:r w:rsidRPr="004D0BCB">
        <w:rPr>
          <w:rFonts w:ascii="Times New Roman" w:hAnsi="Times New Roman" w:cs="Times New Roman"/>
        </w:rPr>
        <w:t> Операции, связанные с производным финансовым инструментом, который приобретается в целях использования или реализации базового актива и не может быть передан (продан) независимо от базового актива, рассматриваются как валютные операции с базовым активом.</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4B5DA" w14:textId="77777777" w:rsidR="00361370" w:rsidRDefault="00361370" w:rsidP="0019275D">
      <w:pPr>
        <w:spacing w:after="0" w:line="240" w:lineRule="auto"/>
      </w:pPr>
      <w:r>
        <w:separator/>
      </w:r>
    </w:p>
  </w:footnote>
  <w:footnote w:type="continuationSeparator" w:id="0">
    <w:p w14:paraId="71B702B2" w14:textId="77777777" w:rsidR="00361370" w:rsidRDefault="00361370" w:rsidP="001927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40664"/>
    <w:multiLevelType w:val="hybridMultilevel"/>
    <w:tmpl w:val="AADE864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15:restartNumberingAfterBreak="0">
    <w:nsid w:val="2E0B2729"/>
    <w:multiLevelType w:val="hybridMultilevel"/>
    <w:tmpl w:val="B04CCDE8"/>
    <w:lvl w:ilvl="0" w:tplc="303CC9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08E05A4"/>
    <w:multiLevelType w:val="hybridMultilevel"/>
    <w:tmpl w:val="1C8A3AC4"/>
    <w:lvl w:ilvl="0" w:tplc="BE94A47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36C13727"/>
    <w:multiLevelType w:val="hybridMultilevel"/>
    <w:tmpl w:val="1EFAA898"/>
    <w:lvl w:ilvl="0" w:tplc="04090001">
      <w:start w:val="1"/>
      <w:numFmt w:val="bullet"/>
      <w:lvlText w:val=""/>
      <w:lvlJc w:val="left"/>
      <w:pPr>
        <w:ind w:left="1145" w:hanging="360"/>
      </w:pPr>
      <w:rPr>
        <w:rFonts w:ascii="Symbol" w:hAnsi="Symbol" w:hint="default"/>
      </w:rPr>
    </w:lvl>
    <w:lvl w:ilvl="1" w:tplc="20000003" w:tentative="1">
      <w:start w:val="1"/>
      <w:numFmt w:val="bullet"/>
      <w:lvlText w:val="o"/>
      <w:lvlJc w:val="left"/>
      <w:pPr>
        <w:ind w:left="1865" w:hanging="360"/>
      </w:pPr>
      <w:rPr>
        <w:rFonts w:ascii="Courier New" w:hAnsi="Courier New" w:cs="Courier New" w:hint="default"/>
      </w:rPr>
    </w:lvl>
    <w:lvl w:ilvl="2" w:tplc="20000005" w:tentative="1">
      <w:start w:val="1"/>
      <w:numFmt w:val="bullet"/>
      <w:lvlText w:val=""/>
      <w:lvlJc w:val="left"/>
      <w:pPr>
        <w:ind w:left="2585" w:hanging="360"/>
      </w:pPr>
      <w:rPr>
        <w:rFonts w:ascii="Wingdings" w:hAnsi="Wingdings" w:hint="default"/>
      </w:rPr>
    </w:lvl>
    <w:lvl w:ilvl="3" w:tplc="20000001" w:tentative="1">
      <w:start w:val="1"/>
      <w:numFmt w:val="bullet"/>
      <w:lvlText w:val=""/>
      <w:lvlJc w:val="left"/>
      <w:pPr>
        <w:ind w:left="3305" w:hanging="360"/>
      </w:pPr>
      <w:rPr>
        <w:rFonts w:ascii="Symbol" w:hAnsi="Symbol" w:hint="default"/>
      </w:rPr>
    </w:lvl>
    <w:lvl w:ilvl="4" w:tplc="20000003" w:tentative="1">
      <w:start w:val="1"/>
      <w:numFmt w:val="bullet"/>
      <w:lvlText w:val="o"/>
      <w:lvlJc w:val="left"/>
      <w:pPr>
        <w:ind w:left="4025" w:hanging="360"/>
      </w:pPr>
      <w:rPr>
        <w:rFonts w:ascii="Courier New" w:hAnsi="Courier New" w:cs="Courier New" w:hint="default"/>
      </w:rPr>
    </w:lvl>
    <w:lvl w:ilvl="5" w:tplc="20000005" w:tentative="1">
      <w:start w:val="1"/>
      <w:numFmt w:val="bullet"/>
      <w:lvlText w:val=""/>
      <w:lvlJc w:val="left"/>
      <w:pPr>
        <w:ind w:left="4745" w:hanging="360"/>
      </w:pPr>
      <w:rPr>
        <w:rFonts w:ascii="Wingdings" w:hAnsi="Wingdings" w:hint="default"/>
      </w:rPr>
    </w:lvl>
    <w:lvl w:ilvl="6" w:tplc="20000001" w:tentative="1">
      <w:start w:val="1"/>
      <w:numFmt w:val="bullet"/>
      <w:lvlText w:val=""/>
      <w:lvlJc w:val="left"/>
      <w:pPr>
        <w:ind w:left="5465" w:hanging="360"/>
      </w:pPr>
      <w:rPr>
        <w:rFonts w:ascii="Symbol" w:hAnsi="Symbol" w:hint="default"/>
      </w:rPr>
    </w:lvl>
    <w:lvl w:ilvl="7" w:tplc="20000003" w:tentative="1">
      <w:start w:val="1"/>
      <w:numFmt w:val="bullet"/>
      <w:lvlText w:val="o"/>
      <w:lvlJc w:val="left"/>
      <w:pPr>
        <w:ind w:left="6185" w:hanging="360"/>
      </w:pPr>
      <w:rPr>
        <w:rFonts w:ascii="Courier New" w:hAnsi="Courier New" w:cs="Courier New" w:hint="default"/>
      </w:rPr>
    </w:lvl>
    <w:lvl w:ilvl="8" w:tplc="20000005" w:tentative="1">
      <w:start w:val="1"/>
      <w:numFmt w:val="bullet"/>
      <w:lvlText w:val=""/>
      <w:lvlJc w:val="left"/>
      <w:pPr>
        <w:ind w:left="6905" w:hanging="360"/>
      </w:pPr>
      <w:rPr>
        <w:rFonts w:ascii="Wingdings" w:hAnsi="Wingdings" w:hint="default"/>
      </w:rPr>
    </w:lvl>
  </w:abstractNum>
  <w:abstractNum w:abstractNumId="4" w15:restartNumberingAfterBreak="0">
    <w:nsid w:val="3EFD3B65"/>
    <w:multiLevelType w:val="hybridMultilevel"/>
    <w:tmpl w:val="2B8AD9FC"/>
    <w:lvl w:ilvl="0" w:tplc="BE94A47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4F4C56AB"/>
    <w:multiLevelType w:val="hybridMultilevel"/>
    <w:tmpl w:val="F72A8C16"/>
    <w:lvl w:ilvl="0" w:tplc="10BAF900">
      <w:start w:val="1"/>
      <w:numFmt w:val="decimal"/>
      <w:lvlText w:val="%1)"/>
      <w:lvlJc w:val="left"/>
      <w:pPr>
        <w:ind w:left="1146" w:hanging="360"/>
      </w:pPr>
      <w:rPr>
        <w:rFonts w:hint="default"/>
      </w:rPr>
    </w:lvl>
    <w:lvl w:ilvl="1" w:tplc="04190019">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6" w15:restartNumberingAfterBreak="0">
    <w:nsid w:val="51464064"/>
    <w:multiLevelType w:val="hybridMultilevel"/>
    <w:tmpl w:val="F72A8C16"/>
    <w:lvl w:ilvl="0" w:tplc="10BAF900">
      <w:start w:val="1"/>
      <w:numFmt w:val="decimal"/>
      <w:lvlText w:val="%1)"/>
      <w:lvlJc w:val="left"/>
      <w:pPr>
        <w:ind w:left="1146" w:hanging="360"/>
      </w:pPr>
      <w:rPr>
        <w:rFonts w:hint="default"/>
      </w:rPr>
    </w:lvl>
    <w:lvl w:ilvl="1" w:tplc="04190019">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7" w15:restartNumberingAfterBreak="0">
    <w:nsid w:val="5FB31812"/>
    <w:multiLevelType w:val="hybridMultilevel"/>
    <w:tmpl w:val="2E082DDC"/>
    <w:lvl w:ilvl="0" w:tplc="43CC45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AD24E94"/>
    <w:multiLevelType w:val="hybridMultilevel"/>
    <w:tmpl w:val="B4D848EA"/>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9" w15:restartNumberingAfterBreak="0">
    <w:nsid w:val="6EE6473C"/>
    <w:multiLevelType w:val="hybridMultilevel"/>
    <w:tmpl w:val="182469D4"/>
    <w:lvl w:ilvl="0" w:tplc="04090001">
      <w:start w:val="1"/>
      <w:numFmt w:val="bullet"/>
      <w:lvlText w:val=""/>
      <w:lvlJc w:val="left"/>
      <w:pPr>
        <w:ind w:left="1145" w:hanging="360"/>
      </w:pPr>
      <w:rPr>
        <w:rFonts w:ascii="Symbol" w:hAnsi="Symbol" w:hint="default"/>
      </w:rPr>
    </w:lvl>
    <w:lvl w:ilvl="1" w:tplc="20000003" w:tentative="1">
      <w:start w:val="1"/>
      <w:numFmt w:val="bullet"/>
      <w:lvlText w:val="o"/>
      <w:lvlJc w:val="left"/>
      <w:pPr>
        <w:ind w:left="1865" w:hanging="360"/>
      </w:pPr>
      <w:rPr>
        <w:rFonts w:ascii="Courier New" w:hAnsi="Courier New" w:cs="Courier New" w:hint="default"/>
      </w:rPr>
    </w:lvl>
    <w:lvl w:ilvl="2" w:tplc="20000005" w:tentative="1">
      <w:start w:val="1"/>
      <w:numFmt w:val="bullet"/>
      <w:lvlText w:val=""/>
      <w:lvlJc w:val="left"/>
      <w:pPr>
        <w:ind w:left="2585" w:hanging="360"/>
      </w:pPr>
      <w:rPr>
        <w:rFonts w:ascii="Wingdings" w:hAnsi="Wingdings" w:hint="default"/>
      </w:rPr>
    </w:lvl>
    <w:lvl w:ilvl="3" w:tplc="20000001" w:tentative="1">
      <w:start w:val="1"/>
      <w:numFmt w:val="bullet"/>
      <w:lvlText w:val=""/>
      <w:lvlJc w:val="left"/>
      <w:pPr>
        <w:ind w:left="3305" w:hanging="360"/>
      </w:pPr>
      <w:rPr>
        <w:rFonts w:ascii="Symbol" w:hAnsi="Symbol" w:hint="default"/>
      </w:rPr>
    </w:lvl>
    <w:lvl w:ilvl="4" w:tplc="20000003" w:tentative="1">
      <w:start w:val="1"/>
      <w:numFmt w:val="bullet"/>
      <w:lvlText w:val="o"/>
      <w:lvlJc w:val="left"/>
      <w:pPr>
        <w:ind w:left="4025" w:hanging="360"/>
      </w:pPr>
      <w:rPr>
        <w:rFonts w:ascii="Courier New" w:hAnsi="Courier New" w:cs="Courier New" w:hint="default"/>
      </w:rPr>
    </w:lvl>
    <w:lvl w:ilvl="5" w:tplc="20000005" w:tentative="1">
      <w:start w:val="1"/>
      <w:numFmt w:val="bullet"/>
      <w:lvlText w:val=""/>
      <w:lvlJc w:val="left"/>
      <w:pPr>
        <w:ind w:left="4745" w:hanging="360"/>
      </w:pPr>
      <w:rPr>
        <w:rFonts w:ascii="Wingdings" w:hAnsi="Wingdings" w:hint="default"/>
      </w:rPr>
    </w:lvl>
    <w:lvl w:ilvl="6" w:tplc="20000001" w:tentative="1">
      <w:start w:val="1"/>
      <w:numFmt w:val="bullet"/>
      <w:lvlText w:val=""/>
      <w:lvlJc w:val="left"/>
      <w:pPr>
        <w:ind w:left="5465" w:hanging="360"/>
      </w:pPr>
      <w:rPr>
        <w:rFonts w:ascii="Symbol" w:hAnsi="Symbol" w:hint="default"/>
      </w:rPr>
    </w:lvl>
    <w:lvl w:ilvl="7" w:tplc="20000003" w:tentative="1">
      <w:start w:val="1"/>
      <w:numFmt w:val="bullet"/>
      <w:lvlText w:val="o"/>
      <w:lvlJc w:val="left"/>
      <w:pPr>
        <w:ind w:left="6185" w:hanging="360"/>
      </w:pPr>
      <w:rPr>
        <w:rFonts w:ascii="Courier New" w:hAnsi="Courier New" w:cs="Courier New" w:hint="default"/>
      </w:rPr>
    </w:lvl>
    <w:lvl w:ilvl="8" w:tplc="20000005" w:tentative="1">
      <w:start w:val="1"/>
      <w:numFmt w:val="bullet"/>
      <w:lvlText w:val=""/>
      <w:lvlJc w:val="left"/>
      <w:pPr>
        <w:ind w:left="6905" w:hanging="360"/>
      </w:pPr>
      <w:rPr>
        <w:rFonts w:ascii="Wingdings" w:hAnsi="Wingdings" w:hint="default"/>
      </w:rPr>
    </w:lvl>
  </w:abstractNum>
  <w:abstractNum w:abstractNumId="10" w15:restartNumberingAfterBreak="0">
    <w:nsid w:val="77122ED6"/>
    <w:multiLevelType w:val="hybridMultilevel"/>
    <w:tmpl w:val="12B06F4E"/>
    <w:lvl w:ilvl="0" w:tplc="04090001">
      <w:start w:val="1"/>
      <w:numFmt w:val="bullet"/>
      <w:lvlText w:val=""/>
      <w:lvlJc w:val="left"/>
      <w:pPr>
        <w:ind w:left="1145" w:hanging="360"/>
      </w:pPr>
      <w:rPr>
        <w:rFonts w:ascii="Symbol" w:hAnsi="Symbol" w:hint="default"/>
      </w:rPr>
    </w:lvl>
    <w:lvl w:ilvl="1" w:tplc="20000003" w:tentative="1">
      <w:start w:val="1"/>
      <w:numFmt w:val="bullet"/>
      <w:lvlText w:val="o"/>
      <w:lvlJc w:val="left"/>
      <w:pPr>
        <w:ind w:left="1865" w:hanging="360"/>
      </w:pPr>
      <w:rPr>
        <w:rFonts w:ascii="Courier New" w:hAnsi="Courier New" w:cs="Courier New" w:hint="default"/>
      </w:rPr>
    </w:lvl>
    <w:lvl w:ilvl="2" w:tplc="20000005" w:tentative="1">
      <w:start w:val="1"/>
      <w:numFmt w:val="bullet"/>
      <w:lvlText w:val=""/>
      <w:lvlJc w:val="left"/>
      <w:pPr>
        <w:ind w:left="2585" w:hanging="360"/>
      </w:pPr>
      <w:rPr>
        <w:rFonts w:ascii="Wingdings" w:hAnsi="Wingdings" w:hint="default"/>
      </w:rPr>
    </w:lvl>
    <w:lvl w:ilvl="3" w:tplc="20000001" w:tentative="1">
      <w:start w:val="1"/>
      <w:numFmt w:val="bullet"/>
      <w:lvlText w:val=""/>
      <w:lvlJc w:val="left"/>
      <w:pPr>
        <w:ind w:left="3305" w:hanging="360"/>
      </w:pPr>
      <w:rPr>
        <w:rFonts w:ascii="Symbol" w:hAnsi="Symbol" w:hint="default"/>
      </w:rPr>
    </w:lvl>
    <w:lvl w:ilvl="4" w:tplc="20000003" w:tentative="1">
      <w:start w:val="1"/>
      <w:numFmt w:val="bullet"/>
      <w:lvlText w:val="o"/>
      <w:lvlJc w:val="left"/>
      <w:pPr>
        <w:ind w:left="4025" w:hanging="360"/>
      </w:pPr>
      <w:rPr>
        <w:rFonts w:ascii="Courier New" w:hAnsi="Courier New" w:cs="Courier New" w:hint="default"/>
      </w:rPr>
    </w:lvl>
    <w:lvl w:ilvl="5" w:tplc="20000005" w:tentative="1">
      <w:start w:val="1"/>
      <w:numFmt w:val="bullet"/>
      <w:lvlText w:val=""/>
      <w:lvlJc w:val="left"/>
      <w:pPr>
        <w:ind w:left="4745" w:hanging="360"/>
      </w:pPr>
      <w:rPr>
        <w:rFonts w:ascii="Wingdings" w:hAnsi="Wingdings" w:hint="default"/>
      </w:rPr>
    </w:lvl>
    <w:lvl w:ilvl="6" w:tplc="20000001" w:tentative="1">
      <w:start w:val="1"/>
      <w:numFmt w:val="bullet"/>
      <w:lvlText w:val=""/>
      <w:lvlJc w:val="left"/>
      <w:pPr>
        <w:ind w:left="5465" w:hanging="360"/>
      </w:pPr>
      <w:rPr>
        <w:rFonts w:ascii="Symbol" w:hAnsi="Symbol" w:hint="default"/>
      </w:rPr>
    </w:lvl>
    <w:lvl w:ilvl="7" w:tplc="20000003" w:tentative="1">
      <w:start w:val="1"/>
      <w:numFmt w:val="bullet"/>
      <w:lvlText w:val="o"/>
      <w:lvlJc w:val="left"/>
      <w:pPr>
        <w:ind w:left="6185" w:hanging="360"/>
      </w:pPr>
      <w:rPr>
        <w:rFonts w:ascii="Courier New" w:hAnsi="Courier New" w:cs="Courier New" w:hint="default"/>
      </w:rPr>
    </w:lvl>
    <w:lvl w:ilvl="8" w:tplc="20000005" w:tentative="1">
      <w:start w:val="1"/>
      <w:numFmt w:val="bullet"/>
      <w:lvlText w:val=""/>
      <w:lvlJc w:val="left"/>
      <w:pPr>
        <w:ind w:left="6905" w:hanging="360"/>
      </w:pPr>
      <w:rPr>
        <w:rFonts w:ascii="Wingdings" w:hAnsi="Wingdings" w:hint="default"/>
      </w:rPr>
    </w:lvl>
  </w:abstractNum>
  <w:num w:numId="1" w16cid:durableId="1273897309">
    <w:abstractNumId w:val="8"/>
  </w:num>
  <w:num w:numId="2" w16cid:durableId="996345744">
    <w:abstractNumId w:val="6"/>
  </w:num>
  <w:num w:numId="3" w16cid:durableId="1899507833">
    <w:abstractNumId w:val="5"/>
  </w:num>
  <w:num w:numId="4" w16cid:durableId="65108315">
    <w:abstractNumId w:val="0"/>
  </w:num>
  <w:num w:numId="5" w16cid:durableId="1203249777">
    <w:abstractNumId w:val="4"/>
  </w:num>
  <w:num w:numId="6" w16cid:durableId="86195567">
    <w:abstractNumId w:val="2"/>
  </w:num>
  <w:num w:numId="7" w16cid:durableId="2045203589">
    <w:abstractNumId w:val="7"/>
  </w:num>
  <w:num w:numId="8" w16cid:durableId="1196191116">
    <w:abstractNumId w:val="1"/>
  </w:num>
  <w:num w:numId="9" w16cid:durableId="1568151615">
    <w:abstractNumId w:val="9"/>
  </w:num>
  <w:num w:numId="10" w16cid:durableId="1224679763">
    <w:abstractNumId w:val="3"/>
  </w:num>
  <w:num w:numId="11" w16cid:durableId="161679237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characterSpacingControl w:val="doNotCompress"/>
  <w:footnotePr>
    <w:pos w:val="beneathTex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750B"/>
    <w:rsid w:val="00024F1E"/>
    <w:rsid w:val="000326B4"/>
    <w:rsid w:val="00035590"/>
    <w:rsid w:val="00042CD2"/>
    <w:rsid w:val="00050D32"/>
    <w:rsid w:val="00074A0E"/>
    <w:rsid w:val="000841B1"/>
    <w:rsid w:val="000867FF"/>
    <w:rsid w:val="000B21D0"/>
    <w:rsid w:val="000B638C"/>
    <w:rsid w:val="000C1507"/>
    <w:rsid w:val="000C40E7"/>
    <w:rsid w:val="000F3C64"/>
    <w:rsid w:val="00101CA5"/>
    <w:rsid w:val="00115A85"/>
    <w:rsid w:val="00124550"/>
    <w:rsid w:val="00133A3A"/>
    <w:rsid w:val="00147E9B"/>
    <w:rsid w:val="001547F3"/>
    <w:rsid w:val="00155BFA"/>
    <w:rsid w:val="00157EFC"/>
    <w:rsid w:val="00171DCF"/>
    <w:rsid w:val="00192314"/>
    <w:rsid w:val="001924BB"/>
    <w:rsid w:val="0019275D"/>
    <w:rsid w:val="001977F2"/>
    <w:rsid w:val="001B3D47"/>
    <w:rsid w:val="001B4F20"/>
    <w:rsid w:val="001C103A"/>
    <w:rsid w:val="001D601F"/>
    <w:rsid w:val="001E5FFA"/>
    <w:rsid w:val="001E6B7F"/>
    <w:rsid w:val="001E750B"/>
    <w:rsid w:val="001F78A3"/>
    <w:rsid w:val="002032CC"/>
    <w:rsid w:val="002055FE"/>
    <w:rsid w:val="002311C3"/>
    <w:rsid w:val="00234F54"/>
    <w:rsid w:val="0024655F"/>
    <w:rsid w:val="002468F9"/>
    <w:rsid w:val="002719DB"/>
    <w:rsid w:val="00274929"/>
    <w:rsid w:val="002A1DE9"/>
    <w:rsid w:val="002B107A"/>
    <w:rsid w:val="002B75AE"/>
    <w:rsid w:val="002C05F8"/>
    <w:rsid w:val="002C5259"/>
    <w:rsid w:val="002F0FF1"/>
    <w:rsid w:val="002F692A"/>
    <w:rsid w:val="002F790A"/>
    <w:rsid w:val="003221A5"/>
    <w:rsid w:val="00330F6A"/>
    <w:rsid w:val="00333F6B"/>
    <w:rsid w:val="00355F7F"/>
    <w:rsid w:val="00361370"/>
    <w:rsid w:val="0036681F"/>
    <w:rsid w:val="0037423A"/>
    <w:rsid w:val="00377030"/>
    <w:rsid w:val="00385278"/>
    <w:rsid w:val="003B2C02"/>
    <w:rsid w:val="003D48E5"/>
    <w:rsid w:val="003E1340"/>
    <w:rsid w:val="003F13EE"/>
    <w:rsid w:val="003F3ACE"/>
    <w:rsid w:val="00405410"/>
    <w:rsid w:val="00422CF3"/>
    <w:rsid w:val="004274FD"/>
    <w:rsid w:val="00430E09"/>
    <w:rsid w:val="00450B0B"/>
    <w:rsid w:val="00486114"/>
    <w:rsid w:val="004C549E"/>
    <w:rsid w:val="004D0BCB"/>
    <w:rsid w:val="004D4275"/>
    <w:rsid w:val="004E0F61"/>
    <w:rsid w:val="004F4805"/>
    <w:rsid w:val="00501AEC"/>
    <w:rsid w:val="00514054"/>
    <w:rsid w:val="00516816"/>
    <w:rsid w:val="005175E9"/>
    <w:rsid w:val="0055262A"/>
    <w:rsid w:val="0056033C"/>
    <w:rsid w:val="00560445"/>
    <w:rsid w:val="00577AC8"/>
    <w:rsid w:val="005A0A8E"/>
    <w:rsid w:val="005B0BB8"/>
    <w:rsid w:val="005D10D9"/>
    <w:rsid w:val="005D34A0"/>
    <w:rsid w:val="005F43CB"/>
    <w:rsid w:val="005F7F53"/>
    <w:rsid w:val="00622A98"/>
    <w:rsid w:val="0066189D"/>
    <w:rsid w:val="00685267"/>
    <w:rsid w:val="006A0B7E"/>
    <w:rsid w:val="006A5822"/>
    <w:rsid w:val="006B126C"/>
    <w:rsid w:val="006D127D"/>
    <w:rsid w:val="006D685A"/>
    <w:rsid w:val="006E6F80"/>
    <w:rsid w:val="00712B82"/>
    <w:rsid w:val="007161A6"/>
    <w:rsid w:val="00734BD5"/>
    <w:rsid w:val="0074485A"/>
    <w:rsid w:val="00754C0C"/>
    <w:rsid w:val="007632B8"/>
    <w:rsid w:val="007B0061"/>
    <w:rsid w:val="007D131E"/>
    <w:rsid w:val="0081633C"/>
    <w:rsid w:val="00821D34"/>
    <w:rsid w:val="0082285A"/>
    <w:rsid w:val="00826C85"/>
    <w:rsid w:val="008322AD"/>
    <w:rsid w:val="008332DC"/>
    <w:rsid w:val="008379BF"/>
    <w:rsid w:val="00854C74"/>
    <w:rsid w:val="008C00C4"/>
    <w:rsid w:val="008E2FB5"/>
    <w:rsid w:val="008F2783"/>
    <w:rsid w:val="009211E1"/>
    <w:rsid w:val="00921EB4"/>
    <w:rsid w:val="00937B36"/>
    <w:rsid w:val="00955E3D"/>
    <w:rsid w:val="009677A8"/>
    <w:rsid w:val="00976A0D"/>
    <w:rsid w:val="009965E4"/>
    <w:rsid w:val="009B3C1E"/>
    <w:rsid w:val="009C12FA"/>
    <w:rsid w:val="009D423C"/>
    <w:rsid w:val="009E34B3"/>
    <w:rsid w:val="009F08FB"/>
    <w:rsid w:val="00A01C6A"/>
    <w:rsid w:val="00A06D83"/>
    <w:rsid w:val="00A10D52"/>
    <w:rsid w:val="00A13F1D"/>
    <w:rsid w:val="00A37CAB"/>
    <w:rsid w:val="00A45BEF"/>
    <w:rsid w:val="00A61A70"/>
    <w:rsid w:val="00AB0D7C"/>
    <w:rsid w:val="00AC08CD"/>
    <w:rsid w:val="00AC418E"/>
    <w:rsid w:val="00AC6936"/>
    <w:rsid w:val="00B042C4"/>
    <w:rsid w:val="00B1442E"/>
    <w:rsid w:val="00B207C1"/>
    <w:rsid w:val="00B449D9"/>
    <w:rsid w:val="00B5059F"/>
    <w:rsid w:val="00B90CF7"/>
    <w:rsid w:val="00BC7E93"/>
    <w:rsid w:val="00BD09A1"/>
    <w:rsid w:val="00BD0B43"/>
    <w:rsid w:val="00BF284A"/>
    <w:rsid w:val="00BF4E1B"/>
    <w:rsid w:val="00C00654"/>
    <w:rsid w:val="00C0226E"/>
    <w:rsid w:val="00C03EC6"/>
    <w:rsid w:val="00C13E65"/>
    <w:rsid w:val="00C6613C"/>
    <w:rsid w:val="00C6615C"/>
    <w:rsid w:val="00C901FD"/>
    <w:rsid w:val="00C976EA"/>
    <w:rsid w:val="00CD3E4A"/>
    <w:rsid w:val="00CE0F66"/>
    <w:rsid w:val="00CF143C"/>
    <w:rsid w:val="00D06DA2"/>
    <w:rsid w:val="00D23B83"/>
    <w:rsid w:val="00D2464A"/>
    <w:rsid w:val="00D25784"/>
    <w:rsid w:val="00D267F0"/>
    <w:rsid w:val="00D339B5"/>
    <w:rsid w:val="00D45A5B"/>
    <w:rsid w:val="00D5306C"/>
    <w:rsid w:val="00D53456"/>
    <w:rsid w:val="00D637A4"/>
    <w:rsid w:val="00DA0C5E"/>
    <w:rsid w:val="00DE3032"/>
    <w:rsid w:val="00DE472E"/>
    <w:rsid w:val="00DF0299"/>
    <w:rsid w:val="00E05FAA"/>
    <w:rsid w:val="00E07B5C"/>
    <w:rsid w:val="00E2071E"/>
    <w:rsid w:val="00E218CA"/>
    <w:rsid w:val="00E24393"/>
    <w:rsid w:val="00E32A03"/>
    <w:rsid w:val="00E44E1C"/>
    <w:rsid w:val="00E62A94"/>
    <w:rsid w:val="00E63F63"/>
    <w:rsid w:val="00E73C2F"/>
    <w:rsid w:val="00E73D73"/>
    <w:rsid w:val="00E82461"/>
    <w:rsid w:val="00E85DB3"/>
    <w:rsid w:val="00E9113E"/>
    <w:rsid w:val="00EB2F03"/>
    <w:rsid w:val="00ED1E02"/>
    <w:rsid w:val="00ED32F1"/>
    <w:rsid w:val="00F04D22"/>
    <w:rsid w:val="00F0778B"/>
    <w:rsid w:val="00F36382"/>
    <w:rsid w:val="00F4688B"/>
    <w:rsid w:val="00F57DF5"/>
    <w:rsid w:val="00F72529"/>
    <w:rsid w:val="00F84C81"/>
    <w:rsid w:val="00F86381"/>
    <w:rsid w:val="00FA1651"/>
    <w:rsid w:val="00FD3E64"/>
    <w:rsid w:val="00FE74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0BBAA"/>
  <w15:docId w15:val="{A9080EAB-214A-4313-85FE-D7C0FB0CB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next w:val="a"/>
    <w:link w:val="30"/>
    <w:uiPriority w:val="9"/>
    <w:semiHidden/>
    <w:unhideWhenUsed/>
    <w:qFormat/>
    <w:rsid w:val="002719D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19275D"/>
    <w:pPr>
      <w:spacing w:after="0" w:line="240" w:lineRule="auto"/>
    </w:pPr>
    <w:rPr>
      <w:sz w:val="20"/>
      <w:szCs w:val="20"/>
    </w:rPr>
  </w:style>
  <w:style w:type="character" w:customStyle="1" w:styleId="a4">
    <w:name w:val="Текст сноски Знак"/>
    <w:basedOn w:val="a0"/>
    <w:link w:val="a3"/>
    <w:uiPriority w:val="99"/>
    <w:semiHidden/>
    <w:rsid w:val="0019275D"/>
    <w:rPr>
      <w:sz w:val="20"/>
      <w:szCs w:val="20"/>
    </w:rPr>
  </w:style>
  <w:style w:type="character" w:styleId="a5">
    <w:name w:val="footnote reference"/>
    <w:basedOn w:val="a0"/>
    <w:uiPriority w:val="99"/>
    <w:semiHidden/>
    <w:unhideWhenUsed/>
    <w:rsid w:val="0019275D"/>
    <w:rPr>
      <w:vertAlign w:val="superscript"/>
    </w:rPr>
  </w:style>
  <w:style w:type="paragraph" w:styleId="a6">
    <w:name w:val="endnote text"/>
    <w:basedOn w:val="a"/>
    <w:link w:val="a7"/>
    <w:uiPriority w:val="99"/>
    <w:unhideWhenUsed/>
    <w:rsid w:val="0019275D"/>
    <w:pPr>
      <w:spacing w:after="0" w:line="240" w:lineRule="auto"/>
    </w:pPr>
    <w:rPr>
      <w:sz w:val="20"/>
      <w:szCs w:val="20"/>
    </w:rPr>
  </w:style>
  <w:style w:type="character" w:customStyle="1" w:styleId="a7">
    <w:name w:val="Текст концевой сноски Знак"/>
    <w:basedOn w:val="a0"/>
    <w:link w:val="a6"/>
    <w:uiPriority w:val="99"/>
    <w:rsid w:val="0019275D"/>
    <w:rPr>
      <w:sz w:val="20"/>
      <w:szCs w:val="20"/>
    </w:rPr>
  </w:style>
  <w:style w:type="character" w:styleId="a8">
    <w:name w:val="endnote reference"/>
    <w:basedOn w:val="a0"/>
    <w:uiPriority w:val="99"/>
    <w:semiHidden/>
    <w:unhideWhenUsed/>
    <w:rsid w:val="0019275D"/>
    <w:rPr>
      <w:vertAlign w:val="superscript"/>
    </w:rPr>
  </w:style>
  <w:style w:type="paragraph" w:styleId="a9">
    <w:name w:val="List Paragraph"/>
    <w:basedOn w:val="a"/>
    <w:uiPriority w:val="34"/>
    <w:qFormat/>
    <w:rsid w:val="00D637A4"/>
    <w:pPr>
      <w:ind w:left="720"/>
      <w:contextualSpacing/>
    </w:pPr>
  </w:style>
  <w:style w:type="paragraph" w:styleId="aa">
    <w:name w:val="Balloon Text"/>
    <w:basedOn w:val="a"/>
    <w:link w:val="ab"/>
    <w:uiPriority w:val="99"/>
    <w:semiHidden/>
    <w:unhideWhenUsed/>
    <w:rsid w:val="004F480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4F4805"/>
    <w:rPr>
      <w:rFonts w:ascii="Tahoma" w:hAnsi="Tahoma" w:cs="Tahoma"/>
      <w:sz w:val="16"/>
      <w:szCs w:val="16"/>
    </w:rPr>
  </w:style>
  <w:style w:type="character" w:customStyle="1" w:styleId="s0">
    <w:name w:val="s0"/>
    <w:rsid w:val="00B207C1"/>
    <w:rPr>
      <w:rFonts w:ascii="Times New Roman" w:hAnsi="Times New Roman" w:cs="Times New Roman" w:hint="default"/>
      <w:b w:val="0"/>
      <w:bCs w:val="0"/>
      <w:i w:val="0"/>
      <w:iCs w:val="0"/>
      <w:color w:val="000000"/>
    </w:rPr>
  </w:style>
  <w:style w:type="character" w:customStyle="1" w:styleId="30">
    <w:name w:val="Заголовок 3 Знак"/>
    <w:basedOn w:val="a0"/>
    <w:link w:val="3"/>
    <w:uiPriority w:val="9"/>
    <w:semiHidden/>
    <w:rsid w:val="002719DB"/>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267572">
      <w:bodyDiv w:val="1"/>
      <w:marLeft w:val="0"/>
      <w:marRight w:val="0"/>
      <w:marTop w:val="0"/>
      <w:marBottom w:val="0"/>
      <w:divBdr>
        <w:top w:val="none" w:sz="0" w:space="0" w:color="auto"/>
        <w:left w:val="none" w:sz="0" w:space="0" w:color="auto"/>
        <w:bottom w:val="none" w:sz="0" w:space="0" w:color="auto"/>
        <w:right w:val="none" w:sz="0" w:space="0" w:color="auto"/>
      </w:divBdr>
    </w:div>
    <w:div w:id="1962571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012167-AE16-4B2B-AAB2-E201201752BC}">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841</Words>
  <Characters>4798</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ЕМ</dc:creator>
  <cp:lastModifiedBy>Мадина Ергалиева</cp:lastModifiedBy>
  <cp:revision>2</cp:revision>
  <dcterms:created xsi:type="dcterms:W3CDTF">2026-10-13T06:55:00Z</dcterms:created>
  <dcterms:modified xsi:type="dcterms:W3CDTF">2026-10-13T06:55:00Z</dcterms:modified>
</cp:coreProperties>
</file>