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43" w:type="dxa"/>
        <w:jc w:val="center"/>
        <w:tblLayout w:type="fixed"/>
        <w:tblLook w:val="01E0" w:firstRow="1" w:lastRow="1" w:firstColumn="1" w:lastColumn="1" w:noHBand="0" w:noVBand="0"/>
      </w:tblPr>
      <w:tblGrid>
        <w:gridCol w:w="4530"/>
        <w:gridCol w:w="1503"/>
        <w:gridCol w:w="4310"/>
      </w:tblGrid>
      <w:tr w:rsidR="00103D69" w:rsidRPr="002F41FA" w:rsidTr="003660B7">
        <w:trPr>
          <w:trHeight w:val="1685"/>
          <w:jc w:val="center"/>
        </w:trPr>
        <w:tc>
          <w:tcPr>
            <w:tcW w:w="4530" w:type="dxa"/>
            <w:shd w:val="clear" w:color="auto" w:fill="auto"/>
            <w:vAlign w:val="center"/>
          </w:tcPr>
          <w:p w:rsidR="00103D69" w:rsidRPr="00575EF5" w:rsidRDefault="00103D69" w:rsidP="003660B7">
            <w:pPr>
              <w:spacing w:line="22" w:lineRule="atLeast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575EF5">
              <w:rPr>
                <w:b/>
                <w:sz w:val="28"/>
                <w:szCs w:val="28"/>
                <w:lang w:val="kk-KZ"/>
              </w:rPr>
              <w:t>ҚАЗАҚСТАН</w:t>
            </w:r>
          </w:p>
          <w:p w:rsidR="00103D69" w:rsidRPr="00575EF5" w:rsidRDefault="00103D69" w:rsidP="003660B7">
            <w:pPr>
              <w:spacing w:line="22" w:lineRule="atLeast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575EF5">
              <w:rPr>
                <w:b/>
                <w:sz w:val="28"/>
                <w:szCs w:val="28"/>
                <w:lang w:val="kk-KZ"/>
              </w:rPr>
              <w:t>РЕСПУБЛИКАСЫНЫҢ</w:t>
            </w:r>
          </w:p>
          <w:p w:rsidR="00103D69" w:rsidRPr="002F41FA" w:rsidRDefault="00103D69" w:rsidP="003660B7">
            <w:pPr>
              <w:spacing w:line="22" w:lineRule="atLeast"/>
              <w:contextualSpacing/>
              <w:jc w:val="center"/>
              <w:rPr>
                <w:b/>
                <w:lang w:val="kk-KZ"/>
              </w:rPr>
            </w:pPr>
            <w:r w:rsidRPr="00575EF5">
              <w:rPr>
                <w:b/>
                <w:sz w:val="28"/>
                <w:szCs w:val="28"/>
                <w:lang w:val="kk-KZ"/>
              </w:rPr>
              <w:t>ҰЛТТЫҚ БАНКІ</w:t>
            </w:r>
          </w:p>
        </w:tc>
        <w:tc>
          <w:tcPr>
            <w:tcW w:w="1503" w:type="dxa"/>
            <w:shd w:val="clear" w:color="auto" w:fill="auto"/>
          </w:tcPr>
          <w:p w:rsidR="00103D69" w:rsidRPr="002F41FA" w:rsidRDefault="00103D69" w:rsidP="003660B7">
            <w:pPr>
              <w:tabs>
                <w:tab w:val="left" w:pos="708"/>
              </w:tabs>
              <w:spacing w:line="22" w:lineRule="atLeast"/>
              <w:contextualSpacing/>
              <w:rPr>
                <w:lang w:val="kk-KZ"/>
              </w:rPr>
            </w:pPr>
            <w:r w:rsidRPr="002F41FA">
              <w:rPr>
                <w:b/>
                <w:noProof/>
                <w:sz w:val="36"/>
                <w:szCs w:val="36"/>
                <w:lang w:val="en-US" w:eastAsia="en-US"/>
              </w:rPr>
              <w:drawing>
                <wp:anchor distT="0" distB="0" distL="114300" distR="114300" simplePos="0" relativeHeight="251659264" behindDoc="1" locked="0" layoutInCell="1" allowOverlap="1" wp14:anchorId="3DD18D56" wp14:editId="2B280152">
                  <wp:simplePos x="0" y="0"/>
                  <wp:positionH relativeFrom="margin">
                    <wp:posOffset>-135255</wp:posOffset>
                  </wp:positionH>
                  <wp:positionV relativeFrom="paragraph">
                    <wp:posOffset>-4065</wp:posOffset>
                  </wp:positionV>
                  <wp:extent cx="942975" cy="1020445"/>
                  <wp:effectExtent l="0" t="0" r="9525" b="8255"/>
                  <wp:wrapNone/>
                  <wp:docPr id="2" name="Рисунок 22" descr="C:\Users\or_arman_t\AppData\Local\Microsoft\Windows\INetCache\Content.Word\Ger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or_arman_t\AppData\Local\Microsoft\Windows\INetCache\Content.Word\Ger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020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10" w:type="dxa"/>
            <w:shd w:val="clear" w:color="auto" w:fill="auto"/>
            <w:vAlign w:val="center"/>
          </w:tcPr>
          <w:p w:rsidR="00103D69" w:rsidRPr="00575EF5" w:rsidRDefault="00103D69" w:rsidP="003660B7">
            <w:pPr>
              <w:spacing w:line="22" w:lineRule="atLeast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575EF5">
              <w:rPr>
                <w:b/>
                <w:sz w:val="28"/>
                <w:szCs w:val="28"/>
                <w:lang w:val="kk-KZ"/>
              </w:rPr>
              <w:t>НАЦИОНАЛЬНЫЙ БАНК</w:t>
            </w:r>
          </w:p>
          <w:p w:rsidR="00103D69" w:rsidRPr="00575EF5" w:rsidRDefault="00103D69" w:rsidP="003660B7">
            <w:pPr>
              <w:spacing w:line="22" w:lineRule="atLeast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575EF5">
              <w:rPr>
                <w:b/>
                <w:sz w:val="28"/>
                <w:szCs w:val="28"/>
                <w:lang w:val="kk-KZ"/>
              </w:rPr>
              <w:t>РЕСПУБЛИКИ</w:t>
            </w:r>
          </w:p>
          <w:p w:rsidR="00103D69" w:rsidRPr="002F41FA" w:rsidRDefault="00103D69" w:rsidP="003660B7">
            <w:pPr>
              <w:spacing w:line="22" w:lineRule="atLeast"/>
              <w:contextualSpacing/>
              <w:jc w:val="center"/>
              <w:rPr>
                <w:b/>
                <w:lang w:val="kk-KZ"/>
              </w:rPr>
            </w:pPr>
            <w:r w:rsidRPr="00575EF5">
              <w:rPr>
                <w:b/>
                <w:sz w:val="28"/>
                <w:szCs w:val="28"/>
                <w:lang w:val="kk-KZ"/>
              </w:rPr>
              <w:t>К</w:t>
            </w:r>
            <w:r w:rsidRPr="00575EF5">
              <w:rPr>
                <w:b/>
                <w:sz w:val="28"/>
                <w:szCs w:val="28"/>
              </w:rPr>
              <w:t>АЗАХСТАН</w:t>
            </w:r>
          </w:p>
        </w:tc>
      </w:tr>
      <w:tr w:rsidR="00103D69" w:rsidRPr="00A07F6D" w:rsidTr="003660B7">
        <w:trPr>
          <w:trHeight w:val="985"/>
          <w:jc w:val="center"/>
        </w:trPr>
        <w:tc>
          <w:tcPr>
            <w:tcW w:w="4530" w:type="dxa"/>
            <w:shd w:val="clear" w:color="auto" w:fill="auto"/>
            <w:vAlign w:val="center"/>
          </w:tcPr>
          <w:p w:rsidR="00103D69" w:rsidRPr="005B73B7" w:rsidRDefault="00103D69" w:rsidP="003660B7">
            <w:pPr>
              <w:spacing w:line="22" w:lineRule="atLeast"/>
              <w:contextualSpacing/>
              <w:jc w:val="center"/>
              <w:rPr>
                <w:b/>
                <w:sz w:val="25"/>
                <w:szCs w:val="25"/>
                <w:lang w:val="kk-KZ"/>
              </w:rPr>
            </w:pPr>
            <w:r w:rsidRPr="005B73B7">
              <w:rPr>
                <w:b/>
                <w:sz w:val="25"/>
                <w:szCs w:val="25"/>
              </w:rPr>
              <w:t>БА</w:t>
            </w:r>
            <w:r w:rsidRPr="005B73B7">
              <w:rPr>
                <w:b/>
                <w:sz w:val="25"/>
                <w:szCs w:val="25"/>
                <w:lang w:val="kk-KZ"/>
              </w:rPr>
              <w:t>СҚАРМАСЫНЫҢ</w:t>
            </w:r>
          </w:p>
          <w:p w:rsidR="00103D69" w:rsidRPr="00A07F6D" w:rsidRDefault="00103D69" w:rsidP="003660B7">
            <w:pPr>
              <w:spacing w:line="22" w:lineRule="atLeast"/>
              <w:contextualSpacing/>
              <w:jc w:val="center"/>
              <w:rPr>
                <w:b/>
                <w:sz w:val="28"/>
                <w:szCs w:val="28"/>
              </w:rPr>
            </w:pPr>
            <w:r w:rsidRPr="005B73B7">
              <w:rPr>
                <w:b/>
                <w:sz w:val="25"/>
                <w:szCs w:val="25"/>
                <w:lang w:val="kk-KZ"/>
              </w:rPr>
              <w:t>ҚАУЛЫСЫ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103D69" w:rsidRPr="002F41FA" w:rsidRDefault="00103D69" w:rsidP="003660B7">
            <w:pPr>
              <w:tabs>
                <w:tab w:val="left" w:pos="715"/>
              </w:tabs>
              <w:spacing w:line="22" w:lineRule="atLeast"/>
              <w:contextualSpacing/>
              <w:rPr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4310" w:type="dxa"/>
            <w:shd w:val="clear" w:color="auto" w:fill="auto"/>
            <w:vAlign w:val="center"/>
          </w:tcPr>
          <w:p w:rsidR="00103D69" w:rsidRPr="005B73B7" w:rsidRDefault="00103D69" w:rsidP="003660B7">
            <w:pPr>
              <w:spacing w:line="22" w:lineRule="atLeast"/>
              <w:contextualSpacing/>
              <w:jc w:val="center"/>
              <w:rPr>
                <w:b/>
                <w:sz w:val="25"/>
                <w:szCs w:val="25"/>
                <w:lang w:val="kk-KZ"/>
              </w:rPr>
            </w:pPr>
            <w:r w:rsidRPr="005B73B7">
              <w:rPr>
                <w:b/>
                <w:sz w:val="25"/>
                <w:szCs w:val="25"/>
                <w:lang w:val="kk-KZ"/>
              </w:rPr>
              <w:t xml:space="preserve">ПОСТАНОВЛЕНИЕ </w:t>
            </w:r>
          </w:p>
          <w:p w:rsidR="00103D69" w:rsidRPr="00A07F6D" w:rsidRDefault="00103D69" w:rsidP="003660B7">
            <w:pPr>
              <w:spacing w:line="22" w:lineRule="atLeast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5B73B7">
              <w:rPr>
                <w:b/>
                <w:sz w:val="25"/>
                <w:szCs w:val="25"/>
                <w:lang w:val="kk-KZ"/>
              </w:rPr>
              <w:t>ПРАВЛЕНИЯ</w:t>
            </w:r>
          </w:p>
        </w:tc>
      </w:tr>
      <w:tr w:rsidR="00103D69" w:rsidRPr="00BF120B" w:rsidTr="003660B7">
        <w:trPr>
          <w:trHeight w:val="879"/>
          <w:jc w:val="center"/>
        </w:trPr>
        <w:tc>
          <w:tcPr>
            <w:tcW w:w="4530" w:type="dxa"/>
            <w:shd w:val="clear" w:color="auto" w:fill="auto"/>
          </w:tcPr>
          <w:p w:rsidR="00103D69" w:rsidRPr="00A07F6D" w:rsidRDefault="00103D69" w:rsidP="003660B7">
            <w:pPr>
              <w:spacing w:line="22" w:lineRule="atLeast"/>
              <w:contextualSpacing/>
              <w:jc w:val="center"/>
              <w:rPr>
                <w:sz w:val="12"/>
              </w:rPr>
            </w:pPr>
          </w:p>
          <w:p w:rsidR="00103D69" w:rsidRDefault="00103D69" w:rsidP="003660B7">
            <w:pPr>
              <w:spacing w:line="22" w:lineRule="atLeast"/>
              <w:contextualSpacing/>
              <w:jc w:val="center"/>
            </w:pPr>
          </w:p>
          <w:p w:rsidR="00A929FE" w:rsidRDefault="00A929FE" w:rsidP="00A929FE">
            <w:pPr>
              <w:spacing w:line="22" w:lineRule="atLeast"/>
              <w:contextualSpacing/>
              <w:jc w:val="center"/>
            </w:pPr>
            <w:r>
              <w:t>30</w:t>
            </w:r>
            <w:r>
              <w:t xml:space="preserve"> июня 2026 года</w:t>
            </w:r>
          </w:p>
          <w:p w:rsidR="00A929FE" w:rsidRPr="00BA22EC" w:rsidRDefault="00A929FE" w:rsidP="00A929FE">
            <w:pPr>
              <w:spacing w:line="22" w:lineRule="atLeast"/>
              <w:contextualSpacing/>
              <w:jc w:val="center"/>
              <w:rPr>
                <w:b/>
              </w:rPr>
            </w:pPr>
          </w:p>
          <w:p w:rsidR="00103D69" w:rsidRPr="00BF120B" w:rsidRDefault="00103D69" w:rsidP="003660B7">
            <w:pPr>
              <w:tabs>
                <w:tab w:val="left" w:pos="5134"/>
              </w:tabs>
              <w:spacing w:line="22" w:lineRule="atLeast"/>
              <w:contextualSpacing/>
              <w:jc w:val="center"/>
              <w:rPr>
                <w:noProof/>
              </w:rPr>
            </w:pPr>
            <w:r w:rsidRPr="00BF120B">
              <w:t xml:space="preserve">Астана </w:t>
            </w:r>
            <w:r w:rsidRPr="00BF120B">
              <w:rPr>
                <w:lang w:val="kk-KZ"/>
              </w:rPr>
              <w:t>қаласы</w:t>
            </w:r>
          </w:p>
        </w:tc>
        <w:tc>
          <w:tcPr>
            <w:tcW w:w="1503" w:type="dxa"/>
            <w:shd w:val="clear" w:color="auto" w:fill="auto"/>
          </w:tcPr>
          <w:p w:rsidR="00103D69" w:rsidRPr="002F41FA" w:rsidRDefault="00103D69" w:rsidP="003660B7">
            <w:pPr>
              <w:tabs>
                <w:tab w:val="left" w:pos="5134"/>
              </w:tabs>
              <w:spacing w:line="22" w:lineRule="atLeast"/>
              <w:contextualSpacing/>
              <w:rPr>
                <w:noProof/>
                <w:sz w:val="16"/>
                <w:szCs w:val="16"/>
              </w:rPr>
            </w:pPr>
          </w:p>
        </w:tc>
        <w:tc>
          <w:tcPr>
            <w:tcW w:w="4310" w:type="dxa"/>
            <w:shd w:val="clear" w:color="auto" w:fill="auto"/>
          </w:tcPr>
          <w:p w:rsidR="00103D69" w:rsidRPr="00A07F6D" w:rsidRDefault="00103D69" w:rsidP="003660B7">
            <w:pPr>
              <w:spacing w:line="22" w:lineRule="atLeast"/>
              <w:contextualSpacing/>
              <w:jc w:val="center"/>
              <w:rPr>
                <w:sz w:val="12"/>
              </w:rPr>
            </w:pPr>
          </w:p>
          <w:p w:rsidR="00103D69" w:rsidRDefault="00103D69" w:rsidP="003660B7">
            <w:pPr>
              <w:spacing w:line="22" w:lineRule="atLeast"/>
              <w:contextualSpacing/>
              <w:jc w:val="center"/>
            </w:pPr>
          </w:p>
          <w:p w:rsidR="00103D69" w:rsidRDefault="00103D69" w:rsidP="003660B7">
            <w:pPr>
              <w:spacing w:line="22" w:lineRule="atLeast"/>
              <w:contextualSpacing/>
              <w:jc w:val="center"/>
              <w:rPr>
                <w:b/>
              </w:rPr>
            </w:pPr>
            <w:r w:rsidRPr="006B73AC">
              <w:t>№</w:t>
            </w:r>
            <w:r w:rsidRPr="006B73AC">
              <w:rPr>
                <w:b/>
                <w:lang w:val="en-US"/>
              </w:rPr>
              <w:t xml:space="preserve"> </w:t>
            </w:r>
            <w:r w:rsidR="00A929FE">
              <w:rPr>
                <w:b/>
              </w:rPr>
              <w:t>77</w:t>
            </w:r>
          </w:p>
          <w:p w:rsidR="00A929FE" w:rsidRPr="00A929FE" w:rsidRDefault="00A929FE" w:rsidP="003660B7">
            <w:pPr>
              <w:spacing w:line="22" w:lineRule="atLeast"/>
              <w:contextualSpacing/>
              <w:jc w:val="center"/>
              <w:rPr>
                <w:b/>
              </w:rPr>
            </w:pPr>
          </w:p>
          <w:p w:rsidR="00103D69" w:rsidRPr="00BF120B" w:rsidRDefault="00103D69" w:rsidP="003660B7">
            <w:pPr>
              <w:spacing w:line="22" w:lineRule="atLeast"/>
              <w:contextualSpacing/>
              <w:jc w:val="center"/>
              <w:outlineLvl w:val="0"/>
              <w:rPr>
                <w:lang w:val="kk-KZ"/>
              </w:rPr>
            </w:pPr>
            <w:r w:rsidRPr="00BF120B">
              <w:t>город Астана</w:t>
            </w:r>
          </w:p>
        </w:tc>
      </w:tr>
    </w:tbl>
    <w:p w:rsidR="00103D69" w:rsidRPr="003238F4" w:rsidRDefault="00103D69" w:rsidP="00103D69">
      <w:pPr>
        <w:pStyle w:val="Header"/>
      </w:pPr>
    </w:p>
    <w:p w:rsidR="008A51B0" w:rsidRPr="004E3683" w:rsidRDefault="008A51B0" w:rsidP="008A51B0">
      <w:pPr>
        <w:overflowPunct/>
        <w:autoSpaceDE/>
        <w:autoSpaceDN/>
        <w:adjustRightInd/>
        <w:jc w:val="center"/>
        <w:rPr>
          <w:b/>
          <w:bCs/>
          <w:sz w:val="28"/>
          <w:szCs w:val="28"/>
        </w:rPr>
      </w:pPr>
    </w:p>
    <w:p w:rsidR="008A51B0" w:rsidRPr="004E3683" w:rsidRDefault="008A51B0" w:rsidP="008A51B0">
      <w:pPr>
        <w:overflowPunct/>
        <w:autoSpaceDE/>
        <w:autoSpaceDN/>
        <w:adjustRightInd/>
        <w:jc w:val="center"/>
        <w:rPr>
          <w:b/>
          <w:bCs/>
          <w:sz w:val="28"/>
          <w:szCs w:val="28"/>
        </w:rPr>
      </w:pPr>
    </w:p>
    <w:p w:rsidR="008A51B0" w:rsidRPr="004E3683" w:rsidRDefault="008A51B0" w:rsidP="008A51B0">
      <w:pPr>
        <w:jc w:val="center"/>
        <w:rPr>
          <w:sz w:val="28"/>
        </w:rPr>
      </w:pPr>
      <w:r w:rsidRPr="004E3683">
        <w:rPr>
          <w:b/>
          <w:sz w:val="28"/>
          <w:szCs w:val="28"/>
        </w:rPr>
        <w:t xml:space="preserve">Об утверждении Правил </w:t>
      </w:r>
      <w:r w:rsidRPr="004E3683">
        <w:rPr>
          <w:b/>
          <w:bCs/>
          <w:color w:val="000000"/>
          <w:sz w:val="28"/>
          <w:szCs w:val="28"/>
        </w:rPr>
        <w:t>выбора внешних управляющих золотовалютными активами Национального Банка Республики Казахстан, активами Национального фонд</w:t>
      </w:r>
      <w:bookmarkStart w:id="0" w:name="_GoBack"/>
      <w:bookmarkEnd w:id="0"/>
      <w:r w:rsidRPr="004E3683">
        <w:rPr>
          <w:b/>
          <w:bCs/>
          <w:color w:val="000000"/>
          <w:sz w:val="28"/>
          <w:szCs w:val="28"/>
        </w:rPr>
        <w:t xml:space="preserve">а Республики Казахстан и пенсионными активами единого накопительного пенсионного фонда и передачи активов во внешнее управление </w:t>
      </w:r>
    </w:p>
    <w:p w:rsidR="008A51B0" w:rsidRPr="004E3683" w:rsidRDefault="008A51B0" w:rsidP="008A51B0">
      <w:pPr>
        <w:overflowPunct/>
        <w:autoSpaceDE/>
        <w:autoSpaceDN/>
        <w:adjustRightInd/>
        <w:ind w:firstLine="720"/>
        <w:jc w:val="center"/>
        <w:rPr>
          <w:rFonts w:ascii="Calibri" w:eastAsia="SimSun" w:hAnsi="Calibri"/>
          <w:b/>
          <w:bCs/>
          <w:color w:val="000000"/>
          <w:sz w:val="28"/>
          <w:szCs w:val="28"/>
          <w:lang w:eastAsia="en-US"/>
        </w:rPr>
      </w:pPr>
    </w:p>
    <w:p w:rsidR="008A51B0" w:rsidRPr="004E3683" w:rsidRDefault="008A51B0" w:rsidP="008A51B0">
      <w:pPr>
        <w:overflowPunct/>
        <w:autoSpaceDE/>
        <w:autoSpaceDN/>
        <w:adjustRightInd/>
        <w:ind w:firstLine="720"/>
        <w:jc w:val="center"/>
        <w:rPr>
          <w:rFonts w:ascii="Calibri" w:eastAsia="SimSun" w:hAnsi="Calibri"/>
          <w:b/>
          <w:bCs/>
          <w:color w:val="000000"/>
          <w:sz w:val="28"/>
          <w:szCs w:val="28"/>
          <w:lang w:eastAsia="en-US"/>
        </w:rPr>
      </w:pPr>
    </w:p>
    <w:p w:rsidR="008A51B0" w:rsidRPr="004E3683" w:rsidRDefault="008A51B0" w:rsidP="008A51B0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4E3683">
        <w:rPr>
          <w:sz w:val="28"/>
          <w:szCs w:val="28"/>
        </w:rPr>
        <w:t xml:space="preserve">В соответствии с подпунктами 9) и 23) пункта 2 статьи 15 Закона Республики Казахстан «О Национальном Банке Республики Казахстан», подпунктом 51) абзаца второго части второй пункта 19 </w:t>
      </w:r>
      <w:r w:rsidRPr="004E3683">
        <w:rPr>
          <w:color w:val="000000"/>
          <w:sz w:val="28"/>
          <w:szCs w:val="28"/>
          <w:lang w:eastAsia="x-none"/>
        </w:rPr>
        <w:t xml:space="preserve">Положения о Национальном Банке Республики Казахстан, утвержденного Указом Президента Республики Казахстан от 31 декабря 2003 года № 1271 «Об утверждении Положения и структуры Национального Банка Республики Казахстан», </w:t>
      </w:r>
      <w:r w:rsidRPr="004E3683">
        <w:rPr>
          <w:sz w:val="28"/>
          <w:szCs w:val="28"/>
        </w:rPr>
        <w:t xml:space="preserve">Правление Национального Банка Республики Казахстан </w:t>
      </w:r>
      <w:r w:rsidRPr="004E3683">
        <w:rPr>
          <w:b/>
          <w:sz w:val="28"/>
          <w:szCs w:val="28"/>
        </w:rPr>
        <w:t>ПОСТАНОВЛЯЕТ</w:t>
      </w:r>
      <w:r w:rsidRPr="004E3683">
        <w:rPr>
          <w:sz w:val="28"/>
          <w:szCs w:val="28"/>
        </w:rPr>
        <w:t>:</w:t>
      </w:r>
    </w:p>
    <w:p w:rsidR="008A51B0" w:rsidRPr="004E3683" w:rsidRDefault="008A51B0" w:rsidP="008A51B0">
      <w:pPr>
        <w:widowControl w:val="0"/>
        <w:numPr>
          <w:ilvl w:val="0"/>
          <w:numId w:val="11"/>
        </w:numPr>
        <w:tabs>
          <w:tab w:val="left" w:pos="851"/>
        </w:tabs>
        <w:overflowPunct/>
        <w:autoSpaceDE/>
        <w:autoSpaceDN/>
        <w:adjustRightInd/>
        <w:ind w:left="0" w:firstLine="709"/>
        <w:contextualSpacing/>
        <w:jc w:val="both"/>
        <w:rPr>
          <w:sz w:val="28"/>
          <w:szCs w:val="28"/>
        </w:rPr>
      </w:pPr>
      <w:r w:rsidRPr="004E3683">
        <w:rPr>
          <w:sz w:val="28"/>
          <w:szCs w:val="28"/>
        </w:rPr>
        <w:t xml:space="preserve">Утвердить прилагаемые Правила выбора внешних управляющих золотовалютными активами Национального Банка Республики Казахстан, активами Национального фонда Республики Казахстан и пенсионными активами единого накопительного пенсионного фонда </w:t>
      </w:r>
      <w:r w:rsidRPr="004E3683">
        <w:rPr>
          <w:bCs/>
          <w:sz w:val="28"/>
          <w:szCs w:val="28"/>
        </w:rPr>
        <w:t>и передачи активов во внешнее управление.</w:t>
      </w:r>
    </w:p>
    <w:p w:rsidR="008A51B0" w:rsidRPr="004E3683" w:rsidRDefault="008A51B0" w:rsidP="008A51B0">
      <w:pPr>
        <w:widowControl w:val="0"/>
        <w:numPr>
          <w:ilvl w:val="0"/>
          <w:numId w:val="11"/>
        </w:numPr>
        <w:tabs>
          <w:tab w:val="left" w:pos="709"/>
        </w:tabs>
        <w:overflowPunct/>
        <w:autoSpaceDE/>
        <w:autoSpaceDN/>
        <w:adjustRightInd/>
        <w:ind w:left="0" w:firstLine="709"/>
        <w:contextualSpacing/>
        <w:jc w:val="both"/>
        <w:rPr>
          <w:sz w:val="28"/>
          <w:szCs w:val="28"/>
        </w:rPr>
      </w:pPr>
      <w:r w:rsidRPr="004E3683">
        <w:rPr>
          <w:sz w:val="28"/>
          <w:szCs w:val="28"/>
        </w:rPr>
        <w:t>Признать утратившими силу</w:t>
      </w:r>
      <w:r w:rsidR="00597602" w:rsidRPr="004E3683">
        <w:rPr>
          <w:sz w:val="28"/>
          <w:szCs w:val="28"/>
        </w:rPr>
        <w:t xml:space="preserve"> некоторы</w:t>
      </w:r>
      <w:r w:rsidR="005B68B2" w:rsidRPr="004E3683">
        <w:rPr>
          <w:sz w:val="28"/>
          <w:szCs w:val="28"/>
        </w:rPr>
        <w:t>е</w:t>
      </w:r>
      <w:r w:rsidRPr="004E3683">
        <w:rPr>
          <w:sz w:val="28"/>
          <w:szCs w:val="28"/>
        </w:rPr>
        <w:t xml:space="preserve"> </w:t>
      </w:r>
      <w:r w:rsidR="00597602" w:rsidRPr="004E3683">
        <w:rPr>
          <w:sz w:val="28"/>
          <w:szCs w:val="28"/>
        </w:rPr>
        <w:t>постановлени</w:t>
      </w:r>
      <w:r w:rsidR="0096492F" w:rsidRPr="004E3683">
        <w:rPr>
          <w:sz w:val="28"/>
          <w:szCs w:val="28"/>
        </w:rPr>
        <w:t>я</w:t>
      </w:r>
      <w:r w:rsidR="00597602" w:rsidRPr="004E3683">
        <w:rPr>
          <w:sz w:val="28"/>
          <w:szCs w:val="28"/>
        </w:rPr>
        <w:t xml:space="preserve"> Правления</w:t>
      </w:r>
      <w:r w:rsidRPr="004E3683">
        <w:rPr>
          <w:sz w:val="28"/>
          <w:szCs w:val="28"/>
        </w:rPr>
        <w:t xml:space="preserve"> </w:t>
      </w:r>
      <w:r w:rsidR="00597602" w:rsidRPr="004E3683">
        <w:rPr>
          <w:sz w:val="28"/>
          <w:szCs w:val="28"/>
        </w:rPr>
        <w:t>Национального Банка Республики Казахстан</w:t>
      </w:r>
      <w:r w:rsidRPr="004E3683">
        <w:rPr>
          <w:sz w:val="28"/>
          <w:szCs w:val="28"/>
        </w:rPr>
        <w:t xml:space="preserve"> по перечню согласно </w:t>
      </w:r>
      <w:proofErr w:type="gramStart"/>
      <w:r w:rsidRPr="004E3683">
        <w:rPr>
          <w:sz w:val="28"/>
          <w:szCs w:val="28"/>
        </w:rPr>
        <w:t>приложению</w:t>
      </w:r>
      <w:proofErr w:type="gramEnd"/>
      <w:r w:rsidRPr="004E3683">
        <w:rPr>
          <w:sz w:val="28"/>
          <w:szCs w:val="28"/>
        </w:rPr>
        <w:t xml:space="preserve"> к настоящему постановлению.</w:t>
      </w:r>
    </w:p>
    <w:p w:rsidR="008A51B0" w:rsidRPr="004E3683" w:rsidRDefault="008A51B0" w:rsidP="008A51B0">
      <w:pPr>
        <w:numPr>
          <w:ilvl w:val="0"/>
          <w:numId w:val="11"/>
        </w:numPr>
        <w:tabs>
          <w:tab w:val="left" w:pos="1134"/>
        </w:tabs>
        <w:overflowPunct/>
        <w:autoSpaceDE/>
        <w:autoSpaceDN/>
        <w:adjustRightInd/>
        <w:ind w:left="0" w:firstLine="709"/>
        <w:contextualSpacing/>
        <w:jc w:val="both"/>
        <w:rPr>
          <w:sz w:val="28"/>
          <w:szCs w:val="28"/>
        </w:rPr>
      </w:pPr>
      <w:r w:rsidRPr="004E3683">
        <w:rPr>
          <w:sz w:val="28"/>
          <w:szCs w:val="28"/>
        </w:rPr>
        <w:t>Департаменту монетарных операций Национального Банка Республики Казахстан в установленном законодательством Республики Казахстан порядке обеспечить:</w:t>
      </w:r>
    </w:p>
    <w:p w:rsidR="008A51B0" w:rsidRPr="004E3683" w:rsidRDefault="008A51B0" w:rsidP="008A51B0">
      <w:pPr>
        <w:numPr>
          <w:ilvl w:val="1"/>
          <w:numId w:val="10"/>
        </w:numPr>
        <w:tabs>
          <w:tab w:val="left" w:pos="1134"/>
        </w:tabs>
        <w:overflowPunct/>
        <w:autoSpaceDE/>
        <w:autoSpaceDN/>
        <w:adjustRightInd/>
        <w:ind w:left="0" w:firstLine="709"/>
        <w:contextualSpacing/>
        <w:jc w:val="both"/>
        <w:rPr>
          <w:sz w:val="28"/>
          <w:szCs w:val="28"/>
        </w:rPr>
      </w:pPr>
      <w:r w:rsidRPr="004E3683">
        <w:rPr>
          <w:sz w:val="28"/>
          <w:szCs w:val="28"/>
        </w:rPr>
        <w:t>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Казахстан;</w:t>
      </w:r>
    </w:p>
    <w:p w:rsidR="008A51B0" w:rsidRPr="004E3683" w:rsidRDefault="008A51B0" w:rsidP="008A51B0">
      <w:pPr>
        <w:numPr>
          <w:ilvl w:val="1"/>
          <w:numId w:val="10"/>
        </w:numPr>
        <w:tabs>
          <w:tab w:val="left" w:pos="720"/>
          <w:tab w:val="left" w:pos="1134"/>
        </w:tabs>
        <w:overflowPunct/>
        <w:autoSpaceDE/>
        <w:autoSpaceDN/>
        <w:adjustRightInd/>
        <w:ind w:left="0" w:firstLine="709"/>
        <w:contextualSpacing/>
        <w:jc w:val="both"/>
        <w:rPr>
          <w:sz w:val="28"/>
          <w:szCs w:val="28"/>
        </w:rPr>
      </w:pPr>
      <w:r w:rsidRPr="004E3683">
        <w:rPr>
          <w:sz w:val="28"/>
          <w:szCs w:val="28"/>
        </w:rPr>
        <w:t xml:space="preserve">размещение настоящего постановления на официальном </w:t>
      </w:r>
      <w:proofErr w:type="spellStart"/>
      <w:r w:rsidRPr="004E3683">
        <w:rPr>
          <w:sz w:val="28"/>
          <w:szCs w:val="28"/>
        </w:rPr>
        <w:t>интернет-ресурсе</w:t>
      </w:r>
      <w:proofErr w:type="spellEnd"/>
      <w:r w:rsidRPr="004E3683">
        <w:rPr>
          <w:sz w:val="28"/>
          <w:szCs w:val="28"/>
        </w:rPr>
        <w:t xml:space="preserve"> Национального Банка Республики Казахстан после его официального опубликования;</w:t>
      </w:r>
    </w:p>
    <w:p w:rsidR="008A51B0" w:rsidRPr="004E3683" w:rsidRDefault="008A51B0" w:rsidP="008A51B0">
      <w:pPr>
        <w:numPr>
          <w:ilvl w:val="1"/>
          <w:numId w:val="10"/>
        </w:numPr>
        <w:tabs>
          <w:tab w:val="left" w:pos="1134"/>
          <w:tab w:val="left" w:pos="1418"/>
        </w:tabs>
        <w:overflowPunct/>
        <w:autoSpaceDE/>
        <w:autoSpaceDN/>
        <w:adjustRightInd/>
        <w:ind w:left="0" w:firstLine="709"/>
        <w:contextualSpacing/>
        <w:jc w:val="both"/>
        <w:rPr>
          <w:sz w:val="28"/>
          <w:szCs w:val="28"/>
        </w:rPr>
      </w:pPr>
      <w:r w:rsidRPr="004E3683">
        <w:rPr>
          <w:sz w:val="28"/>
          <w:szCs w:val="28"/>
        </w:rPr>
        <w:lastRenderedPageBreak/>
        <w:t>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мероприятия, предусмотренного подпунктом 2) настоящего пункта.</w:t>
      </w:r>
    </w:p>
    <w:p w:rsidR="008A51B0" w:rsidRPr="004E3683" w:rsidRDefault="008A51B0" w:rsidP="008A51B0">
      <w:pPr>
        <w:numPr>
          <w:ilvl w:val="0"/>
          <w:numId w:val="11"/>
        </w:numPr>
        <w:tabs>
          <w:tab w:val="left" w:pos="1134"/>
        </w:tabs>
        <w:overflowPunct/>
        <w:autoSpaceDE/>
        <w:autoSpaceDN/>
        <w:adjustRightInd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sz w:val="28"/>
          <w:szCs w:val="28"/>
        </w:rPr>
        <w:t>Контроль за исполнением настоящего постановления возложить на курирующего заместителя Председателя Национального Банка</w:t>
      </w:r>
      <w:r w:rsidRPr="004E3683">
        <w:rPr>
          <w:rFonts w:eastAsia="Calibri"/>
          <w:sz w:val="28"/>
          <w:szCs w:val="28"/>
          <w:lang w:eastAsia="en-US"/>
        </w:rPr>
        <w:t xml:space="preserve"> Республики Казахстан.</w:t>
      </w:r>
    </w:p>
    <w:p w:rsidR="008A51B0" w:rsidRPr="004E3683" w:rsidRDefault="008A51B0" w:rsidP="008A51B0">
      <w:pPr>
        <w:numPr>
          <w:ilvl w:val="0"/>
          <w:numId w:val="11"/>
        </w:numPr>
        <w:tabs>
          <w:tab w:val="left" w:pos="1134"/>
        </w:tabs>
        <w:overflowPunct/>
        <w:autoSpaceDE/>
        <w:autoSpaceDN/>
        <w:adjustRightInd/>
        <w:ind w:left="0" w:firstLine="709"/>
        <w:contextualSpacing/>
        <w:jc w:val="both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lang w:eastAsia="en-US"/>
        </w:rPr>
        <w:t xml:space="preserve">Настоящее постановление вводится в действие по истечении десяти календарных дней после дня его первого официального опубликования. </w:t>
      </w:r>
    </w:p>
    <w:tbl>
      <w:tblPr>
        <w:tblStyle w:val="TableGrid"/>
        <w:tblpPr w:leftFromText="180" w:rightFromText="180" w:vertAnchor="text" w:horzAnchor="margin" w:tblpXSpec="right" w:tblpY="794"/>
        <w:tblW w:w="89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992F0B" w:rsidRPr="004E3683" w:rsidTr="00DD2ADF">
        <w:tc>
          <w:tcPr>
            <w:tcW w:w="3652" w:type="dxa"/>
            <w:hideMark/>
          </w:tcPr>
          <w:p w:rsidR="00992F0B" w:rsidRPr="004E3683" w:rsidRDefault="003238F4">
            <w:pPr>
              <w:rPr>
                <w:b/>
                <w:sz w:val="28"/>
                <w:szCs w:val="28"/>
              </w:rPr>
            </w:pPr>
            <w:r w:rsidRPr="004E3683">
              <w:rPr>
                <w:b/>
                <w:sz w:val="28"/>
                <w:szCs w:val="28"/>
              </w:rPr>
              <w:t>Председатель</w:t>
            </w:r>
          </w:p>
        </w:tc>
        <w:tc>
          <w:tcPr>
            <w:tcW w:w="2126" w:type="dxa"/>
          </w:tcPr>
          <w:p w:rsidR="00992F0B" w:rsidRPr="004E3683" w:rsidRDefault="00992F0B">
            <w:pPr>
              <w:rPr>
                <w:b/>
                <w:sz w:val="28"/>
                <w:szCs w:val="28"/>
              </w:rPr>
            </w:pPr>
          </w:p>
        </w:tc>
        <w:tc>
          <w:tcPr>
            <w:tcW w:w="3152" w:type="dxa"/>
            <w:hideMark/>
          </w:tcPr>
          <w:p w:rsidR="00F22D35" w:rsidRPr="004E3683" w:rsidRDefault="003238F4">
            <w:pPr>
              <w:rPr>
                <w:b/>
                <w:sz w:val="28"/>
                <w:szCs w:val="28"/>
              </w:rPr>
            </w:pPr>
            <w:r w:rsidRPr="004E3683">
              <w:rPr>
                <w:b/>
                <w:sz w:val="28"/>
                <w:szCs w:val="28"/>
              </w:rPr>
              <w:t xml:space="preserve">Т.М. Сулейменов </w:t>
            </w:r>
          </w:p>
          <w:p w:rsidR="00F22D35" w:rsidRPr="004E3683" w:rsidRDefault="00F22D35">
            <w:pPr>
              <w:rPr>
                <w:b/>
                <w:sz w:val="28"/>
                <w:szCs w:val="28"/>
              </w:rPr>
            </w:pPr>
          </w:p>
        </w:tc>
      </w:tr>
    </w:tbl>
    <w:p w:rsidR="003238F4" w:rsidRPr="004E3683" w:rsidRDefault="003238F4" w:rsidP="00F22D35"/>
    <w:p w:rsidR="003238F4" w:rsidRPr="004E3683" w:rsidRDefault="003238F4">
      <w:pPr>
        <w:overflowPunct/>
        <w:autoSpaceDE/>
        <w:autoSpaceDN/>
        <w:adjustRightInd/>
      </w:pPr>
      <w:r w:rsidRPr="004E3683">
        <w:br w:type="page"/>
      </w:r>
    </w:p>
    <w:p w:rsidR="003238F4" w:rsidRPr="004E3683" w:rsidRDefault="003238F4" w:rsidP="003238F4">
      <w:pPr>
        <w:widowControl w:val="0"/>
        <w:overflowPunct/>
        <w:autoSpaceDE/>
        <w:autoSpaceDN/>
        <w:adjustRightInd/>
        <w:ind w:left="2831" w:firstLine="709"/>
        <w:jc w:val="right"/>
        <w:rPr>
          <w:rFonts w:eastAsia="Calibri"/>
          <w:lang w:eastAsia="en-US"/>
        </w:rPr>
      </w:pPr>
      <w:bookmarkStart w:id="1" w:name="sub1000460962"/>
      <w:r w:rsidRPr="004E3683">
        <w:rPr>
          <w:rFonts w:eastAsia="Calibri"/>
          <w:sz w:val="28"/>
          <w:lang w:eastAsia="en-US"/>
        </w:rPr>
        <w:lastRenderedPageBreak/>
        <w:t>Утверждены</w:t>
      </w:r>
    </w:p>
    <w:p w:rsidR="003238F4" w:rsidRPr="004E3683" w:rsidRDefault="003238F4" w:rsidP="003238F4">
      <w:pPr>
        <w:widowControl w:val="0"/>
        <w:overflowPunct/>
        <w:autoSpaceDE/>
        <w:autoSpaceDN/>
        <w:adjustRightInd/>
        <w:jc w:val="right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lang w:eastAsia="en-US"/>
        </w:rPr>
        <w:t>постановлением Правления</w:t>
      </w:r>
    </w:p>
    <w:p w:rsidR="003238F4" w:rsidRPr="004E3683" w:rsidRDefault="003238F4" w:rsidP="003238F4">
      <w:pPr>
        <w:widowControl w:val="0"/>
        <w:overflowPunct/>
        <w:autoSpaceDE/>
        <w:autoSpaceDN/>
        <w:adjustRightInd/>
        <w:jc w:val="right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lang w:eastAsia="en-US"/>
        </w:rPr>
        <w:t>Национального Банка</w:t>
      </w:r>
    </w:p>
    <w:p w:rsidR="003238F4" w:rsidRPr="004E3683" w:rsidRDefault="003238F4" w:rsidP="003238F4">
      <w:pPr>
        <w:widowControl w:val="0"/>
        <w:overflowPunct/>
        <w:autoSpaceDE/>
        <w:autoSpaceDN/>
        <w:adjustRightInd/>
        <w:jc w:val="right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lang w:eastAsia="en-US"/>
        </w:rPr>
        <w:t>Республики Казахстан</w:t>
      </w:r>
    </w:p>
    <w:p w:rsidR="003238F4" w:rsidRPr="004E3683" w:rsidRDefault="003238F4" w:rsidP="003238F4">
      <w:pPr>
        <w:widowControl w:val="0"/>
        <w:overflowPunct/>
        <w:autoSpaceDE/>
        <w:autoSpaceDN/>
        <w:adjustRightInd/>
        <w:jc w:val="right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lang w:eastAsia="en-US"/>
        </w:rPr>
        <w:t>от «__» _________________ № __</w:t>
      </w:r>
    </w:p>
    <w:p w:rsidR="003238F4" w:rsidRPr="004E3683" w:rsidRDefault="003238F4" w:rsidP="003238F4">
      <w:pPr>
        <w:widowControl w:val="0"/>
        <w:overflowPunct/>
        <w:autoSpaceDE/>
        <w:autoSpaceDN/>
        <w:adjustRightInd/>
        <w:rPr>
          <w:rFonts w:eastAsia="Calibri"/>
          <w:sz w:val="28"/>
          <w:szCs w:val="28"/>
          <w:lang w:eastAsia="en-US"/>
        </w:rPr>
      </w:pPr>
    </w:p>
    <w:p w:rsidR="003238F4" w:rsidRPr="004E3683" w:rsidRDefault="003238F4" w:rsidP="003238F4">
      <w:pPr>
        <w:widowControl w:val="0"/>
        <w:overflowPunct/>
        <w:autoSpaceDE/>
        <w:autoSpaceDN/>
        <w:adjustRightInd/>
        <w:rPr>
          <w:rFonts w:eastAsia="Calibri"/>
          <w:sz w:val="28"/>
          <w:szCs w:val="28"/>
          <w:lang w:eastAsia="en-US"/>
        </w:rPr>
      </w:pP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4E3683">
        <w:rPr>
          <w:rFonts w:eastAsia="Calibri"/>
          <w:b/>
          <w:bCs/>
          <w:sz w:val="28"/>
          <w:szCs w:val="28"/>
          <w:lang w:eastAsia="en-US"/>
        </w:rPr>
        <w:t xml:space="preserve">Правила выбора внешних управляющих золотовалютными активами Национального Банка Республики Казахстан, активами Национального фонда Республики Казахстан и пенсионными активами единого накопительного пенсионного фонда и передачи активов во внешнее управление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b/>
          <w:bCs/>
          <w:sz w:val="28"/>
          <w:szCs w:val="28"/>
          <w:lang w:eastAsia="en-US"/>
        </w:rPr>
        <w:t>Глава 1. Общие положения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b/>
          <w:bCs/>
          <w:sz w:val="28"/>
          <w:szCs w:val="28"/>
          <w:lang w:eastAsia="en-US"/>
        </w:rPr>
        <w:t> 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1.</w:t>
      </w:r>
      <w:r w:rsidRPr="004E3683">
        <w:rPr>
          <w:rFonts w:eastAsia="Calibri"/>
          <w:sz w:val="28"/>
          <w:szCs w:val="28"/>
          <w:lang w:eastAsia="en-US"/>
        </w:rPr>
        <w:tab/>
        <w:t xml:space="preserve">Настоящие Правила выбора </w:t>
      </w:r>
      <w:r w:rsidRPr="004E3683">
        <w:rPr>
          <w:rFonts w:eastAsia="Calibri"/>
          <w:bCs/>
          <w:sz w:val="28"/>
          <w:szCs w:val="28"/>
          <w:lang w:eastAsia="en-US"/>
        </w:rPr>
        <w:t>внешних управляющих</w:t>
      </w:r>
      <w:r w:rsidRPr="004E3683">
        <w:rPr>
          <w:rFonts w:eastAsia="Calibri"/>
          <w:sz w:val="28"/>
          <w:szCs w:val="28"/>
          <w:lang w:eastAsia="en-US"/>
        </w:rPr>
        <w:t xml:space="preserve"> золотовалютными активами Национального Банка Республики Казахстан</w:t>
      </w:r>
      <w:r w:rsidRPr="004E3683">
        <w:rPr>
          <w:rFonts w:eastAsia="Calibri"/>
          <w:b/>
          <w:bCs/>
          <w:sz w:val="28"/>
          <w:szCs w:val="28"/>
          <w:lang w:eastAsia="en-US"/>
        </w:rPr>
        <w:t xml:space="preserve">, </w:t>
      </w:r>
      <w:r w:rsidRPr="004E3683">
        <w:rPr>
          <w:rFonts w:eastAsia="Calibri"/>
          <w:bCs/>
          <w:sz w:val="28"/>
          <w:szCs w:val="28"/>
          <w:lang w:eastAsia="en-US"/>
        </w:rPr>
        <w:t xml:space="preserve">активами Национального фонда Республики Казахстан и пенсионными активами единого накопительного пенсионного фонда </w:t>
      </w:r>
      <w:r w:rsidRPr="004E3683">
        <w:rPr>
          <w:rFonts w:eastAsia="Calibri"/>
          <w:sz w:val="28"/>
          <w:szCs w:val="28"/>
          <w:lang w:eastAsia="en-US"/>
        </w:rPr>
        <w:t xml:space="preserve">(далее – Правила) разработаны в соответствии с подпунктами 9) и 23) пункта 2 статьи 15 Закона Республики Казахстан «О Национальном Банке Республики Казахстан», подпунктом 51) </w:t>
      </w:r>
      <w:r w:rsidRPr="004E3683">
        <w:rPr>
          <w:rFonts w:eastAsia="Calibri"/>
          <w:bCs/>
          <w:sz w:val="28"/>
          <w:szCs w:val="28"/>
          <w:lang w:eastAsia="en-US"/>
        </w:rPr>
        <w:t>абзаца второго</w:t>
      </w:r>
      <w:r w:rsidRPr="004E3683">
        <w:rPr>
          <w:rFonts w:eastAsia="Calibri"/>
          <w:sz w:val="28"/>
          <w:szCs w:val="28"/>
          <w:lang w:eastAsia="en-US"/>
        </w:rPr>
        <w:t xml:space="preserve"> части </w:t>
      </w:r>
      <w:r w:rsidRPr="004E3683">
        <w:rPr>
          <w:rFonts w:eastAsia="Calibri"/>
          <w:bCs/>
          <w:sz w:val="28"/>
          <w:szCs w:val="28"/>
          <w:lang w:eastAsia="en-US"/>
        </w:rPr>
        <w:t>второй</w:t>
      </w:r>
      <w:r w:rsidRPr="004E3683">
        <w:rPr>
          <w:rFonts w:eastAsia="Calibri"/>
          <w:sz w:val="28"/>
          <w:szCs w:val="28"/>
          <w:lang w:eastAsia="en-US"/>
        </w:rPr>
        <w:t xml:space="preserve"> пункта 19 </w:t>
      </w:r>
      <w:r w:rsidRPr="004E3683">
        <w:rPr>
          <w:color w:val="000000"/>
          <w:sz w:val="28"/>
          <w:szCs w:val="28"/>
          <w:lang w:eastAsia="x-none"/>
        </w:rPr>
        <w:t>Положения о Национальном Банке Республики Казахстан, утвержденного Указом Президента Республики Казахстан от 31 декабря 2003 года № 1271 «Об утверждении Положения и структуры Национального Банка Республики Казахстан»</w:t>
      </w:r>
      <w:r w:rsidRPr="004E3683">
        <w:rPr>
          <w:rFonts w:eastAsia="Calibri"/>
          <w:sz w:val="28"/>
          <w:szCs w:val="28"/>
          <w:lang w:eastAsia="en-US"/>
        </w:rPr>
        <w:t>, и определяют</w:t>
      </w:r>
      <w:r w:rsidRPr="004E3683">
        <w:rPr>
          <w:rFonts w:eastAsia="Calibri"/>
          <w:sz w:val="28"/>
          <w:szCs w:val="22"/>
          <w:lang w:eastAsia="en-US"/>
        </w:rPr>
        <w:t xml:space="preserve"> порядок выбора внешних управляющих </w:t>
      </w:r>
      <w:r w:rsidRPr="004E3683">
        <w:rPr>
          <w:rFonts w:eastAsia="Calibri"/>
          <w:sz w:val="28"/>
          <w:szCs w:val="28"/>
          <w:lang w:eastAsia="en-US"/>
        </w:rPr>
        <w:t>золотовалютными активами Национального Банка Республики Казахстан</w:t>
      </w:r>
      <w:r w:rsidRPr="004E3683">
        <w:rPr>
          <w:rFonts w:eastAsia="Calibri"/>
          <w:sz w:val="28"/>
          <w:szCs w:val="22"/>
          <w:lang w:eastAsia="en-US"/>
        </w:rPr>
        <w:t xml:space="preserve"> </w:t>
      </w:r>
      <w:r w:rsidRPr="004E3683">
        <w:rPr>
          <w:rFonts w:eastAsia="Calibri"/>
          <w:bCs/>
          <w:sz w:val="28"/>
          <w:szCs w:val="28"/>
          <w:lang w:eastAsia="en-US"/>
        </w:rPr>
        <w:t>(далее – золотовалютные активы)</w:t>
      </w:r>
      <w:r w:rsidRPr="004E3683">
        <w:rPr>
          <w:rFonts w:eastAsia="Calibri"/>
          <w:sz w:val="28"/>
          <w:szCs w:val="28"/>
          <w:lang w:eastAsia="en-US"/>
        </w:rPr>
        <w:t xml:space="preserve">, активами Национального фонда Республики Казахстан </w:t>
      </w:r>
      <w:r w:rsidRPr="004E3683">
        <w:rPr>
          <w:rFonts w:eastAsia="Calibri"/>
          <w:bCs/>
          <w:sz w:val="28"/>
          <w:szCs w:val="28"/>
          <w:lang w:eastAsia="en-US"/>
        </w:rPr>
        <w:t xml:space="preserve">(далее – Национальный фонд) </w:t>
      </w:r>
      <w:r w:rsidRPr="004E3683">
        <w:rPr>
          <w:rFonts w:eastAsia="Calibri"/>
          <w:sz w:val="28"/>
          <w:szCs w:val="28"/>
          <w:lang w:eastAsia="en-US"/>
        </w:rPr>
        <w:t xml:space="preserve">и пенсионными активами единого накопительного пенсионного фонда </w:t>
      </w:r>
      <w:r w:rsidRPr="004E3683">
        <w:rPr>
          <w:rFonts w:eastAsia="Calibri"/>
          <w:bCs/>
          <w:sz w:val="28"/>
          <w:szCs w:val="28"/>
          <w:lang w:eastAsia="en-US"/>
        </w:rPr>
        <w:t xml:space="preserve">(далее </w:t>
      </w:r>
      <w:r w:rsidRPr="004E3683">
        <w:rPr>
          <w:rFonts w:eastAsia="Calibri"/>
          <w:sz w:val="28"/>
          <w:szCs w:val="28"/>
          <w:lang w:eastAsia="en-US"/>
        </w:rPr>
        <w:t>–</w:t>
      </w:r>
      <w:r w:rsidRPr="004E3683">
        <w:rPr>
          <w:rFonts w:eastAsia="Calibri"/>
          <w:bCs/>
          <w:sz w:val="28"/>
          <w:szCs w:val="28"/>
          <w:lang w:eastAsia="en-US"/>
        </w:rPr>
        <w:t xml:space="preserve"> пенсионные активы)</w:t>
      </w:r>
      <w:r w:rsidRPr="004E3683">
        <w:rPr>
          <w:rFonts w:eastAsia="Calibri"/>
          <w:sz w:val="28"/>
          <w:szCs w:val="28"/>
          <w:lang w:eastAsia="en-US"/>
        </w:rPr>
        <w:t xml:space="preserve"> </w:t>
      </w:r>
      <w:r w:rsidRPr="004E3683">
        <w:rPr>
          <w:rFonts w:eastAsia="Calibri"/>
          <w:sz w:val="28"/>
          <w:szCs w:val="22"/>
          <w:lang w:eastAsia="en-US"/>
        </w:rPr>
        <w:t xml:space="preserve">и </w:t>
      </w:r>
      <w:r w:rsidRPr="004E3683">
        <w:rPr>
          <w:rFonts w:eastAsia="Calibri"/>
          <w:sz w:val="28"/>
          <w:szCs w:val="28"/>
          <w:lang w:eastAsia="en-US"/>
        </w:rPr>
        <w:t>передачи активов во внешнее управление.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2. В Правилах используются следующие понятия:</w:t>
      </w:r>
    </w:p>
    <w:p w:rsidR="003238F4" w:rsidRPr="004E3683" w:rsidRDefault="003238F4" w:rsidP="003238F4">
      <w:pPr>
        <w:numPr>
          <w:ilvl w:val="0"/>
          <w:numId w:val="14"/>
        </w:numPr>
        <w:tabs>
          <w:tab w:val="left" w:pos="1134"/>
        </w:tabs>
        <w:overflowPunct/>
        <w:autoSpaceDE/>
        <w:autoSpaceDN/>
        <w:adjustRightInd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активное управление активами – вид управления, при котором значение изменчивости отклонения доходности портфеля (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tracking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error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) (трекинг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эррор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) от доходности эталонного портфеля превышает 2 (два) процента; </w:t>
      </w:r>
    </w:p>
    <w:p w:rsidR="003238F4" w:rsidRPr="004E3683" w:rsidRDefault="003238F4" w:rsidP="003238F4">
      <w:pPr>
        <w:numPr>
          <w:ilvl w:val="0"/>
          <w:numId w:val="14"/>
        </w:numPr>
        <w:tabs>
          <w:tab w:val="left" w:pos="1134"/>
        </w:tabs>
        <w:overflowPunct/>
        <w:autoSpaceDE/>
        <w:autoSpaceDN/>
        <w:adjustRightInd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усовершенствованное индексное управление активами – вид управления, при котором значение изменчивости отклонения доходности портфеля (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tracking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error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) (трекинг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эррор</w:t>
      </w:r>
      <w:proofErr w:type="spellEnd"/>
      <w:r w:rsidRPr="004E3683">
        <w:rPr>
          <w:rFonts w:eastAsia="Calibri"/>
          <w:sz w:val="28"/>
          <w:szCs w:val="28"/>
          <w:lang w:eastAsia="en-US"/>
        </w:rPr>
        <w:t>) от доходности эталонного портфеля составляет от 0,5 (ноль целых пять десятых) до 2 (два) процентов включительно. При усовершенствованном индексном управлении активами предполагается умеренное отклонение от основных показателей эталонного портфеля;</w:t>
      </w:r>
    </w:p>
    <w:p w:rsidR="003238F4" w:rsidRPr="004E3683" w:rsidRDefault="003238F4" w:rsidP="003238F4">
      <w:pPr>
        <w:numPr>
          <w:ilvl w:val="0"/>
          <w:numId w:val="14"/>
        </w:numPr>
        <w:tabs>
          <w:tab w:val="left" w:pos="1134"/>
        </w:tabs>
        <w:overflowPunct/>
        <w:autoSpaceDE/>
        <w:autoSpaceDN/>
        <w:adjustRightInd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пассивное (индексное) управление активами – вид управления, при котором значение изменчивости отклонения доходности портфеля (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tracking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error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) (трекинг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эррор</w:t>
      </w:r>
      <w:proofErr w:type="spellEnd"/>
      <w:r w:rsidRPr="004E3683">
        <w:rPr>
          <w:rFonts w:eastAsia="Calibri"/>
          <w:sz w:val="28"/>
          <w:szCs w:val="28"/>
          <w:lang w:eastAsia="en-US"/>
        </w:rPr>
        <w:t>) от доходности эталонного портфеля не превышает 0,5 (ноль целых пять десятых) процента;</w:t>
      </w:r>
    </w:p>
    <w:p w:rsidR="003238F4" w:rsidRPr="004E3683" w:rsidRDefault="003238F4" w:rsidP="003238F4">
      <w:pPr>
        <w:numPr>
          <w:ilvl w:val="0"/>
          <w:numId w:val="14"/>
        </w:numPr>
        <w:tabs>
          <w:tab w:val="left" w:pos="1134"/>
        </w:tabs>
        <w:overflowPunct/>
        <w:autoSpaceDE/>
        <w:autoSpaceDN/>
        <w:adjustRightInd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lastRenderedPageBreak/>
        <w:t>информационный коэффициент (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information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ratio</w:t>
      </w:r>
      <w:proofErr w:type="spellEnd"/>
      <w:r w:rsidRPr="004E3683">
        <w:rPr>
          <w:rFonts w:eastAsia="Calibri"/>
          <w:sz w:val="28"/>
          <w:szCs w:val="28"/>
          <w:lang w:eastAsia="en-US"/>
        </w:rPr>
        <w:t>) (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информейшн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рейшио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) – отношение уровня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сверхдоходности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к изменчивости отклонения доходности (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tracking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error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) (трекинг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эррор</w:t>
      </w:r>
      <w:proofErr w:type="spellEnd"/>
      <w:r w:rsidRPr="004E3683">
        <w:rPr>
          <w:rFonts w:eastAsia="Calibri"/>
          <w:sz w:val="28"/>
          <w:szCs w:val="28"/>
          <w:lang w:eastAsia="en-US"/>
        </w:rPr>
        <w:t>);</w:t>
      </w:r>
    </w:p>
    <w:p w:rsidR="003238F4" w:rsidRPr="004E3683" w:rsidRDefault="003238F4" w:rsidP="003238F4">
      <w:pPr>
        <w:numPr>
          <w:ilvl w:val="0"/>
          <w:numId w:val="14"/>
        </w:numPr>
        <w:tabs>
          <w:tab w:val="left" w:pos="1134"/>
        </w:tabs>
        <w:overflowPunct/>
        <w:autoSpaceDE/>
        <w:autoSpaceDN/>
        <w:adjustRightInd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специализированный мандат – мандат, передаваемый во внешнее управление с целью диверсификации активов путем применения стратегий инвестирования, предполагающих уникальные инвестиционные подходы на уровне отдельных классов активов, видов управления, стран и регионов;</w:t>
      </w:r>
    </w:p>
    <w:p w:rsidR="003238F4" w:rsidRPr="004E3683" w:rsidRDefault="003238F4" w:rsidP="003238F4">
      <w:pPr>
        <w:numPr>
          <w:ilvl w:val="0"/>
          <w:numId w:val="14"/>
        </w:numPr>
        <w:tabs>
          <w:tab w:val="left" w:pos="1134"/>
        </w:tabs>
        <w:overflowPunct/>
        <w:autoSpaceDE/>
        <w:autoSpaceDN/>
        <w:adjustRightInd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диверсификация – размещение </w:t>
      </w:r>
      <w:r w:rsidRPr="004E3683">
        <w:rPr>
          <w:rFonts w:eastAsia="Calibri"/>
          <w:bCs/>
          <w:sz w:val="28"/>
          <w:szCs w:val="28"/>
          <w:lang w:eastAsia="en-US"/>
        </w:rPr>
        <w:t xml:space="preserve">золотовалютных активов, активов Национального фонда и (или) пенсионных активов </w:t>
      </w:r>
      <w:r w:rsidRPr="004E3683">
        <w:rPr>
          <w:rFonts w:eastAsia="Calibri"/>
          <w:sz w:val="28"/>
          <w:szCs w:val="28"/>
          <w:lang w:eastAsia="en-US"/>
        </w:rPr>
        <w:t>(далее – Активы) в различные финансовые инструменты с целью снижения риска их потерь в соответствии с требованиями, установленными Национальным Банком Республики Казахстан (далее – Национальный Банк);</w:t>
      </w:r>
    </w:p>
    <w:p w:rsidR="003238F4" w:rsidRPr="004E3683" w:rsidRDefault="003238F4" w:rsidP="003238F4">
      <w:pPr>
        <w:numPr>
          <w:ilvl w:val="0"/>
          <w:numId w:val="14"/>
        </w:numPr>
        <w:tabs>
          <w:tab w:val="left" w:pos="1134"/>
        </w:tabs>
        <w:overflowPunct/>
        <w:autoSpaceDE/>
        <w:autoSpaceDN/>
        <w:adjustRightInd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альтернативные инструменты – классы активов, предназначенные для повышения доходности в долгосрочной перспективе (высокодоходные облигации (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High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Yield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Bonds</w:t>
      </w:r>
      <w:proofErr w:type="spellEnd"/>
      <w:r w:rsidRPr="004E3683">
        <w:rPr>
          <w:rFonts w:eastAsia="Calibri"/>
          <w:sz w:val="28"/>
          <w:szCs w:val="28"/>
          <w:lang w:eastAsia="en-US"/>
        </w:rPr>
        <w:t>)</w:t>
      </w:r>
      <w:r w:rsidRPr="004E3683">
        <w:rPr>
          <w:sz w:val="24"/>
          <w:szCs w:val="24"/>
        </w:rPr>
        <w:t xml:space="preserve"> </w:t>
      </w:r>
      <w:r w:rsidRPr="004E3683">
        <w:rPr>
          <w:rFonts w:eastAsia="Calibri"/>
          <w:sz w:val="28"/>
          <w:szCs w:val="28"/>
          <w:lang w:eastAsia="en-US"/>
        </w:rPr>
        <w:t xml:space="preserve">(Хай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Йилд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Бондс</w:t>
      </w:r>
      <w:proofErr w:type="spellEnd"/>
      <w:r w:rsidRPr="004E3683">
        <w:rPr>
          <w:rFonts w:eastAsia="Calibri"/>
          <w:sz w:val="28"/>
          <w:szCs w:val="28"/>
          <w:lang w:eastAsia="en-US"/>
        </w:rPr>
        <w:t>), продукты абсолютной доходности (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Absolute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Return</w:t>
      </w:r>
      <w:proofErr w:type="spellEnd"/>
      <w:r w:rsidRPr="004E3683">
        <w:rPr>
          <w:rFonts w:eastAsia="Calibri"/>
          <w:sz w:val="28"/>
          <w:szCs w:val="28"/>
          <w:lang w:eastAsia="en-US"/>
        </w:rPr>
        <w:t>)</w:t>
      </w:r>
      <w:r w:rsidRPr="004E3683">
        <w:rPr>
          <w:sz w:val="24"/>
          <w:szCs w:val="24"/>
        </w:rPr>
        <w:t xml:space="preserve"> </w:t>
      </w:r>
      <w:r w:rsidRPr="004E3683">
        <w:rPr>
          <w:rFonts w:eastAsia="Calibri"/>
          <w:sz w:val="28"/>
          <w:szCs w:val="28"/>
          <w:lang w:eastAsia="en-US"/>
        </w:rPr>
        <w:t xml:space="preserve">(Абсолют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Ритерн</w:t>
      </w:r>
      <w:proofErr w:type="spellEnd"/>
      <w:r w:rsidRPr="004E3683">
        <w:rPr>
          <w:rFonts w:eastAsia="Calibri"/>
          <w:sz w:val="28"/>
          <w:szCs w:val="28"/>
          <w:lang w:eastAsia="en-US"/>
        </w:rPr>
        <w:t>), хедж-фонды (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Hedge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Funds</w:t>
      </w:r>
      <w:proofErr w:type="spellEnd"/>
      <w:r w:rsidRPr="004E3683">
        <w:rPr>
          <w:rFonts w:eastAsia="Calibri"/>
          <w:sz w:val="28"/>
          <w:szCs w:val="28"/>
          <w:lang w:eastAsia="en-US"/>
        </w:rPr>
        <w:t>)</w:t>
      </w:r>
      <w:r w:rsidRPr="004E3683">
        <w:rPr>
          <w:sz w:val="24"/>
          <w:szCs w:val="24"/>
        </w:rPr>
        <w:t xml:space="preserve"> </w:t>
      </w:r>
      <w:r w:rsidRPr="004E3683">
        <w:rPr>
          <w:rFonts w:eastAsia="Calibri"/>
          <w:sz w:val="28"/>
          <w:szCs w:val="28"/>
          <w:lang w:eastAsia="en-US"/>
        </w:rPr>
        <w:t xml:space="preserve">(Хедж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Фандс</w:t>
      </w:r>
      <w:proofErr w:type="spellEnd"/>
      <w:r w:rsidRPr="004E3683">
        <w:rPr>
          <w:rFonts w:eastAsia="Calibri"/>
          <w:sz w:val="28"/>
          <w:szCs w:val="28"/>
          <w:lang w:eastAsia="en-US"/>
        </w:rPr>
        <w:t>), фонды хедж-фондов (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Fund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of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Hedge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Funds</w:t>
      </w:r>
      <w:proofErr w:type="spellEnd"/>
      <w:r w:rsidRPr="004E3683">
        <w:rPr>
          <w:rFonts w:eastAsia="Calibri"/>
          <w:sz w:val="28"/>
          <w:szCs w:val="28"/>
          <w:lang w:eastAsia="en-US"/>
        </w:rPr>
        <w:t>)</w:t>
      </w:r>
      <w:r w:rsidRPr="004E3683">
        <w:rPr>
          <w:sz w:val="24"/>
          <w:szCs w:val="24"/>
        </w:rPr>
        <w:t xml:space="preserve"> </w:t>
      </w:r>
      <w:r w:rsidRPr="004E3683">
        <w:rPr>
          <w:rFonts w:eastAsia="Calibri"/>
          <w:sz w:val="28"/>
          <w:szCs w:val="28"/>
          <w:lang w:eastAsia="en-US"/>
        </w:rPr>
        <w:t>(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Фанд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оф Хедж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Фандс</w:t>
      </w:r>
      <w:proofErr w:type="spellEnd"/>
      <w:r w:rsidRPr="004E3683">
        <w:rPr>
          <w:rFonts w:eastAsia="Calibri"/>
          <w:sz w:val="28"/>
          <w:szCs w:val="28"/>
          <w:lang w:eastAsia="en-US"/>
        </w:rPr>
        <w:t>) и фонды фондов (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Fund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of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Funds</w:t>
      </w:r>
      <w:proofErr w:type="spellEnd"/>
      <w:r w:rsidRPr="004E3683">
        <w:rPr>
          <w:rFonts w:eastAsia="Calibri"/>
          <w:sz w:val="28"/>
          <w:szCs w:val="28"/>
          <w:lang w:eastAsia="en-US"/>
        </w:rPr>
        <w:t>)</w:t>
      </w:r>
      <w:r w:rsidRPr="004E3683">
        <w:rPr>
          <w:sz w:val="24"/>
          <w:szCs w:val="24"/>
        </w:rPr>
        <w:t xml:space="preserve"> </w:t>
      </w:r>
      <w:r w:rsidRPr="004E3683">
        <w:rPr>
          <w:rFonts w:eastAsia="Calibri"/>
          <w:sz w:val="28"/>
          <w:szCs w:val="28"/>
          <w:lang w:eastAsia="en-US"/>
        </w:rPr>
        <w:t>(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Фанд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оф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Фандс</w:t>
      </w:r>
      <w:proofErr w:type="spellEnd"/>
      <w:r w:rsidRPr="004E3683">
        <w:rPr>
          <w:rFonts w:eastAsia="Calibri"/>
          <w:sz w:val="28"/>
          <w:szCs w:val="28"/>
          <w:lang w:eastAsia="en-US"/>
        </w:rPr>
        <w:t>), частный капитал (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Private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Equity</w:t>
      </w:r>
      <w:proofErr w:type="spellEnd"/>
      <w:r w:rsidRPr="004E3683">
        <w:rPr>
          <w:rFonts w:eastAsia="Calibri"/>
          <w:sz w:val="28"/>
          <w:szCs w:val="28"/>
          <w:lang w:eastAsia="en-US"/>
        </w:rPr>
        <w:t>) (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Прайвит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Эквити), частный долг (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Private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Credit</w:t>
      </w:r>
      <w:proofErr w:type="spellEnd"/>
      <w:r w:rsidRPr="004E3683">
        <w:rPr>
          <w:rFonts w:eastAsia="Calibri"/>
          <w:sz w:val="28"/>
          <w:szCs w:val="28"/>
          <w:lang w:eastAsia="en-US"/>
        </w:rPr>
        <w:t>)</w:t>
      </w:r>
      <w:r w:rsidRPr="004E3683">
        <w:rPr>
          <w:sz w:val="24"/>
          <w:szCs w:val="24"/>
        </w:rPr>
        <w:t xml:space="preserve"> </w:t>
      </w:r>
      <w:r w:rsidRPr="004E3683">
        <w:rPr>
          <w:rFonts w:eastAsia="Calibri"/>
          <w:sz w:val="28"/>
          <w:szCs w:val="28"/>
          <w:lang w:eastAsia="en-US"/>
        </w:rPr>
        <w:t>(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Прайвит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Кредит), ценные бумаги с повышенным риском (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Distressed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Securities</w:t>
      </w:r>
      <w:proofErr w:type="spellEnd"/>
      <w:r w:rsidRPr="004E3683">
        <w:rPr>
          <w:rFonts w:eastAsia="Calibri"/>
          <w:sz w:val="28"/>
          <w:szCs w:val="28"/>
          <w:lang w:eastAsia="en-US"/>
        </w:rPr>
        <w:t>)</w:t>
      </w:r>
      <w:r w:rsidRPr="004E3683">
        <w:rPr>
          <w:sz w:val="24"/>
          <w:szCs w:val="24"/>
        </w:rPr>
        <w:t xml:space="preserve"> </w:t>
      </w:r>
      <w:r w:rsidRPr="004E3683">
        <w:rPr>
          <w:rFonts w:eastAsia="Calibri"/>
          <w:sz w:val="28"/>
          <w:szCs w:val="28"/>
          <w:lang w:eastAsia="en-US"/>
        </w:rPr>
        <w:t>(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Дистрест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Секьюритиз</w:t>
      </w:r>
      <w:proofErr w:type="spellEnd"/>
      <w:r w:rsidRPr="004E3683">
        <w:rPr>
          <w:rFonts w:eastAsia="Calibri"/>
          <w:sz w:val="28"/>
          <w:szCs w:val="28"/>
          <w:lang w:eastAsia="en-US"/>
        </w:rPr>
        <w:t>), инвестиции в недвижимость (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Real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Estate</w:t>
      </w:r>
      <w:proofErr w:type="spellEnd"/>
      <w:r w:rsidRPr="004E3683">
        <w:rPr>
          <w:rFonts w:eastAsia="Calibri"/>
          <w:sz w:val="28"/>
          <w:szCs w:val="28"/>
          <w:lang w:eastAsia="en-US"/>
        </w:rPr>
        <w:t>)</w:t>
      </w:r>
      <w:r w:rsidRPr="004E3683">
        <w:rPr>
          <w:sz w:val="24"/>
          <w:szCs w:val="24"/>
        </w:rPr>
        <w:t xml:space="preserve"> </w:t>
      </w:r>
      <w:r w:rsidRPr="004E3683">
        <w:rPr>
          <w:rFonts w:eastAsia="Calibri"/>
          <w:sz w:val="28"/>
          <w:szCs w:val="28"/>
          <w:lang w:eastAsia="en-US"/>
        </w:rPr>
        <w:t>(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Риэл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Эстейт</w:t>
      </w:r>
      <w:proofErr w:type="spellEnd"/>
      <w:r w:rsidRPr="004E3683">
        <w:rPr>
          <w:rFonts w:eastAsia="Calibri"/>
          <w:sz w:val="28"/>
          <w:szCs w:val="28"/>
          <w:lang w:eastAsia="en-US"/>
        </w:rPr>
        <w:t>), инфраструктурные инвестиции (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Infrastructure</w:t>
      </w:r>
      <w:proofErr w:type="spellEnd"/>
      <w:r w:rsidRPr="004E3683">
        <w:rPr>
          <w:rFonts w:eastAsia="Calibri"/>
          <w:sz w:val="28"/>
          <w:szCs w:val="28"/>
          <w:lang w:eastAsia="en-US"/>
        </w:rPr>
        <w:t>)</w:t>
      </w:r>
      <w:r w:rsidRPr="004E3683">
        <w:rPr>
          <w:sz w:val="24"/>
          <w:szCs w:val="24"/>
        </w:rPr>
        <w:t xml:space="preserve"> </w:t>
      </w:r>
      <w:r w:rsidRPr="004E3683">
        <w:rPr>
          <w:rFonts w:eastAsia="Calibri"/>
          <w:sz w:val="28"/>
          <w:szCs w:val="28"/>
          <w:lang w:eastAsia="en-US"/>
        </w:rPr>
        <w:t>(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Инфрастракче</w:t>
      </w:r>
      <w:proofErr w:type="spellEnd"/>
      <w:r w:rsidRPr="004E3683">
        <w:rPr>
          <w:rFonts w:eastAsia="Calibri"/>
          <w:sz w:val="28"/>
          <w:szCs w:val="28"/>
          <w:lang w:eastAsia="en-US"/>
        </w:rPr>
        <w:t>), прямые инвестиции (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Strategic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investments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and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co-investments</w:t>
      </w:r>
      <w:proofErr w:type="spellEnd"/>
      <w:r w:rsidRPr="004E3683">
        <w:rPr>
          <w:rFonts w:eastAsia="Calibri"/>
          <w:sz w:val="28"/>
          <w:szCs w:val="28"/>
          <w:lang w:eastAsia="en-US"/>
        </w:rPr>
        <w:t>)</w:t>
      </w:r>
      <w:r w:rsidRPr="004E3683">
        <w:rPr>
          <w:sz w:val="24"/>
          <w:szCs w:val="24"/>
        </w:rPr>
        <w:t xml:space="preserve"> </w:t>
      </w:r>
      <w:r w:rsidRPr="004E3683">
        <w:rPr>
          <w:rFonts w:eastAsia="Calibri"/>
          <w:sz w:val="28"/>
          <w:szCs w:val="28"/>
          <w:lang w:eastAsia="en-US"/>
        </w:rPr>
        <w:t>(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Стратеджик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инвестментс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энд ко-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инвестментс</w:t>
      </w:r>
      <w:proofErr w:type="spellEnd"/>
      <w:r w:rsidRPr="004E3683">
        <w:rPr>
          <w:rFonts w:eastAsia="Calibri"/>
          <w:sz w:val="28"/>
          <w:szCs w:val="28"/>
          <w:lang w:eastAsia="en-US"/>
        </w:rPr>
        <w:t>), зарубежные цифровые активы);</w:t>
      </w:r>
    </w:p>
    <w:p w:rsidR="003238F4" w:rsidRPr="004E3683" w:rsidRDefault="003238F4" w:rsidP="003238F4">
      <w:pPr>
        <w:numPr>
          <w:ilvl w:val="0"/>
          <w:numId w:val="14"/>
        </w:numPr>
        <w:tabs>
          <w:tab w:val="left" w:pos="1134"/>
        </w:tabs>
        <w:overflowPunct/>
        <w:autoSpaceDE/>
        <w:autoSpaceDN/>
        <w:adjustRightInd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управленческий контроль – возможность одного юридического лица прямо и (или) косвенно определять решения и (или) оказывать влияние на решения, принимаемые другим юридическим лицом, в связи с участием (владением) в таком юридическом лице;</w:t>
      </w:r>
    </w:p>
    <w:p w:rsidR="003238F4" w:rsidRPr="004E3683" w:rsidRDefault="003238F4" w:rsidP="003238F4">
      <w:pPr>
        <w:numPr>
          <w:ilvl w:val="0"/>
          <w:numId w:val="14"/>
        </w:numPr>
        <w:tabs>
          <w:tab w:val="left" w:pos="1134"/>
        </w:tabs>
        <w:overflowPunct/>
        <w:autoSpaceDE/>
        <w:autoSpaceDN/>
        <w:adjustRightInd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биржевой рынок – совокупность отношений с использованием торговых систем организатора торгов, который осуществляет организационное и техническое обеспечение торгов;</w:t>
      </w:r>
    </w:p>
    <w:p w:rsidR="003238F4" w:rsidRPr="004E3683" w:rsidRDefault="003238F4" w:rsidP="003238F4">
      <w:pPr>
        <w:numPr>
          <w:ilvl w:val="0"/>
          <w:numId w:val="14"/>
        </w:numPr>
        <w:tabs>
          <w:tab w:val="left" w:pos="1134"/>
        </w:tabs>
        <w:overflowPunct/>
        <w:autoSpaceDE/>
        <w:autoSpaceDN/>
        <w:adjustRightInd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глобальный мандат – портфель, инвестиции которого выходят за пределы одной страны (рынка, региона);</w:t>
      </w:r>
    </w:p>
    <w:p w:rsidR="003238F4" w:rsidRPr="004E3683" w:rsidRDefault="003238F4" w:rsidP="003238F4">
      <w:pPr>
        <w:numPr>
          <w:ilvl w:val="0"/>
          <w:numId w:val="14"/>
        </w:numPr>
        <w:tabs>
          <w:tab w:val="left" w:pos="1134"/>
        </w:tabs>
        <w:overflowPunct/>
        <w:autoSpaceDE/>
        <w:autoSpaceDN/>
        <w:adjustRightInd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инвестиционный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дью-дилидженс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– комплекс аналитических мероприятий, направленных на всестороннюю проверку и оценку эффективности инвестиционной деятельности внешнего управляющего; </w:t>
      </w:r>
    </w:p>
    <w:p w:rsidR="003238F4" w:rsidRPr="004E3683" w:rsidRDefault="003238F4" w:rsidP="003238F4">
      <w:pPr>
        <w:numPr>
          <w:ilvl w:val="0"/>
          <w:numId w:val="14"/>
        </w:numPr>
        <w:tabs>
          <w:tab w:val="left" w:pos="1134"/>
        </w:tabs>
        <w:overflowPunct/>
        <w:autoSpaceDE/>
        <w:autoSpaceDN/>
        <w:adjustRightInd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инвестиционные стратегии – Правила осуществления инвестиционных операций Национального фонда Республики Казахстан, утвержденные постановлением Правления Национального Банка от 25 июля 2006 года № 65 «Об утверждении Правил осуществления инвестиционных операций Национального фонда Республики Казахстан» (зарегистрировано в Реестре государственной регистрации нормативных правовых актов под № 4361), Инвестиционная стратегия по управлению золотовалютными активами Национального Банка Республики Казахстан, утвержденная постановлением Правления Национального Банка от 17 июня 2015 года № 112 «Об утверждении </w:t>
      </w:r>
      <w:r w:rsidRPr="004E3683">
        <w:rPr>
          <w:rFonts w:eastAsia="Calibri"/>
          <w:sz w:val="28"/>
          <w:szCs w:val="28"/>
          <w:lang w:eastAsia="en-US"/>
        </w:rPr>
        <w:lastRenderedPageBreak/>
        <w:t>Инвестиционной стратегии по управлению золотовалютными активами Национального Банка Республики Казахстан» и Инвестиционная декларация единого накопительного пенсионного фонда, утвержденная постановлением Правления Национального Банка от 23 октября 2023 года № 82 «Об утверждении Инвестиционной декларации единого накопительного пенсионного фонда»;</w:t>
      </w:r>
    </w:p>
    <w:p w:rsidR="003238F4" w:rsidRPr="004E3683" w:rsidRDefault="003238F4" w:rsidP="003238F4">
      <w:pPr>
        <w:numPr>
          <w:ilvl w:val="0"/>
          <w:numId w:val="14"/>
        </w:numPr>
        <w:tabs>
          <w:tab w:val="left" w:pos="1134"/>
        </w:tabs>
        <w:overflowPunct/>
        <w:autoSpaceDE/>
        <w:autoSpaceDN/>
        <w:adjustRightInd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институциональный инвестор – юридическое лицо, осуществляющее инвестирование денег в финансовые инструменты;</w:t>
      </w:r>
    </w:p>
    <w:p w:rsidR="003238F4" w:rsidRPr="004E3683" w:rsidRDefault="003238F4" w:rsidP="003238F4">
      <w:pPr>
        <w:numPr>
          <w:ilvl w:val="0"/>
          <w:numId w:val="14"/>
        </w:numPr>
        <w:tabs>
          <w:tab w:val="left" w:pos="1134"/>
        </w:tabs>
        <w:overflowPunct/>
        <w:autoSpaceDE/>
        <w:autoSpaceDN/>
        <w:adjustRightInd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активы на консультационном обслуживании – активы, находящиеся в управлении у внешнего управляющего, по которым внешний управляющий консультирует клиента в части инвестиционного управления активами;</w:t>
      </w:r>
    </w:p>
    <w:p w:rsidR="003238F4" w:rsidRPr="004E3683" w:rsidRDefault="003238F4" w:rsidP="003238F4">
      <w:pPr>
        <w:numPr>
          <w:ilvl w:val="0"/>
          <w:numId w:val="14"/>
        </w:numPr>
        <w:tabs>
          <w:tab w:val="left" w:pos="1134"/>
        </w:tabs>
        <w:overflowPunct/>
        <w:autoSpaceDE/>
        <w:autoSpaceDN/>
        <w:adjustRightInd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изменчивость отклонения доходности (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tracking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error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) (трекинг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эррор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) – основной показатель рыночного риска портфеля по отношению к эталонному портфелю, отражающий изменчивость отклонения доходности портфеля от доходности эталонного портфеля; </w:t>
      </w:r>
    </w:p>
    <w:p w:rsidR="003238F4" w:rsidRPr="004E3683" w:rsidRDefault="003238F4" w:rsidP="003238F4">
      <w:pPr>
        <w:numPr>
          <w:ilvl w:val="0"/>
          <w:numId w:val="14"/>
        </w:numPr>
        <w:tabs>
          <w:tab w:val="left" w:pos="1134"/>
        </w:tabs>
        <w:overflowPunct/>
        <w:autoSpaceDE/>
        <w:autoSpaceDN/>
        <w:adjustRightInd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мандат – портфель с определенными инвестиционными характеристиками;</w:t>
      </w:r>
    </w:p>
    <w:p w:rsidR="003238F4" w:rsidRPr="004E3683" w:rsidRDefault="003238F4" w:rsidP="003238F4">
      <w:pPr>
        <w:numPr>
          <w:ilvl w:val="0"/>
          <w:numId w:val="14"/>
        </w:numPr>
        <w:tabs>
          <w:tab w:val="left" w:pos="1134"/>
        </w:tabs>
        <w:overflowPunct/>
        <w:autoSpaceDE/>
        <w:autoSpaceDN/>
        <w:adjustRightInd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4E3683">
        <w:rPr>
          <w:rFonts w:eastAsia="Calibri"/>
          <w:sz w:val="28"/>
          <w:szCs w:val="28"/>
          <w:lang w:eastAsia="en-US"/>
        </w:rPr>
        <w:t>маржевой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счет – счет для проведения операций с производными финансовыми инструментами, открываемый в клиринговой организации и используемый в целях размещения обеспечения по сделкам и проведения расчетов по операциям с производными финансовыми инструментами;</w:t>
      </w:r>
    </w:p>
    <w:p w:rsidR="003238F4" w:rsidRPr="004E3683" w:rsidRDefault="003238F4" w:rsidP="003238F4">
      <w:pPr>
        <w:numPr>
          <w:ilvl w:val="0"/>
          <w:numId w:val="14"/>
        </w:numPr>
        <w:tabs>
          <w:tab w:val="left" w:pos="1134"/>
        </w:tabs>
        <w:overflowPunct/>
        <w:autoSpaceDE/>
        <w:autoSpaceDN/>
        <w:adjustRightInd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операционный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дью-дилидженс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– комплекс аналитических мероприятий, направленных на всестороннюю проверку и оценку эффективности операционной деятельности внешнего управляющего;</w:t>
      </w:r>
    </w:p>
    <w:p w:rsidR="003238F4" w:rsidRPr="004E3683" w:rsidRDefault="003238F4" w:rsidP="003238F4">
      <w:pPr>
        <w:numPr>
          <w:ilvl w:val="0"/>
          <w:numId w:val="14"/>
        </w:numPr>
        <w:tabs>
          <w:tab w:val="left" w:pos="1134"/>
        </w:tabs>
        <w:overflowPunct/>
        <w:autoSpaceDE/>
        <w:autoSpaceDN/>
        <w:adjustRightInd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2"/>
          <w:lang w:eastAsia="en-US"/>
        </w:rPr>
        <w:t>Полномочный представитель – специальное должностное лицо (на уровне не ниже заместителя Председателя Национального Банка), определяемое решением Правления Национального Банка, в полномочия которого входит оперативное принятие решений по доверительному управлению Национальным фондом от имени Национального Банка;</w:t>
      </w:r>
    </w:p>
    <w:p w:rsidR="003238F4" w:rsidRPr="004E3683" w:rsidRDefault="003238F4" w:rsidP="003238F4">
      <w:pPr>
        <w:numPr>
          <w:ilvl w:val="0"/>
          <w:numId w:val="14"/>
        </w:numPr>
        <w:tabs>
          <w:tab w:val="left" w:pos="1134"/>
        </w:tabs>
        <w:overflowPunct/>
        <w:autoSpaceDE/>
        <w:autoSpaceDN/>
        <w:adjustRightInd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региональный мандат – портфель, инвестиции которого сосредоточены в пределах одной страны (рынка, региона);</w:t>
      </w:r>
    </w:p>
    <w:p w:rsidR="003238F4" w:rsidRPr="004E3683" w:rsidRDefault="003238F4" w:rsidP="003238F4">
      <w:pPr>
        <w:numPr>
          <w:ilvl w:val="0"/>
          <w:numId w:val="14"/>
        </w:numPr>
        <w:tabs>
          <w:tab w:val="left" w:pos="1134"/>
        </w:tabs>
        <w:overflowPunct/>
        <w:autoSpaceDE/>
        <w:autoSpaceDN/>
        <w:adjustRightInd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портфель – набор финансовых инструментов, в том числе деньги;</w:t>
      </w:r>
    </w:p>
    <w:p w:rsidR="003238F4" w:rsidRPr="004E3683" w:rsidRDefault="003238F4" w:rsidP="003238F4">
      <w:pPr>
        <w:numPr>
          <w:ilvl w:val="0"/>
          <w:numId w:val="14"/>
        </w:numPr>
        <w:tabs>
          <w:tab w:val="left" w:pos="1134"/>
        </w:tabs>
        <w:overflowPunct/>
        <w:autoSpaceDE/>
        <w:autoSpaceDN/>
        <w:adjustRightInd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портфельный менеджер – лицо, отвечающее за управление активами клиентов;</w:t>
      </w:r>
    </w:p>
    <w:p w:rsidR="003238F4" w:rsidRPr="004E3683" w:rsidRDefault="003238F4" w:rsidP="003238F4">
      <w:pPr>
        <w:numPr>
          <w:ilvl w:val="0"/>
          <w:numId w:val="14"/>
        </w:numPr>
        <w:tabs>
          <w:tab w:val="left" w:pos="1134"/>
        </w:tabs>
        <w:overflowPunct/>
        <w:autoSpaceDE/>
        <w:autoSpaceDN/>
        <w:adjustRightInd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внешнее управление – тип управления активами, при котором часть Активов передается в инвестиционное управление внешним управляющим;</w:t>
      </w:r>
    </w:p>
    <w:p w:rsidR="003238F4" w:rsidRPr="004E3683" w:rsidRDefault="003238F4" w:rsidP="003238F4">
      <w:pPr>
        <w:numPr>
          <w:ilvl w:val="0"/>
          <w:numId w:val="14"/>
        </w:numPr>
        <w:tabs>
          <w:tab w:val="left" w:pos="1134"/>
        </w:tabs>
        <w:overflowPunct/>
        <w:autoSpaceDE/>
        <w:autoSpaceDN/>
        <w:adjustRightInd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внешний управляющий – </w:t>
      </w:r>
      <w:r w:rsidRPr="004E3683">
        <w:rPr>
          <w:rFonts w:eastAsia="Calibri"/>
          <w:sz w:val="28"/>
          <w:szCs w:val="22"/>
          <w:lang w:eastAsia="en-US"/>
        </w:rPr>
        <w:t>созданный в соответствии с законодательством иностранного государства банк или организация</w:t>
      </w:r>
      <w:r w:rsidRPr="004E3683">
        <w:rPr>
          <w:rFonts w:eastAsia="Calibri"/>
          <w:sz w:val="28"/>
          <w:szCs w:val="28"/>
          <w:lang w:eastAsia="en-US"/>
        </w:rPr>
        <w:t>, специализирующийся на инвестиционном управлении активами клиентов и осуществляющий свою деятельность на международных финансовых рынках;</w:t>
      </w:r>
    </w:p>
    <w:p w:rsidR="003238F4" w:rsidRPr="004E3683" w:rsidRDefault="003238F4" w:rsidP="003238F4">
      <w:pPr>
        <w:numPr>
          <w:ilvl w:val="0"/>
          <w:numId w:val="14"/>
        </w:numPr>
        <w:tabs>
          <w:tab w:val="left" w:pos="1134"/>
        </w:tabs>
        <w:overflowPunct/>
        <w:autoSpaceDE/>
        <w:autoSpaceDN/>
        <w:adjustRightInd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внешнее транзитное управление – тип управления активами, при котором активы передаются внешнему транзитному управляющему с целью минимизации рисков в связи с изменениями в структуре передаваемых активов до выбора внешнего управляющего и (или) передачи активов утвержденному внешнему управляющему по соответствующему мандату;</w:t>
      </w:r>
    </w:p>
    <w:p w:rsidR="003238F4" w:rsidRPr="004E3683" w:rsidRDefault="003238F4" w:rsidP="003238F4">
      <w:pPr>
        <w:numPr>
          <w:ilvl w:val="0"/>
          <w:numId w:val="14"/>
        </w:numPr>
        <w:tabs>
          <w:tab w:val="left" w:pos="1134"/>
        </w:tabs>
        <w:overflowPunct/>
        <w:autoSpaceDE/>
        <w:autoSpaceDN/>
        <w:adjustRightInd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lastRenderedPageBreak/>
        <w:t xml:space="preserve">внешний транзитный управляющий – </w:t>
      </w:r>
      <w:r w:rsidRPr="004E3683">
        <w:rPr>
          <w:rFonts w:eastAsia="Calibri"/>
          <w:sz w:val="28"/>
          <w:szCs w:val="22"/>
          <w:lang w:eastAsia="en-US"/>
        </w:rPr>
        <w:t>созданный в соответствии с законодательством иностранного государства банк или организация</w:t>
      </w:r>
      <w:r w:rsidRPr="004E3683">
        <w:rPr>
          <w:rFonts w:eastAsia="Calibri"/>
          <w:sz w:val="28"/>
          <w:szCs w:val="28"/>
          <w:lang w:eastAsia="en-US"/>
        </w:rPr>
        <w:t>, специализирующийся на внешнем транзитном управлении активов клиентов и осуществляющий свою деятельность на международных финансовых рынках;</w:t>
      </w:r>
    </w:p>
    <w:p w:rsidR="003238F4" w:rsidRPr="004E3683" w:rsidRDefault="003238F4" w:rsidP="003238F4">
      <w:pPr>
        <w:numPr>
          <w:ilvl w:val="0"/>
          <w:numId w:val="14"/>
        </w:numPr>
        <w:tabs>
          <w:tab w:val="left" w:pos="1134"/>
        </w:tabs>
        <w:overflowPunct/>
        <w:autoSpaceDE/>
        <w:autoSpaceDN/>
        <w:adjustRightInd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транзитный период – временной период, применяемый к портфелю, устанавливаемый в соответствии с Правилами в целях приведения его в соответствие с параметрами, установленными инвестиционными стратегиями;</w:t>
      </w:r>
    </w:p>
    <w:p w:rsidR="003238F4" w:rsidRPr="004E3683" w:rsidRDefault="003238F4" w:rsidP="003238F4">
      <w:pPr>
        <w:numPr>
          <w:ilvl w:val="0"/>
          <w:numId w:val="14"/>
        </w:numPr>
        <w:tabs>
          <w:tab w:val="left" w:pos="1134"/>
        </w:tabs>
        <w:overflowPunct/>
        <w:autoSpaceDE/>
        <w:autoSpaceDN/>
        <w:adjustRightInd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уполномоченное подразделение – подразделение Национального Банка, осуществляющее управление и мониторинг Активов;</w:t>
      </w:r>
    </w:p>
    <w:p w:rsidR="003238F4" w:rsidRPr="004E3683" w:rsidRDefault="003238F4" w:rsidP="003238F4">
      <w:pPr>
        <w:numPr>
          <w:ilvl w:val="0"/>
          <w:numId w:val="14"/>
        </w:numPr>
        <w:tabs>
          <w:tab w:val="left" w:pos="1134"/>
        </w:tabs>
        <w:overflowPunct/>
        <w:autoSpaceDE/>
        <w:autoSpaceDN/>
        <w:adjustRightInd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должностное лицо Национального Банка – Председатель Национального Банка, заместитель Председателя Национального Банка, курирующий уполномоченное подразделение;</w:t>
      </w:r>
    </w:p>
    <w:p w:rsidR="003238F4" w:rsidRPr="004E3683" w:rsidRDefault="003238F4" w:rsidP="003238F4">
      <w:pPr>
        <w:numPr>
          <w:ilvl w:val="0"/>
          <w:numId w:val="14"/>
        </w:numPr>
        <w:tabs>
          <w:tab w:val="left" w:pos="1134"/>
        </w:tabs>
        <w:overflowPunct/>
        <w:autoSpaceDE/>
        <w:autoSpaceDN/>
        <w:adjustRightInd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уровень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сверхдоходности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– разница между фактически достигнутым уровнем доходности и уровнем доходности эталонного портфеля;</w:t>
      </w:r>
    </w:p>
    <w:p w:rsidR="003238F4" w:rsidRPr="004E3683" w:rsidRDefault="003238F4" w:rsidP="003238F4">
      <w:pPr>
        <w:numPr>
          <w:ilvl w:val="0"/>
          <w:numId w:val="14"/>
        </w:numPr>
        <w:tabs>
          <w:tab w:val="left" w:pos="1134"/>
        </w:tabs>
        <w:overflowPunct/>
        <w:autoSpaceDE/>
        <w:autoSpaceDN/>
        <w:adjustRightInd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4E3683">
        <w:rPr>
          <w:rFonts w:eastAsia="Calibri"/>
          <w:sz w:val="28"/>
          <w:szCs w:val="28"/>
          <w:lang w:eastAsia="en-US"/>
        </w:rPr>
        <w:t>форексные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операции – покупка и (или) продажа иностранной валюты на биржевом и внебиржевом рынках;</w:t>
      </w:r>
    </w:p>
    <w:p w:rsidR="003238F4" w:rsidRPr="004E3683" w:rsidRDefault="003238F4" w:rsidP="003238F4">
      <w:pPr>
        <w:numPr>
          <w:ilvl w:val="0"/>
          <w:numId w:val="14"/>
        </w:numPr>
        <w:tabs>
          <w:tab w:val="left" w:pos="1134"/>
        </w:tabs>
        <w:overflowPunct/>
        <w:autoSpaceDE/>
        <w:autoSpaceDN/>
        <w:adjustRightInd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эталонный портфель – набор инструментов, отражающий стратегические интересы инвестора. Доходность эталонного портфеля служит мерой при оценке доходности управления активами. В качестве эталонного портфеля используются индексы, разработанные и отслеживаемые ведущими мировыми финансовыми компаниями либо Национальным Банком.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3. </w:t>
      </w:r>
      <w:r w:rsidRPr="004E3683">
        <w:rPr>
          <w:rFonts w:eastAsia="Calibri"/>
          <w:sz w:val="28"/>
          <w:szCs w:val="22"/>
          <w:lang w:eastAsia="en-US"/>
        </w:rPr>
        <w:t>Правила не определяют порядок выбора внешних управляющих и передачи во</w:t>
      </w:r>
      <w:r w:rsidRPr="004E3683">
        <w:rPr>
          <w:rFonts w:eastAsia="Calibri"/>
          <w:sz w:val="24"/>
          <w:szCs w:val="22"/>
          <w:lang w:eastAsia="en-US"/>
        </w:rPr>
        <w:t xml:space="preserve"> </w:t>
      </w:r>
      <w:r w:rsidRPr="004E3683">
        <w:rPr>
          <w:rFonts w:eastAsia="Calibri"/>
          <w:sz w:val="28"/>
          <w:szCs w:val="22"/>
          <w:lang w:eastAsia="en-US"/>
        </w:rPr>
        <w:t xml:space="preserve">внешнее управление активов портфелей альтернативных инструментов </w:t>
      </w:r>
      <w:r w:rsidRPr="004E3683">
        <w:rPr>
          <w:rFonts w:eastAsia="Calibri"/>
          <w:sz w:val="28"/>
          <w:lang w:eastAsia="en-US"/>
        </w:rPr>
        <w:t xml:space="preserve">золотовалютных активов, активов </w:t>
      </w:r>
      <w:r w:rsidRPr="004E3683">
        <w:rPr>
          <w:rFonts w:eastAsia="Calibri"/>
          <w:sz w:val="28"/>
          <w:szCs w:val="28"/>
          <w:lang w:eastAsia="en-US"/>
        </w:rPr>
        <w:t>Национального фонда и пенсионных активов</w:t>
      </w:r>
      <w:r w:rsidRPr="004E3683">
        <w:rPr>
          <w:rFonts w:eastAsia="Calibri"/>
          <w:sz w:val="28"/>
          <w:szCs w:val="22"/>
          <w:lang w:eastAsia="en-US"/>
        </w:rPr>
        <w:t xml:space="preserve">, а также активов портфеля развивающихся рынков </w:t>
      </w:r>
      <w:r w:rsidRPr="004E3683">
        <w:rPr>
          <w:rFonts w:eastAsia="Calibri"/>
          <w:sz w:val="28"/>
          <w:lang w:eastAsia="en-US"/>
        </w:rPr>
        <w:t>золотовалютных активов</w:t>
      </w:r>
      <w:r w:rsidRPr="004E3683">
        <w:rPr>
          <w:rFonts w:eastAsia="Calibri"/>
          <w:sz w:val="28"/>
          <w:szCs w:val="22"/>
          <w:lang w:eastAsia="en-US"/>
        </w:rPr>
        <w:t xml:space="preserve"> </w:t>
      </w:r>
      <w:r w:rsidRPr="004E3683">
        <w:rPr>
          <w:rFonts w:eastAsia="Calibri"/>
          <w:sz w:val="28"/>
          <w:szCs w:val="28"/>
          <w:lang w:eastAsia="en-US"/>
        </w:rPr>
        <w:t>в рамках программ международных финансовых организаций, в случае, если такое управление предусмотрено соответствующей инвестиционной стратегией, утверждаемой Правлением Национального Банка.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4. </w:t>
      </w:r>
      <w:r w:rsidRPr="004E3683">
        <w:rPr>
          <w:rFonts w:eastAsia="Calibri"/>
          <w:sz w:val="28"/>
          <w:lang w:eastAsia="en-US"/>
        </w:rPr>
        <w:t xml:space="preserve">Общий допустимый объем золотовалютных активов, передаваемый во внешнее управление, не превышает 30 (тридцать) процентов от общего объема золотовалютных активов.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lang w:eastAsia="en-US"/>
        </w:rPr>
        <w:t xml:space="preserve">Общий допустимый объем золотовалютных активов, передаваемый во внешнее управление одному внешнему управляющему, составляет не более 5 (пять) процентов от общего объема золотовалютных активов.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5. Общий допустимый объем активов Национального фонда, передаваемый во внешнее управление одному внешнему управляющему, составляет не более 10 (десять) процентов от объема сберегательного портфеля активов Национального фонда.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6. Общий допустимый объем пенсионных активов, передаваемый во внешнее управление одному внешнему управляющему, составляет не более 10 (десять) процентов от объема портфеля пенсионных активов в иностранной валюте.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7. </w:t>
      </w:r>
      <w:r w:rsidRPr="004E3683">
        <w:rPr>
          <w:rFonts w:eastAsia="Calibri"/>
          <w:sz w:val="28"/>
          <w:szCs w:val="22"/>
          <w:lang w:eastAsia="en-US"/>
        </w:rPr>
        <w:t>При превышении лимита, предусмотренного пунктами 4, 5 и 6 Правил,</w:t>
      </w:r>
      <w:r w:rsidRPr="004E3683">
        <w:rPr>
          <w:rFonts w:eastAsia="Calibri"/>
          <w:sz w:val="28"/>
          <w:lang w:eastAsia="en-US"/>
        </w:rPr>
        <w:t xml:space="preserve"> в том числе в случае слияния двух действующих внешних управляющих,</w:t>
      </w:r>
      <w:r w:rsidRPr="004E3683" w:rsidDel="00152ACA">
        <w:rPr>
          <w:rFonts w:eastAsia="Calibri"/>
          <w:sz w:val="28"/>
          <w:szCs w:val="22"/>
          <w:lang w:eastAsia="en-US"/>
        </w:rPr>
        <w:t xml:space="preserve"> </w:t>
      </w:r>
      <w:r w:rsidRPr="004E3683">
        <w:rPr>
          <w:rFonts w:eastAsia="Calibri"/>
          <w:sz w:val="28"/>
          <w:lang w:eastAsia="en-US"/>
        </w:rPr>
        <w:lastRenderedPageBreak/>
        <w:t>уполномоченное подразделение устраняет несоответствие в течение 3 (три) месяцев со дня возникновения такого превышения.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8. Активы передаются во внешнее управление в целях: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1) снижения уровня рисков, связанных с видами управления Активами;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2) увеличения доходности управления Активами за счет использования опыта, аналитических материалов, исследований и технических ресурсов внешнего управляющего;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2"/>
          <w:lang w:eastAsia="en-US"/>
        </w:rPr>
      </w:pPr>
      <w:r w:rsidRPr="004E3683">
        <w:rPr>
          <w:rFonts w:eastAsia="Calibri"/>
          <w:sz w:val="28"/>
          <w:lang w:eastAsia="en-US"/>
        </w:rPr>
        <w:t>3) повышения эффективности управления Активами за счет применения экспертизы и консультаций в области управления активами, полученных от внешних управляющих;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4) внедрения новых классов активов, по которым отсутствует опыт в самостоятельном управлении Активами. </w:t>
      </w:r>
    </w:p>
    <w:p w:rsidR="003238F4" w:rsidRPr="004E3683" w:rsidRDefault="003238F4" w:rsidP="003238F4">
      <w:pPr>
        <w:tabs>
          <w:tab w:val="left" w:pos="810"/>
          <w:tab w:val="left" w:pos="1080"/>
          <w:tab w:val="left" w:pos="1350"/>
        </w:tabs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lang w:eastAsia="en-US"/>
        </w:rPr>
        <w:t>9</w:t>
      </w:r>
      <w:r w:rsidRPr="004E3683">
        <w:rPr>
          <w:rFonts w:eastAsia="Calibri"/>
          <w:sz w:val="28"/>
          <w:szCs w:val="28"/>
          <w:lang w:eastAsia="en-US"/>
        </w:rPr>
        <w:t>. Выбор вида управления активами (активного, усовершенствованного индексного или пассивного (индексного)) и эталонного портфеля для внешнего управляющего осуществляется в соответствии с целями управления Активами и ограничениями, предусмотренными инвестиционными стратегиями, в зависимости от ситуации на рынке.</w:t>
      </w:r>
    </w:p>
    <w:p w:rsidR="003238F4" w:rsidRPr="004E3683" w:rsidRDefault="003238F4" w:rsidP="003238F4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10. Внешнему управляющему или внешнему транзитному управляющему выплачивается фиксированное комиссионное вознаграждение и (или) комиссионное вознаграждение, зависящее от результатов управления, в соответствии с соглашением об инвестиционном внешнем управлении (далее – соглашение об инвестиционном управлении) или соглашением </w:t>
      </w:r>
      <w:r w:rsidRPr="004E3683">
        <w:rPr>
          <w:rFonts w:eastAsia="Calibri"/>
          <w:sz w:val="28"/>
          <w:lang w:eastAsia="en-US"/>
        </w:rPr>
        <w:t>об инвестиционном внешнем транзитном управлении (далее – соглашение о транзитном управлении).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 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4E3683">
        <w:rPr>
          <w:rFonts w:eastAsia="Calibri"/>
          <w:b/>
          <w:bCs/>
          <w:sz w:val="28"/>
          <w:szCs w:val="28"/>
          <w:lang w:eastAsia="en-US"/>
        </w:rPr>
        <w:t xml:space="preserve">Глава 2. </w:t>
      </w:r>
      <w:r w:rsidRPr="004E3683">
        <w:rPr>
          <w:rFonts w:eastAsia="Calibri"/>
          <w:b/>
          <w:sz w:val="28"/>
          <w:szCs w:val="28"/>
          <w:lang w:eastAsia="en-US"/>
        </w:rPr>
        <w:t xml:space="preserve">Порядок выбора внешних управляющих </w:t>
      </w:r>
      <w:r w:rsidRPr="004E3683">
        <w:rPr>
          <w:rFonts w:eastAsia="Calibri"/>
          <w:b/>
          <w:bCs/>
          <w:sz w:val="28"/>
          <w:szCs w:val="28"/>
          <w:lang w:eastAsia="en-US"/>
        </w:rPr>
        <w:t xml:space="preserve">золотовалютными активами, активами Национального фонда и пенсионными активами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3238F4" w:rsidRPr="004E3683" w:rsidRDefault="003238F4" w:rsidP="003238F4">
      <w:pPr>
        <w:tabs>
          <w:tab w:val="left" w:pos="990"/>
        </w:tabs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11. Организация процедуры выбора внешних управляющих проводится уполномоченным подразделением.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12. Уполномоченное подразделение публикует на официальном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интернет-ресурсе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Национального Банка информацию о планируемом выборе внешнего управляющего, составляет список потенциальных внешних управляющих, направляет им указанную информацию, а также направляет запросы на публикацию данной информации в зарубежных информационно-аналитических ресурсах, доступных для потенциальных внешних управляющих (таких как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Bloomberg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(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Блумберг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),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Reuters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(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Рейтерс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),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Financial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Times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(Файнэншл Таймс)).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Обязательным условием рассмотрения предложения потенциального внешнего управляющего является его согласие на включение условий, предусмотренных пунктом 30 Правил, в соглашение об инвестиционном управлении.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13. Потенциальный внешний управляющий представляет в Национальный Банк в электронном виде по электронной почте и (или) на бумажном носителе минимальную информацию, запрашиваемую у потенциального внешнего </w:t>
      </w:r>
      <w:r w:rsidRPr="004E3683">
        <w:rPr>
          <w:rFonts w:eastAsia="Calibri"/>
          <w:sz w:val="28"/>
          <w:szCs w:val="28"/>
          <w:lang w:eastAsia="en-US"/>
        </w:rPr>
        <w:lastRenderedPageBreak/>
        <w:t xml:space="preserve">управляющего, в соответствии с </w:t>
      </w:r>
      <w:r w:rsidRPr="004E3683">
        <w:rPr>
          <w:rFonts w:eastAsia="Calibri"/>
          <w:bCs/>
          <w:sz w:val="28"/>
          <w:szCs w:val="28"/>
          <w:lang w:eastAsia="en-US"/>
        </w:rPr>
        <w:t>приложением 1</w:t>
      </w:r>
      <w:r w:rsidRPr="004E3683">
        <w:rPr>
          <w:rFonts w:eastAsia="Calibri"/>
          <w:sz w:val="24"/>
          <w:szCs w:val="22"/>
          <w:lang w:eastAsia="en-US"/>
        </w:rPr>
        <w:t xml:space="preserve"> </w:t>
      </w:r>
      <w:r w:rsidRPr="004E3683">
        <w:rPr>
          <w:rFonts w:eastAsia="Calibri"/>
          <w:sz w:val="28"/>
          <w:szCs w:val="28"/>
          <w:lang w:eastAsia="en-US"/>
        </w:rPr>
        <w:t>к Правилам. Допускается получение уполномоченным подразделением информации, необходимой для анализа деятельности потенциальных внешних управляющих из информационно-аналитических систем, содержащих базы инвестиционных и (или) аналитических данных</w:t>
      </w:r>
      <w:r w:rsidRPr="004E3683">
        <w:rPr>
          <w:b/>
          <w:i/>
          <w:sz w:val="28"/>
          <w:szCs w:val="24"/>
        </w:rPr>
        <w:t xml:space="preserve"> </w:t>
      </w:r>
      <w:r w:rsidRPr="004E3683">
        <w:rPr>
          <w:sz w:val="28"/>
          <w:szCs w:val="24"/>
        </w:rPr>
        <w:t xml:space="preserve">(таких как </w:t>
      </w:r>
      <w:proofErr w:type="spellStart"/>
      <w:r w:rsidRPr="004E3683">
        <w:rPr>
          <w:sz w:val="28"/>
          <w:szCs w:val="24"/>
        </w:rPr>
        <w:t>eVestment</w:t>
      </w:r>
      <w:proofErr w:type="spellEnd"/>
      <w:r w:rsidRPr="004E3683">
        <w:rPr>
          <w:sz w:val="28"/>
          <w:szCs w:val="24"/>
        </w:rPr>
        <w:t xml:space="preserve"> (</w:t>
      </w:r>
      <w:proofErr w:type="spellStart"/>
      <w:r w:rsidRPr="004E3683">
        <w:rPr>
          <w:sz w:val="28"/>
          <w:szCs w:val="24"/>
        </w:rPr>
        <w:t>иВестмент</w:t>
      </w:r>
      <w:proofErr w:type="spellEnd"/>
      <w:r w:rsidRPr="004E3683">
        <w:rPr>
          <w:sz w:val="28"/>
          <w:szCs w:val="24"/>
        </w:rPr>
        <w:t xml:space="preserve">), </w:t>
      </w:r>
      <w:proofErr w:type="spellStart"/>
      <w:r w:rsidRPr="004E3683">
        <w:rPr>
          <w:sz w:val="28"/>
          <w:szCs w:val="24"/>
        </w:rPr>
        <w:t>Morningstar</w:t>
      </w:r>
      <w:proofErr w:type="spellEnd"/>
      <w:r w:rsidRPr="004E3683">
        <w:rPr>
          <w:sz w:val="28"/>
          <w:szCs w:val="24"/>
        </w:rPr>
        <w:t xml:space="preserve"> (</w:t>
      </w:r>
      <w:proofErr w:type="spellStart"/>
      <w:r w:rsidRPr="004E3683">
        <w:rPr>
          <w:sz w:val="28"/>
          <w:szCs w:val="24"/>
        </w:rPr>
        <w:t>Морнингстар</w:t>
      </w:r>
      <w:proofErr w:type="spellEnd"/>
      <w:r w:rsidRPr="004E3683">
        <w:rPr>
          <w:sz w:val="28"/>
          <w:szCs w:val="24"/>
        </w:rPr>
        <w:t xml:space="preserve">), </w:t>
      </w:r>
      <w:proofErr w:type="spellStart"/>
      <w:r w:rsidRPr="004E3683">
        <w:rPr>
          <w:sz w:val="28"/>
          <w:szCs w:val="24"/>
        </w:rPr>
        <w:t>MercerInsight</w:t>
      </w:r>
      <w:proofErr w:type="spellEnd"/>
      <w:r w:rsidRPr="004E3683">
        <w:rPr>
          <w:sz w:val="28"/>
          <w:szCs w:val="24"/>
        </w:rPr>
        <w:t xml:space="preserve"> (</w:t>
      </w:r>
      <w:proofErr w:type="spellStart"/>
      <w:r w:rsidRPr="004E3683">
        <w:rPr>
          <w:sz w:val="28"/>
          <w:szCs w:val="24"/>
        </w:rPr>
        <w:t>Мерсер</w:t>
      </w:r>
      <w:proofErr w:type="spellEnd"/>
      <w:r w:rsidRPr="004E3683">
        <w:rPr>
          <w:sz w:val="28"/>
          <w:szCs w:val="24"/>
        </w:rPr>
        <w:t xml:space="preserve"> </w:t>
      </w:r>
      <w:proofErr w:type="spellStart"/>
      <w:r w:rsidRPr="004E3683">
        <w:rPr>
          <w:sz w:val="28"/>
          <w:szCs w:val="24"/>
        </w:rPr>
        <w:t>Инсайт</w:t>
      </w:r>
      <w:proofErr w:type="spellEnd"/>
      <w:r w:rsidRPr="004E3683">
        <w:rPr>
          <w:sz w:val="28"/>
          <w:szCs w:val="24"/>
        </w:rPr>
        <w:t>) и иные аналогичные системы).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14. Уполномоченное подразделение рассматривает все поступившие предложения потенциальных внешних управляющих и проверяет их соответствие обязательным критериям, предусмотренным </w:t>
      </w:r>
      <w:r w:rsidRPr="004E3683">
        <w:rPr>
          <w:rFonts w:eastAsia="Calibri"/>
          <w:bCs/>
          <w:sz w:val="28"/>
          <w:szCs w:val="28"/>
          <w:lang w:eastAsia="en-US"/>
        </w:rPr>
        <w:t>пунктами 15 или 16</w:t>
      </w:r>
      <w:r w:rsidRPr="004E3683">
        <w:rPr>
          <w:rFonts w:eastAsia="Calibri"/>
          <w:sz w:val="28"/>
          <w:szCs w:val="28"/>
          <w:lang w:eastAsia="en-US"/>
        </w:rPr>
        <w:t xml:space="preserve"> Правил.</w:t>
      </w:r>
    </w:p>
    <w:p w:rsidR="003238F4" w:rsidRPr="004E3683" w:rsidRDefault="003238F4" w:rsidP="003238F4">
      <w:pPr>
        <w:tabs>
          <w:tab w:val="left" w:pos="709"/>
        </w:tabs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Из числа потенциальных внешних управляющих, соответствующих обязательным критериям, предусмотренным </w:t>
      </w:r>
      <w:r w:rsidRPr="004E3683">
        <w:rPr>
          <w:rFonts w:eastAsia="Calibri"/>
          <w:bCs/>
          <w:sz w:val="28"/>
          <w:szCs w:val="28"/>
          <w:lang w:eastAsia="en-US"/>
        </w:rPr>
        <w:t>пунктами 15 или 16</w:t>
      </w:r>
      <w:r w:rsidRPr="004E3683">
        <w:rPr>
          <w:rFonts w:eastAsia="Calibri"/>
          <w:sz w:val="28"/>
          <w:szCs w:val="28"/>
          <w:lang w:eastAsia="en-US"/>
        </w:rPr>
        <w:t xml:space="preserve"> Правил, уполномоченное подразделение формирует список потенциальных внешних управляющих золотовалютными активами, активами </w:t>
      </w:r>
      <w:r w:rsidRPr="004E3683">
        <w:rPr>
          <w:rFonts w:eastAsia="Calibri"/>
          <w:bCs/>
          <w:sz w:val="28"/>
          <w:szCs w:val="28"/>
          <w:lang w:eastAsia="en-US"/>
        </w:rPr>
        <w:t xml:space="preserve">Национального фонда </w:t>
      </w:r>
      <w:r w:rsidRPr="004E3683">
        <w:rPr>
          <w:rFonts w:eastAsia="Calibri"/>
          <w:sz w:val="28"/>
          <w:szCs w:val="28"/>
          <w:lang w:eastAsia="en-US"/>
        </w:rPr>
        <w:t>и (или) пенсионными активами (далее – длинный список) и проводит сравнительный анализ предложений на основании оценочных критериев, предусмотренных приложением 2 к Правилам.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При осуществлении сравнительного анализа предложений потенциальных внешних управляющих допускается использование данных о результатах управления действующих внешних управляющих Активами.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В целях уточнения информации, представленной потенциальным внешним управляющим, допускается направление уполномоченным подразделением дополнительных запросов такому потенциальному внешнему управляющему. В случае непредставления потенциальным внешним управляющим дополнительно запрашиваемой информации по соответствующему критерию присваивается 0 (ноль) баллов. </w:t>
      </w:r>
    </w:p>
    <w:p w:rsidR="003238F4" w:rsidRPr="004E3683" w:rsidRDefault="003238F4" w:rsidP="003238F4">
      <w:pPr>
        <w:widowControl w:val="0"/>
        <w:tabs>
          <w:tab w:val="left" w:pos="709"/>
        </w:tabs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15. Для выбора внешних управляющих по глобальным мандатам обязательными критериями являются:</w:t>
      </w:r>
    </w:p>
    <w:p w:rsidR="003238F4" w:rsidRPr="004E3683" w:rsidRDefault="003238F4" w:rsidP="003238F4">
      <w:pPr>
        <w:widowControl w:val="0"/>
        <w:overflowPunct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1) опыт работы с финансовыми инструментами, в которые предполагается инвестировать Активы не менее 10 (десять) лет, из которых не менее 5 (пять) лет опыта работы по объявленному мандату, либо если потенциальный внешний управляющий имеет под управлением исключительно аналогичные региональные мандаты – не менее 5 (пять) лет опыта работы по региональным мандатам, которые составляют не менее 75 (семьдесят пять) процентов охвата глобального мандата. </w:t>
      </w:r>
    </w:p>
    <w:p w:rsidR="003238F4" w:rsidRPr="004E3683" w:rsidRDefault="003238F4" w:rsidP="003238F4">
      <w:pPr>
        <w:widowControl w:val="0"/>
        <w:overflowPunct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Допускается исчисление опыта работы потенциального внешнего управляющего с учетом опыта работы юридических лиц, </w:t>
      </w:r>
      <w:r w:rsidRPr="004E3683">
        <w:rPr>
          <w:rFonts w:eastAsia="Calibri"/>
          <w:bCs/>
          <w:sz w:val="28"/>
          <w:szCs w:val="28"/>
          <w:lang w:eastAsia="en-US"/>
        </w:rPr>
        <w:t>находящихся с потенциальным внешним управляющим под управленческим контролем одного лица;</w:t>
      </w:r>
    </w:p>
    <w:p w:rsidR="003238F4" w:rsidRPr="004E3683" w:rsidRDefault="003238F4" w:rsidP="003238F4">
      <w:pPr>
        <w:overflowPunct/>
        <w:autoSpaceDE/>
        <w:autoSpaceDN/>
        <w:adjustRightInd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ab/>
      </w:r>
      <w:r w:rsidRPr="004E3683">
        <w:rPr>
          <w:rFonts w:eastAsia="Calibri"/>
          <w:sz w:val="28"/>
          <w:szCs w:val="28"/>
          <w:lang w:eastAsia="en-US"/>
        </w:rPr>
        <w:t>2) совокупный размер активов клиентов, имеющихся под управлением у потенциального внешнего управляющего, (в том числе активы на консультационном обслуживании) – не менее эквивалента 25 (двадцать пять) миллиардов долларов США;</w:t>
      </w:r>
    </w:p>
    <w:p w:rsidR="003238F4" w:rsidRPr="004E3683" w:rsidRDefault="003238F4" w:rsidP="003238F4">
      <w:pPr>
        <w:widowControl w:val="0"/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3) совокупный размер активов клиентов по рассматриваемому мандату, имеющихся под управлением у потенциального внешнего управляющего – не менее эквивалента 1 (один) миллиарда долларов США либо, если потенциальный внешний управляющий имеет под управлением исключительно аналогичные региональные мандаты – не менее эквивалента 1 (один) миллиарда долларов США по региональным мандатам, которые составляют не менее 75 (семьдесят пять) процентов охвата глобального мандата.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16. Для выбора внешних управляющих по специализированным мандатам обязательными критериями являются:</w:t>
      </w:r>
    </w:p>
    <w:p w:rsidR="003238F4" w:rsidRPr="004E3683" w:rsidRDefault="003238F4" w:rsidP="003238F4">
      <w:pPr>
        <w:widowControl w:val="0"/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1) опыт работы потенциального внешнего управляющего с финансовыми инструментами, в которые предполагается инвестировать Активы – не менее 5 (пять) лет, из которых не менее 3 (трех) лет опыта работы по объявленному мандату, либо если потенциальный внешний управляющий имеет под управлением исключительно аналогичные региональные мандаты – не менее 3 (три) лет опыта работы по региональным мандатам, которые составляют не менее 75 (семьдесят пять) процентов охвата глобального мандата. </w:t>
      </w:r>
    </w:p>
    <w:p w:rsidR="003238F4" w:rsidRPr="004E3683" w:rsidRDefault="003238F4" w:rsidP="003238F4">
      <w:pPr>
        <w:overflowPunct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Допускается исчисление опыта работы потенциального внешнего управляющего с учетом опыта работы юридических лиц, находящихся </w:t>
      </w:r>
      <w:r w:rsidRPr="004E3683">
        <w:rPr>
          <w:rFonts w:eastAsia="Calibri"/>
          <w:bCs/>
          <w:sz w:val="28"/>
          <w:szCs w:val="28"/>
          <w:lang w:eastAsia="en-US"/>
        </w:rPr>
        <w:t>с потенциальным внешним управляющим под управленческим контролем одного лица;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2) совокупный размер активов клиентов, имеющихся под управлением у потенциального внешнего управляющего, (в том числе активы на консультационном обслуживании) – не менее эквивалента 1 (один) миллиард долларов США;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3) совокупный размер активов клиентов по рассматриваемому мандату, имеющихся под управлением у потенциального внешнего управляющего – не менее эквивалента 150 (сто пятьдесят) миллионов долларов США. </w:t>
      </w:r>
    </w:p>
    <w:p w:rsidR="003238F4" w:rsidRPr="004E3683" w:rsidRDefault="003238F4" w:rsidP="003238F4">
      <w:pPr>
        <w:widowControl w:val="0"/>
        <w:tabs>
          <w:tab w:val="left" w:pos="709"/>
        </w:tabs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При этом объем активов, передаваемых одному внешнему управляющему, не превышает 50 (пятьдесят) процентов от объема активов в инвестиционном управлении по рассматриваемому мандату, имеющихся под управлением такого внешнего управляющего. </w:t>
      </w:r>
    </w:p>
    <w:p w:rsidR="003238F4" w:rsidRPr="004E3683" w:rsidRDefault="003238F4" w:rsidP="003238F4">
      <w:pPr>
        <w:widowControl w:val="0"/>
        <w:tabs>
          <w:tab w:val="left" w:pos="709"/>
        </w:tabs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17. Допускается обращение уполномоченного подразделения к клиентам потенциального</w:t>
      </w:r>
      <w:r w:rsidRPr="004E3683">
        <w:rPr>
          <w:rFonts w:eastAsia="Calibri"/>
          <w:sz w:val="28"/>
          <w:szCs w:val="28"/>
        </w:rPr>
        <w:t xml:space="preserve"> </w:t>
      </w:r>
      <w:r w:rsidRPr="004E3683">
        <w:rPr>
          <w:rFonts w:eastAsia="Calibri"/>
          <w:sz w:val="28"/>
          <w:szCs w:val="28"/>
          <w:lang w:eastAsia="en-US"/>
        </w:rPr>
        <w:t xml:space="preserve">внешнего управляющего с запросом о результатах и качестве управления активами клиентов.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2" w:name="SUB1900"/>
      <w:bookmarkStart w:id="3" w:name="SUB2000"/>
      <w:bookmarkEnd w:id="2"/>
      <w:bookmarkEnd w:id="3"/>
      <w:r w:rsidRPr="004E3683">
        <w:rPr>
          <w:rFonts w:eastAsia="Calibri"/>
          <w:sz w:val="28"/>
          <w:szCs w:val="28"/>
          <w:lang w:eastAsia="en-US"/>
        </w:rPr>
        <w:t xml:space="preserve">18. Подготовленное уполномоченным подразделением заключение по сравнительному анализу предложений потенциальных внешних управляющих, включенных в длинный список, содержащее рекомендации по их выбору, представляется на рассмотрение Председателю Национального Банка, а в отношении активов Национального фонда – Полномочному представителю.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По результатам рассмотрения заключения Председатель Национального Банка либо Полномочный представитель одобряет список потенциальных внешних управляющих, набравших наибольшее количество баллов по оценочным критериям (далее – короткий список), посредством проставления резолюции на заключении уполномоченного подразделения.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Уполномоченное подразделение проводит переговоры с потенциальными внешними управляющими из короткого списка для целей улучшения условий предложений внешних управляющих.</w:t>
      </w:r>
    </w:p>
    <w:p w:rsidR="003238F4" w:rsidRPr="004E3683" w:rsidRDefault="003238F4" w:rsidP="003238F4">
      <w:pPr>
        <w:tabs>
          <w:tab w:val="left" w:pos="709"/>
        </w:tabs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19. Уполномоченное подразделение проводит дополнительную оценку предложений потенциальных внешних управляющих из короткого списка согласно оценочным критериям для осуществления сравнительного анализа предложений потенциальных внешних управляющих из короткого списка в рамках инвестиционного и операционного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дью-дилидженса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, в соответствии с приложением 3 к Правилам. </w:t>
      </w:r>
      <w:bookmarkStart w:id="4" w:name="SUB2100"/>
      <w:bookmarkEnd w:id="4"/>
    </w:p>
    <w:p w:rsidR="003238F4" w:rsidRPr="004E3683" w:rsidRDefault="003238F4" w:rsidP="003238F4">
      <w:pPr>
        <w:tabs>
          <w:tab w:val="left" w:pos="709"/>
        </w:tabs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При равенстве итоговой суммы баллов </w:t>
      </w:r>
      <w:r w:rsidRPr="004E3683">
        <w:rPr>
          <w:rFonts w:eastAsia="Calibri"/>
          <w:bCs/>
          <w:sz w:val="28"/>
          <w:szCs w:val="28"/>
          <w:lang w:eastAsia="en-US"/>
        </w:rPr>
        <w:t xml:space="preserve">потенциальных внешних управляющих из короткого списка для портфелей </w:t>
      </w:r>
      <w:r w:rsidRPr="004E3683">
        <w:rPr>
          <w:rFonts w:eastAsia="Calibri"/>
          <w:sz w:val="28"/>
          <w:lang w:eastAsia="en-US"/>
        </w:rPr>
        <w:t>Национального фонда и пенсионных активов</w:t>
      </w:r>
      <w:r w:rsidRPr="004E3683">
        <w:rPr>
          <w:rFonts w:eastAsia="Calibri"/>
          <w:bCs/>
          <w:sz w:val="28"/>
          <w:szCs w:val="28"/>
          <w:lang w:eastAsia="en-US"/>
        </w:rPr>
        <w:t>, предложение потенциального внешнего управляющего из короткого списка, выразившего согласие на локализацию своего офиса на территории Международного финансового центра «Астана», будет иметь преимущество</w:t>
      </w:r>
      <w:r w:rsidRPr="004E3683">
        <w:rPr>
          <w:rFonts w:eastAsia="Calibri"/>
          <w:sz w:val="28"/>
          <w:szCs w:val="28"/>
          <w:lang w:eastAsia="en-US"/>
        </w:rPr>
        <w:t>.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20. При проведении инвестиционного и операционного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дью-дилидженса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для получения дополнительной информации о порядке принятия инвестиционных решений и процедурах контроля за рисками допускается проведение уполномоченным подразделением встреч с потенциальными внешними управляющими и посещение их офисов.</w:t>
      </w:r>
      <w:bookmarkStart w:id="5" w:name="SUB2200"/>
      <w:bookmarkEnd w:id="5"/>
      <w:r w:rsidRPr="004E3683">
        <w:rPr>
          <w:rFonts w:eastAsia="Calibri"/>
          <w:sz w:val="28"/>
          <w:szCs w:val="28"/>
          <w:lang w:eastAsia="en-US"/>
        </w:rPr>
        <w:t xml:space="preserve">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21. В случае если предлагаемый для выбора потенциальный внешний управляющий не является внешним управляющим</w:t>
      </w:r>
      <w:r w:rsidRPr="004E3683">
        <w:rPr>
          <w:rFonts w:eastAsia="Calibri"/>
          <w:color w:val="FF0000"/>
          <w:sz w:val="28"/>
          <w:szCs w:val="28"/>
          <w:lang w:eastAsia="en-US"/>
        </w:rPr>
        <w:t xml:space="preserve"> </w:t>
      </w:r>
      <w:r w:rsidRPr="004E3683">
        <w:rPr>
          <w:rFonts w:eastAsia="Calibri"/>
          <w:sz w:val="28"/>
          <w:szCs w:val="28"/>
          <w:lang w:eastAsia="en-US"/>
        </w:rPr>
        <w:t>Активами, посещение его офиса сотрудником уполномоченного подразделения является обязательным условием.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lang w:eastAsia="en-US"/>
        </w:rPr>
        <w:t>22. Решение о выборе внешних управляющих Активами принимается Правлением Национального Банка.</w:t>
      </w:r>
      <w:r w:rsidRPr="004E3683">
        <w:rPr>
          <w:rFonts w:eastAsia="Calibri"/>
          <w:sz w:val="28"/>
          <w:szCs w:val="28"/>
          <w:lang w:eastAsia="en-US"/>
        </w:rPr>
        <w:t xml:space="preserve"> </w:t>
      </w:r>
    </w:p>
    <w:p w:rsidR="003238F4" w:rsidRPr="004E3683" w:rsidRDefault="003238F4" w:rsidP="003238F4">
      <w:pPr>
        <w:tabs>
          <w:tab w:val="left" w:pos="709"/>
        </w:tabs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6" w:name="SUB2300"/>
      <w:bookmarkEnd w:id="6"/>
      <w:r w:rsidRPr="004E3683">
        <w:rPr>
          <w:rFonts w:eastAsia="Calibri"/>
          <w:bCs/>
          <w:sz w:val="28"/>
          <w:szCs w:val="28"/>
          <w:lang w:eastAsia="en-US"/>
        </w:rPr>
        <w:t xml:space="preserve">В случаях перехода правопреемнику внешнего управляющего прав и обязанностей, вытекающих из соглашения об инвестиционном управлении, в связи с реорганизацией данного внешнего управляющего, а также в случаях передачи внешним управляющим своих прав и обязанностей, вытекающих из соглашения об инвестиционном управлении, другому юридическому лицу (компании), </w:t>
      </w:r>
      <w:r w:rsidRPr="004E3683">
        <w:rPr>
          <w:rFonts w:eastAsia="Calibri"/>
          <w:sz w:val="28"/>
          <w:lang w:eastAsia="en-US"/>
        </w:rPr>
        <w:t xml:space="preserve">его кандидатура </w:t>
      </w:r>
      <w:r w:rsidRPr="004E3683">
        <w:rPr>
          <w:rFonts w:eastAsia="Calibri"/>
          <w:sz w:val="28"/>
          <w:szCs w:val="22"/>
          <w:lang w:eastAsia="en-US"/>
        </w:rPr>
        <w:t>выносится на рассмотрение Правления</w:t>
      </w:r>
      <w:r w:rsidRPr="004E3683">
        <w:rPr>
          <w:rFonts w:eastAsia="Calibri"/>
          <w:sz w:val="28"/>
          <w:lang w:eastAsia="en-US"/>
        </w:rPr>
        <w:t xml:space="preserve"> </w:t>
      </w:r>
      <w:r w:rsidRPr="004E3683">
        <w:rPr>
          <w:rFonts w:eastAsia="Calibri"/>
          <w:sz w:val="28"/>
          <w:szCs w:val="28"/>
          <w:lang w:eastAsia="en-US"/>
        </w:rPr>
        <w:t xml:space="preserve">Национального Банка </w:t>
      </w:r>
      <w:r w:rsidRPr="004E3683">
        <w:rPr>
          <w:rFonts w:eastAsia="Calibri"/>
          <w:bCs/>
          <w:sz w:val="28"/>
          <w:szCs w:val="28"/>
          <w:lang w:eastAsia="en-US"/>
        </w:rPr>
        <w:t>в качестве внешнего управляющего без проведения процедур, предусмотренных пунктами 12, 13 и 14 Правил.</w:t>
      </w:r>
    </w:p>
    <w:p w:rsidR="003238F4" w:rsidRPr="004E3683" w:rsidRDefault="003238F4" w:rsidP="003238F4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lang w:eastAsia="en-US"/>
        </w:rPr>
        <w:t>23. Если внешний управляющий, осуществляющий внешнее управление золотовалютными активами и (или) активами Национального фонда и (или) пенсионными активами</w:t>
      </w:r>
      <w:r w:rsidRPr="004E3683">
        <w:rPr>
          <w:rFonts w:eastAsia="Calibri"/>
          <w:sz w:val="28"/>
          <w:szCs w:val="28"/>
          <w:lang w:eastAsia="en-US"/>
        </w:rPr>
        <w:t xml:space="preserve">, </w:t>
      </w:r>
      <w:r w:rsidRPr="004E3683">
        <w:rPr>
          <w:rFonts w:eastAsia="Calibri"/>
          <w:sz w:val="28"/>
          <w:lang w:eastAsia="en-US"/>
        </w:rPr>
        <w:t xml:space="preserve">по аналогичному мандату с положительным результатом управления за период не менее 3 (три) лет, соответствует критериям, установленным пунктами 15 или 16 Правил, то по решению Председателя Национального Банка, </w:t>
      </w:r>
      <w:r w:rsidRPr="004E3683">
        <w:rPr>
          <w:sz w:val="28"/>
          <w:szCs w:val="28"/>
        </w:rPr>
        <w:t>Полномочного представителя в отношении активов Национального фонда</w:t>
      </w:r>
      <w:r w:rsidRPr="004E3683">
        <w:rPr>
          <w:rFonts w:eastAsia="Calibri"/>
          <w:sz w:val="28"/>
          <w:lang w:eastAsia="en-US"/>
        </w:rPr>
        <w:t xml:space="preserve">, его кандидатура </w:t>
      </w:r>
      <w:r w:rsidRPr="004E3683">
        <w:rPr>
          <w:rFonts w:eastAsia="Calibri"/>
          <w:sz w:val="28"/>
          <w:szCs w:val="22"/>
          <w:lang w:eastAsia="en-US"/>
        </w:rPr>
        <w:t>выносится на рассмотрение Правления</w:t>
      </w:r>
      <w:r w:rsidRPr="004E3683">
        <w:rPr>
          <w:rFonts w:eastAsia="Calibri"/>
          <w:sz w:val="28"/>
          <w:lang w:eastAsia="en-US"/>
        </w:rPr>
        <w:t xml:space="preserve"> </w:t>
      </w:r>
      <w:r w:rsidRPr="004E3683">
        <w:rPr>
          <w:rFonts w:eastAsia="Calibri"/>
          <w:sz w:val="28"/>
          <w:szCs w:val="28"/>
          <w:lang w:eastAsia="en-US"/>
        </w:rPr>
        <w:t xml:space="preserve">Национального Банка для утверждения в качестве внешнего управляющего </w:t>
      </w:r>
      <w:r w:rsidRPr="004E3683">
        <w:rPr>
          <w:rFonts w:eastAsia="Calibri"/>
          <w:sz w:val="28"/>
          <w:lang w:eastAsia="en-US"/>
        </w:rPr>
        <w:t>без проведения процедур, предусмотренных пунктами</w:t>
      </w:r>
      <w:r w:rsidRPr="004E3683" w:rsidDel="005374B2">
        <w:rPr>
          <w:rFonts w:eastAsia="Calibri"/>
          <w:sz w:val="28"/>
          <w:lang w:eastAsia="en-US"/>
        </w:rPr>
        <w:t xml:space="preserve"> </w:t>
      </w:r>
      <w:r w:rsidRPr="004E3683">
        <w:rPr>
          <w:rFonts w:eastAsia="Calibri"/>
          <w:sz w:val="28"/>
          <w:lang w:eastAsia="en-US"/>
        </w:rPr>
        <w:t>12, 13 и 14 Правил.</w:t>
      </w:r>
    </w:p>
    <w:p w:rsidR="003238F4" w:rsidRPr="004E3683" w:rsidRDefault="003238F4" w:rsidP="003238F4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lang w:eastAsia="en-US"/>
        </w:rPr>
        <w:t xml:space="preserve">24. </w:t>
      </w:r>
      <w:r w:rsidRPr="004E3683">
        <w:rPr>
          <w:rFonts w:eastAsia="Calibri"/>
          <w:sz w:val="28"/>
          <w:szCs w:val="28"/>
          <w:lang w:eastAsia="en-US"/>
        </w:rPr>
        <w:t xml:space="preserve">Для снижения рисков концентрации активов во внешнем управлении </w:t>
      </w:r>
      <w:r w:rsidRPr="004E3683">
        <w:rPr>
          <w:rFonts w:eastAsia="Calibri"/>
          <w:sz w:val="28"/>
          <w:szCs w:val="22"/>
          <w:lang w:eastAsia="en-US"/>
        </w:rPr>
        <w:t xml:space="preserve">в </w:t>
      </w:r>
      <w:r w:rsidRPr="004E3683">
        <w:rPr>
          <w:rFonts w:eastAsia="Calibri"/>
          <w:sz w:val="28"/>
          <w:szCs w:val="28"/>
          <w:lang w:eastAsia="en-US"/>
        </w:rPr>
        <w:t xml:space="preserve">рамках </w:t>
      </w:r>
      <w:r w:rsidRPr="004E3683">
        <w:rPr>
          <w:rFonts w:eastAsia="Calibri"/>
          <w:sz w:val="28"/>
          <w:szCs w:val="22"/>
          <w:lang w:eastAsia="en-US"/>
        </w:rPr>
        <w:t>одного</w:t>
      </w:r>
      <w:r w:rsidRPr="004E3683">
        <w:rPr>
          <w:rFonts w:eastAsia="Calibri"/>
          <w:sz w:val="28"/>
          <w:szCs w:val="28"/>
          <w:lang w:eastAsia="en-US"/>
        </w:rPr>
        <w:t xml:space="preserve"> мандата (но не одного вида управления) </w:t>
      </w:r>
      <w:r w:rsidRPr="004E3683">
        <w:rPr>
          <w:rFonts w:eastAsia="Calibri"/>
          <w:sz w:val="28"/>
          <w:lang w:eastAsia="en-US"/>
        </w:rPr>
        <w:t>количество действующих внешних управляющих составляет не менее 2 (два) внешних управляющих.</w:t>
      </w:r>
    </w:p>
    <w:p w:rsidR="003238F4" w:rsidRPr="004E3683" w:rsidRDefault="003238F4" w:rsidP="003238F4">
      <w:pPr>
        <w:tabs>
          <w:tab w:val="left" w:pos="993"/>
        </w:tabs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25. </w:t>
      </w:r>
      <w:r w:rsidRPr="004E3683">
        <w:rPr>
          <w:sz w:val="28"/>
          <w:szCs w:val="24"/>
        </w:rPr>
        <w:t xml:space="preserve">Для обеспечения оперативного выбора новых внешних управляющих и </w:t>
      </w:r>
      <w:r w:rsidRPr="004E3683">
        <w:rPr>
          <w:rFonts w:eastAsia="Calibri"/>
          <w:sz w:val="28"/>
          <w:szCs w:val="28"/>
          <w:lang w:eastAsia="en-US"/>
        </w:rPr>
        <w:t xml:space="preserve">замены действующих внешних управляющих допускается формирование уполномоченным подразделением перечня резервных внешних управляющих из числа потенциальных внешних управляющих, включенных в короткий список.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Резервные внешние управляющие утверждаются Правлением Национального Банка.</w:t>
      </w:r>
    </w:p>
    <w:p w:rsidR="003238F4" w:rsidRPr="004E3683" w:rsidRDefault="003238F4" w:rsidP="003238F4">
      <w:pPr>
        <w:widowControl w:val="0"/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26. Уполномоченное подразделение ежегодно проводит мониторинг деятельности резервных внешних управляющих и обновляет информацию в рамках инвестиционного и операционного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дью-дилидженса</w:t>
      </w:r>
      <w:proofErr w:type="spellEnd"/>
      <w:r w:rsidRPr="004E3683">
        <w:rPr>
          <w:rFonts w:eastAsia="Calibri"/>
          <w:sz w:val="28"/>
          <w:szCs w:val="28"/>
          <w:lang w:eastAsia="en-US"/>
        </w:rPr>
        <w:t>.</w:t>
      </w:r>
    </w:p>
    <w:p w:rsidR="003238F4" w:rsidRPr="004E3683" w:rsidRDefault="003238F4" w:rsidP="003238F4">
      <w:pPr>
        <w:tabs>
          <w:tab w:val="left" w:pos="709"/>
        </w:tabs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27. Вопросы о передаче Активов внешнему управляющему и (или) резервному внешнему управляющему рассматриваются Правлением Национального Банка в рамках утверждения о</w:t>
      </w:r>
      <w:r w:rsidRPr="004E3683">
        <w:rPr>
          <w:rFonts w:eastAsia="Calibri"/>
          <w:sz w:val="28"/>
          <w:lang w:eastAsia="en-US"/>
        </w:rPr>
        <w:t>тчета о результатах управления внешних управляющих, предусмотренного пунктом 37 Правил.</w:t>
      </w:r>
    </w:p>
    <w:p w:rsidR="003238F4" w:rsidRPr="004E3683" w:rsidRDefault="003238F4" w:rsidP="003238F4">
      <w:pPr>
        <w:tabs>
          <w:tab w:val="left" w:pos="709"/>
        </w:tabs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Оперативные решения по передаче Активов внешнему управляющему и (или) резервному внешнему управляющему принимаются:  </w:t>
      </w:r>
    </w:p>
    <w:p w:rsidR="003238F4" w:rsidRPr="004E3683" w:rsidRDefault="003238F4" w:rsidP="003238F4">
      <w:pPr>
        <w:tabs>
          <w:tab w:val="left" w:pos="851"/>
        </w:tabs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1)  Председателем Национального Банка в отношении золотовалютных активов; </w:t>
      </w:r>
    </w:p>
    <w:p w:rsidR="003238F4" w:rsidRPr="004E3683" w:rsidRDefault="003238F4" w:rsidP="003238F4">
      <w:pPr>
        <w:tabs>
          <w:tab w:val="left" w:pos="709"/>
        </w:tabs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2) Полномочным представителем в отношении активов Национального фонда;</w:t>
      </w:r>
    </w:p>
    <w:p w:rsidR="003238F4" w:rsidRPr="004E3683" w:rsidRDefault="003238F4" w:rsidP="003238F4">
      <w:pPr>
        <w:tabs>
          <w:tab w:val="left" w:pos="709"/>
        </w:tabs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3) Инвестиционным комитетом Национального Банка Республики Казахстан по управлению пенсионными активами акционерного общества «Единый накопительный пенсионный фонд» в отношении пенсионных активов.</w:t>
      </w:r>
    </w:p>
    <w:p w:rsidR="003238F4" w:rsidRPr="004E3683" w:rsidRDefault="003238F4" w:rsidP="003238F4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lang w:eastAsia="en-US"/>
        </w:rPr>
      </w:pPr>
      <w:bookmarkStart w:id="7" w:name="SUB2400"/>
      <w:bookmarkEnd w:id="7"/>
      <w:r w:rsidRPr="004E3683">
        <w:rPr>
          <w:rFonts w:eastAsia="Calibri"/>
          <w:sz w:val="28"/>
          <w:szCs w:val="28"/>
          <w:lang w:eastAsia="en-US"/>
        </w:rPr>
        <w:t xml:space="preserve">28. Если с даты утверждения Правлением Национального Банка внешнего управляющего, выбранного с применением </w:t>
      </w:r>
      <w:r w:rsidRPr="004E3683">
        <w:rPr>
          <w:rFonts w:eastAsia="Calibri"/>
          <w:bCs/>
          <w:sz w:val="28"/>
          <w:szCs w:val="28"/>
          <w:lang w:eastAsia="en-US"/>
        </w:rPr>
        <w:t xml:space="preserve">процедур, предусмотренных пунктами 12, 13 и 14 Правил, прошло не более 3 (три) лет, и такой внешний управляющий показал положительный результат управления в течение не менее 18 (восемнадцать) календарных месяцев в портфеле золотовалютных активов и (или) активов Национального фонда и (или) пенсионных активов, допускается вынесение </w:t>
      </w:r>
      <w:r w:rsidRPr="004E3683">
        <w:rPr>
          <w:rFonts w:eastAsia="Calibri"/>
          <w:sz w:val="28"/>
          <w:lang w:eastAsia="en-US"/>
        </w:rPr>
        <w:t xml:space="preserve">его кандидатуры </w:t>
      </w:r>
      <w:r w:rsidRPr="004E3683">
        <w:rPr>
          <w:rFonts w:eastAsia="Calibri"/>
          <w:sz w:val="28"/>
          <w:szCs w:val="22"/>
          <w:lang w:eastAsia="en-US"/>
        </w:rPr>
        <w:t>на рассмотрение Правления</w:t>
      </w:r>
      <w:r w:rsidRPr="004E3683">
        <w:rPr>
          <w:rFonts w:eastAsia="Calibri"/>
          <w:sz w:val="28"/>
          <w:lang w:eastAsia="en-US"/>
        </w:rPr>
        <w:t xml:space="preserve"> </w:t>
      </w:r>
      <w:r w:rsidRPr="004E3683">
        <w:rPr>
          <w:rFonts w:eastAsia="Calibri"/>
          <w:sz w:val="28"/>
          <w:szCs w:val="28"/>
          <w:lang w:eastAsia="en-US"/>
        </w:rPr>
        <w:t xml:space="preserve">Национального Банка для утверждения в качестве внешнего управляющего по аналогичному мандату в рамках любого другого из портфелей, указанных выше, </w:t>
      </w:r>
      <w:r w:rsidRPr="004E3683">
        <w:rPr>
          <w:rFonts w:eastAsia="Calibri"/>
          <w:sz w:val="28"/>
          <w:lang w:eastAsia="en-US"/>
        </w:rPr>
        <w:t>без проведения процедур, предусмотренных пунктами</w:t>
      </w:r>
      <w:r w:rsidRPr="004E3683" w:rsidDel="005374B2">
        <w:rPr>
          <w:rFonts w:eastAsia="Calibri"/>
          <w:sz w:val="28"/>
          <w:lang w:eastAsia="en-US"/>
        </w:rPr>
        <w:t xml:space="preserve"> </w:t>
      </w:r>
      <w:r w:rsidRPr="004E3683">
        <w:rPr>
          <w:rFonts w:eastAsia="Calibri"/>
          <w:sz w:val="28"/>
          <w:lang w:eastAsia="en-US"/>
        </w:rPr>
        <w:t>12, 13 и 14 Правил.</w:t>
      </w:r>
    </w:p>
    <w:p w:rsidR="003238F4" w:rsidRPr="004E3683" w:rsidRDefault="003238F4" w:rsidP="003238F4">
      <w:pPr>
        <w:tabs>
          <w:tab w:val="left" w:pos="709"/>
        </w:tabs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29. Мероприятия, связанные с заключением соглашения об инвестиционном управлении, и дальнейший мониторинг выполнения его условий осуществляются уполномоченным подразделением. </w:t>
      </w:r>
    </w:p>
    <w:p w:rsidR="003238F4" w:rsidRPr="004E3683" w:rsidRDefault="003238F4" w:rsidP="003238F4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30. С</w:t>
      </w:r>
      <w:r w:rsidRPr="004E3683">
        <w:rPr>
          <w:rFonts w:eastAsia="Calibri"/>
          <w:sz w:val="28"/>
          <w:lang w:eastAsia="en-US"/>
        </w:rPr>
        <w:t>оглашение об инвестиционном управлении содержит следующие условия:</w:t>
      </w:r>
    </w:p>
    <w:p w:rsidR="003238F4" w:rsidRPr="004E3683" w:rsidRDefault="003238F4" w:rsidP="003238F4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lang w:eastAsia="en-US"/>
        </w:rPr>
        <w:t>1) о наличии права Национального Банка досрочно расторгнуть соглашение об инвестиционном управлении в следующих случаях:</w:t>
      </w:r>
    </w:p>
    <w:p w:rsidR="003238F4" w:rsidRPr="004E3683" w:rsidRDefault="003238F4" w:rsidP="003238F4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lang w:eastAsia="en-US"/>
        </w:rPr>
      </w:pPr>
      <w:proofErr w:type="spellStart"/>
      <w:r w:rsidRPr="004E3683">
        <w:rPr>
          <w:rFonts w:eastAsia="Calibri"/>
          <w:sz w:val="28"/>
          <w:lang w:eastAsia="en-US"/>
        </w:rPr>
        <w:t>недостижения</w:t>
      </w:r>
      <w:proofErr w:type="spellEnd"/>
      <w:r w:rsidRPr="004E3683">
        <w:rPr>
          <w:rFonts w:eastAsia="Calibri"/>
          <w:sz w:val="28"/>
          <w:lang w:eastAsia="en-US"/>
        </w:rPr>
        <w:t xml:space="preserve"> внешним управляющим </w:t>
      </w:r>
      <w:proofErr w:type="spellStart"/>
      <w:r w:rsidRPr="004E3683">
        <w:rPr>
          <w:rFonts w:eastAsia="Calibri"/>
          <w:sz w:val="28"/>
          <w:lang w:eastAsia="en-US"/>
        </w:rPr>
        <w:t>сверхдоходности</w:t>
      </w:r>
      <w:proofErr w:type="spellEnd"/>
      <w:r w:rsidRPr="004E3683">
        <w:rPr>
          <w:rFonts w:eastAsia="Calibri"/>
          <w:sz w:val="28"/>
          <w:lang w:eastAsia="en-US"/>
        </w:rPr>
        <w:t xml:space="preserve"> по управлению портфелем в сравнении с эталонным портфелем;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4"/>
          <w:szCs w:val="22"/>
          <w:lang w:eastAsia="en-US"/>
        </w:rPr>
      </w:pPr>
      <w:r w:rsidRPr="004E3683">
        <w:rPr>
          <w:rFonts w:eastAsia="Calibri"/>
          <w:sz w:val="28"/>
          <w:lang w:eastAsia="en-US"/>
        </w:rPr>
        <w:t>нарушения внешним управляющим ограничений, установленных инвестиционными стратегиями;</w:t>
      </w:r>
    </w:p>
    <w:p w:rsidR="003238F4" w:rsidRPr="004E3683" w:rsidRDefault="003238F4" w:rsidP="003238F4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lang w:eastAsia="en-US"/>
        </w:rPr>
        <w:t xml:space="preserve">внесения изменений в инвестиционные стратегии; </w:t>
      </w:r>
    </w:p>
    <w:p w:rsidR="003238F4" w:rsidRPr="004E3683" w:rsidRDefault="003238F4" w:rsidP="003238F4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lang w:eastAsia="en-US"/>
        </w:rPr>
        <w:t>наличия решения должностного лица Национального Банка,</w:t>
      </w:r>
      <w:r w:rsidRPr="004E3683">
        <w:rPr>
          <w:rFonts w:eastAsia="Calibri"/>
          <w:sz w:val="24"/>
          <w:szCs w:val="22"/>
          <w:lang w:eastAsia="en-US"/>
        </w:rPr>
        <w:t xml:space="preserve"> </w:t>
      </w:r>
      <w:r w:rsidRPr="004E3683">
        <w:rPr>
          <w:rFonts w:eastAsia="Calibri"/>
          <w:sz w:val="28"/>
          <w:lang w:eastAsia="en-US"/>
        </w:rPr>
        <w:t>Полномочного представителя в отношении активов Национального фонда или решения Правления Национального Банка</w:t>
      </w:r>
      <w:r w:rsidRPr="004E3683" w:rsidDel="0066188C">
        <w:rPr>
          <w:rFonts w:eastAsia="Calibri"/>
          <w:sz w:val="28"/>
          <w:lang w:eastAsia="en-US"/>
        </w:rPr>
        <w:t xml:space="preserve"> </w:t>
      </w:r>
      <w:r w:rsidRPr="004E3683">
        <w:rPr>
          <w:rFonts w:eastAsia="Calibri"/>
          <w:sz w:val="28"/>
          <w:lang w:eastAsia="en-US"/>
        </w:rPr>
        <w:t>с представлением письменного уведомления внешнему управляющему и указанием даты расторжения соглашения об инвестиционном управлении;</w:t>
      </w:r>
    </w:p>
    <w:p w:rsidR="003238F4" w:rsidRPr="004E3683" w:rsidRDefault="003238F4" w:rsidP="003238F4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lang w:eastAsia="en-US"/>
        </w:rPr>
        <w:t>2) о наличии права Национального Банка по своему усмотрению в любое время пополнять (отзывать) Активы, находящиеся во внешнем управлении;</w:t>
      </w:r>
    </w:p>
    <w:p w:rsidR="003238F4" w:rsidRPr="004E3683" w:rsidRDefault="003238F4" w:rsidP="003238F4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lang w:eastAsia="en-US"/>
        </w:rPr>
        <w:t xml:space="preserve">3) о предоставлении внешним управляющим информации о передвижении его персонала, ответственного за управление активами, переданными во внешнее управление; </w:t>
      </w:r>
    </w:p>
    <w:p w:rsidR="003238F4" w:rsidRPr="004E3683" w:rsidRDefault="003238F4" w:rsidP="003238F4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lang w:eastAsia="en-US"/>
        </w:rPr>
        <w:t>4) о посещении внешнего управляющего работниками Национального Банка и независимыми аудиторами для целей проверки операций по счету, а также получении дополнительной информации о внешнем управляющем, порядке принятия инвестиционных решений и процедурах мониторинга за рисками;</w:t>
      </w:r>
    </w:p>
    <w:p w:rsidR="003238F4" w:rsidRPr="004E3683" w:rsidRDefault="003238F4" w:rsidP="003238F4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lang w:eastAsia="en-US"/>
        </w:rPr>
        <w:t xml:space="preserve">5) о запрете на привлечение в качестве брокеров или </w:t>
      </w:r>
      <w:proofErr w:type="spellStart"/>
      <w:r w:rsidRPr="004E3683">
        <w:rPr>
          <w:rFonts w:eastAsia="Calibri"/>
          <w:sz w:val="28"/>
          <w:lang w:eastAsia="en-US"/>
        </w:rPr>
        <w:t>контрпартнеров</w:t>
      </w:r>
      <w:proofErr w:type="spellEnd"/>
      <w:r w:rsidRPr="004E3683">
        <w:rPr>
          <w:rFonts w:eastAsia="Calibri"/>
          <w:sz w:val="28"/>
          <w:lang w:eastAsia="en-US"/>
        </w:rPr>
        <w:t xml:space="preserve"> по сделкам с активами, переданными во внешнее управление, аффилированных с внешним управляющим лиц;</w:t>
      </w:r>
    </w:p>
    <w:p w:rsidR="003238F4" w:rsidRPr="004E3683" w:rsidRDefault="003238F4" w:rsidP="003238F4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lang w:eastAsia="en-US"/>
        </w:rPr>
        <w:t>6) об ответственности внешнего управляющего за нарушение лимита ожидаемой изменчивости отклонения доходности (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ex-ante</w:t>
      </w:r>
      <w:proofErr w:type="spellEnd"/>
      <w:r w:rsidRPr="004E3683">
        <w:rPr>
          <w:rFonts w:eastAsia="Calibri"/>
          <w:sz w:val="28"/>
          <w:lang w:eastAsia="en-US"/>
        </w:rPr>
        <w:t xml:space="preserve"> </w:t>
      </w:r>
      <w:proofErr w:type="spellStart"/>
      <w:r w:rsidRPr="004E3683">
        <w:rPr>
          <w:rFonts w:eastAsia="Calibri"/>
          <w:sz w:val="28"/>
          <w:lang w:eastAsia="en-US"/>
        </w:rPr>
        <w:t>tracking</w:t>
      </w:r>
      <w:proofErr w:type="spellEnd"/>
      <w:r w:rsidRPr="004E3683">
        <w:rPr>
          <w:rFonts w:eastAsia="Calibri"/>
          <w:sz w:val="28"/>
          <w:lang w:eastAsia="en-US"/>
        </w:rPr>
        <w:t xml:space="preserve"> </w:t>
      </w:r>
      <w:proofErr w:type="spellStart"/>
      <w:r w:rsidRPr="004E3683">
        <w:rPr>
          <w:rFonts w:eastAsia="Calibri"/>
          <w:sz w:val="28"/>
          <w:lang w:eastAsia="en-US"/>
        </w:rPr>
        <w:t>error</w:t>
      </w:r>
      <w:proofErr w:type="spellEnd"/>
      <w:r w:rsidRPr="004E3683">
        <w:rPr>
          <w:rFonts w:eastAsia="Calibri"/>
          <w:sz w:val="28"/>
          <w:lang w:eastAsia="en-US"/>
        </w:rPr>
        <w:t xml:space="preserve">) (экс-анте трекинг </w:t>
      </w:r>
      <w:proofErr w:type="spellStart"/>
      <w:r w:rsidRPr="004E3683">
        <w:rPr>
          <w:rFonts w:eastAsia="Calibri"/>
          <w:sz w:val="28"/>
          <w:lang w:eastAsia="en-US"/>
        </w:rPr>
        <w:t>эррор</w:t>
      </w:r>
      <w:proofErr w:type="spellEnd"/>
      <w:r w:rsidRPr="004E3683">
        <w:rPr>
          <w:rFonts w:eastAsia="Calibri"/>
          <w:sz w:val="28"/>
          <w:lang w:eastAsia="en-US"/>
        </w:rPr>
        <w:t>), установленного инвестиционными стратегиями;</w:t>
      </w:r>
    </w:p>
    <w:p w:rsidR="003238F4" w:rsidRPr="004E3683" w:rsidRDefault="003238F4" w:rsidP="003238F4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lang w:eastAsia="en-US"/>
        </w:rPr>
        <w:t>7) об ответственности внешнего управляющего и (или) третьих лиц, привлеченных в рамках соглашения об инвестиционном управлении за возможные убытки, причиненные Национальному Банку вследствие небрежности, преднамеренного невыполнения обязательств или мошенничества с их стороны;</w:t>
      </w:r>
    </w:p>
    <w:p w:rsidR="003238F4" w:rsidRPr="004E3683" w:rsidRDefault="003238F4" w:rsidP="003238F4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8) об обязанности внешнего управляющего</w:t>
      </w:r>
      <w:r w:rsidRPr="004E3683">
        <w:rPr>
          <w:rFonts w:eastAsia="Calibri"/>
          <w:sz w:val="28"/>
          <w:lang w:eastAsia="en-US"/>
        </w:rPr>
        <w:t xml:space="preserve"> консультировать, обучать или проводить стажировку работников Национального Банка, осуществляющих управление и мониторинг Активов;</w:t>
      </w:r>
    </w:p>
    <w:p w:rsidR="003238F4" w:rsidRPr="004E3683" w:rsidRDefault="003238F4" w:rsidP="003238F4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lang w:eastAsia="en-US"/>
        </w:rPr>
        <w:t>9) об обязанности внешнего управляющего представлять в Национальный Банк на регулярной основе в соответствии с соглашением об инвестиционном управлении следующие отчеты:</w:t>
      </w:r>
    </w:p>
    <w:p w:rsidR="003238F4" w:rsidRPr="004E3683" w:rsidRDefault="003238F4" w:rsidP="003238F4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lang w:eastAsia="en-US"/>
        </w:rPr>
        <w:t>отчет по совершенным за предыдущий рабочий день операциям на ежедневной основе;</w:t>
      </w:r>
    </w:p>
    <w:p w:rsidR="003238F4" w:rsidRPr="004E3683" w:rsidRDefault="003238F4" w:rsidP="003238F4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lang w:eastAsia="en-US"/>
        </w:rPr>
        <w:t>отчет об оценке портфеля (распределение Активов по различным классам и видам валют, состав портфеля на конец отчетного месяца, рыночная стоимость активов на конец отчетного месяца);</w:t>
      </w:r>
    </w:p>
    <w:p w:rsidR="003238F4" w:rsidRPr="004E3683" w:rsidRDefault="003238F4" w:rsidP="003238F4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lang w:eastAsia="en-US"/>
        </w:rPr>
        <w:t>отчет о движениях в портфеле (перечень всех заключенных за отчетный квартал сделок, отсортированных по различным классам и валютам, по сроку погашения, выплате дивидендов и накопленным процентам);</w:t>
      </w:r>
    </w:p>
    <w:p w:rsidR="003238F4" w:rsidRPr="004E3683" w:rsidRDefault="003238F4" w:rsidP="003238F4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lang w:eastAsia="en-US"/>
        </w:rPr>
        <w:t>отчет, содержащий анализ результатов управления портфелем (ежемесячные, квартальные и общие результаты управления портфелем в разрезе достигнутой доходности, показателей риска портфеля и уровня изменчивости отклонения доходности (</w:t>
      </w:r>
      <w:proofErr w:type="spellStart"/>
      <w:r w:rsidRPr="004E3683">
        <w:rPr>
          <w:rFonts w:eastAsia="Calibri"/>
          <w:sz w:val="28"/>
          <w:lang w:eastAsia="en-US"/>
        </w:rPr>
        <w:t>tracking</w:t>
      </w:r>
      <w:proofErr w:type="spellEnd"/>
      <w:r w:rsidRPr="004E3683">
        <w:rPr>
          <w:rFonts w:eastAsia="Calibri"/>
          <w:sz w:val="28"/>
          <w:lang w:eastAsia="en-US"/>
        </w:rPr>
        <w:t xml:space="preserve"> </w:t>
      </w:r>
      <w:proofErr w:type="spellStart"/>
      <w:r w:rsidRPr="004E3683">
        <w:rPr>
          <w:rFonts w:eastAsia="Calibri"/>
          <w:sz w:val="28"/>
          <w:lang w:eastAsia="en-US"/>
        </w:rPr>
        <w:t>error</w:t>
      </w:r>
      <w:proofErr w:type="spellEnd"/>
      <w:r w:rsidRPr="004E3683">
        <w:rPr>
          <w:rFonts w:eastAsia="Calibri"/>
          <w:sz w:val="28"/>
          <w:lang w:eastAsia="en-US"/>
        </w:rPr>
        <w:t>)</w:t>
      </w:r>
      <w:r w:rsidRPr="004E3683">
        <w:rPr>
          <w:rFonts w:eastAsia="Calibri"/>
          <w:sz w:val="28"/>
          <w:szCs w:val="28"/>
          <w:lang w:eastAsia="en-US"/>
        </w:rPr>
        <w:t xml:space="preserve"> (трекинг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эррор</w:t>
      </w:r>
      <w:proofErr w:type="spellEnd"/>
      <w:r w:rsidRPr="004E3683">
        <w:rPr>
          <w:rFonts w:eastAsia="Calibri"/>
          <w:sz w:val="28"/>
          <w:szCs w:val="28"/>
          <w:lang w:eastAsia="en-US"/>
        </w:rPr>
        <w:t>)</w:t>
      </w:r>
      <w:r w:rsidRPr="004E3683">
        <w:rPr>
          <w:rFonts w:eastAsia="Calibri"/>
          <w:sz w:val="28"/>
          <w:lang w:eastAsia="en-US"/>
        </w:rPr>
        <w:t xml:space="preserve"> в сравнении с эталонным портфелем);</w:t>
      </w:r>
    </w:p>
    <w:p w:rsidR="003238F4" w:rsidRPr="004E3683" w:rsidRDefault="003238F4" w:rsidP="003238F4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lang w:eastAsia="en-US"/>
        </w:rPr>
        <w:t>отчет о состоянии соответствующих финансовых рынков и их влиянии на структуру и стоимость портфеля и (или) макроэкономический обзор;</w:t>
      </w:r>
    </w:p>
    <w:p w:rsidR="003238F4" w:rsidRPr="004E3683" w:rsidRDefault="003238F4" w:rsidP="003238F4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lang w:eastAsia="en-US"/>
        </w:rPr>
        <w:t xml:space="preserve">обзор инвестиционной стратегии и </w:t>
      </w:r>
      <w:r w:rsidRPr="004E3683">
        <w:rPr>
          <w:rFonts w:eastAsia="Calibri"/>
          <w:sz w:val="28"/>
          <w:szCs w:val="28"/>
          <w:lang w:eastAsia="en-US"/>
        </w:rPr>
        <w:t>описание изменений, внесенных в структуру портфеля</w:t>
      </w:r>
      <w:r w:rsidRPr="004E3683">
        <w:rPr>
          <w:rFonts w:eastAsia="Calibri"/>
          <w:sz w:val="28"/>
          <w:lang w:eastAsia="en-US"/>
        </w:rPr>
        <w:t>;</w:t>
      </w:r>
    </w:p>
    <w:p w:rsidR="003238F4" w:rsidRPr="004E3683" w:rsidRDefault="003238F4" w:rsidP="003238F4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lang w:eastAsia="en-US"/>
        </w:rPr>
        <w:t>текущая стратегия инвестирования;</w:t>
      </w:r>
    </w:p>
    <w:p w:rsidR="003238F4" w:rsidRPr="004E3683" w:rsidRDefault="003238F4" w:rsidP="003238F4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lang w:eastAsia="en-US"/>
        </w:rPr>
        <w:t>вклад различных факторов в доходность портфеля для активного управления активами;</w:t>
      </w:r>
    </w:p>
    <w:p w:rsidR="003238F4" w:rsidRPr="004E3683" w:rsidRDefault="003238F4" w:rsidP="003238F4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lang w:eastAsia="en-US"/>
        </w:rPr>
        <w:t>10) об осуществлении внешним управляющим на конец каждого месяца или на дату завершения транзитного периода сверки состава портфеля, переданного во внешнее управление, с данными банка (банков)-</w:t>
      </w:r>
      <w:proofErr w:type="spellStart"/>
      <w:r w:rsidRPr="004E3683">
        <w:rPr>
          <w:rFonts w:eastAsia="Calibri"/>
          <w:sz w:val="28"/>
          <w:lang w:eastAsia="en-US"/>
        </w:rPr>
        <w:t>кастодиана</w:t>
      </w:r>
      <w:proofErr w:type="spellEnd"/>
      <w:r w:rsidRPr="004E3683">
        <w:rPr>
          <w:rFonts w:eastAsia="Calibri"/>
          <w:sz w:val="28"/>
          <w:lang w:eastAsia="en-US"/>
        </w:rPr>
        <w:t xml:space="preserve"> (</w:t>
      </w:r>
      <w:proofErr w:type="spellStart"/>
      <w:r w:rsidRPr="004E3683">
        <w:rPr>
          <w:rFonts w:eastAsia="Calibri"/>
          <w:sz w:val="28"/>
          <w:lang w:eastAsia="en-US"/>
        </w:rPr>
        <w:t>кастодианов</w:t>
      </w:r>
      <w:proofErr w:type="spellEnd"/>
      <w:r w:rsidRPr="004E3683">
        <w:rPr>
          <w:rFonts w:eastAsia="Calibri"/>
          <w:sz w:val="28"/>
          <w:lang w:eastAsia="en-US"/>
        </w:rPr>
        <w:t>), в соответствии с соглашением об инвестиционном управлении;</w:t>
      </w:r>
    </w:p>
    <w:p w:rsidR="003238F4" w:rsidRPr="004E3683" w:rsidRDefault="003238F4" w:rsidP="003238F4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lang w:eastAsia="en-US"/>
        </w:rPr>
        <w:t>11) о представлении внешним управляющим информации о проведенных операциях банку-</w:t>
      </w:r>
      <w:proofErr w:type="spellStart"/>
      <w:r w:rsidRPr="004E3683">
        <w:rPr>
          <w:rFonts w:eastAsia="Calibri"/>
          <w:sz w:val="28"/>
          <w:lang w:eastAsia="en-US"/>
        </w:rPr>
        <w:t>кастодиану</w:t>
      </w:r>
      <w:proofErr w:type="spellEnd"/>
      <w:r w:rsidRPr="004E3683">
        <w:rPr>
          <w:rFonts w:eastAsia="Calibri"/>
          <w:sz w:val="28"/>
          <w:lang w:eastAsia="en-US"/>
        </w:rPr>
        <w:t>, ответственному за консолидированный учет, не позднее следующего рабочего дня после согласования и завершения процедур подтверждения сделок между внешним управляющим и брокером;</w:t>
      </w:r>
    </w:p>
    <w:p w:rsidR="003238F4" w:rsidRPr="004E3683" w:rsidRDefault="003238F4" w:rsidP="003238F4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lang w:eastAsia="en-US"/>
        </w:rPr>
        <w:t xml:space="preserve">12) о представлении внешним управляющим информации, документов о процедурах утверждения брокеров, а также агентов и </w:t>
      </w:r>
      <w:proofErr w:type="spellStart"/>
      <w:r w:rsidRPr="004E3683">
        <w:rPr>
          <w:rFonts w:eastAsia="Calibri"/>
          <w:sz w:val="28"/>
          <w:lang w:eastAsia="en-US"/>
        </w:rPr>
        <w:t>контрпартнеров</w:t>
      </w:r>
      <w:proofErr w:type="spellEnd"/>
      <w:r w:rsidRPr="004E3683">
        <w:rPr>
          <w:rFonts w:eastAsia="Calibri"/>
          <w:sz w:val="28"/>
          <w:lang w:eastAsia="en-US"/>
        </w:rPr>
        <w:t xml:space="preserve"> внешнего управляющего;</w:t>
      </w:r>
    </w:p>
    <w:p w:rsidR="003238F4" w:rsidRPr="004E3683" w:rsidRDefault="003238F4" w:rsidP="003238F4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lang w:eastAsia="en-US"/>
        </w:rPr>
        <w:t>13) о представлении внешним управляющим информации о наличии внутренних политик и процедур управления рисками внешнего управляющего, снижающих риск злоупотреблений и конфликта интересов, в том числе обеспечивающих равноправное распределение сделок среди портфелей клиентов;</w:t>
      </w:r>
    </w:p>
    <w:p w:rsidR="003238F4" w:rsidRPr="004E3683" w:rsidRDefault="003238F4" w:rsidP="003238F4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lang w:eastAsia="en-US"/>
        </w:rPr>
        <w:t>14) о проведении внешним управляющим с периодичностью один раз в год встреч с уполномоченным подразделением для представления результатов управления Активами, о соблюдении инвестиционных ограничений, оценке рыночной ситуации и ее возможном влиянии на портфель и на осуществление инвестиционных операций по управлению Активами;</w:t>
      </w:r>
    </w:p>
    <w:p w:rsidR="003238F4" w:rsidRPr="004E3683" w:rsidRDefault="003238F4" w:rsidP="003238F4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lang w:eastAsia="en-US"/>
        </w:rPr>
        <w:t>15) о представлении внешним управляющим информации по примененным надзорными органами мерам и участию в судебных разбирательствах;</w:t>
      </w:r>
    </w:p>
    <w:p w:rsidR="003238F4" w:rsidRPr="004E3683" w:rsidRDefault="003238F4" w:rsidP="003238F4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lang w:eastAsia="en-US"/>
        </w:rPr>
        <w:t>16) о представлении внешним управляющим в Национальный Банк сверенной с банком (банками)-</w:t>
      </w:r>
      <w:proofErr w:type="spellStart"/>
      <w:r w:rsidRPr="004E3683">
        <w:rPr>
          <w:rFonts w:eastAsia="Calibri"/>
          <w:sz w:val="28"/>
          <w:lang w:eastAsia="en-US"/>
        </w:rPr>
        <w:t>кастодианом</w:t>
      </w:r>
      <w:proofErr w:type="spellEnd"/>
      <w:r w:rsidRPr="004E3683">
        <w:rPr>
          <w:rFonts w:eastAsia="Calibri"/>
          <w:sz w:val="28"/>
          <w:lang w:eastAsia="en-US"/>
        </w:rPr>
        <w:t xml:space="preserve"> (</w:t>
      </w:r>
      <w:proofErr w:type="spellStart"/>
      <w:r w:rsidRPr="004E3683">
        <w:rPr>
          <w:rFonts w:eastAsia="Calibri"/>
          <w:sz w:val="28"/>
          <w:lang w:eastAsia="en-US"/>
        </w:rPr>
        <w:t>кастодианами</w:t>
      </w:r>
      <w:proofErr w:type="spellEnd"/>
      <w:r w:rsidRPr="004E3683">
        <w:rPr>
          <w:rFonts w:eastAsia="Calibri"/>
          <w:sz w:val="28"/>
          <w:lang w:eastAsia="en-US"/>
        </w:rPr>
        <w:t>) полной отчетности по портфелю на дату расторжения соглашения об инвестиционном</w:t>
      </w:r>
      <w:r w:rsidRPr="004E3683">
        <w:rPr>
          <w:rFonts w:eastAsia="Calibri"/>
          <w:sz w:val="28"/>
          <w:szCs w:val="28"/>
          <w:lang w:eastAsia="en-US"/>
        </w:rPr>
        <w:t xml:space="preserve"> </w:t>
      </w:r>
      <w:r w:rsidRPr="004E3683">
        <w:rPr>
          <w:rFonts w:eastAsia="Calibri"/>
          <w:sz w:val="28"/>
          <w:lang w:eastAsia="en-US"/>
        </w:rPr>
        <w:t xml:space="preserve">управлении; </w:t>
      </w:r>
    </w:p>
    <w:p w:rsidR="003238F4" w:rsidRPr="004E3683" w:rsidRDefault="003238F4" w:rsidP="003238F4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lang w:eastAsia="en-US"/>
        </w:rPr>
        <w:t>17) о подписании соглашения об инвестиционном управлении на казахском, русском языках и на языке, определенном по согласованию сторон;</w:t>
      </w:r>
    </w:p>
    <w:p w:rsidR="003238F4" w:rsidRPr="004E3683" w:rsidRDefault="003238F4" w:rsidP="003238F4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lang w:eastAsia="en-US"/>
        </w:rPr>
        <w:t>18) о возможности внесения изменений и (или) дополнений в соглашение об инвестиционном управлении с письменного согласия обеих сторон.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31. Национальный Банк в соответствии с соглашением</w:t>
      </w:r>
      <w:r w:rsidRPr="004E3683">
        <w:rPr>
          <w:rFonts w:eastAsia="Calibri"/>
          <w:sz w:val="24"/>
          <w:szCs w:val="22"/>
          <w:lang w:eastAsia="en-US"/>
        </w:rPr>
        <w:t xml:space="preserve"> </w:t>
      </w:r>
      <w:r w:rsidRPr="004E3683">
        <w:rPr>
          <w:rFonts w:eastAsia="Calibri"/>
          <w:sz w:val="28"/>
          <w:szCs w:val="28"/>
          <w:lang w:eastAsia="en-US"/>
        </w:rPr>
        <w:t>об инвестиционном управлении осуществляет передачу Активов во внешнее управление путем перевода денег и (или) ценных бумаг на счета Национального Банка у банка (банков)-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кастодиана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(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кастодианов</w:t>
      </w:r>
      <w:proofErr w:type="spellEnd"/>
      <w:r w:rsidRPr="004E3683">
        <w:rPr>
          <w:rFonts w:eastAsia="Calibri"/>
          <w:sz w:val="28"/>
          <w:szCs w:val="28"/>
          <w:lang w:eastAsia="en-US"/>
        </w:rPr>
        <w:t>), предназначенные для внешнего управления. Активы, передаваемые во внешнее управление, хранятся на счетах Национального Банка в банке (банках)-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кастодиане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(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кастодианах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) и на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маржевом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счете у клирингового брокера.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32. При передаче Активов во внешнее управление учитывается транзитный период для формирования портфеля в соответствии с целевыми параметрами, установленными Национальным Банком. Длительность транзитного периода не превышает 15 (пятнадцать) рабочих дней.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33. </w:t>
      </w:r>
      <w:bookmarkStart w:id="8" w:name="SUB2500"/>
      <w:bookmarkStart w:id="9" w:name="SUB2600"/>
      <w:bookmarkStart w:id="10" w:name="SUB2700"/>
      <w:bookmarkStart w:id="11" w:name="SUB2800"/>
      <w:bookmarkStart w:id="12" w:name="SUB2900"/>
      <w:bookmarkStart w:id="13" w:name="SUB3000"/>
      <w:bookmarkStart w:id="14" w:name="SUB3100"/>
      <w:bookmarkStart w:id="15" w:name="SUB3200"/>
      <w:bookmarkStart w:id="16" w:name="SUB3300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r w:rsidRPr="004E3683">
        <w:rPr>
          <w:rFonts w:eastAsia="Calibri"/>
          <w:sz w:val="28"/>
          <w:szCs w:val="28"/>
          <w:lang w:eastAsia="en-US"/>
        </w:rPr>
        <w:t>С</w:t>
      </w:r>
      <w:r w:rsidRPr="004E3683">
        <w:rPr>
          <w:rFonts w:eastAsia="Calibri"/>
          <w:sz w:val="28"/>
          <w:lang w:eastAsia="en-US"/>
        </w:rPr>
        <w:t>о дня передачи Активов во внешнее управление уполномоченное подразделение проводит ежедневный мониторинг деятельности внешнего управляющего путем проверки соблюдения ограничений, установленных в соглашении об инвестиционном управлении, осуществления мониторинга сделок, совершаемых внешним управляющим, оценки показателей риска и доходности портфеля во внешнем управлении.</w:t>
      </w:r>
    </w:p>
    <w:p w:rsidR="003238F4" w:rsidRPr="004E3683" w:rsidRDefault="003238F4" w:rsidP="003238F4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lang w:eastAsia="en-US"/>
        </w:rPr>
        <w:t xml:space="preserve">34. </w:t>
      </w:r>
      <w:r w:rsidRPr="004E3683">
        <w:rPr>
          <w:rFonts w:eastAsia="Calibri"/>
          <w:sz w:val="28"/>
          <w:szCs w:val="28"/>
          <w:lang w:eastAsia="en-US"/>
        </w:rPr>
        <w:t xml:space="preserve">Уполномоченное подразделение в соответствии с соглашением об инвестиционном </w:t>
      </w:r>
      <w:r w:rsidRPr="004E3683">
        <w:rPr>
          <w:rFonts w:eastAsia="Calibri"/>
          <w:sz w:val="28"/>
          <w:lang w:eastAsia="en-US"/>
        </w:rPr>
        <w:t xml:space="preserve">управлении не реже, чем один раз в год проводит встречу с внешним управляющим </w:t>
      </w:r>
      <w:r w:rsidRPr="004E3683">
        <w:rPr>
          <w:rFonts w:eastAsia="Calibri"/>
          <w:sz w:val="28"/>
          <w:szCs w:val="28"/>
          <w:lang w:eastAsia="en-US"/>
        </w:rPr>
        <w:t>либо организует видео- или телеконференцию</w:t>
      </w:r>
      <w:r w:rsidRPr="004E3683">
        <w:rPr>
          <w:rFonts w:eastAsia="Calibri"/>
          <w:sz w:val="28"/>
          <w:lang w:eastAsia="en-US"/>
        </w:rPr>
        <w:t>, на которой внешний управляющий отчитывается о результатах управления, о соблюдении инвестиционных ограничений, дает оценку рыночной ситуации и ее возможном влиянии на портфель и на осуществление инвестиционных операций по управлению Активами.</w:t>
      </w:r>
    </w:p>
    <w:p w:rsidR="003238F4" w:rsidRPr="004E3683" w:rsidRDefault="003238F4" w:rsidP="003238F4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lang w:eastAsia="en-US"/>
        </w:rPr>
        <w:t xml:space="preserve">35. Оценка эффективности работы действующих внешних управляющих осуществляется ежегодно на основе методики оценки эффективности работы внешнего управляющего, предусмотренной в приложении 4 к Правилам. </w:t>
      </w:r>
    </w:p>
    <w:p w:rsidR="003238F4" w:rsidRPr="004E3683" w:rsidRDefault="003238F4" w:rsidP="003238F4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lang w:eastAsia="en-US"/>
        </w:rPr>
        <w:t xml:space="preserve">По результатам проведенной оценки эффективности работы внешнего управляющего в целом и по классам активов за период управления в 3 (три), 5 (пять) и со дня начала управления, должностным лицом Национального Банка принимается соответствующее решение о пополнении (изъятии) Активов или продолжении (прекращении) работы с данным внешним управляющим, либо вынесении данного вопроса на рассмотрение Правления Национального Банка. </w:t>
      </w:r>
    </w:p>
    <w:p w:rsidR="003238F4" w:rsidRPr="004E3683" w:rsidRDefault="003238F4" w:rsidP="003238F4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lang w:eastAsia="en-US"/>
        </w:rPr>
        <w:t>36. По решению должностного лица Национального Банка пополнение, изъятие Активов</w:t>
      </w:r>
      <w:r w:rsidRPr="004E3683">
        <w:rPr>
          <w:rFonts w:eastAsia="Calibri"/>
          <w:sz w:val="28"/>
          <w:szCs w:val="28"/>
          <w:lang w:eastAsia="en-US"/>
        </w:rPr>
        <w:t xml:space="preserve"> </w:t>
      </w:r>
      <w:r w:rsidRPr="004E3683">
        <w:rPr>
          <w:rFonts w:eastAsia="Calibri"/>
          <w:sz w:val="28"/>
          <w:lang w:eastAsia="en-US"/>
        </w:rPr>
        <w:t>или досрочное расторжение соглашения об инвестиционном управлении</w:t>
      </w:r>
      <w:r w:rsidRPr="004E3683" w:rsidDel="007F2874">
        <w:rPr>
          <w:rFonts w:eastAsia="Calibri"/>
          <w:sz w:val="28"/>
          <w:lang w:eastAsia="en-US"/>
        </w:rPr>
        <w:t xml:space="preserve"> </w:t>
      </w:r>
      <w:r w:rsidRPr="004E3683">
        <w:rPr>
          <w:rFonts w:eastAsia="Calibri"/>
          <w:sz w:val="28"/>
          <w:lang w:eastAsia="en-US"/>
        </w:rPr>
        <w:t>с внешним управляющим проводится без проведения оценки эффективности работы внешнего управляющего.</w:t>
      </w:r>
    </w:p>
    <w:p w:rsidR="003238F4" w:rsidRPr="004E3683" w:rsidRDefault="003238F4" w:rsidP="003238F4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lang w:eastAsia="en-US"/>
        </w:rPr>
        <w:t>37. Отчет о результатах управления внешних управляющих выносится уполномоченным подразделением на рассмотрение Правления Национального Банка не реже, чем 1 (один) раз в год.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4E3683">
        <w:rPr>
          <w:rFonts w:eastAsia="Calibri"/>
          <w:b/>
          <w:sz w:val="28"/>
          <w:szCs w:val="28"/>
          <w:lang w:eastAsia="en-US"/>
        </w:rPr>
        <w:t xml:space="preserve">Глава 3. </w:t>
      </w:r>
      <w:r w:rsidRPr="004E3683">
        <w:rPr>
          <w:rFonts w:eastAsia="Calibri"/>
          <w:b/>
          <w:bCs/>
          <w:sz w:val="28"/>
          <w:szCs w:val="28"/>
          <w:lang w:eastAsia="en-US"/>
        </w:rPr>
        <w:t>Порядок выбора внешнего транзитного управляющего золотовалютными активами, активами Национального фонда и пенсионными активами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238F4" w:rsidRPr="004E3683" w:rsidRDefault="003238F4" w:rsidP="003238F4">
      <w:pPr>
        <w:widowControl w:val="0"/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38. Для выбора</w:t>
      </w:r>
      <w:r w:rsidRPr="004E3683">
        <w:rPr>
          <w:rFonts w:eastAsia="Calibri"/>
          <w:sz w:val="28"/>
          <w:szCs w:val="22"/>
          <w:lang w:eastAsia="en-US"/>
        </w:rPr>
        <w:t xml:space="preserve"> внешнего транзитного управляющего уполномоченное подразделение направляет </w:t>
      </w:r>
      <w:r w:rsidRPr="004E3683">
        <w:rPr>
          <w:rFonts w:eastAsia="Calibri"/>
          <w:sz w:val="28"/>
          <w:szCs w:val="28"/>
          <w:lang w:eastAsia="en-US"/>
        </w:rPr>
        <w:t>запрос</w:t>
      </w:r>
      <w:r w:rsidRPr="004E3683">
        <w:rPr>
          <w:rFonts w:eastAsia="Calibri"/>
          <w:sz w:val="28"/>
          <w:szCs w:val="22"/>
          <w:lang w:eastAsia="en-US"/>
        </w:rPr>
        <w:t xml:space="preserve"> потенциальным транзитным управляющим</w:t>
      </w:r>
      <w:r w:rsidRPr="004E3683">
        <w:rPr>
          <w:rFonts w:eastAsia="Calibri"/>
          <w:sz w:val="28"/>
          <w:szCs w:val="28"/>
          <w:lang w:eastAsia="en-US"/>
        </w:rPr>
        <w:t xml:space="preserve"> о представлении информации</w:t>
      </w:r>
      <w:r w:rsidRPr="004E3683">
        <w:rPr>
          <w:rFonts w:eastAsia="Calibri"/>
          <w:sz w:val="28"/>
          <w:szCs w:val="22"/>
          <w:lang w:eastAsia="en-US"/>
        </w:rPr>
        <w:t xml:space="preserve"> по рынкам охвата, стратегиям транзитного управления и стоимости услуг в разрезе классов инструментов и рынков</w:t>
      </w:r>
      <w:r w:rsidRPr="004E3683">
        <w:rPr>
          <w:rFonts w:eastAsia="Calibri"/>
          <w:sz w:val="28"/>
          <w:szCs w:val="28"/>
          <w:lang w:eastAsia="en-US"/>
        </w:rPr>
        <w:t xml:space="preserve"> и проводит </w:t>
      </w:r>
      <w:r w:rsidRPr="004E3683">
        <w:rPr>
          <w:sz w:val="28"/>
          <w:szCs w:val="28"/>
        </w:rPr>
        <w:t>анализ поступивших предложений</w:t>
      </w:r>
      <w:r w:rsidRPr="004E3683">
        <w:rPr>
          <w:rFonts w:eastAsia="Calibri"/>
          <w:sz w:val="28"/>
          <w:szCs w:val="28"/>
          <w:lang w:eastAsia="en-US"/>
        </w:rPr>
        <w:t xml:space="preserve">. </w:t>
      </w:r>
    </w:p>
    <w:p w:rsidR="003238F4" w:rsidRPr="004E3683" w:rsidRDefault="003238F4" w:rsidP="003238F4">
      <w:pPr>
        <w:widowControl w:val="0"/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39. Для выбора внешнего транзитного управляющего обязательным требованием к нему является опыт транзитного управления активами – не менее 5 (пять) лет.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Решение о выборе внешнего транзитного управляющего Активами принимается Председателем Национального Банка, Полномочным представителем в отношении активов Национального фонда.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lang w:eastAsia="en-US"/>
        </w:rPr>
        <w:t>40. Мероприятия, связанные с заключением соглашения об инвестиционном транзитном управлении</w:t>
      </w:r>
      <w:r w:rsidRPr="004E3683">
        <w:rPr>
          <w:rFonts w:eastAsia="Calibri"/>
          <w:sz w:val="28"/>
          <w:szCs w:val="28"/>
          <w:lang w:eastAsia="en-US"/>
        </w:rPr>
        <w:t>,</w:t>
      </w:r>
      <w:r w:rsidRPr="004E3683">
        <w:rPr>
          <w:rFonts w:eastAsia="Calibri"/>
          <w:sz w:val="28"/>
          <w:lang w:eastAsia="en-US"/>
        </w:rPr>
        <w:t xml:space="preserve"> и дальнейшим мониторингом выполне</w:t>
      </w:r>
      <w:r w:rsidRPr="004E3683">
        <w:rPr>
          <w:rFonts w:eastAsia="Calibri"/>
          <w:sz w:val="28"/>
          <w:szCs w:val="28"/>
          <w:lang w:eastAsia="en-US"/>
        </w:rPr>
        <w:t xml:space="preserve">ния его условий осуществляются уполномоченным подразделением. </w:t>
      </w:r>
    </w:p>
    <w:p w:rsidR="003238F4" w:rsidRPr="004E3683" w:rsidRDefault="003238F4" w:rsidP="003238F4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41. </w:t>
      </w:r>
      <w:r w:rsidRPr="004E3683">
        <w:rPr>
          <w:rFonts w:eastAsia="Calibri"/>
          <w:sz w:val="28"/>
          <w:lang w:eastAsia="en-US"/>
        </w:rPr>
        <w:t>Соглашение об инвестиционном транзитном управлении содержит следующие условия:</w:t>
      </w:r>
    </w:p>
    <w:p w:rsidR="003238F4" w:rsidRPr="004E3683" w:rsidRDefault="003238F4" w:rsidP="003238F4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lang w:eastAsia="en-US"/>
        </w:rPr>
        <w:t>1) о наличии права Национального Банка досрочно расторгнуть соглашение об инвестиционном транзитном управлении в следующих случаях:</w:t>
      </w:r>
    </w:p>
    <w:p w:rsidR="003238F4" w:rsidRPr="004E3683" w:rsidRDefault="003238F4" w:rsidP="003238F4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lang w:eastAsia="en-US"/>
        </w:rPr>
        <w:t>нарушения внешним транзитным управляющим условий соглашения об инвестиционном транзитном управлении;</w:t>
      </w:r>
    </w:p>
    <w:p w:rsidR="003238F4" w:rsidRPr="004E3683" w:rsidRDefault="003238F4" w:rsidP="003238F4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lang w:eastAsia="en-US"/>
        </w:rPr>
        <w:t>решения Председателя Национального Банка, Полномочного представителя в отношении активов Национального фонда;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2) о наличии права Национального Банка по своему усмотрению в любое время пополнять (отзывать) Активы, находящиеся во внешнем транзитном управлении, если такие действия не затрагивают любое незавершенное внешнее транзитное управление Активами;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3) о предоставлении внешним транзитным управляющим информации о передвижении его персонала, ответственного за управление Активами, переданными во внешнее транзитное управление;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4) о посещении внешнего транзитного управляющего работниками Национального Банка и независимыми аудиторами для целей проверки операций по счету, а также получении дополнительной информации о внешнем транзитном управляющем, порядке принятия инвестиционных решений и процедурах мониторинга за рисками;</w:t>
      </w:r>
    </w:p>
    <w:p w:rsidR="003238F4" w:rsidRPr="004E3683" w:rsidRDefault="003238F4" w:rsidP="003238F4">
      <w:pPr>
        <w:tabs>
          <w:tab w:val="left" w:pos="709"/>
        </w:tabs>
        <w:overflowPunct/>
        <w:autoSpaceDE/>
        <w:autoSpaceDN/>
        <w:adjustRightInd/>
        <w:ind w:firstLine="706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5) об ответственности внешнего транзитного управляющего за возможные убытки, причиненные Национальному Банку вследствие небрежности, преднамеренного невыполнения обязательств или мошенничества со стороны внешнего транзитного управляющего;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6) о представлении внешним транзитным управляющим информации о проведенных операциях банку-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кастодиану</w:t>
      </w:r>
      <w:proofErr w:type="spellEnd"/>
      <w:r w:rsidRPr="004E3683">
        <w:rPr>
          <w:rFonts w:eastAsia="Calibri"/>
          <w:sz w:val="28"/>
          <w:szCs w:val="28"/>
          <w:lang w:eastAsia="en-US"/>
        </w:rPr>
        <w:t>, ответственному за консолидированный учет, не позднее следующего рабочего дня после согласования и завершения процедур подтверждения сделок между внешним транзитным управляющим и брокером;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7) о представлении внешним транзитным управляющим информации, документов о процедурах утверждения брокеров, а также агентов и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контрпартнеров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внешнего транзитного управляющего;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8) о представлении внешним транзитным управляющим информации о наличии внутренних политик и процедур управления рисками внешнего транзитного управляющего, снижающих риск злоупотреблений и конфликта интересов, в том числе обеспечивающих равноправное распределение сделок среди портфелей клиентов;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9) об </w:t>
      </w:r>
      <w:r w:rsidRPr="004E3683">
        <w:rPr>
          <w:rFonts w:eastAsia="Calibri"/>
          <w:sz w:val="28"/>
          <w:lang w:eastAsia="en-US"/>
        </w:rPr>
        <w:t xml:space="preserve">обязанности внешнего </w:t>
      </w:r>
      <w:r w:rsidRPr="004E3683">
        <w:rPr>
          <w:rFonts w:eastAsia="Calibri"/>
          <w:sz w:val="28"/>
          <w:szCs w:val="28"/>
          <w:lang w:eastAsia="en-US"/>
        </w:rPr>
        <w:t xml:space="preserve">транзитного </w:t>
      </w:r>
      <w:r w:rsidRPr="004E3683">
        <w:rPr>
          <w:rFonts w:eastAsia="Calibri"/>
          <w:sz w:val="28"/>
          <w:lang w:eastAsia="en-US"/>
        </w:rPr>
        <w:t>управляющего представлять в Национальный Банк в соответствии с соглашением об инвестиционном транзитном управлении в течение 10 (десять) рабочих дней со дня завершения транзитного периода следующие отчеты: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отчет по всем сделкам с ценными бумагами, совершенным внешним транзитным управляющим, его аффилированными брокерами (дилерами), а также брокерами по фьючерсным сделкам в течение транзитного периода;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отчет о результатах осуществления внешнего транзитного управления Активами, содержащий сведения о разнице между ожидаемой и фактической стоимостью исполнения сделок, размере комиссионного вознаграждения брокеров, влиянии рыночных факторов, разнице между курсами покупки и продажи валюты</w:t>
      </w:r>
      <w:r w:rsidRPr="004E3683" w:rsidDel="00363679">
        <w:rPr>
          <w:rFonts w:eastAsia="Calibri"/>
          <w:sz w:val="28"/>
          <w:szCs w:val="28"/>
          <w:lang w:eastAsia="en-US"/>
        </w:rPr>
        <w:t xml:space="preserve"> </w:t>
      </w:r>
      <w:r w:rsidRPr="004E3683">
        <w:rPr>
          <w:rFonts w:eastAsia="Calibri"/>
          <w:sz w:val="28"/>
          <w:szCs w:val="28"/>
          <w:lang w:eastAsia="en-US"/>
        </w:rPr>
        <w:t xml:space="preserve">по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форексным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операциям, а также сумме уплаченных налогов и упущенной выгоде на дату завершения транзитного периода;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отчет о состоянии соответствующих финансовых рынков и их влиянии на структуру и стоимость портфеля;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color w:val="FF0000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обзор инвестиционной стратегии и описание изменений, внесенных в структуру портфеля;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10) о представлении внешним транзитным управляющим информации по примененным надзорными органами мерам и участию в судебных разбирательствах;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11) о представлении внешним транзитным управляющим на момент завершения транзитного периода сверенной с банком (банками)-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кастодианом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(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кастодианами</w:t>
      </w:r>
      <w:proofErr w:type="spellEnd"/>
      <w:r w:rsidRPr="004E3683">
        <w:rPr>
          <w:rFonts w:eastAsia="Calibri"/>
          <w:sz w:val="28"/>
          <w:szCs w:val="28"/>
          <w:lang w:eastAsia="en-US"/>
        </w:rPr>
        <w:t>) полной отчетности по портфелю на дату завершения транзитного периода в соответствии с соглашением</w:t>
      </w:r>
      <w:r w:rsidRPr="004E3683">
        <w:rPr>
          <w:rFonts w:eastAsia="Calibri"/>
          <w:sz w:val="24"/>
          <w:szCs w:val="22"/>
          <w:lang w:eastAsia="en-US"/>
        </w:rPr>
        <w:t xml:space="preserve"> </w:t>
      </w:r>
      <w:r w:rsidRPr="004E3683">
        <w:rPr>
          <w:rFonts w:eastAsia="Calibri"/>
          <w:sz w:val="28"/>
          <w:szCs w:val="28"/>
          <w:lang w:eastAsia="en-US"/>
        </w:rPr>
        <w:t>об инвестиционном транзитном управлении;</w:t>
      </w:r>
    </w:p>
    <w:p w:rsidR="003238F4" w:rsidRPr="004E3683" w:rsidRDefault="003238F4" w:rsidP="003238F4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12) о </w:t>
      </w:r>
      <w:r w:rsidRPr="004E3683">
        <w:rPr>
          <w:rFonts w:eastAsia="Calibri"/>
          <w:sz w:val="28"/>
          <w:lang w:eastAsia="en-US"/>
        </w:rPr>
        <w:t>подписании соглашения об инвестиционном транзитном управлении на казахском, русском языках и на языке, определенном по соглашению сторон;</w:t>
      </w:r>
    </w:p>
    <w:p w:rsidR="003238F4" w:rsidRPr="004E3683" w:rsidRDefault="003238F4" w:rsidP="003238F4">
      <w:pPr>
        <w:tabs>
          <w:tab w:val="left" w:pos="709"/>
        </w:tabs>
        <w:overflowPunct/>
        <w:autoSpaceDE/>
        <w:autoSpaceDN/>
        <w:adjustRightInd/>
        <w:ind w:firstLine="706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13) о возможности внесения изменений и (или) дополнений в соглашение об инвестиционном транзитном управлении по соглашению сторон. </w:t>
      </w:r>
    </w:p>
    <w:p w:rsidR="003238F4" w:rsidRPr="004E3683" w:rsidRDefault="003238F4" w:rsidP="003238F4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42. Национальный Банк в соответствии с соглашением об инвестиционном транзитном управлении осуществляет передачу Активов во внешнее транзитное управление путем перевода денег и (или) ценных бумаг на счета Национального Банка у банка (банков)-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кастодиана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(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кастодианов</w:t>
      </w:r>
      <w:proofErr w:type="spellEnd"/>
      <w:r w:rsidRPr="004E3683">
        <w:rPr>
          <w:rFonts w:eastAsia="Calibri"/>
          <w:sz w:val="28"/>
          <w:szCs w:val="28"/>
          <w:lang w:eastAsia="en-US"/>
        </w:rPr>
        <w:t>), предназначенные для внешнего транзитного управления.</w:t>
      </w:r>
    </w:p>
    <w:p w:rsidR="003238F4" w:rsidRPr="004E3683" w:rsidRDefault="003238F4" w:rsidP="003238F4">
      <w:pPr>
        <w:tabs>
          <w:tab w:val="left" w:pos="709"/>
        </w:tabs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Передача Активов внешнему транзитному управляющему осуществляется на срок не более 12 (двенадцать) месяцев.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43. Активы, передаваемые во внешнее транзитное управление, хранятся на счетах Национального Банка в банке (банках)-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кастодиане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(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кастодианах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) и на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маржевом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счете у </w:t>
      </w:r>
      <w:r w:rsidRPr="004E3683">
        <w:rPr>
          <w:rFonts w:eastAsia="Calibri"/>
          <w:sz w:val="28"/>
          <w:lang w:eastAsia="en-US"/>
        </w:rPr>
        <w:t>клирингового брокера</w:t>
      </w:r>
      <w:r w:rsidRPr="004E3683">
        <w:rPr>
          <w:rFonts w:eastAsia="Calibri"/>
          <w:sz w:val="28"/>
          <w:szCs w:val="28"/>
          <w:lang w:eastAsia="en-US"/>
        </w:rPr>
        <w:t>. Допускается размещение Активов</w:t>
      </w:r>
      <w:r w:rsidRPr="004E3683">
        <w:rPr>
          <w:rFonts w:eastAsia="Calibri"/>
          <w:sz w:val="28"/>
          <w:lang w:eastAsia="en-US"/>
        </w:rPr>
        <w:t xml:space="preserve"> </w:t>
      </w:r>
      <w:r w:rsidRPr="004E3683">
        <w:rPr>
          <w:rFonts w:eastAsia="Calibri"/>
          <w:sz w:val="28"/>
          <w:szCs w:val="28"/>
          <w:lang w:eastAsia="en-US"/>
        </w:rPr>
        <w:t xml:space="preserve">на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маржевом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счете внешнего транзитного управляющего, открытом у третьего лица, при наличии в соглашении об инвестиционном транзитном управлении условий проведения операций по такому счету. </w:t>
      </w:r>
    </w:p>
    <w:p w:rsidR="003238F4" w:rsidRPr="004E3683" w:rsidRDefault="003238F4" w:rsidP="003238F4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44. С</w:t>
      </w:r>
      <w:r w:rsidRPr="004E3683">
        <w:rPr>
          <w:rFonts w:eastAsia="Calibri"/>
          <w:sz w:val="28"/>
          <w:lang w:eastAsia="en-US"/>
        </w:rPr>
        <w:t>о дня передачи Активов во внешнее транзитное управление уполномоченное подразделение проводит ежедневный мониторинг деятельности внешнего транзитного управляющего путем проверки соблюдения ограничений, указанных в соглашении об инвестиционном транзитном управлении, осуществления мониторинга сделок, совершаемых внешним транзитным управляющим.</w:t>
      </w:r>
      <w:bookmarkStart w:id="17" w:name="SUB3700"/>
      <w:bookmarkStart w:id="18" w:name="SUB3800"/>
      <w:bookmarkStart w:id="19" w:name="SUB1"/>
      <w:bookmarkEnd w:id="17"/>
      <w:bookmarkEnd w:id="18"/>
      <w:bookmarkEnd w:id="19"/>
    </w:p>
    <w:p w:rsidR="003238F4" w:rsidRPr="004E3683" w:rsidRDefault="003238F4" w:rsidP="003238F4">
      <w:pPr>
        <w:overflowPunct/>
        <w:autoSpaceDE/>
        <w:autoSpaceDN/>
        <w:adjustRightInd/>
        <w:ind w:left="2831" w:firstLine="709"/>
        <w:jc w:val="right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br w:type="page"/>
        <w:t>Приложение 1</w:t>
      </w:r>
    </w:p>
    <w:p w:rsidR="003238F4" w:rsidRPr="004E3683" w:rsidRDefault="003238F4" w:rsidP="003238F4">
      <w:pPr>
        <w:overflowPunct/>
        <w:autoSpaceDE/>
        <w:autoSpaceDN/>
        <w:adjustRightInd/>
        <w:jc w:val="right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к </w:t>
      </w:r>
      <w:r w:rsidRPr="004E3683">
        <w:rPr>
          <w:rFonts w:eastAsia="Calibri"/>
          <w:bCs/>
          <w:sz w:val="28"/>
          <w:szCs w:val="28"/>
          <w:lang w:eastAsia="en-US"/>
        </w:rPr>
        <w:t>Правилам</w:t>
      </w:r>
      <w:bookmarkEnd w:id="1"/>
      <w:r w:rsidRPr="004E3683">
        <w:rPr>
          <w:rFonts w:eastAsia="Calibri"/>
          <w:sz w:val="28"/>
          <w:szCs w:val="28"/>
          <w:lang w:eastAsia="en-US"/>
        </w:rPr>
        <w:t xml:space="preserve"> </w:t>
      </w:r>
      <w:r w:rsidRPr="004E3683">
        <w:rPr>
          <w:rFonts w:eastAsia="Calibri"/>
          <w:bCs/>
          <w:sz w:val="28"/>
          <w:szCs w:val="28"/>
          <w:lang w:eastAsia="en-US"/>
        </w:rPr>
        <w:t>выбора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right"/>
        <w:rPr>
          <w:rFonts w:eastAsia="Calibri"/>
          <w:bCs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 xml:space="preserve">внешних управляющих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right"/>
        <w:rPr>
          <w:rFonts w:eastAsia="Calibri"/>
          <w:bCs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 xml:space="preserve">золотовалютными активами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right"/>
        <w:rPr>
          <w:rFonts w:eastAsia="Calibri"/>
          <w:bCs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 xml:space="preserve">Национального Банка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right"/>
        <w:rPr>
          <w:rFonts w:eastAsia="Calibri"/>
          <w:bCs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 xml:space="preserve">Республики Казахстан,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right"/>
        <w:rPr>
          <w:rFonts w:eastAsia="Calibri"/>
          <w:bCs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 xml:space="preserve">активами Национального фонда </w:t>
      </w:r>
    </w:p>
    <w:p w:rsidR="003238F4" w:rsidRPr="004E3683" w:rsidRDefault="003238F4" w:rsidP="003238F4">
      <w:pPr>
        <w:overflowPunct/>
        <w:autoSpaceDE/>
        <w:autoSpaceDN/>
        <w:adjustRightInd/>
        <w:jc w:val="right"/>
        <w:rPr>
          <w:rFonts w:eastAsia="Calibri"/>
          <w:bCs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 xml:space="preserve">Республики Казахстан </w:t>
      </w:r>
    </w:p>
    <w:p w:rsidR="003238F4" w:rsidRPr="004E3683" w:rsidRDefault="003238F4" w:rsidP="003238F4">
      <w:pPr>
        <w:overflowPunct/>
        <w:autoSpaceDE/>
        <w:autoSpaceDN/>
        <w:adjustRightInd/>
        <w:jc w:val="right"/>
        <w:rPr>
          <w:rFonts w:eastAsia="Calibri"/>
          <w:bCs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 xml:space="preserve">и пенсионными активами </w:t>
      </w:r>
    </w:p>
    <w:p w:rsidR="003238F4" w:rsidRPr="004E3683" w:rsidRDefault="003238F4" w:rsidP="003238F4">
      <w:pPr>
        <w:overflowPunct/>
        <w:autoSpaceDE/>
        <w:autoSpaceDN/>
        <w:adjustRightInd/>
        <w:jc w:val="right"/>
        <w:rPr>
          <w:rFonts w:eastAsia="Calibri"/>
          <w:bCs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 xml:space="preserve">единого накопительного </w:t>
      </w:r>
    </w:p>
    <w:p w:rsidR="003238F4" w:rsidRPr="004E3683" w:rsidRDefault="003238F4" w:rsidP="003238F4">
      <w:pPr>
        <w:overflowPunct/>
        <w:autoSpaceDE/>
        <w:autoSpaceDN/>
        <w:adjustRightInd/>
        <w:jc w:val="right"/>
        <w:rPr>
          <w:rFonts w:eastAsia="Calibri"/>
          <w:bCs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 xml:space="preserve">пенсионного фонда </w:t>
      </w:r>
    </w:p>
    <w:p w:rsidR="003238F4" w:rsidRPr="004E3683" w:rsidRDefault="003238F4" w:rsidP="003238F4">
      <w:pPr>
        <w:overflowPunct/>
        <w:autoSpaceDE/>
        <w:autoSpaceDN/>
        <w:adjustRightInd/>
        <w:jc w:val="right"/>
        <w:rPr>
          <w:rFonts w:eastAsia="Calibri"/>
          <w:bCs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 xml:space="preserve">и передачи активов во </w:t>
      </w:r>
    </w:p>
    <w:p w:rsidR="003238F4" w:rsidRPr="004E3683" w:rsidRDefault="003238F4" w:rsidP="003238F4">
      <w:pPr>
        <w:overflowPunct/>
        <w:autoSpaceDE/>
        <w:autoSpaceDN/>
        <w:adjustRightInd/>
        <w:jc w:val="right"/>
        <w:rPr>
          <w:rFonts w:eastAsia="Calibri"/>
          <w:bCs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 xml:space="preserve">внешнее управление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right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 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>Минимальная информация,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>запрашиваемая у потенциального внешнего управляющего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b/>
          <w:bCs/>
          <w:sz w:val="28"/>
          <w:szCs w:val="28"/>
          <w:lang w:eastAsia="en-US"/>
        </w:rPr>
        <w:t> 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1. Опыт работы потенциального внешнего управляющего по рассматриваемому типу мандата.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2. Объем активов клиентов, находящихся (находившихся) в управлении потенциального внешнего управляющего за последние 5 (пять) лет, в том числе: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1) объем общих активов, находящихся (находившихся) в управлении;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2) объем активов по рассматриваемому типу мандата;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3) объем активов институциональных инвесторов (включая активы центральных банков);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4) объем активов по сегрегированным счетам.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3. Информация о портфельных менеджерах и менеджерах по связям с клиентами, которые будут ответственными за управление активами, переданными во внешнее управление.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4. Информация о передвижении персонала потенциального внешнего управляющего (портфельные менеджеры, аналитики и трейдеры), ответственного за управление активами, переданными во внешнее управление, за последние 10 (десять) лет.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5. Подробное описание инвестиционного процесса, методов управления портфелем, исследования рынка, используемых источников информации и модели оценки финансовых инструментов.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6. Каким образом осуществляется моделирование, мониторинг и управление активным рыночным риском (в случае, если рассматриваемый тип мандата относится к активному управлению активами).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7. Наличие специализированного программного обеспечения по мониторингу и управлению рисками.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8. Исторические результаты управления</w:t>
      </w:r>
      <w:r w:rsidRPr="004E3683">
        <w:rPr>
          <w:rFonts w:eastAsia="Calibri"/>
          <w:sz w:val="24"/>
          <w:szCs w:val="22"/>
          <w:lang w:eastAsia="en-US"/>
        </w:rPr>
        <w:t xml:space="preserve"> </w:t>
      </w:r>
      <w:r w:rsidRPr="004E3683">
        <w:rPr>
          <w:rFonts w:eastAsia="Calibri"/>
          <w:sz w:val="28"/>
          <w:szCs w:val="28"/>
          <w:lang w:eastAsia="en-US"/>
        </w:rPr>
        <w:t>портфелем за последние 5 (пять) лет должны быть представлены по аналогичному мандату с аналогичным или близким по типу эталонному портфелю, без учёта симулированных портфелей. При этом, распределение активов эталонного портфеля по странам (регионам) должно быть близким к структуре эталонного портфеля соответствующего мандата.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9. Описание программного обеспечения, используемого для расчета доходности, риска, применяемого в финансовой и аналитической отчетности.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10. Краткое описание внутреннего корпоративного управления.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11. Ответственность внешнего управляющего перед Национальным Банком в случае нарушения условий в соответствии с соглашением об инвестиционном внешнем управлении, в том числе </w:t>
      </w:r>
      <w:r w:rsidRPr="004E3683">
        <w:rPr>
          <w:rFonts w:eastAsia="Calibri"/>
          <w:sz w:val="28"/>
          <w:lang w:eastAsia="en-US"/>
        </w:rPr>
        <w:t>ответственность за нарушение лимита ожидаемой изменчивости отклонения доходности (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ex-ante</w:t>
      </w:r>
      <w:proofErr w:type="spellEnd"/>
      <w:r w:rsidRPr="004E3683">
        <w:rPr>
          <w:rFonts w:eastAsia="Calibri"/>
          <w:sz w:val="28"/>
          <w:lang w:eastAsia="en-US"/>
        </w:rPr>
        <w:t xml:space="preserve"> </w:t>
      </w:r>
      <w:proofErr w:type="spellStart"/>
      <w:r w:rsidRPr="004E3683">
        <w:rPr>
          <w:rFonts w:eastAsia="Calibri"/>
          <w:sz w:val="28"/>
          <w:lang w:eastAsia="en-US"/>
        </w:rPr>
        <w:t>tracking</w:t>
      </w:r>
      <w:proofErr w:type="spellEnd"/>
      <w:r w:rsidRPr="004E3683">
        <w:rPr>
          <w:rFonts w:eastAsia="Calibri"/>
          <w:sz w:val="28"/>
          <w:lang w:eastAsia="en-US"/>
        </w:rPr>
        <w:t xml:space="preserve"> </w:t>
      </w:r>
      <w:proofErr w:type="spellStart"/>
      <w:r w:rsidRPr="004E3683">
        <w:rPr>
          <w:rFonts w:eastAsia="Calibri"/>
          <w:sz w:val="28"/>
          <w:lang w:eastAsia="en-US"/>
        </w:rPr>
        <w:t>error</w:t>
      </w:r>
      <w:proofErr w:type="spellEnd"/>
      <w:r w:rsidRPr="004E3683">
        <w:rPr>
          <w:rFonts w:eastAsia="Calibri"/>
          <w:sz w:val="28"/>
          <w:lang w:eastAsia="en-US"/>
        </w:rPr>
        <w:t>)</w:t>
      </w:r>
      <w:r w:rsidRPr="004E3683">
        <w:rPr>
          <w:sz w:val="24"/>
          <w:szCs w:val="24"/>
        </w:rPr>
        <w:t xml:space="preserve"> </w:t>
      </w:r>
      <w:r w:rsidRPr="004E3683">
        <w:rPr>
          <w:rFonts w:eastAsia="Calibri"/>
          <w:sz w:val="28"/>
          <w:lang w:eastAsia="en-US"/>
        </w:rPr>
        <w:t xml:space="preserve">(экс-анте трекинг </w:t>
      </w:r>
      <w:proofErr w:type="spellStart"/>
      <w:r w:rsidRPr="004E3683">
        <w:rPr>
          <w:rFonts w:eastAsia="Calibri"/>
          <w:sz w:val="28"/>
          <w:lang w:eastAsia="en-US"/>
        </w:rPr>
        <w:t>эррор</w:t>
      </w:r>
      <w:proofErr w:type="spellEnd"/>
      <w:r w:rsidRPr="004E3683">
        <w:rPr>
          <w:rFonts w:eastAsia="Calibri"/>
          <w:sz w:val="28"/>
          <w:lang w:eastAsia="en-US"/>
        </w:rPr>
        <w:t>), и за возможные убытки, причиненные Национальному Банку вследствие небрежности, преднамеренного невыполнения обязательств или мошенничества со стороны внешнего управляющего.</w:t>
      </w:r>
      <w:r w:rsidRPr="004E3683">
        <w:rPr>
          <w:rFonts w:eastAsia="Calibri"/>
          <w:sz w:val="28"/>
          <w:szCs w:val="28"/>
          <w:lang w:eastAsia="en-US"/>
        </w:rPr>
        <w:t xml:space="preserve">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12. Информация о видах страхования, используемого для защиты клиента от ошибок внешнего управляющего.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13. Условия организации обучения. </w:t>
      </w:r>
    </w:p>
    <w:p w:rsidR="003238F4" w:rsidRPr="004E3683" w:rsidRDefault="003238F4" w:rsidP="003238F4">
      <w:pPr>
        <w:tabs>
          <w:tab w:val="left" w:pos="993"/>
          <w:tab w:val="left" w:pos="1134"/>
        </w:tabs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14. Информация о предполагаемом уровне комиссионного вознаграждения за внешнее управление.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15.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Аудированный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финансовый отчет потенциального внешнего управляющего за последний финансовый год.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16. Внутренние политики и процедуры внешнего управляющего, регламентирующие вопросы снижения риска злоупотреблений и конфликта интересов, в том числе обеспечение равноправного и справедливого распределения сделок среди портфелей клиентов, проверка списка и процедуры утверждения брокеров, агентов и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контрпартнеров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внешнего управляющего. </w:t>
      </w:r>
    </w:p>
    <w:p w:rsidR="003238F4" w:rsidRPr="004E3683" w:rsidRDefault="003238F4" w:rsidP="003238F4">
      <w:pPr>
        <w:overflowPunct/>
        <w:autoSpaceDE/>
        <w:autoSpaceDN/>
        <w:adjustRightInd/>
        <w:ind w:left="3539" w:firstLine="709"/>
        <w:jc w:val="right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br w:type="page"/>
        <w:t xml:space="preserve">Приложение 2 </w:t>
      </w:r>
    </w:p>
    <w:p w:rsidR="003238F4" w:rsidRPr="004E3683" w:rsidRDefault="003238F4" w:rsidP="003238F4">
      <w:pPr>
        <w:overflowPunct/>
        <w:autoSpaceDE/>
        <w:autoSpaceDN/>
        <w:adjustRightInd/>
        <w:jc w:val="right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к </w:t>
      </w:r>
      <w:r w:rsidRPr="004E3683">
        <w:rPr>
          <w:rFonts w:eastAsia="Calibri"/>
          <w:bCs/>
          <w:sz w:val="28"/>
          <w:szCs w:val="28"/>
          <w:lang w:eastAsia="en-US"/>
        </w:rPr>
        <w:t>Правилам</w:t>
      </w:r>
      <w:r w:rsidRPr="004E3683">
        <w:rPr>
          <w:rFonts w:eastAsia="Calibri"/>
          <w:sz w:val="28"/>
          <w:szCs w:val="28"/>
          <w:lang w:eastAsia="en-US"/>
        </w:rPr>
        <w:t xml:space="preserve"> </w:t>
      </w:r>
      <w:r w:rsidRPr="004E3683">
        <w:rPr>
          <w:rFonts w:eastAsia="Calibri"/>
          <w:bCs/>
          <w:sz w:val="28"/>
          <w:szCs w:val="28"/>
          <w:lang w:eastAsia="en-US"/>
        </w:rPr>
        <w:t>выбора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right"/>
        <w:rPr>
          <w:rFonts w:eastAsia="Calibri"/>
          <w:bCs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 xml:space="preserve">внешних управляющих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right"/>
        <w:rPr>
          <w:rFonts w:eastAsia="Calibri"/>
          <w:bCs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 xml:space="preserve">золотовалютными активами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right"/>
        <w:rPr>
          <w:rFonts w:eastAsia="Calibri"/>
          <w:bCs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 xml:space="preserve">Национального Банка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right"/>
        <w:rPr>
          <w:rFonts w:eastAsia="Calibri"/>
          <w:bCs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 xml:space="preserve">Республики Казахстан,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right"/>
        <w:rPr>
          <w:rFonts w:eastAsia="Calibri"/>
          <w:bCs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 xml:space="preserve">активами Национального фонда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right"/>
        <w:rPr>
          <w:rFonts w:eastAsia="Calibri"/>
          <w:bCs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 xml:space="preserve">Республики Казахстан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right"/>
        <w:rPr>
          <w:rFonts w:eastAsia="Calibri"/>
          <w:bCs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 xml:space="preserve">и пенсионными активами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right"/>
        <w:rPr>
          <w:rFonts w:eastAsia="Calibri"/>
          <w:bCs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 xml:space="preserve">единого накопительного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right"/>
        <w:rPr>
          <w:rFonts w:eastAsia="Calibri"/>
          <w:bCs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 xml:space="preserve">пенсионного фонда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right"/>
        <w:rPr>
          <w:rFonts w:eastAsia="Calibri"/>
          <w:bCs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 xml:space="preserve">и передачи активов во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right"/>
        <w:rPr>
          <w:rFonts w:eastAsia="Calibri"/>
          <w:bCs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 xml:space="preserve">внешнее управление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Оценочные критерии для</w:t>
      </w:r>
      <w:r w:rsidRPr="004E3683">
        <w:rPr>
          <w:rFonts w:eastAsia="Calibri"/>
          <w:bCs/>
          <w:sz w:val="28"/>
          <w:szCs w:val="28"/>
          <w:lang w:eastAsia="en-US"/>
        </w:rPr>
        <w:t xml:space="preserve"> осуществления</w:t>
      </w:r>
      <w:r w:rsidRPr="004E3683">
        <w:rPr>
          <w:rFonts w:eastAsia="Calibri"/>
          <w:sz w:val="28"/>
          <w:szCs w:val="28"/>
          <w:lang w:eastAsia="en-US"/>
        </w:rPr>
        <w:t xml:space="preserve"> сравнительного анализа предложений потенциальных внешних управляющих золотовалютными активами, активами Национального фонда и пенсионными активами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 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Таблица 1. Оценочные критерии для</w:t>
      </w:r>
      <w:r w:rsidRPr="004E3683">
        <w:rPr>
          <w:rFonts w:eastAsia="Calibri"/>
          <w:bCs/>
          <w:sz w:val="28"/>
          <w:szCs w:val="28"/>
          <w:lang w:eastAsia="en-US"/>
        </w:rPr>
        <w:t xml:space="preserve"> осуществления</w:t>
      </w:r>
      <w:r w:rsidRPr="004E3683">
        <w:rPr>
          <w:rFonts w:eastAsia="Calibri"/>
          <w:sz w:val="28"/>
          <w:szCs w:val="28"/>
          <w:lang w:eastAsia="en-US"/>
        </w:rPr>
        <w:t xml:space="preserve"> сравнительного анализа предложений потенциальных внешних управляющих золотовалютных активов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8"/>
        <w:gridCol w:w="3134"/>
        <w:gridCol w:w="1687"/>
        <w:gridCol w:w="2803"/>
        <w:gridCol w:w="1725"/>
      </w:tblGrid>
      <w:tr w:rsidR="003238F4" w:rsidRPr="004E3683" w:rsidTr="002C2BBB">
        <w:trPr>
          <w:trHeight w:val="255"/>
          <w:jc w:val="center"/>
        </w:trPr>
        <w:tc>
          <w:tcPr>
            <w:tcW w:w="144" w:type="pct"/>
            <w:vMerge w:val="restart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628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Оценочные критерии</w:t>
            </w:r>
          </w:p>
        </w:tc>
        <w:tc>
          <w:tcPr>
            <w:tcW w:w="3228" w:type="pct"/>
            <w:gridSpan w:val="3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Балл, присваиваемый критериям (значимость показателя определена в процентах)</w:t>
            </w:r>
          </w:p>
        </w:tc>
      </w:tr>
      <w:tr w:rsidR="003238F4" w:rsidRPr="004E3683" w:rsidTr="002C2BBB">
        <w:trPr>
          <w:trHeight w:val="255"/>
          <w:jc w:val="center"/>
        </w:trPr>
        <w:tc>
          <w:tcPr>
            <w:tcW w:w="144" w:type="pct"/>
            <w:vMerge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628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76" w:type="pct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Глобальный мандат</w:t>
            </w:r>
          </w:p>
        </w:tc>
        <w:tc>
          <w:tcPr>
            <w:tcW w:w="1456" w:type="pct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Специализированный мандат</w:t>
            </w:r>
          </w:p>
        </w:tc>
        <w:tc>
          <w:tcPr>
            <w:tcW w:w="896" w:type="pct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Региональный мандат</w:t>
            </w:r>
          </w:p>
        </w:tc>
      </w:tr>
      <w:tr w:rsidR="003238F4" w:rsidRPr="004E3683" w:rsidTr="002C2BBB">
        <w:trPr>
          <w:trHeight w:val="249"/>
          <w:jc w:val="center"/>
        </w:trPr>
        <w:tc>
          <w:tcPr>
            <w:tcW w:w="144" w:type="pct"/>
            <w:vMerge w:val="restart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1.</w:t>
            </w:r>
          </w:p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162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Исторические результаты управления портфелем (при осуществлении сравнительного анализа предложений потенциальных внешних управляющих, специализирующихся на региональных мандатах и участвующих в выборе управляющего по глобальному мандату, показатели нормируются в зависимости от охвата соответствующего мандата)</w:t>
            </w:r>
          </w:p>
        </w:tc>
        <w:tc>
          <w:tcPr>
            <w:tcW w:w="87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rFonts w:eastAsia="Calibri"/>
                <w:sz w:val="28"/>
                <w:szCs w:val="22"/>
                <w:lang w:eastAsia="en-US"/>
              </w:rPr>
              <w:t>40</w:t>
            </w:r>
            <w:r w:rsidRPr="004E3683">
              <w:rPr>
                <w:sz w:val="28"/>
                <w:szCs w:val="28"/>
              </w:rPr>
              <w:t xml:space="preserve"> баллов</w:t>
            </w:r>
          </w:p>
        </w:tc>
        <w:tc>
          <w:tcPr>
            <w:tcW w:w="145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40 баллов</w:t>
            </w:r>
          </w:p>
        </w:tc>
        <w:tc>
          <w:tcPr>
            <w:tcW w:w="89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40 баллов</w:t>
            </w:r>
          </w:p>
        </w:tc>
      </w:tr>
      <w:tr w:rsidR="003238F4" w:rsidRPr="004E3683" w:rsidTr="002C2BBB">
        <w:trPr>
          <w:trHeight w:val="291"/>
          <w:jc w:val="center"/>
        </w:trPr>
        <w:tc>
          <w:tcPr>
            <w:tcW w:w="144" w:type="pct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162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bCs/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 xml:space="preserve">годовая </w:t>
            </w:r>
            <w:proofErr w:type="spellStart"/>
            <w:r w:rsidRPr="004E3683">
              <w:rPr>
                <w:sz w:val="28"/>
                <w:szCs w:val="28"/>
              </w:rPr>
              <w:t>сверхдоходность</w:t>
            </w:r>
            <w:proofErr w:type="spellEnd"/>
            <w:r w:rsidRPr="004E3683">
              <w:rPr>
                <w:sz w:val="28"/>
                <w:szCs w:val="28"/>
              </w:rPr>
              <w:t xml:space="preserve"> за последние 3 (три) – 5 (пять) лет (в случае если показатель </w:t>
            </w:r>
            <w:proofErr w:type="spellStart"/>
            <w:r w:rsidRPr="004E3683">
              <w:rPr>
                <w:sz w:val="28"/>
                <w:szCs w:val="28"/>
              </w:rPr>
              <w:t>сверхдоходности</w:t>
            </w:r>
            <w:proofErr w:type="spellEnd"/>
            <w:r w:rsidRPr="004E3683">
              <w:rPr>
                <w:sz w:val="28"/>
                <w:szCs w:val="28"/>
              </w:rPr>
              <w:t xml:space="preserve"> за период менее 5 (пять) лет положительный, показатель нормируется относительно периода в 5 (пять) лет)</w:t>
            </w:r>
          </w:p>
        </w:tc>
        <w:tc>
          <w:tcPr>
            <w:tcW w:w="87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40 процентов</w:t>
            </w:r>
          </w:p>
        </w:tc>
        <w:tc>
          <w:tcPr>
            <w:tcW w:w="145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40 процентов</w:t>
            </w:r>
          </w:p>
        </w:tc>
        <w:tc>
          <w:tcPr>
            <w:tcW w:w="89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40 процентов</w:t>
            </w:r>
          </w:p>
        </w:tc>
      </w:tr>
      <w:tr w:rsidR="003238F4" w:rsidRPr="004E3683" w:rsidTr="002C2BBB">
        <w:trPr>
          <w:trHeight w:val="270"/>
          <w:jc w:val="center"/>
        </w:trPr>
        <w:tc>
          <w:tcPr>
            <w:tcW w:w="144" w:type="pct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162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информационный коэффициент (</w:t>
            </w:r>
            <w:proofErr w:type="spellStart"/>
            <w:r w:rsidRPr="004E3683">
              <w:rPr>
                <w:sz w:val="28"/>
                <w:szCs w:val="28"/>
              </w:rPr>
              <w:t>information</w:t>
            </w:r>
            <w:proofErr w:type="spellEnd"/>
            <w:r w:rsidRPr="004E3683">
              <w:rPr>
                <w:sz w:val="28"/>
                <w:szCs w:val="28"/>
              </w:rPr>
              <w:t xml:space="preserve"> </w:t>
            </w:r>
            <w:proofErr w:type="spellStart"/>
            <w:r w:rsidRPr="004E3683">
              <w:rPr>
                <w:sz w:val="28"/>
                <w:szCs w:val="28"/>
              </w:rPr>
              <w:t>ratio</w:t>
            </w:r>
            <w:proofErr w:type="spellEnd"/>
            <w:r w:rsidRPr="004E3683">
              <w:rPr>
                <w:sz w:val="28"/>
                <w:szCs w:val="28"/>
              </w:rPr>
              <w:t>)</w:t>
            </w:r>
            <w:r w:rsidRPr="004E3683">
              <w:rPr>
                <w:sz w:val="24"/>
                <w:szCs w:val="24"/>
              </w:rPr>
              <w:t xml:space="preserve"> </w:t>
            </w:r>
            <w:r w:rsidRPr="004E3683">
              <w:rPr>
                <w:sz w:val="28"/>
                <w:szCs w:val="28"/>
              </w:rPr>
              <w:t>(</w:t>
            </w:r>
            <w:proofErr w:type="spellStart"/>
            <w:r w:rsidRPr="004E3683">
              <w:rPr>
                <w:sz w:val="28"/>
                <w:szCs w:val="28"/>
              </w:rPr>
              <w:t>информейшн</w:t>
            </w:r>
            <w:proofErr w:type="spellEnd"/>
            <w:r w:rsidRPr="004E3683">
              <w:rPr>
                <w:sz w:val="28"/>
                <w:szCs w:val="28"/>
              </w:rPr>
              <w:t xml:space="preserve"> </w:t>
            </w:r>
            <w:proofErr w:type="spellStart"/>
            <w:r w:rsidRPr="004E3683">
              <w:rPr>
                <w:sz w:val="28"/>
                <w:szCs w:val="28"/>
              </w:rPr>
              <w:t>рейшио</w:t>
            </w:r>
            <w:proofErr w:type="spellEnd"/>
            <w:r w:rsidRPr="004E3683">
              <w:rPr>
                <w:sz w:val="28"/>
                <w:szCs w:val="28"/>
              </w:rPr>
              <w:t>)  за последние 3 (три) – 5 (пять) лет (в случае если показатель информационного коэффициента (</w:t>
            </w:r>
            <w:proofErr w:type="spellStart"/>
            <w:r w:rsidRPr="004E3683">
              <w:rPr>
                <w:sz w:val="28"/>
                <w:szCs w:val="28"/>
              </w:rPr>
              <w:t>information</w:t>
            </w:r>
            <w:proofErr w:type="spellEnd"/>
            <w:r w:rsidRPr="004E3683">
              <w:rPr>
                <w:sz w:val="28"/>
                <w:szCs w:val="28"/>
              </w:rPr>
              <w:t xml:space="preserve"> </w:t>
            </w:r>
            <w:proofErr w:type="spellStart"/>
            <w:r w:rsidRPr="004E3683">
              <w:rPr>
                <w:sz w:val="28"/>
                <w:szCs w:val="28"/>
              </w:rPr>
              <w:t>ratio</w:t>
            </w:r>
            <w:proofErr w:type="spellEnd"/>
            <w:r w:rsidRPr="004E3683">
              <w:rPr>
                <w:sz w:val="28"/>
                <w:szCs w:val="28"/>
              </w:rPr>
              <w:t>)</w:t>
            </w:r>
            <w:r w:rsidRPr="004E3683">
              <w:rPr>
                <w:sz w:val="24"/>
                <w:szCs w:val="24"/>
              </w:rPr>
              <w:t xml:space="preserve"> </w:t>
            </w:r>
            <w:r w:rsidRPr="004E3683">
              <w:rPr>
                <w:sz w:val="28"/>
                <w:szCs w:val="28"/>
              </w:rPr>
              <w:t>(</w:t>
            </w:r>
            <w:proofErr w:type="spellStart"/>
            <w:r w:rsidRPr="004E3683">
              <w:rPr>
                <w:sz w:val="28"/>
                <w:szCs w:val="28"/>
              </w:rPr>
              <w:t>информейшн</w:t>
            </w:r>
            <w:proofErr w:type="spellEnd"/>
            <w:r w:rsidRPr="004E3683">
              <w:rPr>
                <w:sz w:val="28"/>
                <w:szCs w:val="28"/>
              </w:rPr>
              <w:t xml:space="preserve"> </w:t>
            </w:r>
            <w:proofErr w:type="spellStart"/>
            <w:r w:rsidRPr="004E3683">
              <w:rPr>
                <w:sz w:val="28"/>
                <w:szCs w:val="28"/>
              </w:rPr>
              <w:t>рейшио</w:t>
            </w:r>
            <w:proofErr w:type="spellEnd"/>
            <w:r w:rsidRPr="004E3683">
              <w:rPr>
                <w:sz w:val="28"/>
                <w:szCs w:val="28"/>
              </w:rPr>
              <w:t>) за период менее 5 (пять) лет положительный, показатель нормируется относительно периода в 5 (пять) лет)</w:t>
            </w:r>
          </w:p>
        </w:tc>
        <w:tc>
          <w:tcPr>
            <w:tcW w:w="87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60 процентов</w:t>
            </w:r>
          </w:p>
        </w:tc>
        <w:tc>
          <w:tcPr>
            <w:tcW w:w="145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60 процентов</w:t>
            </w:r>
          </w:p>
        </w:tc>
        <w:tc>
          <w:tcPr>
            <w:tcW w:w="89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60 процентов</w:t>
            </w:r>
          </w:p>
        </w:tc>
      </w:tr>
      <w:tr w:rsidR="003238F4" w:rsidRPr="004E3683" w:rsidTr="002C2BBB">
        <w:trPr>
          <w:trHeight w:val="285"/>
          <w:jc w:val="center"/>
        </w:trPr>
        <w:tc>
          <w:tcPr>
            <w:tcW w:w="144" w:type="pct"/>
            <w:vMerge w:val="restart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2.</w:t>
            </w:r>
          </w:p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162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Организация и активы</w:t>
            </w:r>
          </w:p>
        </w:tc>
        <w:tc>
          <w:tcPr>
            <w:tcW w:w="87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4E3683">
              <w:rPr>
                <w:sz w:val="28"/>
                <w:szCs w:val="28"/>
              </w:rPr>
              <w:t>15 баллов</w:t>
            </w:r>
          </w:p>
        </w:tc>
        <w:tc>
          <w:tcPr>
            <w:tcW w:w="145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4E3683">
              <w:rPr>
                <w:sz w:val="28"/>
                <w:szCs w:val="28"/>
              </w:rPr>
              <w:t>15 баллов</w:t>
            </w:r>
          </w:p>
        </w:tc>
        <w:tc>
          <w:tcPr>
            <w:tcW w:w="89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4E3683">
              <w:rPr>
                <w:sz w:val="28"/>
                <w:szCs w:val="28"/>
              </w:rPr>
              <w:t>15 баллов</w:t>
            </w:r>
          </w:p>
        </w:tc>
      </w:tr>
      <w:tr w:rsidR="003238F4" w:rsidRPr="004E3683" w:rsidTr="002C2BBB">
        <w:trPr>
          <w:trHeight w:val="285"/>
          <w:jc w:val="center"/>
        </w:trPr>
        <w:tc>
          <w:tcPr>
            <w:tcW w:w="144" w:type="pct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162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участие сотрудников в структуре капитала организации -</w:t>
            </w:r>
          </w:p>
        </w:tc>
        <w:tc>
          <w:tcPr>
            <w:tcW w:w="87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 xml:space="preserve">25 процентов </w:t>
            </w:r>
          </w:p>
        </w:tc>
        <w:tc>
          <w:tcPr>
            <w:tcW w:w="145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 xml:space="preserve">25 процентов </w:t>
            </w:r>
          </w:p>
        </w:tc>
        <w:tc>
          <w:tcPr>
            <w:tcW w:w="89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 xml:space="preserve">25 процентов </w:t>
            </w:r>
          </w:p>
        </w:tc>
      </w:tr>
      <w:tr w:rsidR="003238F4" w:rsidRPr="004E3683" w:rsidTr="002C2BBB">
        <w:trPr>
          <w:trHeight w:val="285"/>
          <w:jc w:val="center"/>
        </w:trPr>
        <w:tc>
          <w:tcPr>
            <w:tcW w:w="144" w:type="pct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2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среднегодовое изменение (в процентах) активов под управлением</w:t>
            </w:r>
          </w:p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(оттоки и притоки за последние 3 (три) – 5 (пять) лет или с начала управления)</w:t>
            </w:r>
          </w:p>
        </w:tc>
        <w:tc>
          <w:tcPr>
            <w:tcW w:w="87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25 процентов</w:t>
            </w:r>
          </w:p>
        </w:tc>
        <w:tc>
          <w:tcPr>
            <w:tcW w:w="145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25 процентов</w:t>
            </w:r>
          </w:p>
        </w:tc>
        <w:tc>
          <w:tcPr>
            <w:tcW w:w="89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25 процентов</w:t>
            </w:r>
          </w:p>
        </w:tc>
      </w:tr>
      <w:tr w:rsidR="003238F4" w:rsidRPr="004E3683" w:rsidTr="002C2BBB">
        <w:trPr>
          <w:trHeight w:val="285"/>
          <w:jc w:val="center"/>
        </w:trPr>
        <w:tc>
          <w:tcPr>
            <w:tcW w:w="144" w:type="pct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162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процент объема активов по данному рассматриваемому мандату к общим активам под управлением (при осуществлении сравнительного анализа предложений потенциальных внешних управляющих, специализирующихся на региональных мандатах и участвующих в выборе управляющего по глобальному мандату, используется объем активов по региональным мандатам. Данное значение нормируется в зависимости от охвата соответствующего мандата)</w:t>
            </w:r>
          </w:p>
        </w:tc>
        <w:tc>
          <w:tcPr>
            <w:tcW w:w="87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25 процентов</w:t>
            </w:r>
          </w:p>
        </w:tc>
        <w:tc>
          <w:tcPr>
            <w:tcW w:w="145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25 процентов</w:t>
            </w:r>
          </w:p>
        </w:tc>
        <w:tc>
          <w:tcPr>
            <w:tcW w:w="89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25 процентов</w:t>
            </w:r>
          </w:p>
        </w:tc>
      </w:tr>
      <w:tr w:rsidR="003238F4" w:rsidRPr="004E3683" w:rsidTr="002C2BBB">
        <w:trPr>
          <w:trHeight w:val="285"/>
          <w:jc w:val="center"/>
        </w:trPr>
        <w:tc>
          <w:tcPr>
            <w:tcW w:w="144" w:type="pct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162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доля объема активов институциональных инвесторов к общим активам под управлением</w:t>
            </w:r>
          </w:p>
        </w:tc>
        <w:tc>
          <w:tcPr>
            <w:tcW w:w="87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25 процентов</w:t>
            </w:r>
          </w:p>
        </w:tc>
        <w:tc>
          <w:tcPr>
            <w:tcW w:w="145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25 процентов</w:t>
            </w:r>
          </w:p>
        </w:tc>
        <w:tc>
          <w:tcPr>
            <w:tcW w:w="89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25 процентов</w:t>
            </w:r>
          </w:p>
        </w:tc>
      </w:tr>
      <w:tr w:rsidR="003238F4" w:rsidRPr="004E3683" w:rsidTr="002C2BBB">
        <w:trPr>
          <w:trHeight w:val="287"/>
          <w:jc w:val="center"/>
        </w:trPr>
        <w:tc>
          <w:tcPr>
            <w:tcW w:w="144" w:type="pct"/>
            <w:vMerge w:val="restart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3.</w:t>
            </w:r>
          </w:p>
        </w:tc>
        <w:tc>
          <w:tcPr>
            <w:tcW w:w="162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Команда</w:t>
            </w:r>
          </w:p>
        </w:tc>
        <w:tc>
          <w:tcPr>
            <w:tcW w:w="87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4E3683">
              <w:rPr>
                <w:rFonts w:eastAsia="Calibri"/>
                <w:sz w:val="28"/>
                <w:szCs w:val="22"/>
                <w:lang w:eastAsia="en-US"/>
              </w:rPr>
              <w:t>20</w:t>
            </w:r>
            <w:r w:rsidRPr="004E3683">
              <w:rPr>
                <w:sz w:val="28"/>
                <w:szCs w:val="28"/>
              </w:rPr>
              <w:t xml:space="preserve"> баллов</w:t>
            </w:r>
          </w:p>
        </w:tc>
        <w:tc>
          <w:tcPr>
            <w:tcW w:w="145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4E3683">
              <w:rPr>
                <w:sz w:val="28"/>
                <w:szCs w:val="28"/>
              </w:rPr>
              <w:t>20 баллов</w:t>
            </w:r>
          </w:p>
        </w:tc>
        <w:tc>
          <w:tcPr>
            <w:tcW w:w="89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4E3683">
              <w:rPr>
                <w:sz w:val="28"/>
                <w:szCs w:val="28"/>
              </w:rPr>
              <w:t>20 баллов</w:t>
            </w:r>
          </w:p>
        </w:tc>
      </w:tr>
      <w:tr w:rsidR="003238F4" w:rsidRPr="004E3683" w:rsidTr="002C2BBB">
        <w:trPr>
          <w:trHeight w:val="300"/>
          <w:jc w:val="center"/>
        </w:trPr>
        <w:tc>
          <w:tcPr>
            <w:tcW w:w="144" w:type="pct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162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средний опыт работы портфельных менеджеров и аналитиков, ответственных за управление активами по соответствующему мандату</w:t>
            </w:r>
          </w:p>
        </w:tc>
        <w:tc>
          <w:tcPr>
            <w:tcW w:w="87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50 процентов</w:t>
            </w:r>
          </w:p>
        </w:tc>
        <w:tc>
          <w:tcPr>
            <w:tcW w:w="145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50 процентов</w:t>
            </w:r>
          </w:p>
        </w:tc>
        <w:tc>
          <w:tcPr>
            <w:tcW w:w="89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50 процентов</w:t>
            </w:r>
          </w:p>
        </w:tc>
      </w:tr>
      <w:tr w:rsidR="003238F4" w:rsidRPr="004E3683" w:rsidTr="002C2BBB">
        <w:trPr>
          <w:trHeight w:val="255"/>
          <w:jc w:val="center"/>
        </w:trPr>
        <w:tc>
          <w:tcPr>
            <w:tcW w:w="144" w:type="pct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162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передвижение персонала, ответственного за управление активами, переданными во внешнее управление (портфельные менеджеры, аналитики, трейдеры) в целом по компании (учитывается наименьшее значение)</w:t>
            </w:r>
          </w:p>
        </w:tc>
        <w:tc>
          <w:tcPr>
            <w:tcW w:w="87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50 процентов</w:t>
            </w:r>
          </w:p>
        </w:tc>
        <w:tc>
          <w:tcPr>
            <w:tcW w:w="145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50 процентов</w:t>
            </w:r>
          </w:p>
        </w:tc>
        <w:tc>
          <w:tcPr>
            <w:tcW w:w="89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50 процентов</w:t>
            </w:r>
          </w:p>
        </w:tc>
      </w:tr>
      <w:tr w:rsidR="003238F4" w:rsidRPr="004E3683" w:rsidTr="002C2BBB">
        <w:trPr>
          <w:trHeight w:val="696"/>
          <w:jc w:val="center"/>
        </w:trPr>
        <w:tc>
          <w:tcPr>
            <w:tcW w:w="144" w:type="pct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4.</w:t>
            </w:r>
          </w:p>
        </w:tc>
        <w:tc>
          <w:tcPr>
            <w:tcW w:w="162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Наличие вида страхования интересов клиентов от действий или бездействий внешнего управляющего</w:t>
            </w:r>
          </w:p>
        </w:tc>
        <w:tc>
          <w:tcPr>
            <w:tcW w:w="87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5 баллов</w:t>
            </w:r>
          </w:p>
        </w:tc>
        <w:tc>
          <w:tcPr>
            <w:tcW w:w="145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5 баллов</w:t>
            </w:r>
          </w:p>
        </w:tc>
        <w:tc>
          <w:tcPr>
            <w:tcW w:w="89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5 баллов</w:t>
            </w:r>
          </w:p>
        </w:tc>
      </w:tr>
      <w:tr w:rsidR="003238F4" w:rsidRPr="004E3683" w:rsidTr="002C2BBB">
        <w:trPr>
          <w:trHeight w:val="420"/>
          <w:jc w:val="center"/>
        </w:trPr>
        <w:tc>
          <w:tcPr>
            <w:tcW w:w="144" w:type="pct"/>
            <w:vMerge w:val="restart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5.</w:t>
            </w:r>
          </w:p>
        </w:tc>
        <w:tc>
          <w:tcPr>
            <w:tcW w:w="162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Уровень комиссионного вознаграждения за управление</w:t>
            </w:r>
          </w:p>
        </w:tc>
        <w:tc>
          <w:tcPr>
            <w:tcW w:w="87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4E3683">
              <w:rPr>
                <w:sz w:val="28"/>
                <w:szCs w:val="28"/>
              </w:rPr>
              <w:t>10 баллов</w:t>
            </w:r>
          </w:p>
        </w:tc>
        <w:tc>
          <w:tcPr>
            <w:tcW w:w="145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4E3683">
              <w:rPr>
                <w:sz w:val="28"/>
                <w:szCs w:val="28"/>
              </w:rPr>
              <w:t>10 баллов</w:t>
            </w:r>
          </w:p>
        </w:tc>
        <w:tc>
          <w:tcPr>
            <w:tcW w:w="89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4E3683">
              <w:rPr>
                <w:sz w:val="28"/>
                <w:szCs w:val="28"/>
              </w:rPr>
              <w:t>10 баллов</w:t>
            </w:r>
          </w:p>
        </w:tc>
      </w:tr>
      <w:tr w:rsidR="003238F4" w:rsidRPr="004E3683" w:rsidTr="002C2BBB">
        <w:trPr>
          <w:trHeight w:val="255"/>
          <w:jc w:val="center"/>
        </w:trPr>
        <w:tc>
          <w:tcPr>
            <w:tcW w:w="144" w:type="pct"/>
            <w:vMerge/>
          </w:tcPr>
          <w:p w:rsidR="003238F4" w:rsidRPr="004E3683" w:rsidRDefault="003238F4" w:rsidP="003238F4">
            <w:pPr>
              <w:tabs>
                <w:tab w:val="left" w:pos="993"/>
              </w:tabs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162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уровень базового комиссионного вознаграждения (учитывается наименьшее значение)</w:t>
            </w:r>
          </w:p>
        </w:tc>
        <w:tc>
          <w:tcPr>
            <w:tcW w:w="87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75 процентов</w:t>
            </w:r>
          </w:p>
        </w:tc>
        <w:tc>
          <w:tcPr>
            <w:tcW w:w="145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75 процентов</w:t>
            </w:r>
          </w:p>
        </w:tc>
        <w:tc>
          <w:tcPr>
            <w:tcW w:w="89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75 процентов</w:t>
            </w:r>
          </w:p>
        </w:tc>
      </w:tr>
      <w:tr w:rsidR="003238F4" w:rsidRPr="004E3683" w:rsidTr="002C2BBB">
        <w:trPr>
          <w:trHeight w:val="285"/>
          <w:jc w:val="center"/>
        </w:trPr>
        <w:tc>
          <w:tcPr>
            <w:tcW w:w="144" w:type="pct"/>
            <w:vMerge/>
          </w:tcPr>
          <w:p w:rsidR="003238F4" w:rsidRPr="004E3683" w:rsidRDefault="003238F4" w:rsidP="003238F4">
            <w:pPr>
              <w:tabs>
                <w:tab w:val="left" w:pos="993"/>
              </w:tabs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162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 xml:space="preserve">принятие принципа выплаты комиссионного вознаграждения по результатам внешнего управления в случае достижения положительной </w:t>
            </w:r>
            <w:proofErr w:type="spellStart"/>
            <w:r w:rsidRPr="004E3683">
              <w:rPr>
                <w:sz w:val="28"/>
                <w:szCs w:val="28"/>
              </w:rPr>
              <w:t>сверхдоходности</w:t>
            </w:r>
            <w:proofErr w:type="spellEnd"/>
            <w:r w:rsidRPr="004E3683">
              <w:rPr>
                <w:sz w:val="28"/>
                <w:szCs w:val="28"/>
              </w:rPr>
              <w:t>, превышающей аналогичные показатели за прошлые периоды со дня начала управления внешним управляющим (</w:t>
            </w:r>
            <w:proofErr w:type="spellStart"/>
            <w:r w:rsidRPr="004E3683">
              <w:rPr>
                <w:sz w:val="28"/>
                <w:szCs w:val="28"/>
              </w:rPr>
              <w:t>net</w:t>
            </w:r>
            <w:proofErr w:type="spellEnd"/>
            <w:r w:rsidRPr="004E3683">
              <w:rPr>
                <w:sz w:val="28"/>
                <w:szCs w:val="28"/>
              </w:rPr>
              <w:t xml:space="preserve"> </w:t>
            </w:r>
            <w:proofErr w:type="spellStart"/>
            <w:r w:rsidRPr="004E3683">
              <w:rPr>
                <w:sz w:val="28"/>
                <w:szCs w:val="28"/>
              </w:rPr>
              <w:t>new</w:t>
            </w:r>
            <w:proofErr w:type="spellEnd"/>
            <w:r w:rsidRPr="004E3683">
              <w:rPr>
                <w:sz w:val="28"/>
                <w:szCs w:val="28"/>
              </w:rPr>
              <w:t xml:space="preserve"> </w:t>
            </w:r>
            <w:proofErr w:type="spellStart"/>
            <w:r w:rsidRPr="004E3683">
              <w:rPr>
                <w:sz w:val="28"/>
                <w:szCs w:val="28"/>
              </w:rPr>
              <w:t>high</w:t>
            </w:r>
            <w:proofErr w:type="spellEnd"/>
            <w:r w:rsidRPr="004E3683">
              <w:rPr>
                <w:sz w:val="28"/>
                <w:szCs w:val="28"/>
              </w:rPr>
              <w:t xml:space="preserve"> </w:t>
            </w:r>
            <w:proofErr w:type="spellStart"/>
            <w:r w:rsidRPr="004E3683">
              <w:rPr>
                <w:sz w:val="28"/>
                <w:szCs w:val="28"/>
              </w:rPr>
              <w:t>basis</w:t>
            </w:r>
            <w:proofErr w:type="spellEnd"/>
            <w:r w:rsidRPr="004E3683">
              <w:rPr>
                <w:sz w:val="28"/>
                <w:szCs w:val="28"/>
              </w:rPr>
              <w:t xml:space="preserve"> </w:t>
            </w:r>
            <w:proofErr w:type="spellStart"/>
            <w:r w:rsidRPr="004E3683">
              <w:rPr>
                <w:sz w:val="28"/>
                <w:szCs w:val="28"/>
              </w:rPr>
              <w:t>since</w:t>
            </w:r>
            <w:proofErr w:type="spellEnd"/>
            <w:r w:rsidRPr="004E3683">
              <w:rPr>
                <w:sz w:val="28"/>
                <w:szCs w:val="28"/>
              </w:rPr>
              <w:t xml:space="preserve"> </w:t>
            </w:r>
            <w:proofErr w:type="spellStart"/>
            <w:r w:rsidRPr="004E3683">
              <w:rPr>
                <w:sz w:val="28"/>
                <w:szCs w:val="28"/>
              </w:rPr>
              <w:t>inception</w:t>
            </w:r>
            <w:proofErr w:type="spellEnd"/>
            <w:r w:rsidRPr="004E3683">
              <w:rPr>
                <w:sz w:val="28"/>
                <w:szCs w:val="28"/>
              </w:rPr>
              <w:t xml:space="preserve">) (нет </w:t>
            </w:r>
            <w:proofErr w:type="spellStart"/>
            <w:r w:rsidRPr="004E3683">
              <w:rPr>
                <w:sz w:val="28"/>
                <w:szCs w:val="28"/>
              </w:rPr>
              <w:t>нью</w:t>
            </w:r>
            <w:proofErr w:type="spellEnd"/>
            <w:r w:rsidRPr="004E3683">
              <w:rPr>
                <w:sz w:val="28"/>
                <w:szCs w:val="28"/>
              </w:rPr>
              <w:t xml:space="preserve"> хай </w:t>
            </w:r>
            <w:proofErr w:type="spellStart"/>
            <w:r w:rsidRPr="004E3683">
              <w:rPr>
                <w:sz w:val="28"/>
                <w:szCs w:val="28"/>
              </w:rPr>
              <w:t>бейсис</w:t>
            </w:r>
            <w:proofErr w:type="spellEnd"/>
            <w:r w:rsidRPr="004E3683">
              <w:rPr>
                <w:sz w:val="28"/>
                <w:szCs w:val="28"/>
              </w:rPr>
              <w:t xml:space="preserve"> </w:t>
            </w:r>
            <w:proofErr w:type="spellStart"/>
            <w:r w:rsidRPr="004E3683">
              <w:rPr>
                <w:sz w:val="28"/>
                <w:szCs w:val="28"/>
              </w:rPr>
              <w:t>синс</w:t>
            </w:r>
            <w:proofErr w:type="spellEnd"/>
            <w:r w:rsidRPr="004E3683">
              <w:rPr>
                <w:sz w:val="28"/>
                <w:szCs w:val="28"/>
              </w:rPr>
              <w:t xml:space="preserve"> </w:t>
            </w:r>
            <w:proofErr w:type="spellStart"/>
            <w:r w:rsidRPr="004E3683">
              <w:rPr>
                <w:sz w:val="28"/>
                <w:szCs w:val="28"/>
              </w:rPr>
              <w:t>инсепшн</w:t>
            </w:r>
            <w:proofErr w:type="spellEnd"/>
            <w:r w:rsidRPr="004E3683">
              <w:rPr>
                <w:sz w:val="28"/>
                <w:szCs w:val="28"/>
              </w:rPr>
              <w:t>)</w:t>
            </w:r>
          </w:p>
        </w:tc>
        <w:tc>
          <w:tcPr>
            <w:tcW w:w="87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10 процентов</w:t>
            </w:r>
          </w:p>
        </w:tc>
        <w:tc>
          <w:tcPr>
            <w:tcW w:w="145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10 процентов</w:t>
            </w:r>
          </w:p>
        </w:tc>
        <w:tc>
          <w:tcPr>
            <w:tcW w:w="89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10 процентов</w:t>
            </w:r>
          </w:p>
        </w:tc>
      </w:tr>
      <w:tr w:rsidR="003238F4" w:rsidRPr="004E3683" w:rsidTr="002C2BBB">
        <w:trPr>
          <w:trHeight w:val="285"/>
          <w:jc w:val="center"/>
        </w:trPr>
        <w:tc>
          <w:tcPr>
            <w:tcW w:w="144" w:type="pct"/>
            <w:vMerge/>
          </w:tcPr>
          <w:p w:rsidR="003238F4" w:rsidRPr="004E3683" w:rsidRDefault="003238F4" w:rsidP="003238F4">
            <w:pPr>
              <w:tabs>
                <w:tab w:val="left" w:pos="993"/>
              </w:tabs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162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 xml:space="preserve">принятие условия по минимальному порогу </w:t>
            </w:r>
            <w:proofErr w:type="spellStart"/>
            <w:r w:rsidRPr="004E3683">
              <w:rPr>
                <w:sz w:val="28"/>
                <w:szCs w:val="28"/>
              </w:rPr>
              <w:t>сверхдоходности</w:t>
            </w:r>
            <w:proofErr w:type="spellEnd"/>
            <w:r w:rsidRPr="004E3683">
              <w:rPr>
                <w:sz w:val="28"/>
                <w:szCs w:val="28"/>
              </w:rPr>
              <w:t>, с которого начинается расчет комиссионного вознаграждения по результатам внешнего управления, не ниже базового комиссионного вознаграждения</w:t>
            </w:r>
          </w:p>
        </w:tc>
        <w:tc>
          <w:tcPr>
            <w:tcW w:w="87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15 процентов</w:t>
            </w:r>
          </w:p>
        </w:tc>
        <w:tc>
          <w:tcPr>
            <w:tcW w:w="145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15 процентов</w:t>
            </w:r>
          </w:p>
        </w:tc>
        <w:tc>
          <w:tcPr>
            <w:tcW w:w="89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15 процентов</w:t>
            </w:r>
          </w:p>
        </w:tc>
      </w:tr>
      <w:tr w:rsidR="003238F4" w:rsidRPr="004E3683" w:rsidTr="002C2BBB">
        <w:trPr>
          <w:trHeight w:val="285"/>
          <w:jc w:val="center"/>
        </w:trPr>
        <w:tc>
          <w:tcPr>
            <w:tcW w:w="144" w:type="pct"/>
            <w:vMerge w:val="restart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6.</w:t>
            </w:r>
          </w:p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162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Обучение работников Национального Банка</w:t>
            </w:r>
          </w:p>
        </w:tc>
        <w:tc>
          <w:tcPr>
            <w:tcW w:w="87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rFonts w:eastAsia="Calibri"/>
                <w:sz w:val="28"/>
                <w:szCs w:val="22"/>
                <w:lang w:eastAsia="en-US"/>
              </w:rPr>
              <w:t>10</w:t>
            </w:r>
            <w:r w:rsidRPr="004E3683">
              <w:rPr>
                <w:sz w:val="28"/>
                <w:szCs w:val="28"/>
              </w:rPr>
              <w:t xml:space="preserve"> баллов</w:t>
            </w:r>
          </w:p>
        </w:tc>
        <w:tc>
          <w:tcPr>
            <w:tcW w:w="145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10 баллов</w:t>
            </w:r>
          </w:p>
        </w:tc>
        <w:tc>
          <w:tcPr>
            <w:tcW w:w="89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10 баллов</w:t>
            </w:r>
          </w:p>
        </w:tc>
      </w:tr>
      <w:tr w:rsidR="003238F4" w:rsidRPr="004E3683" w:rsidTr="002C2BBB">
        <w:trPr>
          <w:trHeight w:val="285"/>
          <w:jc w:val="center"/>
        </w:trPr>
        <w:tc>
          <w:tcPr>
            <w:tcW w:w="144" w:type="pct"/>
            <w:vMerge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162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краткосрочное обучение продолжительностью 1 (один) – 2 (два) недели</w:t>
            </w:r>
          </w:p>
        </w:tc>
        <w:tc>
          <w:tcPr>
            <w:tcW w:w="87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50 процентов</w:t>
            </w:r>
          </w:p>
        </w:tc>
        <w:tc>
          <w:tcPr>
            <w:tcW w:w="145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50 процентов</w:t>
            </w:r>
          </w:p>
        </w:tc>
        <w:tc>
          <w:tcPr>
            <w:tcW w:w="89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50 процентов</w:t>
            </w:r>
          </w:p>
        </w:tc>
      </w:tr>
      <w:tr w:rsidR="003238F4" w:rsidRPr="004E3683" w:rsidTr="002C2BBB">
        <w:trPr>
          <w:trHeight w:val="285"/>
          <w:jc w:val="center"/>
        </w:trPr>
        <w:tc>
          <w:tcPr>
            <w:tcW w:w="144" w:type="pct"/>
            <w:vMerge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162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 xml:space="preserve">предоставление возможности прохождения стажировки и (или) </w:t>
            </w:r>
            <w:proofErr w:type="spellStart"/>
            <w:r w:rsidRPr="004E3683">
              <w:rPr>
                <w:sz w:val="28"/>
                <w:szCs w:val="28"/>
              </w:rPr>
              <w:t>секондмента</w:t>
            </w:r>
            <w:proofErr w:type="spellEnd"/>
            <w:r w:rsidRPr="004E3683">
              <w:rPr>
                <w:sz w:val="28"/>
                <w:szCs w:val="28"/>
              </w:rPr>
              <w:t xml:space="preserve"> продолжительностью от 1 (один) месяца</w:t>
            </w:r>
          </w:p>
        </w:tc>
        <w:tc>
          <w:tcPr>
            <w:tcW w:w="87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50 процентов</w:t>
            </w:r>
          </w:p>
        </w:tc>
        <w:tc>
          <w:tcPr>
            <w:tcW w:w="145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50 процентов</w:t>
            </w:r>
          </w:p>
        </w:tc>
        <w:tc>
          <w:tcPr>
            <w:tcW w:w="896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50 процентов</w:t>
            </w:r>
          </w:p>
        </w:tc>
      </w:tr>
    </w:tbl>
    <w:p w:rsidR="003238F4" w:rsidRPr="004E3683" w:rsidRDefault="003238F4" w:rsidP="003238F4">
      <w:pPr>
        <w:overflowPunct/>
        <w:autoSpaceDE/>
        <w:autoSpaceDN/>
        <w:adjustRightInd/>
        <w:rPr>
          <w:rFonts w:eastAsia="Calibri"/>
          <w:sz w:val="28"/>
          <w:szCs w:val="28"/>
          <w:lang w:eastAsia="en-US"/>
        </w:rPr>
      </w:pPr>
    </w:p>
    <w:p w:rsidR="003238F4" w:rsidRPr="004E3683" w:rsidRDefault="003238F4" w:rsidP="003238F4">
      <w:pPr>
        <w:overflowPunct/>
        <w:autoSpaceDE/>
        <w:autoSpaceDN/>
        <w:adjustRightInd/>
        <w:ind w:firstLine="709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Таблица 2. Оценочные критерии для</w:t>
      </w:r>
      <w:r w:rsidRPr="004E3683">
        <w:rPr>
          <w:rFonts w:eastAsia="Calibri"/>
          <w:bCs/>
          <w:sz w:val="28"/>
          <w:szCs w:val="28"/>
          <w:lang w:eastAsia="en-US"/>
        </w:rPr>
        <w:t xml:space="preserve"> осуществления</w:t>
      </w:r>
      <w:r w:rsidRPr="004E3683">
        <w:rPr>
          <w:rFonts w:eastAsia="Calibri"/>
          <w:sz w:val="28"/>
          <w:szCs w:val="28"/>
          <w:lang w:eastAsia="en-US"/>
        </w:rPr>
        <w:t xml:space="preserve"> сравнительного анализа предложений потенциальных внешних управляющих активами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 xml:space="preserve">Национального фонда </w:t>
      </w:r>
      <w:r w:rsidRPr="004E3683">
        <w:rPr>
          <w:rFonts w:eastAsia="Calibri"/>
          <w:sz w:val="28"/>
          <w:szCs w:val="28"/>
          <w:lang w:eastAsia="en-US"/>
        </w:rPr>
        <w:t xml:space="preserve">и пенсионными активами </w:t>
      </w:r>
    </w:p>
    <w:p w:rsidR="003238F4" w:rsidRPr="004E3683" w:rsidRDefault="003238F4" w:rsidP="003238F4">
      <w:pPr>
        <w:overflowPunct/>
        <w:autoSpaceDE/>
        <w:autoSpaceDN/>
        <w:adjustRightInd/>
        <w:rPr>
          <w:rFonts w:eastAsia="Calibri"/>
          <w:sz w:val="28"/>
          <w:szCs w:val="28"/>
          <w:lang w:eastAsia="en-US"/>
        </w:rPr>
      </w:pPr>
    </w:p>
    <w:tbl>
      <w:tblPr>
        <w:tblW w:w="5145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"/>
        <w:gridCol w:w="2907"/>
        <w:gridCol w:w="1698"/>
        <w:gridCol w:w="2838"/>
        <w:gridCol w:w="1967"/>
      </w:tblGrid>
      <w:tr w:rsidR="003238F4" w:rsidRPr="004E3683" w:rsidTr="002C2BBB">
        <w:trPr>
          <w:jc w:val="center"/>
        </w:trPr>
        <w:tc>
          <w:tcPr>
            <w:tcW w:w="24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46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Оценочные критерии</w:t>
            </w:r>
          </w:p>
        </w:tc>
        <w:tc>
          <w:tcPr>
            <w:tcW w:w="328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Балл, присваиваемый критериям (значимость показателя определена в процентах)</w:t>
            </w:r>
          </w:p>
        </w:tc>
      </w:tr>
      <w:tr w:rsidR="003238F4" w:rsidRPr="004E3683" w:rsidTr="002C2BBB">
        <w:trPr>
          <w:jc w:val="center"/>
        </w:trPr>
        <w:tc>
          <w:tcPr>
            <w:tcW w:w="24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Глобальный мандат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Специализированный мандат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Региональный мандат</w:t>
            </w:r>
          </w:p>
        </w:tc>
      </w:tr>
      <w:tr w:rsidR="003238F4" w:rsidRPr="004E3683" w:rsidTr="002C2BBB">
        <w:trPr>
          <w:jc w:val="center"/>
        </w:trPr>
        <w:tc>
          <w:tcPr>
            <w:tcW w:w="24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4"/>
                <w:szCs w:val="22"/>
              </w:rPr>
            </w:pPr>
            <w:r w:rsidRPr="004E3683">
              <w:rPr>
                <w:sz w:val="28"/>
                <w:szCs w:val="28"/>
              </w:rPr>
              <w:t>Исторические результаты управления портфелем (при осуществлении сравнительного анализа предложений потенциальных внешних управляющих, специализирующихся на региональных мандатах и участвующих в выборе управляющего по глобальному мандату, показатели нормируются в зависимости от охвата соответствующего мандата)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40 баллов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45 баллов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45 баллов</w:t>
            </w:r>
          </w:p>
        </w:tc>
      </w:tr>
      <w:tr w:rsidR="003238F4" w:rsidRPr="004E3683" w:rsidTr="002C2BBB">
        <w:trPr>
          <w:jc w:val="center"/>
        </w:trPr>
        <w:tc>
          <w:tcPr>
            <w:tcW w:w="24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4E3683">
              <w:rPr>
                <w:rFonts w:eastAsia="Calibri"/>
                <w:sz w:val="28"/>
                <w:szCs w:val="28"/>
                <w:lang w:eastAsia="en-US"/>
              </w:rPr>
              <w:t>сверхдоходность</w:t>
            </w:r>
            <w:proofErr w:type="spellEnd"/>
            <w:r w:rsidRPr="004E3683">
              <w:rPr>
                <w:rFonts w:eastAsia="Calibri"/>
                <w:sz w:val="28"/>
                <w:szCs w:val="28"/>
                <w:lang w:eastAsia="en-US"/>
              </w:rPr>
              <w:t xml:space="preserve"> за последние 3 (три) – 5 (пять) лет (в случае если показатель </w:t>
            </w:r>
            <w:proofErr w:type="spellStart"/>
            <w:r w:rsidRPr="004E3683">
              <w:rPr>
                <w:rFonts w:eastAsia="Calibri"/>
                <w:sz w:val="28"/>
                <w:szCs w:val="28"/>
                <w:lang w:eastAsia="en-US"/>
              </w:rPr>
              <w:t>сверхдоходности</w:t>
            </w:r>
            <w:proofErr w:type="spellEnd"/>
            <w:r w:rsidRPr="004E3683">
              <w:rPr>
                <w:rFonts w:eastAsia="Calibri"/>
                <w:sz w:val="28"/>
                <w:szCs w:val="28"/>
                <w:lang w:eastAsia="en-US"/>
              </w:rPr>
              <w:t xml:space="preserve"> за период менее 5 (пять) лет положительный, показатель нормируется относительно периода в 5 (пять) лет)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40 процентов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40 процентов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40 процентов</w:t>
            </w:r>
          </w:p>
        </w:tc>
      </w:tr>
      <w:tr w:rsidR="003238F4" w:rsidRPr="004E3683" w:rsidTr="002C2BBB">
        <w:trPr>
          <w:jc w:val="center"/>
        </w:trPr>
        <w:tc>
          <w:tcPr>
            <w:tcW w:w="24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информационный коэффициент (</w:t>
            </w:r>
            <w:proofErr w:type="spellStart"/>
            <w:r w:rsidRPr="004E3683">
              <w:rPr>
                <w:rFonts w:eastAsia="Calibri"/>
                <w:sz w:val="28"/>
                <w:szCs w:val="28"/>
                <w:lang w:eastAsia="en-US"/>
              </w:rPr>
              <w:t>information</w:t>
            </w:r>
            <w:proofErr w:type="spellEnd"/>
            <w:r w:rsidRPr="004E3683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E3683">
              <w:rPr>
                <w:rFonts w:eastAsia="Calibri"/>
                <w:sz w:val="28"/>
                <w:szCs w:val="28"/>
                <w:lang w:eastAsia="en-US"/>
              </w:rPr>
              <w:t>ratio</w:t>
            </w:r>
            <w:proofErr w:type="spellEnd"/>
            <w:r w:rsidRPr="004E3683">
              <w:rPr>
                <w:rFonts w:eastAsia="Calibri"/>
                <w:sz w:val="28"/>
                <w:szCs w:val="28"/>
                <w:lang w:eastAsia="en-US"/>
              </w:rPr>
              <w:t>) (</w:t>
            </w:r>
            <w:proofErr w:type="spellStart"/>
            <w:r w:rsidRPr="004E3683">
              <w:rPr>
                <w:rFonts w:eastAsia="Calibri"/>
                <w:sz w:val="28"/>
                <w:szCs w:val="28"/>
                <w:lang w:eastAsia="en-US"/>
              </w:rPr>
              <w:t>информейшн</w:t>
            </w:r>
            <w:proofErr w:type="spellEnd"/>
            <w:r w:rsidRPr="004E3683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E3683">
              <w:rPr>
                <w:rFonts w:eastAsia="Calibri"/>
                <w:sz w:val="28"/>
                <w:szCs w:val="28"/>
                <w:lang w:eastAsia="en-US"/>
              </w:rPr>
              <w:t>рейшио</w:t>
            </w:r>
            <w:proofErr w:type="spellEnd"/>
            <w:r w:rsidRPr="004E3683">
              <w:rPr>
                <w:rFonts w:eastAsia="Calibri"/>
                <w:sz w:val="28"/>
                <w:szCs w:val="28"/>
                <w:lang w:eastAsia="en-US"/>
              </w:rPr>
              <w:t>) за последние 3 (три) – 5 (пять) лет (в случае если показатель информационного коэффициента (</w:t>
            </w:r>
            <w:proofErr w:type="spellStart"/>
            <w:r w:rsidRPr="004E3683">
              <w:rPr>
                <w:rFonts w:eastAsia="Calibri"/>
                <w:sz w:val="28"/>
                <w:szCs w:val="28"/>
                <w:lang w:eastAsia="en-US"/>
              </w:rPr>
              <w:t>information</w:t>
            </w:r>
            <w:proofErr w:type="spellEnd"/>
            <w:r w:rsidRPr="004E3683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E3683">
              <w:rPr>
                <w:rFonts w:eastAsia="Calibri"/>
                <w:sz w:val="28"/>
                <w:szCs w:val="28"/>
                <w:lang w:eastAsia="en-US"/>
              </w:rPr>
              <w:t>ratio</w:t>
            </w:r>
            <w:proofErr w:type="spellEnd"/>
            <w:r w:rsidRPr="004E3683">
              <w:rPr>
                <w:rFonts w:eastAsia="Calibri"/>
                <w:sz w:val="28"/>
                <w:szCs w:val="28"/>
                <w:lang w:eastAsia="en-US"/>
              </w:rPr>
              <w:t>) (</w:t>
            </w:r>
            <w:proofErr w:type="spellStart"/>
            <w:r w:rsidRPr="004E3683">
              <w:rPr>
                <w:rFonts w:eastAsia="Calibri"/>
                <w:sz w:val="28"/>
                <w:szCs w:val="28"/>
                <w:lang w:eastAsia="en-US"/>
              </w:rPr>
              <w:t>информейшн</w:t>
            </w:r>
            <w:proofErr w:type="spellEnd"/>
            <w:r w:rsidRPr="004E3683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E3683">
              <w:rPr>
                <w:rFonts w:eastAsia="Calibri"/>
                <w:sz w:val="28"/>
                <w:szCs w:val="28"/>
                <w:lang w:eastAsia="en-US"/>
              </w:rPr>
              <w:t>рейшио</w:t>
            </w:r>
            <w:proofErr w:type="spellEnd"/>
            <w:r w:rsidRPr="004E3683">
              <w:rPr>
                <w:rFonts w:eastAsia="Calibri"/>
                <w:sz w:val="28"/>
                <w:szCs w:val="28"/>
                <w:lang w:eastAsia="en-US"/>
              </w:rPr>
              <w:t>) за период менее 5 (пять) лет положительный, показатель нормируется относительно периода в 5 (пять) лет)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60 процентов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60 процентов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60 процентов</w:t>
            </w:r>
          </w:p>
        </w:tc>
      </w:tr>
      <w:tr w:rsidR="003238F4" w:rsidRPr="004E3683" w:rsidTr="002C2BBB">
        <w:trPr>
          <w:jc w:val="center"/>
        </w:trPr>
        <w:tc>
          <w:tcPr>
            <w:tcW w:w="24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Организация и активы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15 баллов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15 баллов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15 баллов</w:t>
            </w:r>
          </w:p>
        </w:tc>
      </w:tr>
      <w:tr w:rsidR="003238F4" w:rsidRPr="004E3683" w:rsidTr="002C2BBB">
        <w:trPr>
          <w:jc w:val="center"/>
        </w:trPr>
        <w:tc>
          <w:tcPr>
            <w:tcW w:w="24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 xml:space="preserve">участие сотрудников в структуре капитала организации 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25 процентов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25 процентов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25 процентов</w:t>
            </w:r>
          </w:p>
        </w:tc>
      </w:tr>
      <w:tr w:rsidR="003238F4" w:rsidRPr="004E3683" w:rsidTr="002C2BBB">
        <w:trPr>
          <w:jc w:val="center"/>
        </w:trPr>
        <w:tc>
          <w:tcPr>
            <w:tcW w:w="24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среднегодовое изменение (в процентах) активов под управлением (оттоки и притоки за последние 3 (три) – 5 (пять) лет или с начала управления)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25 процентов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25 процентов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25 процентов</w:t>
            </w:r>
          </w:p>
        </w:tc>
      </w:tr>
      <w:tr w:rsidR="003238F4" w:rsidRPr="004E3683" w:rsidTr="002C2BBB">
        <w:trPr>
          <w:jc w:val="center"/>
        </w:trPr>
        <w:tc>
          <w:tcPr>
            <w:tcW w:w="24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процент объема активов по данному рассматриваемому мандату к общим активам под управлением (при осуществлении сравнительного анализа предложений потенциальных внешних управляющих, специализирующихся на региональных мандатах и участвующих в выборе управляющего по глобальному мандату, используется объем активов по региональным мандатам. Данное значение нормируется в зависимости от охвата соответствующего мандата)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25 процентов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25 процентов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25 процентов</w:t>
            </w:r>
          </w:p>
        </w:tc>
      </w:tr>
      <w:tr w:rsidR="003238F4" w:rsidRPr="004E3683" w:rsidTr="002C2BBB">
        <w:trPr>
          <w:jc w:val="center"/>
        </w:trPr>
        <w:tc>
          <w:tcPr>
            <w:tcW w:w="24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доля объема активов институциональных инвесторов к общим активам под управлением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25 процентов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25 процентов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25 процентов</w:t>
            </w:r>
          </w:p>
        </w:tc>
      </w:tr>
      <w:tr w:rsidR="003238F4" w:rsidRPr="004E3683" w:rsidTr="002C2BBB">
        <w:trPr>
          <w:jc w:val="center"/>
        </w:trPr>
        <w:tc>
          <w:tcPr>
            <w:tcW w:w="24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Команда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15 баллов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15 баллов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15 баллов</w:t>
            </w:r>
          </w:p>
        </w:tc>
      </w:tr>
      <w:tr w:rsidR="003238F4" w:rsidRPr="004E3683" w:rsidTr="002C2BBB">
        <w:trPr>
          <w:jc w:val="center"/>
        </w:trPr>
        <w:tc>
          <w:tcPr>
            <w:tcW w:w="24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средний опыт работы портфельных менеджеров и аналитиков, ответственных за управление активами по соответствующему мандату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50 процентов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50 процентов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50 процентов</w:t>
            </w:r>
          </w:p>
        </w:tc>
      </w:tr>
      <w:tr w:rsidR="003238F4" w:rsidRPr="004E3683" w:rsidTr="002C2BBB">
        <w:trPr>
          <w:jc w:val="center"/>
        </w:trPr>
        <w:tc>
          <w:tcPr>
            <w:tcW w:w="24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передвижение персонала, ответственного за управление активами, переданными во внешнее управление (портфельные менеджеры, аналитики, трейдеры), в целом по компании (учитывается наименьшее значение)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50 процентов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50 процентов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50 процентов</w:t>
            </w:r>
          </w:p>
        </w:tc>
      </w:tr>
      <w:tr w:rsidR="003238F4" w:rsidRPr="004E3683" w:rsidTr="002C2BBB">
        <w:trPr>
          <w:jc w:val="center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Наличие вида страхования интересов клиентов от действий или бездействий внешнего управляющего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5 баллов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5 баллов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5 баллов</w:t>
            </w:r>
          </w:p>
        </w:tc>
      </w:tr>
      <w:tr w:rsidR="003238F4" w:rsidRPr="004E3683" w:rsidTr="002C2BBB">
        <w:trPr>
          <w:jc w:val="center"/>
        </w:trPr>
        <w:tc>
          <w:tcPr>
            <w:tcW w:w="24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Уровень комиссионного вознаграждения за управление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10 баллов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10 баллов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10 баллов</w:t>
            </w:r>
          </w:p>
        </w:tc>
      </w:tr>
      <w:tr w:rsidR="003238F4" w:rsidRPr="004E3683" w:rsidTr="002C2BBB">
        <w:trPr>
          <w:jc w:val="center"/>
        </w:trPr>
        <w:tc>
          <w:tcPr>
            <w:tcW w:w="24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уровень базового комиссионного вознаграждения (учитывается наименьшее значение)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75 процентов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75 процентов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75 процентов</w:t>
            </w:r>
          </w:p>
        </w:tc>
      </w:tr>
      <w:tr w:rsidR="003238F4" w:rsidRPr="004E3683" w:rsidTr="002C2BBB">
        <w:trPr>
          <w:jc w:val="center"/>
        </w:trPr>
        <w:tc>
          <w:tcPr>
            <w:tcW w:w="24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 xml:space="preserve">принятие принципа выплаты комиссионного вознаграждения по результатам внешнего управления в случае достижения положительной </w:t>
            </w:r>
            <w:proofErr w:type="spellStart"/>
            <w:r w:rsidRPr="004E3683">
              <w:rPr>
                <w:rFonts w:eastAsia="Calibri"/>
                <w:sz w:val="28"/>
                <w:szCs w:val="28"/>
                <w:lang w:eastAsia="en-US"/>
              </w:rPr>
              <w:t>сверхдоходности</w:t>
            </w:r>
            <w:proofErr w:type="spellEnd"/>
            <w:r w:rsidRPr="004E3683">
              <w:rPr>
                <w:rFonts w:eastAsia="Calibri"/>
                <w:sz w:val="28"/>
                <w:szCs w:val="28"/>
                <w:lang w:eastAsia="en-US"/>
              </w:rPr>
              <w:t>, превышающей аналогичные показатели за прошлые периоды со дня начала управления внешним управляющим (</w:t>
            </w:r>
            <w:proofErr w:type="spellStart"/>
            <w:r w:rsidRPr="004E3683">
              <w:rPr>
                <w:rFonts w:eastAsia="Calibri"/>
                <w:sz w:val="28"/>
                <w:szCs w:val="28"/>
                <w:lang w:eastAsia="en-US"/>
              </w:rPr>
              <w:t>net</w:t>
            </w:r>
            <w:proofErr w:type="spellEnd"/>
            <w:r w:rsidRPr="004E3683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E3683">
              <w:rPr>
                <w:rFonts w:eastAsia="Calibri"/>
                <w:sz w:val="28"/>
                <w:szCs w:val="28"/>
                <w:lang w:eastAsia="en-US"/>
              </w:rPr>
              <w:t>new</w:t>
            </w:r>
            <w:proofErr w:type="spellEnd"/>
            <w:r w:rsidRPr="004E3683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E3683">
              <w:rPr>
                <w:rFonts w:eastAsia="Calibri"/>
                <w:sz w:val="28"/>
                <w:szCs w:val="28"/>
                <w:lang w:eastAsia="en-US"/>
              </w:rPr>
              <w:t>high</w:t>
            </w:r>
            <w:proofErr w:type="spellEnd"/>
            <w:r w:rsidRPr="004E3683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E3683">
              <w:rPr>
                <w:rFonts w:eastAsia="Calibri"/>
                <w:sz w:val="28"/>
                <w:szCs w:val="28"/>
                <w:lang w:eastAsia="en-US"/>
              </w:rPr>
              <w:t>basis</w:t>
            </w:r>
            <w:proofErr w:type="spellEnd"/>
            <w:r w:rsidRPr="004E3683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E3683">
              <w:rPr>
                <w:rFonts w:eastAsia="Calibri"/>
                <w:sz w:val="28"/>
                <w:szCs w:val="28"/>
                <w:lang w:eastAsia="en-US"/>
              </w:rPr>
              <w:t>since</w:t>
            </w:r>
            <w:proofErr w:type="spellEnd"/>
            <w:r w:rsidRPr="004E3683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E3683">
              <w:rPr>
                <w:rFonts w:eastAsia="Calibri"/>
                <w:sz w:val="28"/>
                <w:szCs w:val="28"/>
                <w:lang w:eastAsia="en-US"/>
              </w:rPr>
              <w:t>inception</w:t>
            </w:r>
            <w:proofErr w:type="spellEnd"/>
            <w:r w:rsidRPr="004E3683">
              <w:rPr>
                <w:rFonts w:eastAsia="Calibri"/>
                <w:sz w:val="28"/>
                <w:szCs w:val="28"/>
                <w:lang w:eastAsia="en-US"/>
              </w:rPr>
              <w:t>)</w:t>
            </w:r>
            <w:r w:rsidRPr="004E3683">
              <w:rPr>
                <w:sz w:val="28"/>
                <w:szCs w:val="28"/>
              </w:rPr>
              <w:t xml:space="preserve"> </w:t>
            </w:r>
            <w:r w:rsidRPr="004E3683">
              <w:rPr>
                <w:rFonts w:eastAsia="Calibri"/>
                <w:sz w:val="28"/>
                <w:szCs w:val="28"/>
                <w:lang w:eastAsia="en-US"/>
              </w:rPr>
              <w:t xml:space="preserve">(нет </w:t>
            </w:r>
            <w:proofErr w:type="spellStart"/>
            <w:r w:rsidRPr="004E3683">
              <w:rPr>
                <w:rFonts w:eastAsia="Calibri"/>
                <w:sz w:val="28"/>
                <w:szCs w:val="28"/>
                <w:lang w:eastAsia="en-US"/>
              </w:rPr>
              <w:t>нью</w:t>
            </w:r>
            <w:proofErr w:type="spellEnd"/>
            <w:r w:rsidRPr="004E3683">
              <w:rPr>
                <w:rFonts w:eastAsia="Calibri"/>
                <w:sz w:val="28"/>
                <w:szCs w:val="28"/>
                <w:lang w:eastAsia="en-US"/>
              </w:rPr>
              <w:t xml:space="preserve"> хай </w:t>
            </w:r>
            <w:proofErr w:type="spellStart"/>
            <w:r w:rsidRPr="004E3683">
              <w:rPr>
                <w:rFonts w:eastAsia="Calibri"/>
                <w:sz w:val="28"/>
                <w:szCs w:val="28"/>
                <w:lang w:eastAsia="en-US"/>
              </w:rPr>
              <w:t>бейсис</w:t>
            </w:r>
            <w:proofErr w:type="spellEnd"/>
            <w:r w:rsidRPr="004E3683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E3683">
              <w:rPr>
                <w:rFonts w:eastAsia="Calibri"/>
                <w:sz w:val="28"/>
                <w:szCs w:val="28"/>
                <w:lang w:eastAsia="en-US"/>
              </w:rPr>
              <w:t>синс</w:t>
            </w:r>
            <w:proofErr w:type="spellEnd"/>
            <w:r w:rsidRPr="004E3683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E3683">
              <w:rPr>
                <w:rFonts w:eastAsia="Calibri"/>
                <w:sz w:val="28"/>
                <w:szCs w:val="28"/>
                <w:lang w:eastAsia="en-US"/>
              </w:rPr>
              <w:t>инсепшн</w:t>
            </w:r>
            <w:proofErr w:type="spellEnd"/>
            <w:r w:rsidRPr="004E3683">
              <w:rPr>
                <w:rFonts w:eastAsia="Calibri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10 процентов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10 процентов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10 процентов</w:t>
            </w:r>
          </w:p>
        </w:tc>
      </w:tr>
      <w:tr w:rsidR="003238F4" w:rsidRPr="004E3683" w:rsidTr="002C2BBB">
        <w:trPr>
          <w:jc w:val="center"/>
        </w:trPr>
        <w:tc>
          <w:tcPr>
            <w:tcW w:w="24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 xml:space="preserve">принятие условия по минимальному порогу </w:t>
            </w:r>
            <w:proofErr w:type="spellStart"/>
            <w:r w:rsidRPr="004E3683">
              <w:rPr>
                <w:rFonts w:eastAsia="Calibri"/>
                <w:sz w:val="28"/>
                <w:szCs w:val="28"/>
                <w:lang w:eastAsia="en-US"/>
              </w:rPr>
              <w:t>сверхдоходности</w:t>
            </w:r>
            <w:proofErr w:type="spellEnd"/>
            <w:r w:rsidRPr="004E3683">
              <w:rPr>
                <w:rFonts w:eastAsia="Calibri"/>
                <w:sz w:val="28"/>
                <w:szCs w:val="28"/>
                <w:lang w:eastAsia="en-US"/>
              </w:rPr>
              <w:t>, с которого начинается расчет комиссионного вознаграждения по результатам внешнего управления, не ниже базового комиссионного вознаграждения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15 процентов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15 процентов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15 процентов</w:t>
            </w:r>
          </w:p>
        </w:tc>
      </w:tr>
      <w:tr w:rsidR="003238F4" w:rsidRPr="004E3683" w:rsidTr="002C2BBB">
        <w:trPr>
          <w:jc w:val="center"/>
        </w:trPr>
        <w:tc>
          <w:tcPr>
            <w:tcW w:w="24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Обучение работников Национального Банка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8 баллов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10 баллов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10 баллов</w:t>
            </w:r>
          </w:p>
        </w:tc>
      </w:tr>
      <w:tr w:rsidR="003238F4" w:rsidRPr="004E3683" w:rsidTr="002C2BBB">
        <w:trPr>
          <w:jc w:val="center"/>
        </w:trPr>
        <w:tc>
          <w:tcPr>
            <w:tcW w:w="24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краткосрочное обучение продолжительностью в 1 (один) – 2 (два) недели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50 процентов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50 процентов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50 процентов</w:t>
            </w:r>
          </w:p>
        </w:tc>
      </w:tr>
      <w:tr w:rsidR="003238F4" w:rsidRPr="004E3683" w:rsidTr="002C2BBB">
        <w:trPr>
          <w:jc w:val="center"/>
        </w:trPr>
        <w:tc>
          <w:tcPr>
            <w:tcW w:w="24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 xml:space="preserve">предоставление возможности прохождения стажировки и (или) </w:t>
            </w:r>
            <w:proofErr w:type="spellStart"/>
            <w:r w:rsidRPr="004E3683">
              <w:rPr>
                <w:rFonts w:eastAsia="Calibri"/>
                <w:sz w:val="28"/>
                <w:szCs w:val="28"/>
                <w:lang w:eastAsia="en-US"/>
              </w:rPr>
              <w:t>секондмента</w:t>
            </w:r>
            <w:proofErr w:type="spellEnd"/>
            <w:r w:rsidRPr="004E3683">
              <w:rPr>
                <w:rFonts w:eastAsia="Calibri"/>
                <w:sz w:val="28"/>
                <w:szCs w:val="28"/>
                <w:lang w:eastAsia="en-US"/>
              </w:rPr>
              <w:t xml:space="preserve"> продолжительностью от 1 (один) месяца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50 процентов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50 процентов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50 процентов</w:t>
            </w:r>
          </w:p>
        </w:tc>
      </w:tr>
      <w:tr w:rsidR="003238F4" w:rsidRPr="004E3683" w:rsidTr="002C2BBB">
        <w:trPr>
          <w:jc w:val="center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Предоставление</w:t>
            </w:r>
          </w:p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письма-обязательства о создании юридического лица на территории Международного финансового центра «Астана» или аккредитации в качестве участника Международного финансового центра «Астана» согласно действующему праву Международного финансового центра «Астана» с целью осуществления соответствующей финансовой деятельности, либо предоставление письма-подтверждения об осуществлении финансовой деятельности потенциальным внешним управляющим в качестве участника Международного финансового центра «Астана»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7 баллов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0 баллов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0 баллов</w:t>
            </w:r>
          </w:p>
        </w:tc>
      </w:tr>
    </w:tbl>
    <w:p w:rsidR="003238F4" w:rsidRPr="004E3683" w:rsidRDefault="003238F4" w:rsidP="003238F4">
      <w:pPr>
        <w:overflowPunct/>
        <w:autoSpaceDE/>
        <w:autoSpaceDN/>
        <w:adjustRightInd/>
        <w:rPr>
          <w:rFonts w:eastAsia="Calibri"/>
          <w:sz w:val="28"/>
          <w:szCs w:val="28"/>
          <w:lang w:eastAsia="en-US"/>
        </w:rPr>
      </w:pPr>
    </w:p>
    <w:p w:rsidR="003238F4" w:rsidRPr="004E3683" w:rsidRDefault="003238F4" w:rsidP="003238F4">
      <w:pPr>
        <w:overflowPunct/>
        <w:autoSpaceDE/>
        <w:autoSpaceDN/>
        <w:adjustRightInd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Примечание: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1. Оценкой предложения </w:t>
      </w:r>
      <w:r w:rsidRPr="004E3683">
        <w:rPr>
          <w:rFonts w:eastAsia="Calibri"/>
          <w:bCs/>
          <w:sz w:val="28"/>
          <w:szCs w:val="28"/>
          <w:lang w:eastAsia="en-US"/>
        </w:rPr>
        <w:t>потенциального</w:t>
      </w:r>
      <w:r w:rsidRPr="004E3683">
        <w:rPr>
          <w:rFonts w:eastAsia="Calibri"/>
          <w:sz w:val="28"/>
          <w:szCs w:val="28"/>
          <w:lang w:eastAsia="en-US"/>
        </w:rPr>
        <w:t xml:space="preserve"> внешнего управляющего служит сумма баллов по всем оценочным критериям в соответствии с их значимостью.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2. Для расчета баллов каждый показатель подлежит нормированию относительно наилучшего показателя в рассматриваемом критерии по всем потенциальным внешним управляющим.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При этом нормированный показатель потенциального внешнего управляющего – это отношение показателя внешнего управляющего к максимальному значению показателя по рассматриваемому критерию.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3. Если внешний управляющий управляет активами по объявленному мандату в рамках другого мандата, осуществляется оценка исторических результатов управления данными активами в рамках другого мандата.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4. При оценке обучения работников Национального Банка используется следующая система показателей: 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4846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28"/>
        <w:gridCol w:w="3193"/>
      </w:tblGrid>
      <w:tr w:rsidR="003238F4" w:rsidRPr="004E3683" w:rsidTr="002C2BBB">
        <w:trPr>
          <w:jc w:val="center"/>
        </w:trPr>
        <w:tc>
          <w:tcPr>
            <w:tcW w:w="32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ind w:firstLine="709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Показатель (условия обучения работников)</w:t>
            </w:r>
          </w:p>
        </w:tc>
        <w:tc>
          <w:tcPr>
            <w:tcW w:w="17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Балл, присваиваемый показателю</w:t>
            </w:r>
          </w:p>
        </w:tc>
      </w:tr>
      <w:tr w:rsidR="003238F4" w:rsidRPr="004E3683" w:rsidTr="002C2BBB">
        <w:trPr>
          <w:jc w:val="center"/>
        </w:trPr>
        <w:tc>
          <w:tcPr>
            <w:tcW w:w="32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Внешний управляющий оплачивает перелет, проживание, питание</w:t>
            </w:r>
          </w:p>
        </w:tc>
        <w:tc>
          <w:tcPr>
            <w:tcW w:w="1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ind w:firstLine="709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</w:tr>
      <w:tr w:rsidR="003238F4" w:rsidRPr="004E3683" w:rsidTr="002C2BBB">
        <w:trPr>
          <w:jc w:val="center"/>
        </w:trPr>
        <w:tc>
          <w:tcPr>
            <w:tcW w:w="32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Внешний управляющий оплачивает проживание, питание</w:t>
            </w:r>
          </w:p>
        </w:tc>
        <w:tc>
          <w:tcPr>
            <w:tcW w:w="1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ind w:firstLine="709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0.5</w:t>
            </w:r>
          </w:p>
        </w:tc>
      </w:tr>
      <w:tr w:rsidR="003238F4" w:rsidRPr="004E3683" w:rsidTr="002C2BBB">
        <w:trPr>
          <w:jc w:val="center"/>
        </w:trPr>
        <w:tc>
          <w:tcPr>
            <w:tcW w:w="32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Внешний управляющий оплачивает проживание</w:t>
            </w:r>
          </w:p>
        </w:tc>
        <w:tc>
          <w:tcPr>
            <w:tcW w:w="1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ind w:firstLine="709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0.2</w:t>
            </w:r>
          </w:p>
        </w:tc>
      </w:tr>
    </w:tbl>
    <w:p w:rsidR="003238F4" w:rsidRPr="004E3683" w:rsidRDefault="003238F4" w:rsidP="003238F4">
      <w:pPr>
        <w:overflowPunct/>
        <w:autoSpaceDE/>
        <w:autoSpaceDN/>
        <w:adjustRightInd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br w:type="page"/>
      </w:r>
    </w:p>
    <w:p w:rsidR="003238F4" w:rsidRPr="004E3683" w:rsidRDefault="003238F4" w:rsidP="003238F4">
      <w:pPr>
        <w:overflowPunct/>
        <w:autoSpaceDE/>
        <w:autoSpaceDN/>
        <w:adjustRightInd/>
        <w:ind w:left="3540" w:firstLine="708"/>
        <w:jc w:val="right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Приложение 3 </w:t>
      </w:r>
    </w:p>
    <w:p w:rsidR="003238F4" w:rsidRPr="004E3683" w:rsidRDefault="003238F4" w:rsidP="003238F4">
      <w:pPr>
        <w:overflowPunct/>
        <w:autoSpaceDE/>
        <w:autoSpaceDN/>
        <w:adjustRightInd/>
        <w:jc w:val="right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к </w:t>
      </w:r>
      <w:r w:rsidRPr="004E3683">
        <w:rPr>
          <w:rFonts w:eastAsia="Calibri"/>
          <w:bCs/>
          <w:sz w:val="28"/>
          <w:szCs w:val="28"/>
          <w:lang w:eastAsia="en-US"/>
        </w:rPr>
        <w:t>Правилам</w:t>
      </w:r>
      <w:r w:rsidRPr="004E3683">
        <w:rPr>
          <w:rFonts w:eastAsia="Calibri"/>
          <w:sz w:val="28"/>
          <w:szCs w:val="28"/>
          <w:lang w:eastAsia="en-US"/>
        </w:rPr>
        <w:t xml:space="preserve"> выбора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right"/>
        <w:rPr>
          <w:rFonts w:eastAsia="Calibri"/>
          <w:bCs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 xml:space="preserve">внешних управляющих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right"/>
        <w:rPr>
          <w:rFonts w:eastAsia="Calibri"/>
          <w:bCs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 xml:space="preserve">золотовалютными активами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right"/>
        <w:rPr>
          <w:rFonts w:eastAsia="Calibri"/>
          <w:bCs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 xml:space="preserve">Национального Банка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right"/>
        <w:rPr>
          <w:rFonts w:eastAsia="Calibri"/>
          <w:bCs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 xml:space="preserve">Республики Казахстан,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right"/>
        <w:rPr>
          <w:rFonts w:eastAsia="Calibri"/>
          <w:bCs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 xml:space="preserve">активами Национального фонда </w:t>
      </w:r>
    </w:p>
    <w:p w:rsidR="003238F4" w:rsidRPr="004E3683" w:rsidRDefault="003238F4" w:rsidP="003238F4">
      <w:pPr>
        <w:overflowPunct/>
        <w:autoSpaceDE/>
        <w:autoSpaceDN/>
        <w:adjustRightInd/>
        <w:jc w:val="right"/>
        <w:rPr>
          <w:rFonts w:eastAsia="Calibri"/>
          <w:bCs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 xml:space="preserve">Республики Казахстан </w:t>
      </w:r>
    </w:p>
    <w:p w:rsidR="003238F4" w:rsidRPr="004E3683" w:rsidRDefault="003238F4" w:rsidP="003238F4">
      <w:pPr>
        <w:overflowPunct/>
        <w:autoSpaceDE/>
        <w:autoSpaceDN/>
        <w:adjustRightInd/>
        <w:jc w:val="right"/>
        <w:rPr>
          <w:rFonts w:eastAsia="Calibri"/>
          <w:bCs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 xml:space="preserve">и пенсионными активами </w:t>
      </w:r>
    </w:p>
    <w:p w:rsidR="003238F4" w:rsidRPr="004E3683" w:rsidRDefault="003238F4" w:rsidP="003238F4">
      <w:pPr>
        <w:overflowPunct/>
        <w:autoSpaceDE/>
        <w:autoSpaceDN/>
        <w:adjustRightInd/>
        <w:jc w:val="right"/>
        <w:rPr>
          <w:rFonts w:eastAsia="Calibri"/>
          <w:bCs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 xml:space="preserve">единого накопительного </w:t>
      </w:r>
    </w:p>
    <w:p w:rsidR="003238F4" w:rsidRPr="004E3683" w:rsidRDefault="003238F4" w:rsidP="003238F4">
      <w:pPr>
        <w:overflowPunct/>
        <w:autoSpaceDE/>
        <w:autoSpaceDN/>
        <w:adjustRightInd/>
        <w:jc w:val="right"/>
        <w:rPr>
          <w:rFonts w:eastAsia="Calibri"/>
          <w:bCs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 xml:space="preserve">пенсионного фонда </w:t>
      </w:r>
    </w:p>
    <w:p w:rsidR="003238F4" w:rsidRPr="004E3683" w:rsidRDefault="003238F4" w:rsidP="003238F4">
      <w:pPr>
        <w:overflowPunct/>
        <w:autoSpaceDE/>
        <w:autoSpaceDN/>
        <w:adjustRightInd/>
        <w:jc w:val="right"/>
        <w:rPr>
          <w:rFonts w:eastAsia="Calibri"/>
          <w:bCs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 xml:space="preserve">и передачи активов во </w:t>
      </w:r>
    </w:p>
    <w:p w:rsidR="003238F4" w:rsidRPr="004E3683" w:rsidRDefault="003238F4" w:rsidP="003238F4">
      <w:pPr>
        <w:overflowPunct/>
        <w:autoSpaceDE/>
        <w:autoSpaceDN/>
        <w:adjustRightInd/>
        <w:jc w:val="right"/>
        <w:rPr>
          <w:rFonts w:eastAsia="Calibri"/>
          <w:bCs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 xml:space="preserve">внешнее управление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3238F4" w:rsidRPr="004E3683" w:rsidRDefault="003238F4" w:rsidP="003238F4">
      <w:pPr>
        <w:overflowPunct/>
        <w:autoSpaceDE/>
        <w:autoSpaceDN/>
        <w:adjustRightInd/>
        <w:jc w:val="right"/>
        <w:rPr>
          <w:rFonts w:eastAsia="Calibri"/>
          <w:bCs/>
          <w:sz w:val="28"/>
          <w:szCs w:val="28"/>
          <w:lang w:eastAsia="en-US"/>
        </w:rPr>
      </w:pPr>
    </w:p>
    <w:p w:rsidR="003238F4" w:rsidRPr="004E3683" w:rsidRDefault="003238F4" w:rsidP="003238F4">
      <w:pPr>
        <w:overflowPunct/>
        <w:autoSpaceDE/>
        <w:autoSpaceDN/>
        <w:adjustRightInd/>
        <w:rPr>
          <w:rFonts w:eastAsia="Calibri"/>
          <w:bCs/>
          <w:sz w:val="28"/>
          <w:szCs w:val="28"/>
          <w:lang w:eastAsia="en-US"/>
        </w:rPr>
      </w:pPr>
    </w:p>
    <w:p w:rsidR="003238F4" w:rsidRPr="004E3683" w:rsidRDefault="003238F4" w:rsidP="003238F4">
      <w:pPr>
        <w:overflowPunct/>
        <w:autoSpaceDE/>
        <w:autoSpaceDN/>
        <w:adjustRightInd/>
        <w:jc w:val="center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>Оценочные критерии для осуществления сравнительного анализа</w:t>
      </w:r>
      <w:r w:rsidRPr="004E3683">
        <w:rPr>
          <w:rFonts w:eastAsia="Calibri"/>
          <w:sz w:val="28"/>
          <w:szCs w:val="28"/>
          <w:lang w:eastAsia="en-US"/>
        </w:rPr>
        <w:t xml:space="preserve"> </w:t>
      </w:r>
      <w:r w:rsidRPr="004E3683">
        <w:rPr>
          <w:rFonts w:eastAsia="Calibri"/>
          <w:bCs/>
          <w:sz w:val="28"/>
          <w:szCs w:val="28"/>
          <w:lang w:eastAsia="en-US"/>
        </w:rPr>
        <w:t xml:space="preserve">предложений потенциальных внешних управляющих из короткого списка </w:t>
      </w:r>
      <w:r w:rsidRPr="004E3683">
        <w:rPr>
          <w:rFonts w:eastAsia="Calibri"/>
          <w:sz w:val="28"/>
          <w:szCs w:val="28"/>
          <w:lang w:eastAsia="en-US"/>
        </w:rPr>
        <w:t xml:space="preserve">в рамках инвестиционного и операционного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дью-дилидженса</w:t>
      </w:r>
      <w:proofErr w:type="spellEnd"/>
    </w:p>
    <w:p w:rsidR="003238F4" w:rsidRPr="004E3683" w:rsidRDefault="003238F4" w:rsidP="003238F4">
      <w:pPr>
        <w:overflowPunct/>
        <w:autoSpaceDE/>
        <w:autoSpaceDN/>
        <w:adjustRightInd/>
        <w:rPr>
          <w:rFonts w:eastAsia="Calibri"/>
          <w:bCs/>
          <w:sz w:val="28"/>
          <w:szCs w:val="28"/>
          <w:lang w:eastAsia="en-US"/>
        </w:rPr>
      </w:pPr>
    </w:p>
    <w:p w:rsidR="003238F4" w:rsidRPr="004E3683" w:rsidRDefault="003238F4" w:rsidP="003238F4">
      <w:pPr>
        <w:overflowPunct/>
        <w:autoSpaceDE/>
        <w:autoSpaceDN/>
        <w:adjustRightInd/>
        <w:jc w:val="center"/>
        <w:rPr>
          <w:rFonts w:eastAsia="Calibri"/>
          <w:bCs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>Таблица 1. Количественный анализ</w:t>
      </w:r>
    </w:p>
    <w:p w:rsidR="003238F4" w:rsidRPr="004E3683" w:rsidRDefault="003238F4" w:rsidP="003238F4">
      <w:pPr>
        <w:overflowPunct/>
        <w:autoSpaceDE/>
        <w:autoSpaceDN/>
        <w:adjustRightInd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5379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"/>
        <w:gridCol w:w="3494"/>
        <w:gridCol w:w="7"/>
        <w:gridCol w:w="1798"/>
        <w:gridCol w:w="17"/>
        <w:gridCol w:w="2905"/>
        <w:gridCol w:w="1652"/>
      </w:tblGrid>
      <w:tr w:rsidR="003238F4" w:rsidRPr="004E3683" w:rsidTr="002C2BBB">
        <w:trPr>
          <w:trHeight w:val="43"/>
        </w:trPr>
        <w:tc>
          <w:tcPr>
            <w:tcW w:w="205" w:type="pct"/>
            <w:vMerge w:val="restar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1693" w:type="pct"/>
            <w:vMerge w:val="restart"/>
            <w:shd w:val="clear" w:color="auto" w:fill="auto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Оценочные критерии</w:t>
            </w:r>
          </w:p>
        </w:tc>
        <w:tc>
          <w:tcPr>
            <w:tcW w:w="3102" w:type="pct"/>
            <w:gridSpan w:val="5"/>
            <w:shd w:val="clear" w:color="auto" w:fill="auto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Баллы, присваиваемые критериям (значимость показателей определены в процентах)</w:t>
            </w:r>
          </w:p>
        </w:tc>
      </w:tr>
      <w:tr w:rsidR="003238F4" w:rsidRPr="004E3683" w:rsidTr="002C2BBB">
        <w:trPr>
          <w:cantSplit/>
          <w:trHeight w:val="67"/>
        </w:trPr>
        <w:tc>
          <w:tcPr>
            <w:tcW w:w="205" w:type="pct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93" w:type="pct"/>
            <w:vMerge/>
            <w:shd w:val="clear" w:color="auto" w:fill="auto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93" w:type="pct"/>
            <w:gridSpan w:val="3"/>
            <w:shd w:val="clear" w:color="auto" w:fill="auto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Активное управление активами</w:t>
            </w:r>
          </w:p>
        </w:tc>
        <w:tc>
          <w:tcPr>
            <w:tcW w:w="1402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Усовершенствованное индексное управление активами</w:t>
            </w:r>
          </w:p>
        </w:tc>
        <w:tc>
          <w:tcPr>
            <w:tcW w:w="807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Пассивное (индексное) управление активами</w:t>
            </w:r>
          </w:p>
        </w:tc>
      </w:tr>
      <w:tr w:rsidR="003238F4" w:rsidRPr="004E3683" w:rsidTr="002C2BBB">
        <w:trPr>
          <w:cantSplit/>
          <w:trHeight w:val="67"/>
        </w:trPr>
        <w:tc>
          <w:tcPr>
            <w:tcW w:w="205" w:type="pct"/>
            <w:vMerge w:val="restart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1.</w:t>
            </w:r>
          </w:p>
        </w:tc>
        <w:tc>
          <w:tcPr>
            <w:tcW w:w="1693" w:type="pct"/>
            <w:shd w:val="clear" w:color="auto" w:fill="auto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Показатели исторической доходности с учетом риска</w:t>
            </w:r>
          </w:p>
        </w:tc>
        <w:tc>
          <w:tcPr>
            <w:tcW w:w="2295" w:type="pct"/>
            <w:gridSpan w:val="4"/>
            <w:shd w:val="clear" w:color="auto" w:fill="auto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35 баллов</w:t>
            </w:r>
          </w:p>
        </w:tc>
        <w:tc>
          <w:tcPr>
            <w:tcW w:w="807" w:type="pct"/>
            <w:shd w:val="clear" w:color="auto" w:fill="auto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45 баллов</w:t>
            </w:r>
          </w:p>
        </w:tc>
      </w:tr>
      <w:tr w:rsidR="003238F4" w:rsidRPr="004E3683" w:rsidTr="002C2BBB">
        <w:trPr>
          <w:trHeight w:val="43"/>
        </w:trPr>
        <w:tc>
          <w:tcPr>
            <w:tcW w:w="205" w:type="pct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1693" w:type="pct"/>
            <w:shd w:val="clear" w:color="auto" w:fill="auto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 xml:space="preserve">годовая </w:t>
            </w:r>
            <w:proofErr w:type="spellStart"/>
            <w:r w:rsidRPr="004E3683">
              <w:rPr>
                <w:sz w:val="28"/>
                <w:szCs w:val="28"/>
              </w:rPr>
              <w:t>сверхдоходность</w:t>
            </w:r>
            <w:proofErr w:type="spellEnd"/>
            <w:r w:rsidRPr="004E3683">
              <w:rPr>
                <w:sz w:val="28"/>
                <w:szCs w:val="28"/>
              </w:rPr>
              <w:t xml:space="preserve"> за последние 3 (три) – 5 (пять) лет</w:t>
            </w:r>
          </w:p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(</w:t>
            </w:r>
            <w:r w:rsidRPr="004E3683">
              <w:rPr>
                <w:rFonts w:eastAsia="Calibri"/>
                <w:sz w:val="28"/>
                <w:szCs w:val="28"/>
                <w:lang w:eastAsia="en-US"/>
              </w:rPr>
              <w:t xml:space="preserve">в случае если показатель </w:t>
            </w:r>
            <w:proofErr w:type="spellStart"/>
            <w:r w:rsidRPr="004E3683">
              <w:rPr>
                <w:rFonts w:eastAsia="Calibri"/>
                <w:sz w:val="28"/>
                <w:szCs w:val="28"/>
                <w:lang w:eastAsia="en-US"/>
              </w:rPr>
              <w:t>сверхдоходности</w:t>
            </w:r>
            <w:proofErr w:type="spellEnd"/>
            <w:r w:rsidRPr="004E3683">
              <w:rPr>
                <w:rFonts w:eastAsia="Calibri"/>
                <w:sz w:val="28"/>
                <w:szCs w:val="28"/>
                <w:lang w:eastAsia="en-US"/>
              </w:rPr>
              <w:t xml:space="preserve"> за период менее 5 (пять) лет положительный, показатель нормируется относительно периода в 5 (пять) лет)</w:t>
            </w:r>
          </w:p>
        </w:tc>
        <w:tc>
          <w:tcPr>
            <w:tcW w:w="893" w:type="pct"/>
            <w:gridSpan w:val="3"/>
            <w:shd w:val="clear" w:color="auto" w:fill="auto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15 процентов</w:t>
            </w:r>
          </w:p>
        </w:tc>
        <w:tc>
          <w:tcPr>
            <w:tcW w:w="1402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20 процентов</w:t>
            </w:r>
          </w:p>
        </w:tc>
        <w:tc>
          <w:tcPr>
            <w:tcW w:w="807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30 процентов</w:t>
            </w:r>
          </w:p>
        </w:tc>
      </w:tr>
      <w:tr w:rsidR="003238F4" w:rsidRPr="004E3683" w:rsidTr="002C2BBB">
        <w:trPr>
          <w:trHeight w:val="87"/>
        </w:trPr>
        <w:tc>
          <w:tcPr>
            <w:tcW w:w="205" w:type="pct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1693" w:type="pct"/>
            <w:shd w:val="clear" w:color="auto" w:fill="auto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информационный коэффициент (</w:t>
            </w:r>
            <w:proofErr w:type="spellStart"/>
            <w:r w:rsidRPr="004E3683">
              <w:rPr>
                <w:sz w:val="28"/>
                <w:szCs w:val="28"/>
              </w:rPr>
              <w:t>information</w:t>
            </w:r>
            <w:proofErr w:type="spellEnd"/>
            <w:r w:rsidRPr="004E3683">
              <w:rPr>
                <w:sz w:val="28"/>
                <w:szCs w:val="28"/>
              </w:rPr>
              <w:t xml:space="preserve"> </w:t>
            </w:r>
            <w:proofErr w:type="spellStart"/>
            <w:r w:rsidRPr="004E3683">
              <w:rPr>
                <w:sz w:val="28"/>
                <w:szCs w:val="28"/>
              </w:rPr>
              <w:t>ratio</w:t>
            </w:r>
            <w:proofErr w:type="spellEnd"/>
            <w:r w:rsidRPr="004E3683">
              <w:rPr>
                <w:sz w:val="28"/>
                <w:szCs w:val="28"/>
              </w:rPr>
              <w:t>) (</w:t>
            </w:r>
            <w:proofErr w:type="spellStart"/>
            <w:r w:rsidRPr="004E3683">
              <w:rPr>
                <w:sz w:val="28"/>
                <w:szCs w:val="28"/>
              </w:rPr>
              <w:t>информейшн</w:t>
            </w:r>
            <w:proofErr w:type="spellEnd"/>
            <w:r w:rsidRPr="004E3683">
              <w:rPr>
                <w:sz w:val="28"/>
                <w:szCs w:val="28"/>
              </w:rPr>
              <w:t xml:space="preserve"> </w:t>
            </w:r>
            <w:proofErr w:type="spellStart"/>
            <w:r w:rsidRPr="004E3683">
              <w:rPr>
                <w:sz w:val="28"/>
                <w:szCs w:val="28"/>
              </w:rPr>
              <w:t>рейшио</w:t>
            </w:r>
            <w:proofErr w:type="spellEnd"/>
            <w:r w:rsidRPr="004E3683">
              <w:rPr>
                <w:sz w:val="28"/>
                <w:szCs w:val="28"/>
              </w:rPr>
              <w:t>) за последние 3 (три) – 5 (пять) лет</w:t>
            </w:r>
          </w:p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(</w:t>
            </w:r>
            <w:r w:rsidRPr="004E3683">
              <w:rPr>
                <w:rFonts w:eastAsia="Calibri"/>
                <w:sz w:val="28"/>
                <w:szCs w:val="28"/>
                <w:lang w:eastAsia="en-US"/>
              </w:rPr>
              <w:t xml:space="preserve">в случае если показатель </w:t>
            </w:r>
            <w:proofErr w:type="spellStart"/>
            <w:r w:rsidRPr="004E3683">
              <w:rPr>
                <w:rFonts w:eastAsia="Calibri"/>
                <w:sz w:val="28"/>
                <w:szCs w:val="28"/>
                <w:lang w:eastAsia="en-US"/>
              </w:rPr>
              <w:t>сверхдоходности</w:t>
            </w:r>
            <w:proofErr w:type="spellEnd"/>
            <w:r w:rsidRPr="004E3683">
              <w:rPr>
                <w:rFonts w:eastAsia="Calibri"/>
                <w:sz w:val="28"/>
                <w:szCs w:val="28"/>
                <w:lang w:eastAsia="en-US"/>
              </w:rPr>
              <w:t xml:space="preserve"> за период менее 5 (пять) лет положительный, показатель нормируется относительно периода в 5 (пять) лет)</w:t>
            </w:r>
          </w:p>
        </w:tc>
        <w:tc>
          <w:tcPr>
            <w:tcW w:w="893" w:type="pct"/>
            <w:gridSpan w:val="3"/>
            <w:shd w:val="clear" w:color="auto" w:fill="auto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30 процентов</w:t>
            </w:r>
          </w:p>
        </w:tc>
        <w:tc>
          <w:tcPr>
            <w:tcW w:w="1402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30 процентов</w:t>
            </w:r>
          </w:p>
        </w:tc>
        <w:tc>
          <w:tcPr>
            <w:tcW w:w="807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50 процентов</w:t>
            </w:r>
          </w:p>
        </w:tc>
      </w:tr>
      <w:tr w:rsidR="003238F4" w:rsidRPr="004E3683" w:rsidTr="002C2BBB">
        <w:trPr>
          <w:trHeight w:val="21"/>
        </w:trPr>
        <w:tc>
          <w:tcPr>
            <w:tcW w:w="205" w:type="pct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1693" w:type="pct"/>
            <w:shd w:val="clear" w:color="auto" w:fill="auto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Коэффициент Шарпа</w:t>
            </w:r>
          </w:p>
        </w:tc>
        <w:tc>
          <w:tcPr>
            <w:tcW w:w="893" w:type="pct"/>
            <w:gridSpan w:val="3"/>
            <w:shd w:val="clear" w:color="auto" w:fill="auto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15 процентов</w:t>
            </w:r>
          </w:p>
        </w:tc>
        <w:tc>
          <w:tcPr>
            <w:tcW w:w="1402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25 процентов</w:t>
            </w:r>
          </w:p>
        </w:tc>
        <w:tc>
          <w:tcPr>
            <w:tcW w:w="807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20 процентов</w:t>
            </w:r>
          </w:p>
        </w:tc>
      </w:tr>
      <w:tr w:rsidR="003238F4" w:rsidRPr="004E3683" w:rsidTr="002C2BBB">
        <w:trPr>
          <w:trHeight w:val="20"/>
        </w:trPr>
        <w:tc>
          <w:tcPr>
            <w:tcW w:w="205" w:type="pct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1693" w:type="pct"/>
            <w:shd w:val="clear" w:color="auto" w:fill="auto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 xml:space="preserve">Коэффициент </w:t>
            </w:r>
            <w:proofErr w:type="spellStart"/>
            <w:r w:rsidRPr="004E3683">
              <w:rPr>
                <w:sz w:val="28"/>
                <w:szCs w:val="28"/>
              </w:rPr>
              <w:t>Сортино</w:t>
            </w:r>
            <w:proofErr w:type="spellEnd"/>
          </w:p>
        </w:tc>
        <w:tc>
          <w:tcPr>
            <w:tcW w:w="893" w:type="pct"/>
            <w:gridSpan w:val="3"/>
            <w:shd w:val="clear" w:color="auto" w:fill="auto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40 процентов</w:t>
            </w:r>
          </w:p>
        </w:tc>
        <w:tc>
          <w:tcPr>
            <w:tcW w:w="1402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25 процентов</w:t>
            </w:r>
          </w:p>
        </w:tc>
        <w:tc>
          <w:tcPr>
            <w:tcW w:w="807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-</w:t>
            </w:r>
          </w:p>
        </w:tc>
      </w:tr>
      <w:tr w:rsidR="003238F4" w:rsidRPr="004E3683" w:rsidTr="002C2BBB">
        <w:trPr>
          <w:trHeight w:val="29"/>
        </w:trPr>
        <w:tc>
          <w:tcPr>
            <w:tcW w:w="205" w:type="pct"/>
            <w:vMerge w:val="restart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1693" w:type="pct"/>
            <w:shd w:val="clear" w:color="auto" w:fill="auto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Показатели оценки на стабильность исторических результатов</w:t>
            </w:r>
          </w:p>
        </w:tc>
        <w:tc>
          <w:tcPr>
            <w:tcW w:w="3102" w:type="pct"/>
            <w:gridSpan w:val="5"/>
            <w:shd w:val="clear" w:color="auto" w:fill="auto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25</w:t>
            </w:r>
            <w:r w:rsidRPr="004E3683">
              <w:rPr>
                <w:bCs/>
                <w:sz w:val="28"/>
                <w:szCs w:val="28"/>
              </w:rPr>
              <w:t xml:space="preserve"> баллов</w:t>
            </w:r>
          </w:p>
        </w:tc>
      </w:tr>
      <w:tr w:rsidR="003238F4" w:rsidRPr="004E3683" w:rsidTr="002C2BBB">
        <w:trPr>
          <w:trHeight w:val="20"/>
        </w:trPr>
        <w:tc>
          <w:tcPr>
            <w:tcW w:w="205" w:type="pct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rPr>
                <w:bCs/>
                <w:sz w:val="28"/>
                <w:szCs w:val="28"/>
              </w:rPr>
            </w:pPr>
          </w:p>
        </w:tc>
        <w:tc>
          <w:tcPr>
            <w:tcW w:w="1693" w:type="pct"/>
            <w:shd w:val="clear" w:color="auto" w:fill="auto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Уровень изменчивости отклонения доходности</w:t>
            </w:r>
          </w:p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(</w:t>
            </w:r>
            <w:proofErr w:type="spellStart"/>
            <w:r w:rsidRPr="004E3683">
              <w:rPr>
                <w:bCs/>
                <w:sz w:val="28"/>
                <w:szCs w:val="28"/>
              </w:rPr>
              <w:t>tracking</w:t>
            </w:r>
            <w:proofErr w:type="spellEnd"/>
            <w:r w:rsidRPr="004E3683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4E3683">
              <w:rPr>
                <w:bCs/>
                <w:sz w:val="28"/>
                <w:szCs w:val="28"/>
              </w:rPr>
              <w:t>error</w:t>
            </w:r>
            <w:proofErr w:type="spellEnd"/>
            <w:r w:rsidRPr="004E3683">
              <w:rPr>
                <w:bCs/>
                <w:sz w:val="28"/>
                <w:szCs w:val="28"/>
              </w:rPr>
              <w:t>)</w:t>
            </w:r>
            <w:r w:rsidRPr="004E3683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4E3683">
              <w:rPr>
                <w:bCs/>
                <w:sz w:val="28"/>
                <w:szCs w:val="28"/>
              </w:rPr>
              <w:t xml:space="preserve">(трекинг </w:t>
            </w:r>
            <w:proofErr w:type="spellStart"/>
            <w:r w:rsidRPr="004E3683">
              <w:rPr>
                <w:bCs/>
                <w:sz w:val="28"/>
                <w:szCs w:val="28"/>
              </w:rPr>
              <w:t>эррор</w:t>
            </w:r>
            <w:proofErr w:type="spellEnd"/>
            <w:r w:rsidRPr="004E3683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893" w:type="pct"/>
            <w:gridSpan w:val="3"/>
            <w:shd w:val="clear" w:color="auto" w:fill="auto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20 процентов</w:t>
            </w:r>
          </w:p>
        </w:tc>
        <w:tc>
          <w:tcPr>
            <w:tcW w:w="1402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40 процентов</w:t>
            </w:r>
          </w:p>
        </w:tc>
        <w:tc>
          <w:tcPr>
            <w:tcW w:w="807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50 процентов</w:t>
            </w:r>
          </w:p>
        </w:tc>
      </w:tr>
      <w:tr w:rsidR="003238F4" w:rsidRPr="004E3683" w:rsidTr="002C2BBB">
        <w:trPr>
          <w:trHeight w:val="20"/>
        </w:trPr>
        <w:tc>
          <w:tcPr>
            <w:tcW w:w="205" w:type="pct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rPr>
                <w:bCs/>
                <w:sz w:val="28"/>
                <w:szCs w:val="28"/>
              </w:rPr>
            </w:pPr>
          </w:p>
        </w:tc>
        <w:tc>
          <w:tcPr>
            <w:tcW w:w="1693" w:type="pct"/>
            <w:shd w:val="clear" w:color="auto" w:fill="auto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Коэффициент превышения эталонного портфеля</w:t>
            </w:r>
          </w:p>
        </w:tc>
        <w:tc>
          <w:tcPr>
            <w:tcW w:w="893" w:type="pct"/>
            <w:gridSpan w:val="3"/>
            <w:shd w:val="clear" w:color="auto" w:fill="auto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30 процентов</w:t>
            </w:r>
          </w:p>
        </w:tc>
        <w:tc>
          <w:tcPr>
            <w:tcW w:w="1402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40 процентов</w:t>
            </w:r>
          </w:p>
        </w:tc>
        <w:tc>
          <w:tcPr>
            <w:tcW w:w="807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50 процентов</w:t>
            </w:r>
          </w:p>
        </w:tc>
      </w:tr>
      <w:tr w:rsidR="003238F4" w:rsidRPr="004E3683" w:rsidTr="002C2BBB">
        <w:trPr>
          <w:trHeight w:val="20"/>
        </w:trPr>
        <w:tc>
          <w:tcPr>
            <w:tcW w:w="205" w:type="pct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rPr>
                <w:bCs/>
                <w:sz w:val="28"/>
                <w:szCs w:val="28"/>
              </w:rPr>
            </w:pPr>
          </w:p>
        </w:tc>
        <w:tc>
          <w:tcPr>
            <w:tcW w:w="1693" w:type="pct"/>
            <w:shd w:val="clear" w:color="auto" w:fill="auto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Коэффициент эксцесса</w:t>
            </w:r>
            <w:r w:rsidRPr="004E3683">
              <w:rPr>
                <w:sz w:val="28"/>
                <w:szCs w:val="28"/>
              </w:rPr>
              <w:t xml:space="preserve"> (</w:t>
            </w:r>
            <w:proofErr w:type="spellStart"/>
            <w:r w:rsidRPr="004E3683">
              <w:rPr>
                <w:sz w:val="28"/>
                <w:szCs w:val="28"/>
              </w:rPr>
              <w:t>kurtosis</w:t>
            </w:r>
            <w:proofErr w:type="spellEnd"/>
            <w:r w:rsidRPr="004E3683">
              <w:rPr>
                <w:sz w:val="28"/>
                <w:szCs w:val="28"/>
              </w:rPr>
              <w:t>)</w:t>
            </w:r>
          </w:p>
        </w:tc>
        <w:tc>
          <w:tcPr>
            <w:tcW w:w="893" w:type="pct"/>
            <w:gridSpan w:val="3"/>
            <w:shd w:val="clear" w:color="auto" w:fill="auto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10 процентов</w:t>
            </w:r>
          </w:p>
        </w:tc>
        <w:tc>
          <w:tcPr>
            <w:tcW w:w="1402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807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-</w:t>
            </w:r>
          </w:p>
        </w:tc>
      </w:tr>
      <w:tr w:rsidR="003238F4" w:rsidRPr="004E3683" w:rsidTr="002C2BBB">
        <w:trPr>
          <w:trHeight w:val="22"/>
        </w:trPr>
        <w:tc>
          <w:tcPr>
            <w:tcW w:w="205" w:type="pct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rPr>
                <w:bCs/>
                <w:sz w:val="28"/>
                <w:szCs w:val="28"/>
              </w:rPr>
            </w:pPr>
          </w:p>
        </w:tc>
        <w:tc>
          <w:tcPr>
            <w:tcW w:w="1693" w:type="pct"/>
            <w:shd w:val="clear" w:color="auto" w:fill="auto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 xml:space="preserve">Размах показателя </w:t>
            </w:r>
            <w:proofErr w:type="spellStart"/>
            <w:r w:rsidRPr="004E3683">
              <w:rPr>
                <w:bCs/>
                <w:sz w:val="28"/>
                <w:szCs w:val="28"/>
              </w:rPr>
              <w:t>сверхдоходности</w:t>
            </w:r>
            <w:proofErr w:type="spellEnd"/>
            <w:r w:rsidRPr="004E3683">
              <w:rPr>
                <w:bCs/>
                <w:sz w:val="28"/>
                <w:szCs w:val="28"/>
              </w:rPr>
              <w:t xml:space="preserve"> (абсолютное значение)</w:t>
            </w:r>
          </w:p>
        </w:tc>
        <w:tc>
          <w:tcPr>
            <w:tcW w:w="893" w:type="pct"/>
            <w:gridSpan w:val="3"/>
            <w:shd w:val="clear" w:color="auto" w:fill="auto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20 процентов</w:t>
            </w:r>
          </w:p>
        </w:tc>
        <w:tc>
          <w:tcPr>
            <w:tcW w:w="1402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807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-</w:t>
            </w:r>
          </w:p>
        </w:tc>
      </w:tr>
      <w:tr w:rsidR="003238F4" w:rsidRPr="004E3683" w:rsidTr="002C2BBB">
        <w:trPr>
          <w:trHeight w:val="20"/>
        </w:trPr>
        <w:tc>
          <w:tcPr>
            <w:tcW w:w="205" w:type="pct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rPr>
                <w:bCs/>
                <w:sz w:val="28"/>
                <w:szCs w:val="28"/>
              </w:rPr>
            </w:pPr>
          </w:p>
        </w:tc>
        <w:tc>
          <w:tcPr>
            <w:tcW w:w="1693" w:type="pct"/>
            <w:shd w:val="clear" w:color="auto" w:fill="auto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Длительность превышения результатов портфеля против эталонного портфеля (в месяцах)</w:t>
            </w:r>
          </w:p>
        </w:tc>
        <w:tc>
          <w:tcPr>
            <w:tcW w:w="893" w:type="pct"/>
            <w:gridSpan w:val="3"/>
            <w:shd w:val="clear" w:color="auto" w:fill="auto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20 процентов</w:t>
            </w:r>
          </w:p>
        </w:tc>
        <w:tc>
          <w:tcPr>
            <w:tcW w:w="1402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20 процентов</w:t>
            </w:r>
          </w:p>
        </w:tc>
        <w:tc>
          <w:tcPr>
            <w:tcW w:w="807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-</w:t>
            </w:r>
          </w:p>
        </w:tc>
      </w:tr>
      <w:tr w:rsidR="003238F4" w:rsidRPr="004E3683" w:rsidTr="002C2BBB">
        <w:trPr>
          <w:trHeight w:val="21"/>
        </w:trPr>
        <w:tc>
          <w:tcPr>
            <w:tcW w:w="205" w:type="pct"/>
            <w:vMerge w:val="restart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3.</w:t>
            </w:r>
          </w:p>
        </w:tc>
        <w:tc>
          <w:tcPr>
            <w:tcW w:w="1693" w:type="pct"/>
            <w:shd w:val="clear" w:color="auto" w:fill="auto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Показатели риска снижения</w:t>
            </w:r>
          </w:p>
        </w:tc>
        <w:tc>
          <w:tcPr>
            <w:tcW w:w="2295" w:type="pct"/>
            <w:gridSpan w:val="4"/>
            <w:shd w:val="clear" w:color="auto" w:fill="auto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25</w:t>
            </w:r>
            <w:r w:rsidRPr="004E3683">
              <w:rPr>
                <w:bCs/>
                <w:sz w:val="28"/>
                <w:szCs w:val="28"/>
              </w:rPr>
              <w:t xml:space="preserve"> баллов</w:t>
            </w:r>
          </w:p>
        </w:tc>
        <w:tc>
          <w:tcPr>
            <w:tcW w:w="807" w:type="pct"/>
            <w:shd w:val="clear" w:color="auto" w:fill="auto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8"/>
                <w:lang w:eastAsia="en-US"/>
              </w:rPr>
              <w:t>15</w:t>
            </w:r>
            <w:r w:rsidRPr="004E3683">
              <w:rPr>
                <w:bCs/>
                <w:sz w:val="28"/>
                <w:szCs w:val="28"/>
              </w:rPr>
              <w:t xml:space="preserve"> баллов</w:t>
            </w:r>
          </w:p>
        </w:tc>
      </w:tr>
      <w:tr w:rsidR="003238F4" w:rsidRPr="004E3683" w:rsidTr="002C2BBB">
        <w:trPr>
          <w:trHeight w:val="20"/>
        </w:trPr>
        <w:tc>
          <w:tcPr>
            <w:tcW w:w="205" w:type="pct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rPr>
                <w:bCs/>
                <w:sz w:val="28"/>
                <w:szCs w:val="28"/>
              </w:rPr>
            </w:pPr>
          </w:p>
        </w:tc>
        <w:tc>
          <w:tcPr>
            <w:tcW w:w="1693" w:type="pct"/>
            <w:shd w:val="clear" w:color="auto" w:fill="auto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Изменчивость отклонения доходности</w:t>
            </w:r>
          </w:p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(</w:t>
            </w:r>
            <w:proofErr w:type="spellStart"/>
            <w:r w:rsidRPr="004E3683">
              <w:rPr>
                <w:bCs/>
                <w:sz w:val="28"/>
                <w:szCs w:val="28"/>
              </w:rPr>
              <w:t>tracking</w:t>
            </w:r>
            <w:proofErr w:type="spellEnd"/>
            <w:r w:rsidRPr="004E3683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4E3683">
              <w:rPr>
                <w:bCs/>
                <w:sz w:val="28"/>
                <w:szCs w:val="28"/>
              </w:rPr>
              <w:t>error</w:t>
            </w:r>
            <w:proofErr w:type="spellEnd"/>
            <w:r w:rsidRPr="004E3683">
              <w:rPr>
                <w:bCs/>
                <w:sz w:val="28"/>
                <w:szCs w:val="28"/>
              </w:rPr>
              <w:t>)</w:t>
            </w:r>
            <w:r w:rsidRPr="004E3683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4E3683">
              <w:rPr>
                <w:bCs/>
                <w:sz w:val="28"/>
                <w:szCs w:val="28"/>
              </w:rPr>
              <w:t xml:space="preserve">(трекинг </w:t>
            </w:r>
            <w:proofErr w:type="spellStart"/>
            <w:r w:rsidRPr="004E3683">
              <w:rPr>
                <w:bCs/>
                <w:sz w:val="28"/>
                <w:szCs w:val="28"/>
              </w:rPr>
              <w:t>эррор</w:t>
            </w:r>
            <w:proofErr w:type="spellEnd"/>
            <w:r w:rsidRPr="004E3683">
              <w:rPr>
                <w:bCs/>
                <w:sz w:val="28"/>
                <w:szCs w:val="28"/>
              </w:rPr>
              <w:t>) ниже минимального порогового значения</w:t>
            </w:r>
          </w:p>
        </w:tc>
        <w:tc>
          <w:tcPr>
            <w:tcW w:w="893" w:type="pct"/>
            <w:gridSpan w:val="3"/>
            <w:shd w:val="clear" w:color="auto" w:fill="auto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10 процентов</w:t>
            </w:r>
          </w:p>
        </w:tc>
        <w:tc>
          <w:tcPr>
            <w:tcW w:w="1402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10 процентов</w:t>
            </w:r>
          </w:p>
        </w:tc>
        <w:tc>
          <w:tcPr>
            <w:tcW w:w="807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-</w:t>
            </w:r>
          </w:p>
        </w:tc>
      </w:tr>
      <w:tr w:rsidR="003238F4" w:rsidRPr="004E3683" w:rsidTr="002C2BBB">
        <w:trPr>
          <w:trHeight w:val="20"/>
        </w:trPr>
        <w:tc>
          <w:tcPr>
            <w:tcW w:w="205" w:type="pct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1693" w:type="pct"/>
            <w:shd w:val="clear" w:color="auto" w:fill="auto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Средний убыток</w:t>
            </w:r>
          </w:p>
        </w:tc>
        <w:tc>
          <w:tcPr>
            <w:tcW w:w="893" w:type="pct"/>
            <w:gridSpan w:val="3"/>
            <w:shd w:val="clear" w:color="auto" w:fill="auto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10 процентов</w:t>
            </w:r>
          </w:p>
        </w:tc>
        <w:tc>
          <w:tcPr>
            <w:tcW w:w="1402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15 процентов</w:t>
            </w:r>
          </w:p>
        </w:tc>
        <w:tc>
          <w:tcPr>
            <w:tcW w:w="807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25 процентов</w:t>
            </w:r>
          </w:p>
        </w:tc>
      </w:tr>
      <w:tr w:rsidR="003238F4" w:rsidRPr="004E3683" w:rsidTr="002C2BBB">
        <w:trPr>
          <w:trHeight w:val="21"/>
        </w:trPr>
        <w:tc>
          <w:tcPr>
            <w:tcW w:w="205" w:type="pct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rPr>
                <w:bCs/>
                <w:sz w:val="28"/>
                <w:szCs w:val="28"/>
              </w:rPr>
            </w:pPr>
          </w:p>
        </w:tc>
        <w:tc>
          <w:tcPr>
            <w:tcW w:w="1693" w:type="pct"/>
            <w:shd w:val="clear" w:color="auto" w:fill="auto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Длительность неудовлетворительных результатов портфеля против эталонного портфеля (в месяцах)</w:t>
            </w:r>
          </w:p>
        </w:tc>
        <w:tc>
          <w:tcPr>
            <w:tcW w:w="893" w:type="pct"/>
            <w:gridSpan w:val="3"/>
            <w:shd w:val="clear" w:color="auto" w:fill="auto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25 процентов</w:t>
            </w:r>
          </w:p>
        </w:tc>
        <w:tc>
          <w:tcPr>
            <w:tcW w:w="1402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15 процентов</w:t>
            </w:r>
          </w:p>
        </w:tc>
        <w:tc>
          <w:tcPr>
            <w:tcW w:w="807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-</w:t>
            </w:r>
          </w:p>
        </w:tc>
      </w:tr>
      <w:tr w:rsidR="003238F4" w:rsidRPr="004E3683" w:rsidTr="002C2BBB">
        <w:trPr>
          <w:trHeight w:val="21"/>
        </w:trPr>
        <w:tc>
          <w:tcPr>
            <w:tcW w:w="205" w:type="pct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1693" w:type="pct"/>
            <w:shd w:val="clear" w:color="auto" w:fill="auto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 xml:space="preserve">Максимальный убыток </w:t>
            </w:r>
          </w:p>
        </w:tc>
        <w:tc>
          <w:tcPr>
            <w:tcW w:w="893" w:type="pct"/>
            <w:gridSpan w:val="3"/>
            <w:shd w:val="clear" w:color="auto" w:fill="auto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15 процентов</w:t>
            </w:r>
          </w:p>
        </w:tc>
        <w:tc>
          <w:tcPr>
            <w:tcW w:w="1402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20 процентов</w:t>
            </w:r>
          </w:p>
        </w:tc>
        <w:tc>
          <w:tcPr>
            <w:tcW w:w="807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25 процентов</w:t>
            </w:r>
          </w:p>
        </w:tc>
      </w:tr>
      <w:tr w:rsidR="003238F4" w:rsidRPr="004E3683" w:rsidTr="002C2BBB">
        <w:trPr>
          <w:trHeight w:val="24"/>
        </w:trPr>
        <w:tc>
          <w:tcPr>
            <w:tcW w:w="205" w:type="pct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1693" w:type="pct"/>
            <w:shd w:val="clear" w:color="auto" w:fill="auto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Наибольшее падение стоимости портфеля</w:t>
            </w:r>
          </w:p>
        </w:tc>
        <w:tc>
          <w:tcPr>
            <w:tcW w:w="893" w:type="pct"/>
            <w:gridSpan w:val="3"/>
            <w:shd w:val="clear" w:color="auto" w:fill="auto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30 процентов</w:t>
            </w:r>
          </w:p>
        </w:tc>
        <w:tc>
          <w:tcPr>
            <w:tcW w:w="1402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20 процентов</w:t>
            </w:r>
          </w:p>
        </w:tc>
        <w:tc>
          <w:tcPr>
            <w:tcW w:w="807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25 процентов</w:t>
            </w:r>
          </w:p>
        </w:tc>
      </w:tr>
      <w:tr w:rsidR="003238F4" w:rsidRPr="004E3683" w:rsidTr="002C2BBB">
        <w:trPr>
          <w:trHeight w:val="24"/>
        </w:trPr>
        <w:tc>
          <w:tcPr>
            <w:tcW w:w="205" w:type="pct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1693" w:type="pct"/>
            <w:shd w:val="clear" w:color="auto" w:fill="auto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E3683">
              <w:rPr>
                <w:sz w:val="28"/>
                <w:szCs w:val="28"/>
              </w:rPr>
              <w:t>Длительность восстановления результатов портфеля</w:t>
            </w:r>
          </w:p>
        </w:tc>
        <w:tc>
          <w:tcPr>
            <w:tcW w:w="893" w:type="pct"/>
            <w:gridSpan w:val="3"/>
            <w:shd w:val="clear" w:color="auto" w:fill="auto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10 процентов</w:t>
            </w:r>
          </w:p>
        </w:tc>
        <w:tc>
          <w:tcPr>
            <w:tcW w:w="1402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20 процентов</w:t>
            </w:r>
          </w:p>
        </w:tc>
        <w:tc>
          <w:tcPr>
            <w:tcW w:w="807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25 процентов</w:t>
            </w:r>
          </w:p>
        </w:tc>
      </w:tr>
      <w:tr w:rsidR="003238F4" w:rsidRPr="004E3683" w:rsidTr="002C2BB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49"/>
        </w:trPr>
        <w:tc>
          <w:tcPr>
            <w:tcW w:w="205" w:type="pct"/>
            <w:vMerge w:val="restart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4.</w:t>
            </w:r>
          </w:p>
          <w:p w:rsidR="003238F4" w:rsidRPr="004E3683" w:rsidRDefault="003238F4" w:rsidP="003238F4">
            <w:pPr>
              <w:overflowPunct/>
              <w:autoSpaceDE/>
              <w:autoSpaceDN/>
              <w:adjustRightInd/>
              <w:rPr>
                <w:bCs/>
                <w:sz w:val="28"/>
                <w:szCs w:val="28"/>
              </w:rPr>
            </w:pPr>
          </w:p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</w:p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697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Показатели комиссионного вознаграждения</w:t>
            </w:r>
          </w:p>
        </w:tc>
        <w:tc>
          <w:tcPr>
            <w:tcW w:w="3097" w:type="pct"/>
            <w:gridSpan w:val="4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15 баллов</w:t>
            </w:r>
          </w:p>
        </w:tc>
      </w:tr>
      <w:tr w:rsidR="003238F4" w:rsidRPr="004E3683" w:rsidTr="002C2BB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49"/>
        </w:trPr>
        <w:tc>
          <w:tcPr>
            <w:tcW w:w="205" w:type="pct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697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Уровень базового комиссионного вознаграждения (учитывается наименьшее значение)</w:t>
            </w:r>
          </w:p>
        </w:tc>
        <w:tc>
          <w:tcPr>
            <w:tcW w:w="879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75 процентов</w:t>
            </w:r>
          </w:p>
        </w:tc>
        <w:tc>
          <w:tcPr>
            <w:tcW w:w="1412" w:type="pct"/>
            <w:gridSpan w:val="2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75 процентов</w:t>
            </w:r>
          </w:p>
        </w:tc>
        <w:tc>
          <w:tcPr>
            <w:tcW w:w="807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75 процентов</w:t>
            </w:r>
          </w:p>
        </w:tc>
      </w:tr>
      <w:tr w:rsidR="003238F4" w:rsidRPr="004E3683" w:rsidTr="002C2BB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91"/>
        </w:trPr>
        <w:tc>
          <w:tcPr>
            <w:tcW w:w="205" w:type="pct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697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 xml:space="preserve">Принятие принципа выплаты комиссионного вознаграждения по результатам внешнего управления в случае достижения положительной </w:t>
            </w:r>
            <w:proofErr w:type="spellStart"/>
            <w:r w:rsidRPr="004E3683">
              <w:rPr>
                <w:bCs/>
                <w:sz w:val="28"/>
                <w:szCs w:val="28"/>
              </w:rPr>
              <w:t>сверхдоходности</w:t>
            </w:r>
            <w:proofErr w:type="spellEnd"/>
            <w:r w:rsidRPr="004E3683">
              <w:rPr>
                <w:bCs/>
                <w:sz w:val="28"/>
                <w:szCs w:val="28"/>
              </w:rPr>
              <w:t>, превышающей аналогичные показатели за прошлые периоды со дня начала управления внешним управляющим (</w:t>
            </w:r>
            <w:proofErr w:type="spellStart"/>
            <w:r w:rsidRPr="004E3683">
              <w:rPr>
                <w:bCs/>
                <w:sz w:val="28"/>
                <w:szCs w:val="28"/>
              </w:rPr>
              <w:t>net</w:t>
            </w:r>
            <w:proofErr w:type="spellEnd"/>
            <w:r w:rsidRPr="004E3683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4E3683">
              <w:rPr>
                <w:bCs/>
                <w:sz w:val="28"/>
                <w:szCs w:val="28"/>
              </w:rPr>
              <w:t>new</w:t>
            </w:r>
            <w:proofErr w:type="spellEnd"/>
            <w:r w:rsidRPr="004E3683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4E3683">
              <w:rPr>
                <w:bCs/>
                <w:sz w:val="28"/>
                <w:szCs w:val="28"/>
              </w:rPr>
              <w:t>high</w:t>
            </w:r>
            <w:proofErr w:type="spellEnd"/>
            <w:r w:rsidRPr="004E3683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4E3683">
              <w:rPr>
                <w:bCs/>
                <w:sz w:val="28"/>
                <w:szCs w:val="28"/>
              </w:rPr>
              <w:t>basis</w:t>
            </w:r>
            <w:proofErr w:type="spellEnd"/>
            <w:r w:rsidRPr="004E3683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4E3683">
              <w:rPr>
                <w:bCs/>
                <w:sz w:val="28"/>
                <w:szCs w:val="28"/>
              </w:rPr>
              <w:t>since</w:t>
            </w:r>
            <w:proofErr w:type="spellEnd"/>
            <w:r w:rsidRPr="004E3683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4E3683">
              <w:rPr>
                <w:bCs/>
                <w:sz w:val="28"/>
                <w:szCs w:val="28"/>
              </w:rPr>
              <w:t>inception</w:t>
            </w:r>
            <w:proofErr w:type="spellEnd"/>
            <w:r w:rsidRPr="004E3683">
              <w:rPr>
                <w:bCs/>
                <w:sz w:val="28"/>
                <w:szCs w:val="28"/>
              </w:rPr>
              <w:t>)</w:t>
            </w:r>
            <w:r w:rsidRPr="004E3683">
              <w:rPr>
                <w:sz w:val="28"/>
                <w:szCs w:val="28"/>
              </w:rPr>
              <w:t xml:space="preserve"> </w:t>
            </w:r>
            <w:r w:rsidRPr="004E3683">
              <w:rPr>
                <w:bCs/>
                <w:sz w:val="28"/>
                <w:szCs w:val="28"/>
              </w:rPr>
              <w:t xml:space="preserve">(нет </w:t>
            </w:r>
            <w:proofErr w:type="spellStart"/>
            <w:r w:rsidRPr="004E3683">
              <w:rPr>
                <w:bCs/>
                <w:sz w:val="28"/>
                <w:szCs w:val="28"/>
              </w:rPr>
              <w:t>нью</w:t>
            </w:r>
            <w:proofErr w:type="spellEnd"/>
            <w:r w:rsidRPr="004E3683">
              <w:rPr>
                <w:bCs/>
                <w:sz w:val="28"/>
                <w:szCs w:val="28"/>
              </w:rPr>
              <w:t xml:space="preserve"> хай </w:t>
            </w:r>
            <w:proofErr w:type="spellStart"/>
            <w:r w:rsidRPr="004E3683">
              <w:rPr>
                <w:bCs/>
                <w:sz w:val="28"/>
                <w:szCs w:val="28"/>
              </w:rPr>
              <w:t>бейсис</w:t>
            </w:r>
            <w:proofErr w:type="spellEnd"/>
            <w:r w:rsidRPr="004E3683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4E3683">
              <w:rPr>
                <w:bCs/>
                <w:sz w:val="28"/>
                <w:szCs w:val="28"/>
              </w:rPr>
              <w:t>синс</w:t>
            </w:r>
            <w:proofErr w:type="spellEnd"/>
            <w:r w:rsidRPr="004E3683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4E3683">
              <w:rPr>
                <w:bCs/>
                <w:sz w:val="28"/>
                <w:szCs w:val="28"/>
              </w:rPr>
              <w:t>инсепшн</w:t>
            </w:r>
            <w:proofErr w:type="spellEnd"/>
            <w:r w:rsidRPr="004E3683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879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10 процентов</w:t>
            </w:r>
          </w:p>
        </w:tc>
        <w:tc>
          <w:tcPr>
            <w:tcW w:w="1412" w:type="pct"/>
            <w:gridSpan w:val="2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10 процентов</w:t>
            </w:r>
          </w:p>
        </w:tc>
        <w:tc>
          <w:tcPr>
            <w:tcW w:w="807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10 процентов</w:t>
            </w:r>
          </w:p>
        </w:tc>
      </w:tr>
      <w:tr w:rsidR="003238F4" w:rsidRPr="004E3683" w:rsidTr="002C2BB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91"/>
        </w:trPr>
        <w:tc>
          <w:tcPr>
            <w:tcW w:w="205" w:type="pct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697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 xml:space="preserve">Принятие условия по минимальному порогу </w:t>
            </w:r>
            <w:proofErr w:type="spellStart"/>
            <w:r w:rsidRPr="004E3683">
              <w:rPr>
                <w:bCs/>
                <w:sz w:val="28"/>
                <w:szCs w:val="28"/>
              </w:rPr>
              <w:t>сверхдоходности</w:t>
            </w:r>
            <w:proofErr w:type="spellEnd"/>
            <w:r w:rsidRPr="004E3683">
              <w:rPr>
                <w:bCs/>
                <w:sz w:val="28"/>
                <w:szCs w:val="28"/>
              </w:rPr>
              <w:t>, с которого начинается расчет комиссионного вознаграждения по результатам внешнего управления, не ниже базового комиссионного вознаграждения</w:t>
            </w:r>
          </w:p>
        </w:tc>
        <w:tc>
          <w:tcPr>
            <w:tcW w:w="879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15 процентов</w:t>
            </w:r>
          </w:p>
        </w:tc>
        <w:tc>
          <w:tcPr>
            <w:tcW w:w="1412" w:type="pct"/>
            <w:gridSpan w:val="2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15 процентов</w:t>
            </w:r>
          </w:p>
        </w:tc>
        <w:tc>
          <w:tcPr>
            <w:tcW w:w="807" w:type="pct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4E3683">
              <w:rPr>
                <w:bCs/>
                <w:sz w:val="28"/>
                <w:szCs w:val="28"/>
              </w:rPr>
              <w:t>15 процентов</w:t>
            </w:r>
          </w:p>
        </w:tc>
      </w:tr>
    </w:tbl>
    <w:p w:rsidR="003238F4" w:rsidRDefault="003238F4" w:rsidP="003238F4">
      <w:pPr>
        <w:overflowPunct/>
        <w:autoSpaceDE/>
        <w:autoSpaceDN/>
        <w:adjustRightInd/>
        <w:jc w:val="center"/>
        <w:rPr>
          <w:rFonts w:eastAsia="Calibri"/>
          <w:sz w:val="28"/>
          <w:szCs w:val="22"/>
          <w:lang w:eastAsia="en-US"/>
        </w:rPr>
      </w:pPr>
    </w:p>
    <w:p w:rsidR="006234FB" w:rsidRDefault="006234FB" w:rsidP="003238F4">
      <w:pPr>
        <w:overflowPunct/>
        <w:autoSpaceDE/>
        <w:autoSpaceDN/>
        <w:adjustRightInd/>
        <w:jc w:val="center"/>
        <w:rPr>
          <w:rFonts w:eastAsia="Calibri"/>
          <w:sz w:val="28"/>
          <w:szCs w:val="22"/>
          <w:lang w:eastAsia="en-US"/>
        </w:rPr>
      </w:pPr>
    </w:p>
    <w:p w:rsidR="006234FB" w:rsidRDefault="006234FB" w:rsidP="003238F4">
      <w:pPr>
        <w:overflowPunct/>
        <w:autoSpaceDE/>
        <w:autoSpaceDN/>
        <w:adjustRightInd/>
        <w:jc w:val="center"/>
        <w:rPr>
          <w:rFonts w:eastAsia="Calibri"/>
          <w:sz w:val="28"/>
          <w:szCs w:val="22"/>
          <w:lang w:eastAsia="en-US"/>
        </w:rPr>
      </w:pPr>
    </w:p>
    <w:p w:rsidR="006234FB" w:rsidRDefault="006234FB" w:rsidP="003238F4">
      <w:pPr>
        <w:overflowPunct/>
        <w:autoSpaceDE/>
        <w:autoSpaceDN/>
        <w:adjustRightInd/>
        <w:jc w:val="center"/>
        <w:rPr>
          <w:rFonts w:eastAsia="Calibri"/>
          <w:sz w:val="28"/>
          <w:szCs w:val="22"/>
          <w:lang w:eastAsia="en-US"/>
        </w:rPr>
      </w:pPr>
    </w:p>
    <w:p w:rsidR="006234FB" w:rsidRDefault="006234FB" w:rsidP="003238F4">
      <w:pPr>
        <w:overflowPunct/>
        <w:autoSpaceDE/>
        <w:autoSpaceDN/>
        <w:adjustRightInd/>
        <w:jc w:val="center"/>
        <w:rPr>
          <w:rFonts w:eastAsia="Calibri"/>
          <w:sz w:val="28"/>
          <w:szCs w:val="22"/>
          <w:lang w:eastAsia="en-US"/>
        </w:rPr>
      </w:pPr>
    </w:p>
    <w:p w:rsidR="006234FB" w:rsidRPr="004E3683" w:rsidRDefault="006234FB" w:rsidP="003238F4">
      <w:pPr>
        <w:overflowPunct/>
        <w:autoSpaceDE/>
        <w:autoSpaceDN/>
        <w:adjustRightInd/>
        <w:jc w:val="center"/>
        <w:rPr>
          <w:rFonts w:eastAsia="Calibri"/>
          <w:sz w:val="28"/>
          <w:szCs w:val="22"/>
          <w:lang w:eastAsia="en-US"/>
        </w:rPr>
      </w:pPr>
    </w:p>
    <w:p w:rsidR="003238F4" w:rsidRPr="004E3683" w:rsidRDefault="003238F4" w:rsidP="003238F4">
      <w:pPr>
        <w:overflowPunct/>
        <w:autoSpaceDE/>
        <w:autoSpaceDN/>
        <w:adjustRightInd/>
        <w:rPr>
          <w:rFonts w:eastAsia="Calibri"/>
          <w:bCs/>
          <w:sz w:val="28"/>
          <w:szCs w:val="28"/>
          <w:lang w:eastAsia="en-US"/>
        </w:rPr>
      </w:pPr>
    </w:p>
    <w:p w:rsidR="003238F4" w:rsidRPr="004E3683" w:rsidRDefault="003238F4" w:rsidP="003238F4">
      <w:pPr>
        <w:overflowPunct/>
        <w:autoSpaceDE/>
        <w:autoSpaceDN/>
        <w:adjustRightInd/>
        <w:jc w:val="center"/>
        <w:rPr>
          <w:rFonts w:eastAsia="Calibri"/>
          <w:sz w:val="28"/>
          <w:szCs w:val="22"/>
          <w:lang w:eastAsia="en-US"/>
        </w:rPr>
      </w:pPr>
      <w:r w:rsidRPr="004E3683">
        <w:rPr>
          <w:rFonts w:eastAsia="Calibri"/>
          <w:sz w:val="28"/>
          <w:szCs w:val="22"/>
          <w:lang w:eastAsia="en-US"/>
        </w:rPr>
        <w:t>Таблица 2. Качественный анализ</w:t>
      </w:r>
    </w:p>
    <w:p w:rsidR="003238F4" w:rsidRPr="004E3683" w:rsidRDefault="003238F4" w:rsidP="003238F4">
      <w:pPr>
        <w:overflowPunct/>
        <w:autoSpaceDE/>
        <w:autoSpaceDN/>
        <w:adjustRightInd/>
        <w:rPr>
          <w:rFonts w:eastAsia="Calibri"/>
          <w:bCs/>
          <w:sz w:val="28"/>
          <w:szCs w:val="28"/>
          <w:lang w:eastAsia="en-US"/>
        </w:rPr>
      </w:pPr>
    </w:p>
    <w:tbl>
      <w:tblPr>
        <w:tblW w:w="5374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74"/>
        <w:gridCol w:w="4073"/>
      </w:tblGrid>
      <w:tr w:rsidR="003238F4" w:rsidRPr="004E3683" w:rsidTr="002C2BBB">
        <w:trPr>
          <w:trHeight w:val="613"/>
        </w:trPr>
        <w:tc>
          <w:tcPr>
            <w:tcW w:w="3032" w:type="pct"/>
            <w:shd w:val="clear" w:color="auto" w:fill="auto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bCs/>
                <w:sz w:val="28"/>
                <w:szCs w:val="28"/>
                <w:lang w:eastAsia="en-US"/>
              </w:rPr>
              <w:t>Оценочные критерии</w:t>
            </w:r>
          </w:p>
        </w:tc>
        <w:tc>
          <w:tcPr>
            <w:tcW w:w="1968" w:type="pct"/>
            <w:tcBorders>
              <w:bottom w:val="single" w:sz="4" w:space="0" w:color="auto"/>
            </w:tcBorders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2"/>
                <w:lang w:eastAsia="en-US"/>
              </w:rPr>
              <w:t>Удовлетворительно</w:t>
            </w:r>
            <w:r w:rsidRPr="004E3683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(неудовлетворительно)</w:t>
            </w:r>
          </w:p>
        </w:tc>
      </w:tr>
      <w:tr w:rsidR="003238F4" w:rsidRPr="004E3683" w:rsidTr="002C2BBB">
        <w:trPr>
          <w:trHeight w:val="259"/>
        </w:trPr>
        <w:tc>
          <w:tcPr>
            <w:tcW w:w="5000" w:type="pct"/>
            <w:gridSpan w:val="2"/>
            <w:shd w:val="clear" w:color="auto" w:fill="auto"/>
          </w:tcPr>
          <w:p w:rsidR="003238F4" w:rsidRPr="004E3683" w:rsidRDefault="003238F4" w:rsidP="003238F4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2"/>
                <w:lang w:eastAsia="en-US"/>
              </w:rPr>
              <w:t>Инвестиционный процесс</w:t>
            </w:r>
          </w:p>
        </w:tc>
      </w:tr>
      <w:tr w:rsidR="003238F4" w:rsidRPr="004E3683" w:rsidTr="002C2BBB">
        <w:trPr>
          <w:trHeight w:val="259"/>
        </w:trPr>
        <w:tc>
          <w:tcPr>
            <w:tcW w:w="5000" w:type="pct"/>
            <w:gridSpan w:val="2"/>
            <w:shd w:val="clear" w:color="auto" w:fill="auto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2"/>
                <w:lang w:eastAsia="en-US"/>
              </w:rPr>
              <w:t>1.1 Формирование инвестиционного портфеля</w:t>
            </w:r>
          </w:p>
        </w:tc>
      </w:tr>
      <w:tr w:rsidR="003238F4" w:rsidRPr="004E3683" w:rsidTr="002C2BBB">
        <w:trPr>
          <w:trHeight w:val="259"/>
        </w:trPr>
        <w:tc>
          <w:tcPr>
            <w:tcW w:w="3032" w:type="pct"/>
            <w:shd w:val="clear" w:color="auto" w:fill="auto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bCs/>
                <w:sz w:val="28"/>
                <w:szCs w:val="28"/>
                <w:lang w:eastAsia="en-US"/>
              </w:rPr>
              <w:t>оценка соответствующих ограничений и лимитов инвестиционной стратегии предлагаемого инвестиционного продукта</w:t>
            </w:r>
          </w:p>
        </w:tc>
        <w:tc>
          <w:tcPr>
            <w:tcW w:w="1968" w:type="pct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3238F4" w:rsidRPr="004E3683" w:rsidTr="002C2BBB">
        <w:trPr>
          <w:trHeight w:val="259"/>
        </w:trPr>
        <w:tc>
          <w:tcPr>
            <w:tcW w:w="3032" w:type="pct"/>
            <w:shd w:val="clear" w:color="auto" w:fill="auto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bCs/>
                <w:sz w:val="28"/>
                <w:szCs w:val="28"/>
                <w:lang w:eastAsia="en-US"/>
              </w:rPr>
              <w:t>использование аналитических исследований и внедрение инвестиционных идей</w:t>
            </w:r>
          </w:p>
        </w:tc>
        <w:tc>
          <w:tcPr>
            <w:tcW w:w="1968" w:type="pct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3238F4" w:rsidRPr="004E3683" w:rsidTr="002C2BBB">
        <w:trPr>
          <w:trHeight w:val="259"/>
        </w:trPr>
        <w:tc>
          <w:tcPr>
            <w:tcW w:w="3032" w:type="pct"/>
            <w:shd w:val="clear" w:color="auto" w:fill="auto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bCs/>
                <w:sz w:val="28"/>
                <w:szCs w:val="28"/>
                <w:lang w:eastAsia="en-US"/>
              </w:rPr>
              <w:t>оценка результатов управления портфелем на соответствие заявленному стилю</w:t>
            </w:r>
          </w:p>
        </w:tc>
        <w:tc>
          <w:tcPr>
            <w:tcW w:w="1968" w:type="pct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3238F4" w:rsidRPr="004E3683" w:rsidTr="002C2BBB">
        <w:trPr>
          <w:trHeight w:val="435"/>
        </w:trPr>
        <w:tc>
          <w:tcPr>
            <w:tcW w:w="5000" w:type="pct"/>
            <w:gridSpan w:val="2"/>
            <w:shd w:val="clear" w:color="auto" w:fill="auto"/>
          </w:tcPr>
          <w:p w:rsidR="003238F4" w:rsidRPr="004E3683" w:rsidRDefault="003238F4" w:rsidP="003238F4">
            <w:pPr>
              <w:numPr>
                <w:ilvl w:val="1"/>
                <w:numId w:val="12"/>
              </w:numPr>
              <w:overflowPunct/>
              <w:autoSpaceDE/>
              <w:autoSpaceDN/>
              <w:adjustRightInd/>
              <w:ind w:left="72" w:firstLine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2"/>
                <w:lang w:eastAsia="en-US"/>
              </w:rPr>
              <w:t>Процесс принятия решений по покупке или продаже финансовых инструментов</w:t>
            </w:r>
          </w:p>
        </w:tc>
      </w:tr>
      <w:tr w:rsidR="003238F4" w:rsidRPr="004E3683" w:rsidTr="002C2BBB">
        <w:trPr>
          <w:trHeight w:val="259"/>
        </w:trPr>
        <w:tc>
          <w:tcPr>
            <w:tcW w:w="3032" w:type="pct"/>
            <w:shd w:val="clear" w:color="auto" w:fill="auto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bCs/>
                <w:sz w:val="28"/>
                <w:szCs w:val="28"/>
                <w:lang w:eastAsia="en-US"/>
              </w:rPr>
              <w:t xml:space="preserve">модель принятия решений </w:t>
            </w:r>
          </w:p>
        </w:tc>
        <w:tc>
          <w:tcPr>
            <w:tcW w:w="1968" w:type="pct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3238F4" w:rsidRPr="004E3683" w:rsidTr="002C2BBB">
        <w:trPr>
          <w:trHeight w:val="259"/>
        </w:trPr>
        <w:tc>
          <w:tcPr>
            <w:tcW w:w="3032" w:type="pct"/>
            <w:shd w:val="clear" w:color="auto" w:fill="auto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bCs/>
                <w:sz w:val="28"/>
                <w:szCs w:val="28"/>
                <w:lang w:eastAsia="en-US"/>
              </w:rPr>
              <w:t xml:space="preserve">наличие понятной и последовательной дисциплины при продаже финансовых инструментов, а также процедур по установлению ограничений убытков </w:t>
            </w:r>
          </w:p>
        </w:tc>
        <w:tc>
          <w:tcPr>
            <w:tcW w:w="1968" w:type="pct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3238F4" w:rsidRPr="004E3683" w:rsidTr="002C2BBB">
        <w:trPr>
          <w:trHeight w:val="259"/>
        </w:trPr>
        <w:tc>
          <w:tcPr>
            <w:tcW w:w="5000" w:type="pct"/>
            <w:gridSpan w:val="2"/>
            <w:shd w:val="clear" w:color="auto" w:fill="auto"/>
          </w:tcPr>
          <w:p w:rsidR="003238F4" w:rsidRPr="004E3683" w:rsidRDefault="003238F4" w:rsidP="003238F4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2"/>
                <w:lang w:eastAsia="en-US"/>
              </w:rPr>
              <w:t>Внутренние процедуры контроля и мониторинга</w:t>
            </w:r>
          </w:p>
        </w:tc>
      </w:tr>
      <w:tr w:rsidR="003238F4" w:rsidRPr="004E3683" w:rsidTr="002C2BBB">
        <w:trPr>
          <w:trHeight w:val="259"/>
        </w:trPr>
        <w:tc>
          <w:tcPr>
            <w:tcW w:w="5000" w:type="pct"/>
            <w:gridSpan w:val="2"/>
            <w:shd w:val="clear" w:color="auto" w:fill="auto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2"/>
                <w:lang w:eastAsia="en-US"/>
              </w:rPr>
              <w:t>2.1. Процесс управления рисками</w:t>
            </w:r>
          </w:p>
        </w:tc>
      </w:tr>
      <w:tr w:rsidR="003238F4" w:rsidRPr="004E3683" w:rsidTr="002C2BBB">
        <w:trPr>
          <w:trHeight w:val="259"/>
        </w:trPr>
        <w:tc>
          <w:tcPr>
            <w:tcW w:w="3032" w:type="pct"/>
            <w:shd w:val="clear" w:color="auto" w:fill="auto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bCs/>
                <w:sz w:val="28"/>
                <w:szCs w:val="28"/>
                <w:lang w:eastAsia="en-US"/>
              </w:rPr>
              <w:t>внутренний порядок или регламент работы внешнего управляющего по управлению рисками портфеля</w:t>
            </w:r>
          </w:p>
        </w:tc>
        <w:tc>
          <w:tcPr>
            <w:tcW w:w="1968" w:type="pct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3238F4" w:rsidRPr="004E3683" w:rsidTr="002C2BBB">
        <w:trPr>
          <w:trHeight w:val="707"/>
        </w:trPr>
        <w:tc>
          <w:tcPr>
            <w:tcW w:w="3032" w:type="pct"/>
            <w:shd w:val="clear" w:color="auto" w:fill="auto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bCs/>
                <w:sz w:val="28"/>
                <w:szCs w:val="28"/>
                <w:lang w:eastAsia="en-US"/>
              </w:rPr>
              <w:t>наличие программного обеспечения по управлению и мониторингу рисками портфеля</w:t>
            </w:r>
          </w:p>
        </w:tc>
        <w:tc>
          <w:tcPr>
            <w:tcW w:w="1968" w:type="pct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3238F4" w:rsidRPr="004E3683" w:rsidTr="002C2BBB">
        <w:trPr>
          <w:trHeight w:val="246"/>
        </w:trPr>
        <w:tc>
          <w:tcPr>
            <w:tcW w:w="5000" w:type="pct"/>
            <w:gridSpan w:val="2"/>
            <w:shd w:val="clear" w:color="auto" w:fill="auto"/>
          </w:tcPr>
          <w:p w:rsidR="003238F4" w:rsidRPr="004E3683" w:rsidRDefault="003238F4" w:rsidP="003238F4">
            <w:pPr>
              <w:numPr>
                <w:ilvl w:val="1"/>
                <w:numId w:val="12"/>
              </w:numPr>
              <w:overflowPunct/>
              <w:autoSpaceDE/>
              <w:autoSpaceDN/>
              <w:adjustRightInd/>
              <w:ind w:left="432" w:hanging="432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sz w:val="28"/>
                <w:szCs w:val="22"/>
                <w:lang w:eastAsia="en-US"/>
              </w:rPr>
              <w:t>Процесс осуществления торговых сделок</w:t>
            </w:r>
          </w:p>
        </w:tc>
      </w:tr>
      <w:tr w:rsidR="003238F4" w:rsidRPr="004E3683" w:rsidTr="002C2BBB">
        <w:trPr>
          <w:trHeight w:val="551"/>
        </w:trPr>
        <w:tc>
          <w:tcPr>
            <w:tcW w:w="3032" w:type="pct"/>
            <w:shd w:val="clear" w:color="auto" w:fill="auto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bCs/>
                <w:sz w:val="28"/>
                <w:szCs w:val="28"/>
                <w:lang w:eastAsia="en-US"/>
              </w:rPr>
              <w:t xml:space="preserve">наличие политики наилучшего исполнения сделок, включая процедуру выбора и утверждения </w:t>
            </w:r>
            <w:proofErr w:type="spellStart"/>
            <w:r w:rsidRPr="004E3683">
              <w:rPr>
                <w:rFonts w:eastAsia="Calibri"/>
                <w:bCs/>
                <w:sz w:val="28"/>
                <w:szCs w:val="28"/>
                <w:lang w:eastAsia="en-US"/>
              </w:rPr>
              <w:t>контрпартнеров</w:t>
            </w:r>
            <w:proofErr w:type="spellEnd"/>
            <w:r w:rsidRPr="004E3683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и торговых площадок </w:t>
            </w:r>
          </w:p>
        </w:tc>
        <w:tc>
          <w:tcPr>
            <w:tcW w:w="1968" w:type="pct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3238F4" w:rsidRPr="004E3683" w:rsidTr="002C2BBB">
        <w:trPr>
          <w:trHeight w:val="300"/>
        </w:trPr>
        <w:tc>
          <w:tcPr>
            <w:tcW w:w="3032" w:type="pct"/>
            <w:shd w:val="clear" w:color="auto" w:fill="auto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bCs/>
                <w:sz w:val="28"/>
                <w:szCs w:val="28"/>
                <w:lang w:eastAsia="en-US"/>
              </w:rPr>
              <w:t xml:space="preserve">наличие процедур </w:t>
            </w:r>
            <w:proofErr w:type="spellStart"/>
            <w:r w:rsidRPr="004E3683">
              <w:rPr>
                <w:rFonts w:eastAsia="Calibri"/>
                <w:bCs/>
                <w:sz w:val="28"/>
                <w:szCs w:val="28"/>
                <w:lang w:eastAsia="en-US"/>
              </w:rPr>
              <w:t>комплаенса</w:t>
            </w:r>
            <w:proofErr w:type="spellEnd"/>
            <w:r w:rsidRPr="004E3683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и осуществления сверки данных</w:t>
            </w:r>
          </w:p>
        </w:tc>
        <w:tc>
          <w:tcPr>
            <w:tcW w:w="1968" w:type="pct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3238F4" w:rsidRPr="004E3683" w:rsidTr="002C2BBB">
        <w:trPr>
          <w:trHeight w:val="282"/>
        </w:trPr>
        <w:tc>
          <w:tcPr>
            <w:tcW w:w="3032" w:type="pct"/>
            <w:shd w:val="clear" w:color="auto" w:fill="auto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bCs/>
                <w:sz w:val="28"/>
                <w:szCs w:val="28"/>
                <w:lang w:eastAsia="en-US"/>
              </w:rPr>
              <w:t>проведение расчетов по сделке с ценными бумагами</w:t>
            </w:r>
          </w:p>
        </w:tc>
        <w:tc>
          <w:tcPr>
            <w:tcW w:w="1968" w:type="pct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</w:tbl>
    <w:p w:rsidR="003238F4" w:rsidRPr="004E3683" w:rsidRDefault="003238F4" w:rsidP="003238F4">
      <w:pPr>
        <w:overflowPunct/>
        <w:autoSpaceDE/>
        <w:autoSpaceDN/>
        <w:adjustRightInd/>
        <w:rPr>
          <w:rFonts w:eastAsia="Calibri"/>
          <w:sz w:val="28"/>
          <w:szCs w:val="28"/>
          <w:lang w:eastAsia="en-US"/>
        </w:rPr>
      </w:pPr>
    </w:p>
    <w:p w:rsidR="003238F4" w:rsidRPr="004E3683" w:rsidRDefault="003238F4" w:rsidP="003238F4">
      <w:pPr>
        <w:overflowPunct/>
        <w:autoSpaceDE/>
        <w:autoSpaceDN/>
        <w:adjustRightInd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Примечание:</w:t>
      </w:r>
    </w:p>
    <w:p w:rsidR="003238F4" w:rsidRPr="004E3683" w:rsidRDefault="003238F4" w:rsidP="003238F4">
      <w:pPr>
        <w:tabs>
          <w:tab w:val="left" w:pos="90"/>
        </w:tabs>
        <w:overflowPunct/>
        <w:autoSpaceDE/>
        <w:autoSpaceDN/>
        <w:adjustRightInd/>
        <w:ind w:firstLine="900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1. Оценкой предложения потенциального внешнего управляющего из короткого списка служит сумма баллов по всем оценочным критериям, приведенным в таблице 1 в соответствии с их значимостью.</w:t>
      </w:r>
    </w:p>
    <w:p w:rsidR="003238F4" w:rsidRPr="004E3683" w:rsidRDefault="003238F4" w:rsidP="003238F4">
      <w:pPr>
        <w:tabs>
          <w:tab w:val="left" w:pos="90"/>
        </w:tabs>
        <w:overflowPunct/>
        <w:autoSpaceDE/>
        <w:autoSpaceDN/>
        <w:adjustRightInd/>
        <w:ind w:firstLine="900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2. Для целей расчета баллов каждый показатель подлежит нормированию относительно наилучшего показателя в рассматриваемом критерии по всем потенциальным внешним управляющим из короткого списка. При этом нормированный показатель – это отношение показателя внешнего управляющего из короткого списка к максимальному значению показателя по рассматриваемому критерию.</w:t>
      </w:r>
      <w:r w:rsidRPr="004E3683">
        <w:rPr>
          <w:rFonts w:eastAsia="Calibri"/>
          <w:sz w:val="28"/>
          <w:szCs w:val="28"/>
          <w:lang w:eastAsia="en-US"/>
        </w:rPr>
        <w:tab/>
      </w:r>
    </w:p>
    <w:p w:rsidR="003238F4" w:rsidRPr="004E3683" w:rsidRDefault="003238F4" w:rsidP="003238F4">
      <w:pPr>
        <w:tabs>
          <w:tab w:val="left" w:pos="90"/>
        </w:tabs>
        <w:overflowPunct/>
        <w:autoSpaceDE/>
        <w:autoSpaceDN/>
        <w:adjustRightInd/>
        <w:ind w:firstLine="900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3. При оценке инвестиционного процесса и внутренних процедур контроля и мониторинга потенциального внешнего управляющего в рамках качественного анализа, критерии которого приведены в таблице 2, используется следующая система показателей:</w:t>
      </w:r>
    </w:p>
    <w:p w:rsidR="003238F4" w:rsidRPr="004E3683" w:rsidRDefault="003238F4" w:rsidP="003238F4">
      <w:pPr>
        <w:tabs>
          <w:tab w:val="left" w:pos="90"/>
        </w:tabs>
        <w:overflowPunct/>
        <w:autoSpaceDE/>
        <w:autoSpaceDN/>
        <w:adjustRightInd/>
        <w:ind w:firstLine="900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65"/>
        <w:gridCol w:w="2771"/>
      </w:tblGrid>
      <w:tr w:rsidR="003238F4" w:rsidRPr="004E3683" w:rsidTr="002C2BBB">
        <w:trPr>
          <w:trHeight w:val="381"/>
          <w:jc w:val="center"/>
        </w:trPr>
        <w:tc>
          <w:tcPr>
            <w:tcW w:w="6765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bCs/>
                <w:sz w:val="28"/>
                <w:szCs w:val="28"/>
                <w:lang w:eastAsia="en-US"/>
              </w:rPr>
              <w:t>Показатель</w:t>
            </w:r>
          </w:p>
        </w:tc>
        <w:tc>
          <w:tcPr>
            <w:tcW w:w="2771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bCs/>
                <w:sz w:val="28"/>
                <w:szCs w:val="28"/>
                <w:lang w:eastAsia="en-US"/>
              </w:rPr>
              <w:t>Балл, присваиваемый показателю</w:t>
            </w:r>
          </w:p>
        </w:tc>
      </w:tr>
      <w:tr w:rsidR="003238F4" w:rsidRPr="004E3683" w:rsidTr="002C2BBB">
        <w:trPr>
          <w:jc w:val="center"/>
        </w:trPr>
        <w:tc>
          <w:tcPr>
            <w:tcW w:w="6765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bCs/>
                <w:sz w:val="28"/>
                <w:szCs w:val="28"/>
                <w:lang w:eastAsia="en-US"/>
              </w:rPr>
              <w:t>Удовлетворительно – процесс и (или) процедуры потенциального внешнего управляющего соответствуют заявленному статусу, понятны и могут быть легко интерпретированы</w:t>
            </w:r>
          </w:p>
        </w:tc>
        <w:tc>
          <w:tcPr>
            <w:tcW w:w="2771" w:type="dxa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bCs/>
                <w:sz w:val="28"/>
                <w:szCs w:val="28"/>
                <w:lang w:eastAsia="en-US"/>
              </w:rPr>
              <w:t>1</w:t>
            </w:r>
          </w:p>
        </w:tc>
      </w:tr>
      <w:tr w:rsidR="003238F4" w:rsidRPr="004E3683" w:rsidTr="002C2BBB">
        <w:trPr>
          <w:jc w:val="center"/>
        </w:trPr>
        <w:tc>
          <w:tcPr>
            <w:tcW w:w="6765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bCs/>
                <w:sz w:val="28"/>
                <w:szCs w:val="28"/>
                <w:lang w:eastAsia="en-US"/>
              </w:rPr>
              <w:t>Неудовлетворительно – процесс и (или) процедуры потенциального внешнего управляющего не соответствуют заявленному статусу, приемлемы, однако имеются проблемы в части реализации решений внутри компании</w:t>
            </w:r>
          </w:p>
        </w:tc>
        <w:tc>
          <w:tcPr>
            <w:tcW w:w="2771" w:type="dxa"/>
            <w:vAlign w:val="center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4E3683">
              <w:rPr>
                <w:rFonts w:eastAsia="Calibri"/>
                <w:bCs/>
                <w:sz w:val="28"/>
                <w:szCs w:val="28"/>
                <w:lang w:eastAsia="en-US"/>
              </w:rPr>
              <w:t>0</w:t>
            </w:r>
          </w:p>
        </w:tc>
      </w:tr>
    </w:tbl>
    <w:p w:rsidR="003238F4" w:rsidRPr="004E3683" w:rsidRDefault="003238F4" w:rsidP="003238F4">
      <w:pPr>
        <w:overflowPunct/>
        <w:autoSpaceDE/>
        <w:autoSpaceDN/>
        <w:adjustRightInd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br w:type="page"/>
      </w:r>
    </w:p>
    <w:p w:rsidR="003238F4" w:rsidRPr="004E3683" w:rsidRDefault="003238F4" w:rsidP="003238F4">
      <w:pPr>
        <w:overflowPunct/>
        <w:autoSpaceDE/>
        <w:autoSpaceDN/>
        <w:adjustRightInd/>
        <w:ind w:left="3539" w:firstLine="709"/>
        <w:jc w:val="right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Приложение 4 </w:t>
      </w:r>
    </w:p>
    <w:p w:rsidR="003238F4" w:rsidRPr="004E3683" w:rsidRDefault="003238F4" w:rsidP="003238F4">
      <w:pPr>
        <w:overflowPunct/>
        <w:autoSpaceDE/>
        <w:autoSpaceDN/>
        <w:adjustRightInd/>
        <w:jc w:val="right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к </w:t>
      </w:r>
      <w:r w:rsidRPr="004E3683">
        <w:rPr>
          <w:rFonts w:eastAsia="Calibri"/>
          <w:bCs/>
          <w:sz w:val="28"/>
          <w:szCs w:val="28"/>
          <w:lang w:eastAsia="en-US"/>
        </w:rPr>
        <w:t>Правилам</w:t>
      </w:r>
      <w:r w:rsidRPr="004E3683">
        <w:rPr>
          <w:rFonts w:eastAsia="Calibri"/>
          <w:sz w:val="28"/>
          <w:szCs w:val="28"/>
          <w:lang w:eastAsia="en-US"/>
        </w:rPr>
        <w:t xml:space="preserve"> выбора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right"/>
        <w:rPr>
          <w:rFonts w:eastAsia="Calibri"/>
          <w:bCs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 xml:space="preserve">внешних управляющих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right"/>
        <w:rPr>
          <w:rFonts w:eastAsia="Calibri"/>
          <w:bCs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 xml:space="preserve">золотовалютными активами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right"/>
        <w:rPr>
          <w:rFonts w:eastAsia="Calibri"/>
          <w:bCs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 xml:space="preserve">Национального Банка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right"/>
        <w:rPr>
          <w:rFonts w:eastAsia="Calibri"/>
          <w:bCs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 xml:space="preserve">Республики Казахстан,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right"/>
        <w:rPr>
          <w:rFonts w:eastAsia="Calibri"/>
          <w:bCs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 xml:space="preserve">активами Национального фонда </w:t>
      </w:r>
    </w:p>
    <w:p w:rsidR="003238F4" w:rsidRPr="004E3683" w:rsidRDefault="003238F4" w:rsidP="003238F4">
      <w:pPr>
        <w:overflowPunct/>
        <w:autoSpaceDE/>
        <w:autoSpaceDN/>
        <w:adjustRightInd/>
        <w:jc w:val="right"/>
        <w:rPr>
          <w:rFonts w:eastAsia="Calibri"/>
          <w:bCs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 xml:space="preserve">Республики Казахстан </w:t>
      </w:r>
    </w:p>
    <w:p w:rsidR="003238F4" w:rsidRPr="004E3683" w:rsidRDefault="003238F4" w:rsidP="003238F4">
      <w:pPr>
        <w:overflowPunct/>
        <w:autoSpaceDE/>
        <w:autoSpaceDN/>
        <w:adjustRightInd/>
        <w:jc w:val="right"/>
        <w:rPr>
          <w:rFonts w:eastAsia="Calibri"/>
          <w:bCs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 xml:space="preserve">и пенсионными активами </w:t>
      </w:r>
    </w:p>
    <w:p w:rsidR="003238F4" w:rsidRPr="004E3683" w:rsidRDefault="003238F4" w:rsidP="003238F4">
      <w:pPr>
        <w:overflowPunct/>
        <w:autoSpaceDE/>
        <w:autoSpaceDN/>
        <w:adjustRightInd/>
        <w:jc w:val="right"/>
        <w:rPr>
          <w:rFonts w:eastAsia="Calibri"/>
          <w:bCs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 xml:space="preserve">единого накопительного </w:t>
      </w:r>
    </w:p>
    <w:p w:rsidR="003238F4" w:rsidRPr="004E3683" w:rsidRDefault="003238F4" w:rsidP="003238F4">
      <w:pPr>
        <w:overflowPunct/>
        <w:autoSpaceDE/>
        <w:autoSpaceDN/>
        <w:adjustRightInd/>
        <w:jc w:val="right"/>
        <w:rPr>
          <w:rFonts w:eastAsia="Calibri"/>
          <w:bCs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 xml:space="preserve">пенсионного фонда </w:t>
      </w:r>
    </w:p>
    <w:p w:rsidR="003238F4" w:rsidRPr="004E3683" w:rsidRDefault="003238F4" w:rsidP="003238F4">
      <w:pPr>
        <w:overflowPunct/>
        <w:autoSpaceDE/>
        <w:autoSpaceDN/>
        <w:adjustRightInd/>
        <w:jc w:val="right"/>
        <w:rPr>
          <w:rFonts w:eastAsia="Calibri"/>
          <w:bCs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 xml:space="preserve">и передачи активов во </w:t>
      </w:r>
    </w:p>
    <w:p w:rsidR="003238F4" w:rsidRPr="004E3683" w:rsidRDefault="003238F4" w:rsidP="003238F4">
      <w:pPr>
        <w:overflowPunct/>
        <w:autoSpaceDE/>
        <w:autoSpaceDN/>
        <w:adjustRightInd/>
        <w:jc w:val="right"/>
        <w:rPr>
          <w:rFonts w:eastAsia="Calibri"/>
          <w:bCs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 xml:space="preserve">внешнее управление 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 </w:t>
      </w: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>Методика</w:t>
      </w:r>
    </w:p>
    <w:p w:rsidR="003238F4" w:rsidRPr="004E3683" w:rsidRDefault="003238F4" w:rsidP="003238F4">
      <w:pPr>
        <w:overflowPunct/>
        <w:autoSpaceDE/>
        <w:autoSpaceDN/>
        <w:adjustRightInd/>
        <w:spacing w:after="200"/>
        <w:jc w:val="center"/>
        <w:rPr>
          <w:rFonts w:eastAsia="Calibri"/>
          <w:bCs/>
          <w:sz w:val="28"/>
          <w:szCs w:val="28"/>
          <w:lang w:eastAsia="en-US"/>
        </w:rPr>
      </w:pPr>
      <w:r w:rsidRPr="004E3683">
        <w:rPr>
          <w:rFonts w:eastAsia="Calibri"/>
          <w:bCs/>
          <w:sz w:val="28"/>
          <w:szCs w:val="28"/>
          <w:lang w:eastAsia="en-US"/>
        </w:rPr>
        <w:t>оценки эффективности работы внешнего управляющего </w:t>
      </w:r>
    </w:p>
    <w:p w:rsidR="003238F4" w:rsidRPr="004E3683" w:rsidRDefault="003238F4" w:rsidP="003238F4">
      <w:pPr>
        <w:numPr>
          <w:ilvl w:val="0"/>
          <w:numId w:val="13"/>
        </w:numPr>
        <w:tabs>
          <w:tab w:val="num" w:pos="1134"/>
        </w:tabs>
        <w:overflowPunct/>
        <w:autoSpaceDE/>
        <w:autoSpaceDN/>
        <w:adjustRightInd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2"/>
          <w:lang w:eastAsia="en-US"/>
        </w:rPr>
        <w:t xml:space="preserve">Настоящая Методика оценки эффективности работы внешних управляющих </w:t>
      </w:r>
      <w:r w:rsidRPr="004E3683">
        <w:rPr>
          <w:rFonts w:eastAsia="Calibri"/>
          <w:sz w:val="28"/>
          <w:szCs w:val="28"/>
          <w:lang w:eastAsia="en-US"/>
        </w:rPr>
        <w:t xml:space="preserve">(далее – Методика) </w:t>
      </w:r>
      <w:r w:rsidRPr="004E3683">
        <w:rPr>
          <w:rFonts w:eastAsia="Calibri"/>
          <w:sz w:val="28"/>
          <w:szCs w:val="22"/>
          <w:lang w:eastAsia="en-US"/>
        </w:rPr>
        <w:t xml:space="preserve">определяет порядок проведения ежегодной оценки внешних управляющих </w:t>
      </w:r>
      <w:r w:rsidRPr="004E3683">
        <w:rPr>
          <w:rFonts w:eastAsia="Calibri"/>
          <w:bCs/>
          <w:sz w:val="28"/>
          <w:szCs w:val="28"/>
          <w:lang w:eastAsia="en-US"/>
        </w:rPr>
        <w:t>золотовалютными активами Национального Банка Республики Казахстан, активами Национального фонда Республики Казахстан и (или) пенсионными активами единого накопительного пенсионного фонда (далее – Активы</w:t>
      </w:r>
      <w:r w:rsidRPr="004E3683">
        <w:rPr>
          <w:rFonts w:eastAsia="Calibri"/>
          <w:b/>
          <w:bCs/>
          <w:sz w:val="28"/>
          <w:szCs w:val="28"/>
          <w:lang w:eastAsia="en-US"/>
        </w:rPr>
        <w:t>)</w:t>
      </w:r>
      <w:r w:rsidRPr="004E3683">
        <w:rPr>
          <w:rFonts w:eastAsia="Calibri"/>
          <w:sz w:val="28"/>
          <w:szCs w:val="28"/>
          <w:lang w:eastAsia="en-US"/>
        </w:rPr>
        <w:t xml:space="preserve"> </w:t>
      </w:r>
      <w:r w:rsidRPr="004E3683">
        <w:rPr>
          <w:rFonts w:eastAsia="Calibri"/>
          <w:sz w:val="28"/>
          <w:szCs w:val="22"/>
          <w:lang w:eastAsia="en-US"/>
        </w:rPr>
        <w:t>и принятия решений по дальнейшему взаимодействию</w:t>
      </w:r>
      <w:r w:rsidRPr="004E3683">
        <w:rPr>
          <w:rFonts w:eastAsia="Calibri"/>
          <w:sz w:val="28"/>
          <w:szCs w:val="28"/>
          <w:lang w:eastAsia="en-US"/>
        </w:rPr>
        <w:t xml:space="preserve">. </w:t>
      </w:r>
    </w:p>
    <w:p w:rsidR="003238F4" w:rsidRPr="004E3683" w:rsidRDefault="003238F4" w:rsidP="003238F4">
      <w:pPr>
        <w:numPr>
          <w:ilvl w:val="0"/>
          <w:numId w:val="13"/>
        </w:numPr>
        <w:tabs>
          <w:tab w:val="num" w:pos="1134"/>
        </w:tabs>
        <w:overflowPunct/>
        <w:autoSpaceDE/>
        <w:autoSpaceDN/>
        <w:adjustRightInd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Первичная оценка эффективности внешних управляющих осуществляется на основе совокупности количественных и качественных критериев согласно таблице 1 Методики (далее – Первичная оценка).</w:t>
      </w:r>
    </w:p>
    <w:p w:rsidR="003238F4" w:rsidRPr="004E3683" w:rsidRDefault="003238F4" w:rsidP="003238F4">
      <w:pPr>
        <w:numPr>
          <w:ilvl w:val="0"/>
          <w:numId w:val="13"/>
        </w:numPr>
        <w:tabs>
          <w:tab w:val="num" w:pos="1134"/>
        </w:tabs>
        <w:overflowPunct/>
        <w:autoSpaceDE/>
        <w:autoSpaceDN/>
        <w:adjustRightInd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Итоговый совокупный балл внешнего управляющего в рамках Первичной оценки определяется как взвешенная оценка результатов по различным временным горизонтам. Результатам за последние 3 (три) года присваивается вес с коэффициентом 3, результатам за последние 5 (пять) лет – вес с коэффициентом 2, результатам со дня начала управления – вес с коэффициентом 1.</w:t>
      </w:r>
    </w:p>
    <w:p w:rsidR="003238F4" w:rsidRPr="004E3683" w:rsidRDefault="003238F4" w:rsidP="003238F4">
      <w:pPr>
        <w:tabs>
          <w:tab w:val="num" w:pos="1134"/>
        </w:tabs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При этом расчет итогового балла осуществляется пропорционально доступным временным горизонтам. В случае отсутствия данных за отдельные периоды их вес перераспределяется между фактически доступными периодами таким образом, чтобы суммарный вес составлял 100 (сто) процентов. Для внешних управляющих с короткой историей управления итоговый балл может определяться исключительно на основании результатов с начала управления. При этом оценка внешних управляющих, срок управления которых составляет менее 1 года, не производится.</w:t>
      </w:r>
    </w:p>
    <w:p w:rsidR="003238F4" w:rsidRPr="004E3683" w:rsidRDefault="003238F4" w:rsidP="003238F4">
      <w:pPr>
        <w:tabs>
          <w:tab w:val="num" w:pos="1134"/>
        </w:tabs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238F4" w:rsidRDefault="003238F4" w:rsidP="003238F4">
      <w:pPr>
        <w:tabs>
          <w:tab w:val="left" w:pos="1418"/>
        </w:tabs>
        <w:overflowPunct/>
        <w:autoSpaceDE/>
        <w:autoSpaceDN/>
        <w:adjustRightInd/>
        <w:ind w:left="993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6234FB" w:rsidRDefault="006234FB" w:rsidP="003238F4">
      <w:pPr>
        <w:tabs>
          <w:tab w:val="left" w:pos="1418"/>
        </w:tabs>
        <w:overflowPunct/>
        <w:autoSpaceDE/>
        <w:autoSpaceDN/>
        <w:adjustRightInd/>
        <w:ind w:left="993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6234FB" w:rsidRDefault="006234FB" w:rsidP="003238F4">
      <w:pPr>
        <w:tabs>
          <w:tab w:val="left" w:pos="1418"/>
        </w:tabs>
        <w:overflowPunct/>
        <w:autoSpaceDE/>
        <w:autoSpaceDN/>
        <w:adjustRightInd/>
        <w:ind w:left="993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6234FB" w:rsidRPr="004E3683" w:rsidRDefault="006234FB" w:rsidP="003238F4">
      <w:pPr>
        <w:tabs>
          <w:tab w:val="left" w:pos="1418"/>
        </w:tabs>
        <w:overflowPunct/>
        <w:autoSpaceDE/>
        <w:autoSpaceDN/>
        <w:adjustRightInd/>
        <w:ind w:left="993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3238F4" w:rsidRPr="004E3683" w:rsidRDefault="003238F4" w:rsidP="003238F4">
      <w:pPr>
        <w:overflowPunct/>
        <w:autoSpaceDE/>
        <w:autoSpaceDN/>
        <w:adjustRightInd/>
        <w:jc w:val="center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Таблица 1. Количественные и качественные критерии</w:t>
      </w:r>
    </w:p>
    <w:p w:rsidR="003238F4" w:rsidRPr="004E3683" w:rsidRDefault="003238F4" w:rsidP="003238F4">
      <w:pPr>
        <w:overflowPunct/>
        <w:autoSpaceDE/>
        <w:autoSpaceDN/>
        <w:adjustRightInd/>
        <w:jc w:val="center"/>
        <w:rPr>
          <w:rFonts w:eastAsia="Calibri"/>
          <w:sz w:val="28"/>
          <w:szCs w:val="28"/>
          <w:lang w:eastAsia="en-US"/>
        </w:rPr>
      </w:pPr>
    </w:p>
    <w:tbl>
      <w:tblPr>
        <w:tblStyle w:val="TableGrid1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1984"/>
        <w:gridCol w:w="1985"/>
        <w:gridCol w:w="1701"/>
        <w:gridCol w:w="1842"/>
        <w:gridCol w:w="1701"/>
      </w:tblGrid>
      <w:tr w:rsidR="003238F4" w:rsidRPr="004E3683" w:rsidTr="002C2BBB">
        <w:tc>
          <w:tcPr>
            <w:tcW w:w="426" w:type="dxa"/>
            <w:vMerge w:val="restart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rPr>
                <w:sz w:val="28"/>
                <w:szCs w:val="28"/>
                <w:lang w:eastAsia="en-US"/>
              </w:rPr>
            </w:pPr>
            <w:r w:rsidRPr="004E3683"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1984" w:type="dxa"/>
            <w:vMerge w:val="restart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rPr>
                <w:sz w:val="28"/>
                <w:szCs w:val="28"/>
                <w:lang w:eastAsia="en-US"/>
              </w:rPr>
            </w:pPr>
            <w:r w:rsidRPr="004E3683">
              <w:rPr>
                <w:bCs/>
                <w:sz w:val="28"/>
                <w:szCs w:val="28"/>
              </w:rPr>
              <w:t>Оценочные критерии</w:t>
            </w:r>
          </w:p>
        </w:tc>
        <w:tc>
          <w:tcPr>
            <w:tcW w:w="1985" w:type="dxa"/>
            <w:vMerge w:val="restart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 xml:space="preserve">Описание </w:t>
            </w:r>
          </w:p>
        </w:tc>
        <w:tc>
          <w:tcPr>
            <w:tcW w:w="5244" w:type="dxa"/>
            <w:gridSpan w:val="3"/>
          </w:tcPr>
          <w:p w:rsidR="003238F4" w:rsidRPr="004E3683" w:rsidRDefault="003238F4" w:rsidP="002723D5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Балл</w:t>
            </w:r>
          </w:p>
        </w:tc>
      </w:tr>
      <w:tr w:rsidR="003238F4" w:rsidRPr="004E3683" w:rsidTr="002C2BBB">
        <w:tc>
          <w:tcPr>
            <w:tcW w:w="426" w:type="dxa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bCs/>
                <w:sz w:val="28"/>
                <w:szCs w:val="28"/>
                <w:lang w:eastAsia="en-US"/>
              </w:rPr>
              <w:t>Активное управление активами</w:t>
            </w:r>
          </w:p>
        </w:tc>
        <w:tc>
          <w:tcPr>
            <w:tcW w:w="1842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Усовершенствованное индексное управление активами</w:t>
            </w:r>
          </w:p>
        </w:tc>
        <w:tc>
          <w:tcPr>
            <w:tcW w:w="1701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bCs/>
                <w:sz w:val="28"/>
                <w:szCs w:val="28"/>
                <w:lang w:eastAsia="en-US"/>
              </w:rPr>
              <w:t>Пассивное (индексное) управление активами</w:t>
            </w:r>
          </w:p>
        </w:tc>
      </w:tr>
      <w:tr w:rsidR="003238F4" w:rsidRPr="004E3683" w:rsidTr="002C2BBB">
        <w:tc>
          <w:tcPr>
            <w:tcW w:w="9639" w:type="dxa"/>
            <w:gridSpan w:val="6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Количественные критерии</w:t>
            </w:r>
          </w:p>
        </w:tc>
      </w:tr>
      <w:tr w:rsidR="003238F4" w:rsidRPr="004E3683" w:rsidTr="002C2BBB">
        <w:tc>
          <w:tcPr>
            <w:tcW w:w="426" w:type="dxa"/>
            <w:vMerge w:val="restart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ind w:left="-101"/>
              <w:jc w:val="center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1984" w:type="dxa"/>
            <w:vMerge w:val="restart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ind w:left="24" w:hanging="24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4E3683">
              <w:rPr>
                <w:sz w:val="28"/>
                <w:szCs w:val="28"/>
                <w:lang w:eastAsia="en-US"/>
              </w:rPr>
              <w:t>Аннуализированная</w:t>
            </w:r>
            <w:proofErr w:type="spellEnd"/>
            <w:r w:rsidRPr="004E3683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E3683">
              <w:rPr>
                <w:sz w:val="28"/>
                <w:szCs w:val="28"/>
                <w:lang w:eastAsia="en-US"/>
              </w:rPr>
              <w:t>сверхдоходность</w:t>
            </w:r>
            <w:proofErr w:type="spellEnd"/>
            <w:r w:rsidRPr="004E3683">
              <w:rPr>
                <w:sz w:val="28"/>
                <w:szCs w:val="28"/>
                <w:lang w:eastAsia="en-US"/>
              </w:rPr>
              <w:t xml:space="preserve"> портфеля за вычетом комиссий</w:t>
            </w:r>
          </w:p>
        </w:tc>
        <w:tc>
          <w:tcPr>
            <w:tcW w:w="1985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Выше М</w:t>
            </w:r>
          </w:p>
        </w:tc>
        <w:tc>
          <w:tcPr>
            <w:tcW w:w="1701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30 баллов</w:t>
            </w:r>
          </w:p>
        </w:tc>
        <w:tc>
          <w:tcPr>
            <w:tcW w:w="1842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30 баллов</w:t>
            </w:r>
          </w:p>
        </w:tc>
        <w:tc>
          <w:tcPr>
            <w:tcW w:w="1701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0 баллов</w:t>
            </w:r>
          </w:p>
        </w:tc>
      </w:tr>
      <w:tr w:rsidR="003238F4" w:rsidRPr="004E3683" w:rsidTr="002C2BBB">
        <w:tc>
          <w:tcPr>
            <w:tcW w:w="426" w:type="dxa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bCs/>
                <w:color w:val="202122"/>
                <w:sz w:val="28"/>
                <w:szCs w:val="28"/>
                <w:shd w:val="clear" w:color="auto" w:fill="FFFFFF"/>
                <w:lang w:eastAsia="en-US"/>
              </w:rPr>
              <w:t>Равно М</w:t>
            </w:r>
          </w:p>
        </w:tc>
        <w:tc>
          <w:tcPr>
            <w:tcW w:w="1701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20 баллов</w:t>
            </w:r>
          </w:p>
        </w:tc>
        <w:tc>
          <w:tcPr>
            <w:tcW w:w="1842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20 баллов</w:t>
            </w:r>
          </w:p>
        </w:tc>
        <w:tc>
          <w:tcPr>
            <w:tcW w:w="1701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0 баллов</w:t>
            </w:r>
          </w:p>
        </w:tc>
      </w:tr>
      <w:tr w:rsidR="003238F4" w:rsidRPr="004E3683" w:rsidTr="002C2BBB">
        <w:tc>
          <w:tcPr>
            <w:tcW w:w="426" w:type="dxa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От 0 до М</w:t>
            </w:r>
          </w:p>
        </w:tc>
        <w:tc>
          <w:tcPr>
            <w:tcW w:w="1701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5 баллов</w:t>
            </w:r>
          </w:p>
        </w:tc>
        <w:tc>
          <w:tcPr>
            <w:tcW w:w="1842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5 баллов</w:t>
            </w:r>
          </w:p>
        </w:tc>
        <w:tc>
          <w:tcPr>
            <w:tcW w:w="1701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0 баллов</w:t>
            </w:r>
          </w:p>
        </w:tc>
      </w:tr>
      <w:tr w:rsidR="003238F4" w:rsidRPr="004E3683" w:rsidTr="002C2BBB">
        <w:tc>
          <w:tcPr>
            <w:tcW w:w="426" w:type="dxa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Ниже 0</w:t>
            </w:r>
          </w:p>
        </w:tc>
        <w:tc>
          <w:tcPr>
            <w:tcW w:w="1701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0 баллов</w:t>
            </w:r>
          </w:p>
        </w:tc>
        <w:tc>
          <w:tcPr>
            <w:tcW w:w="1842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0 баллов</w:t>
            </w:r>
          </w:p>
        </w:tc>
        <w:tc>
          <w:tcPr>
            <w:tcW w:w="1701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0 баллов</w:t>
            </w:r>
          </w:p>
        </w:tc>
      </w:tr>
      <w:tr w:rsidR="003238F4" w:rsidRPr="004E3683" w:rsidTr="002C2BBB">
        <w:tc>
          <w:tcPr>
            <w:tcW w:w="426" w:type="dxa"/>
            <w:vMerge w:val="restart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1984" w:type="dxa"/>
            <w:vMerge w:val="restart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Информационный коэффициент (</w:t>
            </w:r>
            <w:proofErr w:type="spellStart"/>
            <w:r w:rsidRPr="004E3683">
              <w:rPr>
                <w:sz w:val="28"/>
                <w:szCs w:val="28"/>
                <w:lang w:eastAsia="en-US"/>
              </w:rPr>
              <w:t>information</w:t>
            </w:r>
            <w:proofErr w:type="spellEnd"/>
            <w:r w:rsidRPr="004E3683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E3683">
              <w:rPr>
                <w:sz w:val="28"/>
                <w:szCs w:val="28"/>
                <w:lang w:eastAsia="en-US"/>
              </w:rPr>
              <w:t>ratio</w:t>
            </w:r>
            <w:proofErr w:type="spellEnd"/>
            <w:r w:rsidRPr="004E3683">
              <w:rPr>
                <w:sz w:val="28"/>
                <w:szCs w:val="28"/>
                <w:lang w:eastAsia="en-US"/>
              </w:rPr>
              <w:t>)(</w:t>
            </w:r>
            <w:proofErr w:type="spellStart"/>
            <w:r w:rsidRPr="004E3683">
              <w:rPr>
                <w:sz w:val="28"/>
                <w:szCs w:val="28"/>
                <w:lang w:eastAsia="en-US"/>
              </w:rPr>
              <w:t>информейшн</w:t>
            </w:r>
            <w:proofErr w:type="spellEnd"/>
            <w:r w:rsidRPr="004E3683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E3683">
              <w:rPr>
                <w:sz w:val="28"/>
                <w:szCs w:val="28"/>
                <w:lang w:eastAsia="en-US"/>
              </w:rPr>
              <w:t>рейшио</w:t>
            </w:r>
            <w:proofErr w:type="spellEnd"/>
            <w:r w:rsidRPr="004E3683">
              <w:rPr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985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Выше 0,5</w:t>
            </w:r>
          </w:p>
        </w:tc>
        <w:tc>
          <w:tcPr>
            <w:tcW w:w="1701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30 баллов</w:t>
            </w:r>
          </w:p>
        </w:tc>
        <w:tc>
          <w:tcPr>
            <w:tcW w:w="1842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30 баллов</w:t>
            </w:r>
          </w:p>
        </w:tc>
        <w:tc>
          <w:tcPr>
            <w:tcW w:w="1701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0 баллов</w:t>
            </w:r>
          </w:p>
        </w:tc>
      </w:tr>
      <w:tr w:rsidR="003238F4" w:rsidRPr="004E3683" w:rsidTr="002C2BBB">
        <w:tc>
          <w:tcPr>
            <w:tcW w:w="426" w:type="dxa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От 0 до 0,5</w:t>
            </w:r>
          </w:p>
        </w:tc>
        <w:tc>
          <w:tcPr>
            <w:tcW w:w="1701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15 баллов</w:t>
            </w:r>
          </w:p>
        </w:tc>
        <w:tc>
          <w:tcPr>
            <w:tcW w:w="1842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15 баллов</w:t>
            </w:r>
          </w:p>
        </w:tc>
        <w:tc>
          <w:tcPr>
            <w:tcW w:w="1701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0 баллов</w:t>
            </w:r>
          </w:p>
        </w:tc>
      </w:tr>
      <w:tr w:rsidR="003238F4" w:rsidRPr="004E3683" w:rsidTr="002C2BBB">
        <w:tc>
          <w:tcPr>
            <w:tcW w:w="426" w:type="dxa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Ниже 0</w:t>
            </w:r>
          </w:p>
        </w:tc>
        <w:tc>
          <w:tcPr>
            <w:tcW w:w="1701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0 баллов</w:t>
            </w:r>
          </w:p>
        </w:tc>
        <w:tc>
          <w:tcPr>
            <w:tcW w:w="1842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0 баллов</w:t>
            </w:r>
          </w:p>
        </w:tc>
        <w:tc>
          <w:tcPr>
            <w:tcW w:w="1701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0 баллов</w:t>
            </w:r>
          </w:p>
        </w:tc>
      </w:tr>
      <w:tr w:rsidR="003238F4" w:rsidRPr="004E3683" w:rsidTr="002C2BBB">
        <w:tc>
          <w:tcPr>
            <w:tcW w:w="9639" w:type="dxa"/>
            <w:gridSpan w:val="6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Качественные критерии</w:t>
            </w:r>
          </w:p>
        </w:tc>
      </w:tr>
      <w:tr w:rsidR="003238F4" w:rsidRPr="004E3683" w:rsidTr="002C2BBB">
        <w:tc>
          <w:tcPr>
            <w:tcW w:w="426" w:type="dxa"/>
            <w:vMerge w:val="restart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1984" w:type="dxa"/>
            <w:vMerge w:val="restart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Стабильность состава и преемственность инвестиционной команды</w:t>
            </w:r>
          </w:p>
        </w:tc>
        <w:tc>
          <w:tcPr>
            <w:tcW w:w="1985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Высокая</w:t>
            </w:r>
          </w:p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Отсутствие изменений в ключевом составе инвестиционной команды либо изменения, не повлиявшие на инвестиционный процесс и распределение ролей внутри команды</w:t>
            </w:r>
          </w:p>
        </w:tc>
        <w:tc>
          <w:tcPr>
            <w:tcW w:w="1701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15 баллов</w:t>
            </w:r>
          </w:p>
        </w:tc>
        <w:tc>
          <w:tcPr>
            <w:tcW w:w="1842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15 баллов</w:t>
            </w:r>
          </w:p>
        </w:tc>
        <w:tc>
          <w:tcPr>
            <w:tcW w:w="1701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40 баллов</w:t>
            </w:r>
          </w:p>
        </w:tc>
      </w:tr>
      <w:tr w:rsidR="003238F4" w:rsidRPr="004E3683" w:rsidTr="002C2BBB">
        <w:tc>
          <w:tcPr>
            <w:tcW w:w="426" w:type="dxa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bCs/>
                <w:sz w:val="28"/>
                <w:szCs w:val="28"/>
                <w:lang w:eastAsia="en-US"/>
              </w:rPr>
            </w:pPr>
            <w:r w:rsidRPr="004E3683">
              <w:rPr>
                <w:bCs/>
                <w:sz w:val="28"/>
                <w:szCs w:val="28"/>
                <w:lang w:eastAsia="en-US"/>
              </w:rPr>
              <w:t>Умеренная</w:t>
            </w:r>
          </w:p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b/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Единичные изменения в составе инвестиционной команды, при которых обеспечена контролируемая преемственность, включая передачу полномочий внутри команды и сохранение ключевых функций</w:t>
            </w:r>
          </w:p>
        </w:tc>
        <w:tc>
          <w:tcPr>
            <w:tcW w:w="1701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10 баллов</w:t>
            </w:r>
          </w:p>
        </w:tc>
        <w:tc>
          <w:tcPr>
            <w:tcW w:w="1842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10 баллов</w:t>
            </w:r>
          </w:p>
        </w:tc>
        <w:tc>
          <w:tcPr>
            <w:tcW w:w="1701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30 баллов</w:t>
            </w:r>
          </w:p>
        </w:tc>
      </w:tr>
      <w:tr w:rsidR="003238F4" w:rsidRPr="004E3683" w:rsidTr="002C2BBB">
        <w:tc>
          <w:tcPr>
            <w:tcW w:w="426" w:type="dxa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bCs/>
                <w:sz w:val="28"/>
                <w:szCs w:val="28"/>
                <w:lang w:eastAsia="en-US"/>
              </w:rPr>
            </w:pPr>
            <w:r w:rsidRPr="004E3683">
              <w:rPr>
                <w:bCs/>
                <w:sz w:val="28"/>
                <w:szCs w:val="28"/>
                <w:lang w:eastAsia="en-US"/>
              </w:rPr>
              <w:t>Сниженная</w:t>
            </w:r>
          </w:p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b/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Изменения в составе инвестиционной команды, сопровождающиеся неопределённостью в распределении ролей, ответственности или процессе принятия инвестиционных решений</w:t>
            </w:r>
          </w:p>
        </w:tc>
        <w:tc>
          <w:tcPr>
            <w:tcW w:w="1701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5 баллов</w:t>
            </w:r>
          </w:p>
        </w:tc>
        <w:tc>
          <w:tcPr>
            <w:tcW w:w="1842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5 баллов</w:t>
            </w:r>
          </w:p>
        </w:tc>
        <w:tc>
          <w:tcPr>
            <w:tcW w:w="1701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20 баллов</w:t>
            </w:r>
          </w:p>
        </w:tc>
      </w:tr>
      <w:tr w:rsidR="003238F4" w:rsidRPr="004E3683" w:rsidTr="002C2BBB">
        <w:tc>
          <w:tcPr>
            <w:tcW w:w="426" w:type="dxa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bCs/>
                <w:sz w:val="28"/>
                <w:szCs w:val="28"/>
                <w:lang w:eastAsia="en-US"/>
              </w:rPr>
            </w:pPr>
            <w:r w:rsidRPr="004E3683">
              <w:rPr>
                <w:bCs/>
                <w:sz w:val="28"/>
                <w:szCs w:val="28"/>
                <w:lang w:eastAsia="en-US"/>
              </w:rPr>
              <w:t>Низкая</w:t>
            </w:r>
          </w:p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b/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Существенные или повторяющиеся изменения в составе инвестиционной команды, включая уход ключевых сотрудников, приводящие к нарушению инвестиционного процесса или утрате контроля за принятием инвестиционных решений</w:t>
            </w:r>
          </w:p>
        </w:tc>
        <w:tc>
          <w:tcPr>
            <w:tcW w:w="1701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0 баллов</w:t>
            </w:r>
          </w:p>
        </w:tc>
        <w:tc>
          <w:tcPr>
            <w:tcW w:w="1842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0 баллов</w:t>
            </w:r>
          </w:p>
        </w:tc>
        <w:tc>
          <w:tcPr>
            <w:tcW w:w="1701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0 баллов</w:t>
            </w:r>
          </w:p>
        </w:tc>
      </w:tr>
      <w:tr w:rsidR="003238F4" w:rsidRPr="004E3683" w:rsidTr="002C2BBB">
        <w:tc>
          <w:tcPr>
            <w:tcW w:w="426" w:type="dxa"/>
            <w:vMerge w:val="restart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1984" w:type="dxa"/>
            <w:vMerge w:val="restart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 xml:space="preserve">Соблюдение инвестиционных ограничений и </w:t>
            </w:r>
            <w:proofErr w:type="spellStart"/>
            <w:r w:rsidRPr="004E3683">
              <w:rPr>
                <w:sz w:val="28"/>
                <w:szCs w:val="28"/>
                <w:lang w:eastAsia="en-US"/>
              </w:rPr>
              <w:t>комплаенс</w:t>
            </w:r>
            <w:proofErr w:type="spellEnd"/>
            <w:r w:rsidRPr="004E3683">
              <w:rPr>
                <w:sz w:val="28"/>
                <w:szCs w:val="28"/>
                <w:lang w:eastAsia="en-US"/>
              </w:rPr>
              <w:t>-дисциплина</w:t>
            </w:r>
          </w:p>
        </w:tc>
        <w:tc>
          <w:tcPr>
            <w:tcW w:w="1985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Высокая</w:t>
            </w:r>
          </w:p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 xml:space="preserve">Отсутствие нарушений инвестиционных ограничений, </w:t>
            </w:r>
            <w:proofErr w:type="spellStart"/>
            <w:r w:rsidRPr="004E3683">
              <w:rPr>
                <w:sz w:val="28"/>
                <w:szCs w:val="28"/>
                <w:lang w:eastAsia="en-US"/>
              </w:rPr>
              <w:t>комплаенс</w:t>
            </w:r>
            <w:proofErr w:type="spellEnd"/>
            <w:r w:rsidRPr="004E3683">
              <w:rPr>
                <w:sz w:val="28"/>
                <w:szCs w:val="28"/>
                <w:lang w:eastAsia="en-US"/>
              </w:rPr>
              <w:t>-требований и операционных инцидентов</w:t>
            </w:r>
          </w:p>
        </w:tc>
        <w:tc>
          <w:tcPr>
            <w:tcW w:w="1701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15 баллов</w:t>
            </w:r>
          </w:p>
        </w:tc>
        <w:tc>
          <w:tcPr>
            <w:tcW w:w="1842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15 баллов</w:t>
            </w:r>
          </w:p>
        </w:tc>
        <w:tc>
          <w:tcPr>
            <w:tcW w:w="1701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40 баллов</w:t>
            </w:r>
          </w:p>
        </w:tc>
      </w:tr>
      <w:tr w:rsidR="003238F4" w:rsidRPr="004E3683" w:rsidTr="002C2BBB">
        <w:trPr>
          <w:trHeight w:val="77"/>
        </w:trPr>
        <w:tc>
          <w:tcPr>
            <w:tcW w:w="426" w:type="dxa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Умеренная</w:t>
            </w:r>
          </w:p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Единичные операционные ошибки или несущественные отклонения, оперативно устранённые</w:t>
            </w:r>
          </w:p>
        </w:tc>
        <w:tc>
          <w:tcPr>
            <w:tcW w:w="1701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10 баллов</w:t>
            </w:r>
          </w:p>
        </w:tc>
        <w:tc>
          <w:tcPr>
            <w:tcW w:w="1842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10 баллов</w:t>
            </w:r>
          </w:p>
        </w:tc>
        <w:tc>
          <w:tcPr>
            <w:tcW w:w="1701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30 баллов</w:t>
            </w:r>
          </w:p>
        </w:tc>
      </w:tr>
      <w:tr w:rsidR="003238F4" w:rsidRPr="004E3683" w:rsidTr="002C2BBB">
        <w:tc>
          <w:tcPr>
            <w:tcW w:w="426" w:type="dxa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Сниженная</w:t>
            </w:r>
          </w:p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Часто наблюдающиеся отклонения или нарушения, обусловленные изменением ситуации на финансовых рынках</w:t>
            </w:r>
          </w:p>
        </w:tc>
        <w:tc>
          <w:tcPr>
            <w:tcW w:w="1701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5 баллов</w:t>
            </w:r>
          </w:p>
        </w:tc>
        <w:tc>
          <w:tcPr>
            <w:tcW w:w="1842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5 баллов</w:t>
            </w:r>
          </w:p>
        </w:tc>
        <w:tc>
          <w:tcPr>
            <w:tcW w:w="1701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20 баллов</w:t>
            </w:r>
          </w:p>
        </w:tc>
      </w:tr>
      <w:tr w:rsidR="003238F4" w:rsidRPr="004E3683" w:rsidTr="002C2BBB">
        <w:tc>
          <w:tcPr>
            <w:tcW w:w="426" w:type="dxa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Низкая</w:t>
            </w:r>
          </w:p>
          <w:p w:rsidR="003238F4" w:rsidRPr="004E3683" w:rsidDel="000557C6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 xml:space="preserve">Существенные или повторяющиеся нарушения инвестиционных ограничений, </w:t>
            </w:r>
            <w:proofErr w:type="spellStart"/>
            <w:r w:rsidRPr="004E3683">
              <w:rPr>
                <w:sz w:val="28"/>
                <w:szCs w:val="28"/>
                <w:lang w:eastAsia="en-US"/>
              </w:rPr>
              <w:t>комплаенс</w:t>
            </w:r>
            <w:proofErr w:type="spellEnd"/>
            <w:r w:rsidRPr="004E3683">
              <w:rPr>
                <w:sz w:val="28"/>
                <w:szCs w:val="28"/>
                <w:lang w:eastAsia="en-US"/>
              </w:rPr>
              <w:t>-требований и установленных лимитов по вине управляющего, включая случаи несвоевременного или неполного устранения нарушений</w:t>
            </w:r>
          </w:p>
        </w:tc>
        <w:tc>
          <w:tcPr>
            <w:tcW w:w="1701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0 баллов</w:t>
            </w:r>
          </w:p>
        </w:tc>
        <w:tc>
          <w:tcPr>
            <w:tcW w:w="1842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0 баллов</w:t>
            </w:r>
          </w:p>
        </w:tc>
        <w:tc>
          <w:tcPr>
            <w:tcW w:w="1701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0 баллов</w:t>
            </w:r>
          </w:p>
        </w:tc>
      </w:tr>
      <w:tr w:rsidR="003238F4" w:rsidRPr="004E3683" w:rsidTr="002C2BBB">
        <w:tc>
          <w:tcPr>
            <w:tcW w:w="426" w:type="dxa"/>
            <w:vMerge w:val="restart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1984" w:type="dxa"/>
            <w:vMerge w:val="restart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Качество взаимодействия и отчетность</w:t>
            </w:r>
          </w:p>
        </w:tc>
        <w:tc>
          <w:tcPr>
            <w:tcW w:w="1985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bCs/>
                <w:sz w:val="28"/>
                <w:szCs w:val="28"/>
                <w:lang w:eastAsia="en-US"/>
              </w:rPr>
            </w:pPr>
            <w:r w:rsidRPr="004E3683">
              <w:rPr>
                <w:bCs/>
                <w:sz w:val="28"/>
                <w:szCs w:val="28"/>
                <w:lang w:eastAsia="en-US"/>
              </w:rPr>
              <w:t>Высокое</w:t>
            </w:r>
          </w:p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b/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 xml:space="preserve">Своевременное и полное предоставление отчетности, </w:t>
            </w:r>
            <w:proofErr w:type="spellStart"/>
            <w:r w:rsidRPr="004E3683">
              <w:rPr>
                <w:sz w:val="28"/>
                <w:szCs w:val="28"/>
                <w:lang w:eastAsia="en-US"/>
              </w:rPr>
              <w:t>проактивная</w:t>
            </w:r>
            <w:proofErr w:type="spellEnd"/>
            <w:r w:rsidRPr="004E3683">
              <w:rPr>
                <w:sz w:val="28"/>
                <w:szCs w:val="28"/>
                <w:lang w:eastAsia="en-US"/>
              </w:rPr>
              <w:t xml:space="preserve"> и прозрачная коммуникация, соблюдение сроков уведомлений, регулярное взаимодействие, включая очные встречи</w:t>
            </w:r>
          </w:p>
        </w:tc>
        <w:tc>
          <w:tcPr>
            <w:tcW w:w="1701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10 баллов</w:t>
            </w:r>
          </w:p>
        </w:tc>
        <w:tc>
          <w:tcPr>
            <w:tcW w:w="1842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10 баллов</w:t>
            </w:r>
          </w:p>
        </w:tc>
        <w:tc>
          <w:tcPr>
            <w:tcW w:w="1701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20 баллов</w:t>
            </w:r>
          </w:p>
        </w:tc>
      </w:tr>
      <w:tr w:rsidR="003238F4" w:rsidRPr="004E3683" w:rsidTr="002C2BBB">
        <w:tc>
          <w:tcPr>
            <w:tcW w:w="426" w:type="dxa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bCs/>
                <w:sz w:val="28"/>
                <w:szCs w:val="28"/>
                <w:lang w:eastAsia="en-US"/>
              </w:rPr>
            </w:pPr>
            <w:r w:rsidRPr="004E3683">
              <w:rPr>
                <w:bCs/>
                <w:sz w:val="28"/>
                <w:szCs w:val="28"/>
                <w:lang w:eastAsia="en-US"/>
              </w:rPr>
              <w:t>Удовлетворительное</w:t>
            </w:r>
          </w:p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b/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В целом соблюдаются требования к отчетности и коммуникации, при наличии отдельных замечаний к срокам предоставления информации или качеству взаимодействия</w:t>
            </w:r>
          </w:p>
        </w:tc>
        <w:tc>
          <w:tcPr>
            <w:tcW w:w="1701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5 баллов</w:t>
            </w:r>
          </w:p>
        </w:tc>
        <w:tc>
          <w:tcPr>
            <w:tcW w:w="1842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5 баллов</w:t>
            </w:r>
          </w:p>
        </w:tc>
        <w:tc>
          <w:tcPr>
            <w:tcW w:w="1701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10 баллов</w:t>
            </w:r>
          </w:p>
        </w:tc>
      </w:tr>
      <w:tr w:rsidR="003238F4" w:rsidRPr="004E3683" w:rsidTr="002C2BBB">
        <w:tc>
          <w:tcPr>
            <w:tcW w:w="426" w:type="dxa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bCs/>
                <w:sz w:val="28"/>
                <w:szCs w:val="28"/>
                <w:lang w:eastAsia="en-US"/>
              </w:rPr>
            </w:pPr>
            <w:r w:rsidRPr="004E3683">
              <w:rPr>
                <w:bCs/>
                <w:sz w:val="28"/>
                <w:szCs w:val="28"/>
                <w:lang w:eastAsia="en-US"/>
              </w:rPr>
              <w:t>Низкое</w:t>
            </w:r>
          </w:p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b/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Ненадлежащее качество отчетности, несвоевременная или неполная коммуникация, систематические задержки уведомлений и недостаточный уровень взаимодействия</w:t>
            </w:r>
          </w:p>
        </w:tc>
        <w:tc>
          <w:tcPr>
            <w:tcW w:w="1701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0 баллов</w:t>
            </w:r>
          </w:p>
        </w:tc>
        <w:tc>
          <w:tcPr>
            <w:tcW w:w="1842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0 баллов</w:t>
            </w:r>
          </w:p>
        </w:tc>
        <w:tc>
          <w:tcPr>
            <w:tcW w:w="1701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eastAsia="en-US"/>
              </w:rPr>
            </w:pPr>
            <w:r w:rsidRPr="004E3683">
              <w:rPr>
                <w:sz w:val="28"/>
                <w:szCs w:val="28"/>
                <w:lang w:eastAsia="en-US"/>
              </w:rPr>
              <w:t>0 баллов</w:t>
            </w:r>
          </w:p>
        </w:tc>
      </w:tr>
    </w:tbl>
    <w:p w:rsidR="003238F4" w:rsidRPr="004E3683" w:rsidRDefault="003238F4" w:rsidP="003238F4">
      <w:pPr>
        <w:overflowPunct/>
        <w:autoSpaceDE/>
        <w:autoSpaceDN/>
        <w:adjustRightInd/>
        <w:jc w:val="both"/>
        <w:rPr>
          <w:rFonts w:eastAsia="Calibri"/>
          <w:sz w:val="24"/>
          <w:szCs w:val="22"/>
          <w:lang w:eastAsia="en-US"/>
        </w:rPr>
      </w:pPr>
    </w:p>
    <w:p w:rsidR="003238F4" w:rsidRPr="004E3683" w:rsidRDefault="003238F4" w:rsidP="003238F4">
      <w:pPr>
        <w:overflowPunct/>
        <w:autoSpaceDE/>
        <w:autoSpaceDN/>
        <w:adjustRightInd/>
        <w:ind w:firstLine="709"/>
        <w:jc w:val="both"/>
        <w:rPr>
          <w:rFonts w:eastAsia="Calibri"/>
          <w:i/>
          <w:sz w:val="24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Где М – это медиана положительных значений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сверхдоходностей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внешних управляющих по аналогичному мандату золотовалютных активов Национального Банка Республики Казахстан и (или) активов Национального фонда Республики Казахстан и (или) пенсионных активов единого накопительного пенсионного фонда</w:t>
      </w:r>
      <w:r w:rsidRPr="004E3683">
        <w:rPr>
          <w:rFonts w:eastAsia="Calibri"/>
          <w:i/>
          <w:sz w:val="24"/>
          <w:szCs w:val="28"/>
          <w:lang w:eastAsia="en-US"/>
        </w:rPr>
        <w:t>.</w:t>
      </w:r>
    </w:p>
    <w:p w:rsidR="003238F4" w:rsidRPr="004E3683" w:rsidRDefault="003238F4" w:rsidP="003238F4">
      <w:pPr>
        <w:numPr>
          <w:ilvl w:val="0"/>
          <w:numId w:val="13"/>
        </w:numPr>
        <w:tabs>
          <w:tab w:val="num" w:pos="1135"/>
        </w:tabs>
        <w:overflowPunct/>
        <w:autoSpaceDE/>
        <w:autoSpaceDN/>
        <w:adjustRightInd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Решения по результатам оценки</w:t>
      </w:r>
      <w:r w:rsidRPr="004E3683">
        <w:rPr>
          <w:rFonts w:eastAsia="Calibri"/>
          <w:sz w:val="28"/>
          <w:szCs w:val="22"/>
          <w:lang w:eastAsia="en-US"/>
        </w:rPr>
        <w:t xml:space="preserve"> </w:t>
      </w:r>
      <w:r w:rsidRPr="004E3683">
        <w:rPr>
          <w:rFonts w:eastAsia="Calibri"/>
          <w:sz w:val="28"/>
          <w:szCs w:val="28"/>
          <w:lang w:eastAsia="en-US"/>
        </w:rPr>
        <w:t>в рамках Первичной оценки принимаются на основании итогового совокупного балла внешнего управляющего в соответствии с диапазонами итогового совокупного балла, указанными в таблице 2 Методики.</w:t>
      </w:r>
    </w:p>
    <w:p w:rsidR="003238F4" w:rsidRPr="004E3683" w:rsidRDefault="003238F4" w:rsidP="003238F4">
      <w:pPr>
        <w:overflowPunct/>
        <w:autoSpaceDE/>
        <w:autoSpaceDN/>
        <w:adjustRightInd/>
        <w:jc w:val="center"/>
        <w:rPr>
          <w:rFonts w:eastAsia="Calibri"/>
          <w:sz w:val="28"/>
          <w:szCs w:val="28"/>
          <w:lang w:eastAsia="en-US"/>
        </w:rPr>
      </w:pPr>
    </w:p>
    <w:p w:rsidR="003238F4" w:rsidRPr="004E3683" w:rsidRDefault="003238F4" w:rsidP="003238F4">
      <w:pPr>
        <w:overflowPunct/>
        <w:autoSpaceDE/>
        <w:autoSpaceDN/>
        <w:adjustRightInd/>
        <w:jc w:val="center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Таблица 2. Решение по итоговым баллам.</w:t>
      </w:r>
    </w:p>
    <w:p w:rsidR="003238F4" w:rsidRPr="004E3683" w:rsidRDefault="003238F4" w:rsidP="003238F4">
      <w:pPr>
        <w:overflowPunct/>
        <w:autoSpaceDE/>
        <w:autoSpaceDN/>
        <w:adjustRightInd/>
        <w:ind w:left="993"/>
        <w:jc w:val="both"/>
        <w:rPr>
          <w:rFonts w:eastAsia="Calibri"/>
          <w:sz w:val="28"/>
          <w:szCs w:val="28"/>
          <w:lang w:eastAsia="en-US"/>
        </w:rPr>
      </w:pPr>
    </w:p>
    <w:tbl>
      <w:tblPr>
        <w:tblStyle w:val="TableGridLight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0"/>
        <w:gridCol w:w="1666"/>
        <w:gridCol w:w="2905"/>
        <w:gridCol w:w="2173"/>
      </w:tblGrid>
      <w:tr w:rsidR="003238F4" w:rsidRPr="004E3683" w:rsidTr="002C2BBB">
        <w:trPr>
          <w:trHeight w:val="379"/>
        </w:trPr>
        <w:tc>
          <w:tcPr>
            <w:tcW w:w="2890" w:type="dxa"/>
            <w:vMerge w:val="restart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/>
              <w:ind w:firstLine="22"/>
              <w:rPr>
                <w:bCs/>
                <w:sz w:val="28"/>
                <w:szCs w:val="28"/>
                <w:lang w:val="ru-RU" w:eastAsia="en-US"/>
              </w:rPr>
            </w:pPr>
            <w:r w:rsidRPr="004E3683">
              <w:rPr>
                <w:bCs/>
                <w:sz w:val="28"/>
                <w:szCs w:val="28"/>
                <w:lang w:val="ru-RU" w:eastAsia="en-US"/>
              </w:rPr>
              <w:t>Решение</w:t>
            </w:r>
          </w:p>
        </w:tc>
        <w:tc>
          <w:tcPr>
            <w:tcW w:w="6744" w:type="dxa"/>
            <w:gridSpan w:val="3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/>
              <w:jc w:val="center"/>
              <w:rPr>
                <w:bCs/>
                <w:sz w:val="28"/>
                <w:szCs w:val="28"/>
                <w:lang w:val="ru-RU" w:eastAsia="en-US"/>
              </w:rPr>
            </w:pPr>
            <w:r w:rsidRPr="004E3683">
              <w:rPr>
                <w:bCs/>
                <w:sz w:val="28"/>
                <w:szCs w:val="28"/>
                <w:lang w:val="ru-RU" w:eastAsia="en-US"/>
              </w:rPr>
              <w:t>Итоговый балл</w:t>
            </w:r>
          </w:p>
        </w:tc>
      </w:tr>
      <w:tr w:rsidR="003238F4" w:rsidRPr="004E3683" w:rsidTr="002C2BBB">
        <w:trPr>
          <w:trHeight w:val="785"/>
        </w:trPr>
        <w:tc>
          <w:tcPr>
            <w:tcW w:w="2890" w:type="dxa"/>
            <w:vMerge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/>
              <w:ind w:hanging="244"/>
              <w:rPr>
                <w:bCs/>
                <w:sz w:val="28"/>
                <w:szCs w:val="28"/>
                <w:lang w:val="ru-RU" w:eastAsia="en-US"/>
              </w:rPr>
            </w:pPr>
          </w:p>
        </w:tc>
        <w:tc>
          <w:tcPr>
            <w:tcW w:w="1666" w:type="dxa"/>
            <w:shd w:val="clear" w:color="auto" w:fill="auto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/>
              <w:rPr>
                <w:bCs/>
                <w:sz w:val="28"/>
                <w:szCs w:val="28"/>
                <w:lang w:val="ru-RU" w:eastAsia="en-US"/>
              </w:rPr>
            </w:pPr>
            <w:r w:rsidRPr="004E3683">
              <w:rPr>
                <w:bCs/>
                <w:sz w:val="28"/>
                <w:szCs w:val="28"/>
                <w:lang w:val="ru-RU" w:eastAsia="en-US"/>
              </w:rPr>
              <w:t xml:space="preserve">Активное управление активами </w:t>
            </w:r>
          </w:p>
        </w:tc>
        <w:tc>
          <w:tcPr>
            <w:tcW w:w="2905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/>
              <w:rPr>
                <w:bCs/>
                <w:sz w:val="28"/>
                <w:szCs w:val="28"/>
                <w:lang w:val="ru-RU" w:eastAsia="en-US"/>
              </w:rPr>
            </w:pPr>
            <w:r w:rsidRPr="004E3683">
              <w:rPr>
                <w:bCs/>
                <w:sz w:val="28"/>
                <w:szCs w:val="28"/>
                <w:lang w:val="ru-RU" w:eastAsia="en-US"/>
              </w:rPr>
              <w:t>Усовершенствованное индексное управление активами</w:t>
            </w:r>
          </w:p>
        </w:tc>
        <w:tc>
          <w:tcPr>
            <w:tcW w:w="2173" w:type="dxa"/>
            <w:shd w:val="clear" w:color="auto" w:fill="auto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spacing w:after="200"/>
              <w:rPr>
                <w:bCs/>
                <w:sz w:val="28"/>
                <w:szCs w:val="28"/>
                <w:lang w:val="ru-RU" w:eastAsia="en-US"/>
              </w:rPr>
            </w:pPr>
            <w:r w:rsidRPr="004E3683">
              <w:rPr>
                <w:bCs/>
                <w:sz w:val="28"/>
                <w:szCs w:val="28"/>
                <w:lang w:val="ru-RU" w:eastAsia="en-US"/>
              </w:rPr>
              <w:t>Пассивное (индексное) управление активами</w:t>
            </w:r>
          </w:p>
        </w:tc>
      </w:tr>
      <w:tr w:rsidR="003238F4" w:rsidRPr="004E3683" w:rsidTr="002C2BBB">
        <w:trPr>
          <w:trHeight w:val="275"/>
        </w:trPr>
        <w:tc>
          <w:tcPr>
            <w:tcW w:w="2890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ind w:firstLine="22"/>
              <w:jc w:val="both"/>
              <w:rPr>
                <w:sz w:val="28"/>
                <w:szCs w:val="28"/>
                <w:lang w:val="ru-RU" w:eastAsia="en-US"/>
              </w:rPr>
            </w:pPr>
            <w:r w:rsidRPr="004E3683">
              <w:rPr>
                <w:sz w:val="28"/>
                <w:szCs w:val="28"/>
                <w:lang w:val="ru-RU" w:eastAsia="en-US"/>
              </w:rPr>
              <w:t>Продолжение мандата</w:t>
            </w:r>
          </w:p>
        </w:tc>
        <w:tc>
          <w:tcPr>
            <w:tcW w:w="1666" w:type="dxa"/>
            <w:shd w:val="clear" w:color="auto" w:fill="auto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val="ru-RU" w:eastAsia="en-US"/>
              </w:rPr>
            </w:pPr>
            <w:r w:rsidRPr="004E3683">
              <w:rPr>
                <w:sz w:val="28"/>
                <w:szCs w:val="28"/>
                <w:lang w:val="ru-RU" w:eastAsia="en-US"/>
              </w:rPr>
              <w:t>60-100</w:t>
            </w:r>
          </w:p>
        </w:tc>
        <w:tc>
          <w:tcPr>
            <w:tcW w:w="2905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val="ru-RU" w:eastAsia="en-US"/>
              </w:rPr>
            </w:pPr>
            <w:r w:rsidRPr="004E3683">
              <w:rPr>
                <w:sz w:val="28"/>
                <w:szCs w:val="28"/>
                <w:lang w:val="ru-RU" w:eastAsia="en-US"/>
              </w:rPr>
              <w:t>50-100</w:t>
            </w:r>
          </w:p>
        </w:tc>
        <w:tc>
          <w:tcPr>
            <w:tcW w:w="2173" w:type="dxa"/>
            <w:shd w:val="clear" w:color="auto" w:fill="auto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val="ru-RU" w:eastAsia="en-US"/>
              </w:rPr>
            </w:pPr>
            <w:r w:rsidRPr="004E3683">
              <w:rPr>
                <w:sz w:val="28"/>
                <w:szCs w:val="28"/>
                <w:lang w:val="ru-RU" w:eastAsia="en-US"/>
              </w:rPr>
              <w:t>50-100</w:t>
            </w:r>
          </w:p>
        </w:tc>
      </w:tr>
      <w:tr w:rsidR="003238F4" w:rsidRPr="004E3683" w:rsidTr="002C2BBB">
        <w:trPr>
          <w:trHeight w:val="275"/>
        </w:trPr>
        <w:tc>
          <w:tcPr>
            <w:tcW w:w="2890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ind w:firstLine="22"/>
              <w:jc w:val="both"/>
              <w:rPr>
                <w:sz w:val="28"/>
                <w:szCs w:val="28"/>
                <w:lang w:val="ru-RU" w:eastAsia="en-US"/>
              </w:rPr>
            </w:pPr>
            <w:r w:rsidRPr="004E3683">
              <w:rPr>
                <w:sz w:val="28"/>
                <w:szCs w:val="28"/>
                <w:lang w:val="ru-RU" w:eastAsia="en-US"/>
              </w:rPr>
              <w:t>Включение в лист наблюдения</w:t>
            </w:r>
          </w:p>
        </w:tc>
        <w:tc>
          <w:tcPr>
            <w:tcW w:w="1666" w:type="dxa"/>
            <w:shd w:val="clear" w:color="auto" w:fill="auto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val="ru-RU" w:eastAsia="en-US"/>
              </w:rPr>
            </w:pPr>
            <w:r w:rsidRPr="004E3683">
              <w:rPr>
                <w:sz w:val="28"/>
                <w:szCs w:val="28"/>
                <w:lang w:val="ru-RU" w:eastAsia="en-US"/>
              </w:rPr>
              <w:t>0-59</w:t>
            </w:r>
          </w:p>
        </w:tc>
        <w:tc>
          <w:tcPr>
            <w:tcW w:w="2905" w:type="dxa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val="ru-RU" w:eastAsia="en-US"/>
              </w:rPr>
            </w:pPr>
            <w:r w:rsidRPr="004E3683">
              <w:rPr>
                <w:sz w:val="28"/>
                <w:szCs w:val="28"/>
                <w:lang w:val="ru-RU" w:eastAsia="en-US"/>
              </w:rPr>
              <w:t>0-49</w:t>
            </w:r>
          </w:p>
        </w:tc>
        <w:tc>
          <w:tcPr>
            <w:tcW w:w="2173" w:type="dxa"/>
            <w:shd w:val="clear" w:color="auto" w:fill="auto"/>
          </w:tcPr>
          <w:p w:rsidR="003238F4" w:rsidRPr="004E3683" w:rsidRDefault="003238F4" w:rsidP="003238F4">
            <w:p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val="ru-RU" w:eastAsia="en-US"/>
              </w:rPr>
            </w:pPr>
            <w:r w:rsidRPr="004E3683">
              <w:rPr>
                <w:sz w:val="28"/>
                <w:szCs w:val="28"/>
                <w:lang w:val="ru-RU" w:eastAsia="en-US"/>
              </w:rPr>
              <w:t>0-49</w:t>
            </w:r>
          </w:p>
        </w:tc>
      </w:tr>
    </w:tbl>
    <w:p w:rsidR="003238F4" w:rsidRPr="004E3683" w:rsidRDefault="003238F4" w:rsidP="003238F4">
      <w:pPr>
        <w:overflowPunct/>
        <w:autoSpaceDE/>
        <w:autoSpaceDN/>
        <w:adjustRightInd/>
        <w:jc w:val="both"/>
        <w:rPr>
          <w:rFonts w:eastAsia="Calibri"/>
          <w:sz w:val="28"/>
          <w:szCs w:val="28"/>
          <w:lang w:eastAsia="en-US"/>
        </w:rPr>
      </w:pPr>
    </w:p>
    <w:p w:rsidR="003238F4" w:rsidRPr="004E3683" w:rsidRDefault="003238F4" w:rsidP="003238F4">
      <w:pPr>
        <w:numPr>
          <w:ilvl w:val="0"/>
          <w:numId w:val="13"/>
        </w:numPr>
        <w:tabs>
          <w:tab w:val="num" w:pos="1134"/>
        </w:tabs>
        <w:overflowPunct/>
        <w:autoSpaceDE/>
        <w:autoSpaceDN/>
        <w:adjustRightInd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Для внешних управляющих, осуществляющих пассивное (индексное) управление активами, включение в лист наблюдения осуществляется в случаях, если итоговый совокупный балл составляет менее 50 баллов, либо если, как минимум, по одному из качественных критериев, указанных в таблице 1 Методики, присвоена оценка «Низкая», вне зависимости от итогового совокупного балла.</w:t>
      </w:r>
    </w:p>
    <w:p w:rsidR="003238F4" w:rsidRPr="004E3683" w:rsidRDefault="003238F4" w:rsidP="003238F4">
      <w:pPr>
        <w:numPr>
          <w:ilvl w:val="0"/>
          <w:numId w:val="13"/>
        </w:numPr>
        <w:tabs>
          <w:tab w:val="num" w:pos="1134"/>
        </w:tabs>
        <w:overflowPunct/>
        <w:autoSpaceDE/>
        <w:autoSpaceDN/>
        <w:adjustRightInd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По внешним управляющим, включенным в лист наблюдения по результатам Первичной оценки, для выявления слабых характеристик проводится дополнительный анализ в рамках инвестиционного </w:t>
      </w:r>
      <w:proofErr w:type="spellStart"/>
      <w:r w:rsidRPr="004E3683">
        <w:rPr>
          <w:rFonts w:eastAsia="Calibri"/>
          <w:sz w:val="28"/>
          <w:szCs w:val="28"/>
          <w:lang w:eastAsia="en-US"/>
        </w:rPr>
        <w:t>дью-дилидженса</w:t>
      </w:r>
      <w:proofErr w:type="spellEnd"/>
      <w:r w:rsidRPr="004E3683">
        <w:rPr>
          <w:rFonts w:eastAsia="Calibri"/>
          <w:sz w:val="28"/>
          <w:szCs w:val="28"/>
          <w:lang w:eastAsia="en-US"/>
        </w:rPr>
        <w:t xml:space="preserve"> в соответствии с таблицей 1 приложения 3 к Правилам.</w:t>
      </w:r>
    </w:p>
    <w:p w:rsidR="003238F4" w:rsidRPr="004E3683" w:rsidRDefault="003238F4" w:rsidP="003238F4">
      <w:pPr>
        <w:numPr>
          <w:ilvl w:val="0"/>
          <w:numId w:val="13"/>
        </w:numPr>
        <w:tabs>
          <w:tab w:val="num" w:pos="1134"/>
        </w:tabs>
        <w:overflowPunct/>
        <w:autoSpaceDE/>
        <w:autoSpaceDN/>
        <w:adjustRightInd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В случае если внешний управляющий в течение двух и более последовательных отчетных периодов демонстрирует результаты, предусматривающие включение в лист наблюдения на основании Первичной оценки, применяются следующие меры:</w:t>
      </w:r>
    </w:p>
    <w:p w:rsidR="003238F4" w:rsidRPr="004E3683" w:rsidRDefault="003238F4" w:rsidP="003238F4">
      <w:pPr>
        <w:numPr>
          <w:ilvl w:val="1"/>
          <w:numId w:val="13"/>
        </w:numPr>
        <w:tabs>
          <w:tab w:val="num" w:pos="1134"/>
        </w:tabs>
        <w:overflowPunct/>
        <w:autoSpaceDE/>
        <w:autoSpaceDN/>
        <w:adjustRightInd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при наличии положительной динамики итогового балла Первичной оценки по сравнению с результатом предыдущего отчетного периода внешний управляющий сохраняет нахождение в листе наблюдения и частичное изъятие активов не производится;</w:t>
      </w:r>
    </w:p>
    <w:p w:rsidR="003238F4" w:rsidRPr="004E3683" w:rsidRDefault="003238F4" w:rsidP="003238F4">
      <w:pPr>
        <w:numPr>
          <w:ilvl w:val="1"/>
          <w:numId w:val="13"/>
        </w:numPr>
        <w:tabs>
          <w:tab w:val="num" w:pos="1134"/>
        </w:tabs>
        <w:overflowPunct/>
        <w:autoSpaceDE/>
        <w:autoSpaceDN/>
        <w:adjustRightInd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при отсутствии положительной динамики итогового балла Первичной оценки по сравнению с предыдущим отчетным периодом уполномоченное подразделение инициирует рассмотрение вопроса о частичном изъятии активов под управлением и (или) иных мерах, в том числе снижении комиссий внешнего управляющего, отмене выплаты комиссий на определенный срок по согласованию с внешним управляющим.</w:t>
      </w:r>
    </w:p>
    <w:p w:rsidR="003238F4" w:rsidRPr="004E3683" w:rsidRDefault="003238F4" w:rsidP="003238F4">
      <w:pPr>
        <w:numPr>
          <w:ilvl w:val="0"/>
          <w:numId w:val="13"/>
        </w:numPr>
        <w:tabs>
          <w:tab w:val="num" w:pos="1134"/>
        </w:tabs>
        <w:overflowPunct/>
        <w:autoSpaceDE/>
        <w:autoSpaceDN/>
        <w:adjustRightInd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>В случае если внешний управляющий в течение 2 (два) и более последовательных отчетных периодов подпадает под меры, предусмотренные в подпункте 2) пункта 7 Методики, уполномоченное подразделение инициирует вынесение на рассмотрение Правления Национального Банка Республики Казахстан вопроса о дополнительном частичном изъятии активов или прекращении мандата внешнего управляющего.</w:t>
      </w:r>
    </w:p>
    <w:p w:rsidR="003238F4" w:rsidRPr="004E3683" w:rsidRDefault="003238F4" w:rsidP="003238F4">
      <w:pPr>
        <w:numPr>
          <w:ilvl w:val="0"/>
          <w:numId w:val="13"/>
        </w:numPr>
        <w:tabs>
          <w:tab w:val="num" w:pos="1134"/>
        </w:tabs>
        <w:overflowPunct/>
        <w:autoSpaceDE/>
        <w:autoSpaceDN/>
        <w:adjustRightInd/>
        <w:ind w:left="0" w:firstLine="709"/>
        <w:contextualSpacing/>
        <w:jc w:val="both"/>
        <w:rPr>
          <w:rFonts w:eastAsia="Calibri"/>
          <w:sz w:val="28"/>
          <w:szCs w:val="28"/>
        </w:rPr>
      </w:pPr>
      <w:r w:rsidRPr="004E3683">
        <w:rPr>
          <w:rFonts w:eastAsia="Calibri"/>
          <w:sz w:val="28"/>
          <w:szCs w:val="28"/>
          <w:lang w:eastAsia="en-US"/>
        </w:rPr>
        <w:t>В случае нарушения лимитов и ограничений, предусмотренных инвестиционными стратегиями Активов, требований к диверсификации Активов, лимитов концентрации и иных ограничений, установленных инвестиционными стратегиями Активов, допускается применение иных мер, отличных от мер, предусмотренных пунктами 4, 7 и 8 Методики, на основании решений должностного лица Национального Банка Республики Казахстан, Полномочного представителя в отношении активов Национального фонда Республики Казахстан, Инвестиционного комитета Национального Банка Республики Казахстан по управлению пенсионными активами акционерного общества «Единый накопительный пенсионный фонд» в отношении пенсионных активов.</w:t>
      </w:r>
    </w:p>
    <w:p w:rsidR="003238F4" w:rsidRPr="004E3683" w:rsidRDefault="003238F4" w:rsidP="003238F4">
      <w:pPr>
        <w:numPr>
          <w:ilvl w:val="0"/>
          <w:numId w:val="13"/>
        </w:numPr>
        <w:tabs>
          <w:tab w:val="num" w:pos="1134"/>
        </w:tabs>
        <w:overflowPunct/>
        <w:autoSpaceDE/>
        <w:autoSpaceDN/>
        <w:adjustRightInd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4E3683">
        <w:rPr>
          <w:rFonts w:eastAsia="Calibri"/>
          <w:sz w:val="28"/>
          <w:szCs w:val="28"/>
          <w:lang w:eastAsia="en-US"/>
        </w:rPr>
        <w:t xml:space="preserve">Решения о пополнении активов внешних управляющих за счет изъятия активов у наименее эффективных внешних управляющих или пополнения в рамках перераспределения активов между портфелями в составе </w:t>
      </w:r>
      <w:r w:rsidRPr="004E3683">
        <w:rPr>
          <w:rFonts w:eastAsia="Calibri"/>
          <w:bCs/>
          <w:sz w:val="28"/>
          <w:szCs w:val="28"/>
          <w:lang w:eastAsia="en-US"/>
        </w:rPr>
        <w:t>золотовалютных активов Национального Банка Республики Казахстан, активов Национального фонда Республики Казахстан, пенсионных активов единого накопительного пенсионного фонда принимаются с учетом итогового балла, присвоенного внешнему управляющему</w:t>
      </w:r>
      <w:r w:rsidRPr="004E3683">
        <w:rPr>
          <w:rFonts w:eastAsia="Calibri"/>
          <w:sz w:val="28"/>
          <w:szCs w:val="28"/>
          <w:lang w:eastAsia="en-US"/>
        </w:rPr>
        <w:t>.</w:t>
      </w:r>
    </w:p>
    <w:p w:rsidR="003238F4" w:rsidRPr="004E3683" w:rsidRDefault="003238F4">
      <w:pPr>
        <w:overflowPunct/>
        <w:autoSpaceDE/>
        <w:autoSpaceDN/>
        <w:adjustRightInd/>
      </w:pPr>
      <w:r w:rsidRPr="004E3683">
        <w:br w:type="page"/>
      </w:r>
    </w:p>
    <w:p w:rsidR="003238F4" w:rsidRPr="004E3683" w:rsidRDefault="003238F4" w:rsidP="003238F4">
      <w:pPr>
        <w:overflowPunct/>
        <w:autoSpaceDE/>
        <w:autoSpaceDN/>
        <w:adjustRightInd/>
        <w:jc w:val="right"/>
        <w:rPr>
          <w:color w:val="000000"/>
          <w:sz w:val="28"/>
          <w:szCs w:val="28"/>
          <w:lang w:eastAsia="en-US"/>
        </w:rPr>
      </w:pPr>
      <w:r w:rsidRPr="004E3683">
        <w:rPr>
          <w:b/>
          <w:color w:val="000000"/>
          <w:sz w:val="28"/>
          <w:szCs w:val="28"/>
          <w:lang w:eastAsia="en-US"/>
        </w:rPr>
        <w:tab/>
      </w:r>
      <w:r w:rsidRPr="004E3683">
        <w:rPr>
          <w:b/>
          <w:color w:val="000000"/>
          <w:sz w:val="28"/>
          <w:szCs w:val="28"/>
          <w:lang w:eastAsia="en-US"/>
        </w:rPr>
        <w:tab/>
      </w:r>
      <w:r w:rsidRPr="004E3683">
        <w:rPr>
          <w:b/>
          <w:color w:val="000000"/>
          <w:sz w:val="28"/>
          <w:szCs w:val="28"/>
          <w:lang w:eastAsia="en-US"/>
        </w:rPr>
        <w:tab/>
      </w:r>
      <w:r w:rsidRPr="004E3683">
        <w:rPr>
          <w:b/>
          <w:color w:val="000000"/>
          <w:sz w:val="28"/>
          <w:szCs w:val="28"/>
          <w:lang w:eastAsia="en-US"/>
        </w:rPr>
        <w:tab/>
      </w:r>
      <w:r w:rsidRPr="004E3683">
        <w:rPr>
          <w:b/>
          <w:color w:val="000000"/>
          <w:sz w:val="28"/>
          <w:szCs w:val="28"/>
          <w:lang w:eastAsia="en-US"/>
        </w:rPr>
        <w:tab/>
      </w:r>
      <w:r w:rsidRPr="004E3683">
        <w:rPr>
          <w:color w:val="000000"/>
          <w:sz w:val="28"/>
          <w:szCs w:val="28"/>
          <w:lang w:eastAsia="en-US"/>
        </w:rPr>
        <w:t>Приложение</w:t>
      </w:r>
    </w:p>
    <w:p w:rsidR="003238F4" w:rsidRPr="004E3683" w:rsidRDefault="003238F4" w:rsidP="003238F4">
      <w:pPr>
        <w:widowControl w:val="0"/>
        <w:overflowPunct/>
        <w:autoSpaceDE/>
        <w:autoSpaceDN/>
        <w:adjustRightInd/>
        <w:ind w:firstLine="709"/>
        <w:jc w:val="right"/>
        <w:rPr>
          <w:color w:val="000000"/>
          <w:sz w:val="28"/>
        </w:rPr>
      </w:pPr>
      <w:r w:rsidRPr="004E3683">
        <w:rPr>
          <w:color w:val="000000"/>
          <w:sz w:val="28"/>
        </w:rPr>
        <w:t>к постановлению Правления</w:t>
      </w:r>
    </w:p>
    <w:p w:rsidR="003238F4" w:rsidRPr="004E3683" w:rsidRDefault="003238F4" w:rsidP="003238F4">
      <w:pPr>
        <w:widowControl w:val="0"/>
        <w:overflowPunct/>
        <w:autoSpaceDE/>
        <w:autoSpaceDN/>
        <w:adjustRightInd/>
        <w:ind w:firstLine="709"/>
        <w:jc w:val="right"/>
        <w:rPr>
          <w:color w:val="000000"/>
          <w:sz w:val="28"/>
        </w:rPr>
      </w:pPr>
      <w:r w:rsidRPr="004E3683">
        <w:rPr>
          <w:color w:val="000000"/>
          <w:sz w:val="28"/>
        </w:rPr>
        <w:t>Национального Банка</w:t>
      </w:r>
    </w:p>
    <w:p w:rsidR="003238F4" w:rsidRPr="004E3683" w:rsidRDefault="003238F4" w:rsidP="003238F4">
      <w:pPr>
        <w:widowControl w:val="0"/>
        <w:overflowPunct/>
        <w:autoSpaceDE/>
        <w:autoSpaceDN/>
        <w:adjustRightInd/>
        <w:ind w:firstLine="709"/>
        <w:jc w:val="right"/>
        <w:rPr>
          <w:color w:val="000000"/>
          <w:sz w:val="28"/>
        </w:rPr>
      </w:pPr>
      <w:r w:rsidRPr="004E3683">
        <w:rPr>
          <w:color w:val="000000"/>
          <w:sz w:val="28"/>
        </w:rPr>
        <w:t>Республики Казахстан</w:t>
      </w:r>
    </w:p>
    <w:p w:rsidR="003238F4" w:rsidRPr="004E3683" w:rsidRDefault="003238F4" w:rsidP="003238F4">
      <w:pPr>
        <w:widowControl w:val="0"/>
        <w:overflowPunct/>
        <w:autoSpaceDE/>
        <w:autoSpaceDN/>
        <w:adjustRightInd/>
        <w:ind w:firstLine="709"/>
        <w:jc w:val="right"/>
        <w:rPr>
          <w:color w:val="000000"/>
          <w:sz w:val="28"/>
        </w:rPr>
      </w:pPr>
      <w:r w:rsidRPr="004E3683">
        <w:rPr>
          <w:color w:val="000000"/>
          <w:sz w:val="28"/>
        </w:rPr>
        <w:t>от «__» ______ 2026 года № __</w:t>
      </w:r>
    </w:p>
    <w:p w:rsidR="003238F4" w:rsidRPr="004E3683" w:rsidRDefault="003238F4" w:rsidP="003238F4">
      <w:pPr>
        <w:widowControl w:val="0"/>
        <w:overflowPunct/>
        <w:autoSpaceDE/>
        <w:autoSpaceDN/>
        <w:adjustRightInd/>
        <w:ind w:left="993"/>
        <w:jc w:val="both"/>
        <w:rPr>
          <w:sz w:val="28"/>
          <w:szCs w:val="28"/>
        </w:rPr>
      </w:pPr>
    </w:p>
    <w:p w:rsidR="003238F4" w:rsidRPr="004E3683" w:rsidRDefault="003238F4" w:rsidP="003238F4">
      <w:pPr>
        <w:overflowPunct/>
        <w:autoSpaceDE/>
        <w:autoSpaceDN/>
        <w:adjustRightInd/>
        <w:jc w:val="center"/>
        <w:rPr>
          <w:bCs/>
          <w:sz w:val="28"/>
          <w:szCs w:val="28"/>
        </w:rPr>
      </w:pPr>
      <w:r w:rsidRPr="004E3683">
        <w:rPr>
          <w:bCs/>
          <w:sz w:val="28"/>
          <w:szCs w:val="28"/>
        </w:rPr>
        <w:t xml:space="preserve">Перечень некоторых постановлений Правления Национального Банка Республики Казахстан, признаваемых утратившими силу </w:t>
      </w:r>
    </w:p>
    <w:p w:rsidR="003238F4" w:rsidRPr="004E3683" w:rsidRDefault="003238F4" w:rsidP="003238F4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:rsidR="003238F4" w:rsidRPr="004E3683" w:rsidRDefault="003238F4" w:rsidP="003238F4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:rsidR="003238F4" w:rsidRPr="004E3683" w:rsidRDefault="003238F4" w:rsidP="003238F4">
      <w:pPr>
        <w:widowControl w:val="0"/>
        <w:overflowPunct/>
        <w:autoSpaceDE/>
        <w:autoSpaceDN/>
        <w:adjustRightInd/>
        <w:ind w:firstLine="709"/>
        <w:jc w:val="both"/>
      </w:pPr>
      <w:r w:rsidRPr="004E3683">
        <w:rPr>
          <w:sz w:val="28"/>
          <w:szCs w:val="28"/>
        </w:rPr>
        <w:t xml:space="preserve">1. Постановление Правления Национального Банка Республики Казахстан от 19 марта 2020 года № 29 «Об утверждении </w:t>
      </w:r>
      <w:proofErr w:type="gramStart"/>
      <w:r w:rsidRPr="004E3683">
        <w:rPr>
          <w:sz w:val="28"/>
          <w:szCs w:val="28"/>
        </w:rPr>
        <w:t>Правил выбора</w:t>
      </w:r>
      <w:proofErr w:type="gramEnd"/>
      <w:r w:rsidRPr="004E3683">
        <w:rPr>
          <w:sz w:val="28"/>
          <w:szCs w:val="28"/>
        </w:rPr>
        <w:t xml:space="preserve"> внешних управляющих активами Национального фонда Республики Казахстан» (зарегистрировано в Реестре государственной регистрации нормативных правовых актов под № 20243).</w:t>
      </w:r>
    </w:p>
    <w:p w:rsidR="003238F4" w:rsidRPr="004E3683" w:rsidRDefault="003238F4" w:rsidP="003238F4">
      <w:pPr>
        <w:widowControl w:val="0"/>
        <w:overflowPunct/>
        <w:autoSpaceDE/>
        <w:autoSpaceDN/>
        <w:adjustRightInd/>
        <w:ind w:firstLine="709"/>
        <w:jc w:val="both"/>
        <w:rPr>
          <w:rFonts w:eastAsia="Calibri"/>
          <w:color w:val="000000"/>
          <w:sz w:val="28"/>
          <w:szCs w:val="28"/>
        </w:rPr>
      </w:pPr>
      <w:r w:rsidRPr="004E3683">
        <w:rPr>
          <w:sz w:val="28"/>
          <w:szCs w:val="28"/>
        </w:rPr>
        <w:t>2. Постановление Правления Национального Банка Республики Казахстан от 19 марта 2020 года № 30 «Об утверждении Правил передачи части золотовалютных активов Национального Банка Республики Казахстан во внешнее управление»</w:t>
      </w:r>
      <w:r w:rsidRPr="004E3683">
        <w:rPr>
          <w:rFonts w:eastAsia="Calibri"/>
          <w:color w:val="000000"/>
          <w:sz w:val="28"/>
          <w:szCs w:val="28"/>
        </w:rPr>
        <w:t xml:space="preserve"> (зарегистрировано в Реестре государственной регистрации нормативных правовых актов под № 20249).</w:t>
      </w:r>
    </w:p>
    <w:p w:rsidR="003238F4" w:rsidRPr="004E3683" w:rsidRDefault="003238F4" w:rsidP="003238F4">
      <w:pPr>
        <w:widowControl w:val="0"/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4E3683">
        <w:rPr>
          <w:rFonts w:eastAsia="Calibri"/>
          <w:color w:val="000000"/>
          <w:sz w:val="28"/>
          <w:szCs w:val="28"/>
        </w:rPr>
        <w:t xml:space="preserve">3. </w:t>
      </w:r>
      <w:r w:rsidRPr="004E3683">
        <w:rPr>
          <w:sz w:val="28"/>
          <w:szCs w:val="28"/>
        </w:rPr>
        <w:t>Постановление Правления Национального Банка Республики Казахстан от 15 июня 2020 года № 78 «Об утверждении Правил выбора зарубежных организаций, управляющих пенсионными активами единого накопительного пенсионного фонда, включая требования к ним, при поручении им совершать действия, необходимые для управления пенсионными активами единого накопительного пенсионного фонда» (зарегистрировано в Реестре государственной регистрации нормативных правовых актов под № 20909).</w:t>
      </w:r>
    </w:p>
    <w:p w:rsidR="003238F4" w:rsidRPr="004E3683" w:rsidRDefault="003238F4" w:rsidP="003238F4">
      <w:pPr>
        <w:widowControl w:val="0"/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4E3683">
        <w:rPr>
          <w:sz w:val="28"/>
          <w:szCs w:val="28"/>
        </w:rPr>
        <w:t xml:space="preserve">4. Постановление Правления Национального Банка Республики Казахстан от 21 декабря 2020 года № 143 «О внесении изменений в постановление Правления Национального Банка Республики Казахстан от 19 марта 2020 года № 29 «Об утверждении </w:t>
      </w:r>
      <w:proofErr w:type="gramStart"/>
      <w:r w:rsidRPr="004E3683">
        <w:rPr>
          <w:sz w:val="28"/>
          <w:szCs w:val="28"/>
        </w:rPr>
        <w:t>Правил выбора</w:t>
      </w:r>
      <w:proofErr w:type="gramEnd"/>
      <w:r w:rsidRPr="004E3683">
        <w:rPr>
          <w:sz w:val="28"/>
          <w:szCs w:val="28"/>
        </w:rPr>
        <w:t xml:space="preserve"> внешних управляющих активами Национального фонда Республики Казахстан» (зарегистрировано в Реестре государственной регистрации нормативных правовых актов под № 21917).</w:t>
      </w:r>
    </w:p>
    <w:p w:rsidR="003238F4" w:rsidRPr="004E3683" w:rsidRDefault="003238F4" w:rsidP="003238F4">
      <w:pPr>
        <w:widowControl w:val="0"/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4E3683">
        <w:rPr>
          <w:sz w:val="28"/>
          <w:szCs w:val="28"/>
        </w:rPr>
        <w:t>5. Постановление Правления Национального Банка Республики Казахстан от 21 декабря 2020 года № 144 «О внесении изменений в постановление Правления Национального Банка Республики Казахстан от 15 июня 2020 года № 78 «Об утверждении Правил выбора зарубежных организаций, управляющих пенсионными активами единого накопительного пенсионного фонда, включая требования к ним, при поручении им совершать действия, необходимые для управления пенсионными активами единого накопительного пенсионного фонда» (зарегистрировано в Реестре государственной регистрации нормативных правовых актов под № 21916).</w:t>
      </w:r>
    </w:p>
    <w:p w:rsidR="003238F4" w:rsidRPr="004E3683" w:rsidRDefault="003238F4" w:rsidP="003238F4">
      <w:pPr>
        <w:widowControl w:val="0"/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4E3683">
        <w:rPr>
          <w:sz w:val="28"/>
          <w:szCs w:val="28"/>
        </w:rPr>
        <w:t>6. Постановление Правления Национального Банка Республики Казахстан от 23 апреля 2024 года № 23 «О внесении изменений в постановление Правления Национального Банка Республики Казахстан от 15 июня 2020 года № 78 «Об утверждении Правил выбора зарубежных организаций, управляющих пенсионными активами единого накопительного пенсионного фонда, включая требования к ним, при поручении им совершать действия, необходимые для управления пенсионными активами единого накопительного пенсионного фонда» (зарегистрировано в Реестре государственной регистрации нормативных правовых актов под № 34349).</w:t>
      </w:r>
    </w:p>
    <w:p w:rsidR="003238F4" w:rsidRPr="004E3683" w:rsidRDefault="003238F4" w:rsidP="003238F4">
      <w:pPr>
        <w:widowControl w:val="0"/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4E3683">
        <w:rPr>
          <w:sz w:val="28"/>
          <w:szCs w:val="28"/>
        </w:rPr>
        <w:t>7. Постановление Правления Национального Банка Республики Казахстан от 23 сентября 2024 года № 56 «О внесении изменений в постановление Правления Национального Банка Республики Казахстан от 19 марта 2020 года № 30 «Об утверждении Правил передачи части золотовалютных активов Национального Банка Республики Казахстан во внешнее управление»</w:t>
      </w:r>
      <w:r w:rsidRPr="004E3683">
        <w:rPr>
          <w:rFonts w:eastAsia="Calibri"/>
          <w:color w:val="000000"/>
          <w:sz w:val="28"/>
          <w:szCs w:val="28"/>
        </w:rPr>
        <w:t xml:space="preserve"> (зарегистрировано в Реестре государственной регистрации нормативных правовых актов под № </w:t>
      </w:r>
      <w:r w:rsidRPr="004E3683">
        <w:rPr>
          <w:sz w:val="28"/>
        </w:rPr>
        <w:t>35131</w:t>
      </w:r>
      <w:r w:rsidRPr="004E3683">
        <w:rPr>
          <w:rFonts w:eastAsia="Calibri"/>
          <w:color w:val="000000"/>
          <w:sz w:val="28"/>
          <w:szCs w:val="28"/>
        </w:rPr>
        <w:t>).</w:t>
      </w:r>
      <w:r w:rsidRPr="004E3683">
        <w:rPr>
          <w:sz w:val="28"/>
          <w:szCs w:val="28"/>
        </w:rPr>
        <w:t xml:space="preserve"> </w:t>
      </w:r>
    </w:p>
    <w:p w:rsidR="00992F0B" w:rsidRPr="004E3683" w:rsidRDefault="00992F0B" w:rsidP="00F22D35"/>
    <w:sectPr w:rsidR="00992F0B" w:rsidRPr="004E3683" w:rsidSect="006234FB">
      <w:headerReference w:type="even" r:id="rId12"/>
      <w:headerReference w:type="default" r:id="rId13"/>
      <w:pgSz w:w="11906" w:h="16838"/>
      <w:pgMar w:top="993" w:right="851" w:bottom="1134" w:left="1418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6412" w:rsidRDefault="00FB7CC6">
      <w:r>
        <w:separator/>
      </w:r>
    </w:p>
  </w:endnote>
  <w:endnote w:type="continuationSeparator" w:id="0">
    <w:p w:rsidR="00266412" w:rsidRDefault="00FB7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6412" w:rsidRDefault="00FB7CC6">
      <w:r>
        <w:separator/>
      </w:r>
    </w:p>
  </w:footnote>
  <w:footnote w:type="continuationSeparator" w:id="0">
    <w:p w:rsidR="00266412" w:rsidRDefault="00FB7C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2F0B" w:rsidRDefault="00FB7CC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</w:instrText>
    </w:r>
    <w:r>
      <w:fldChar w:fldCharType="end"/>
    </w:r>
  </w:p>
  <w:p w:rsidR="00992F0B" w:rsidRDefault="00992F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2F0B" w:rsidRPr="00DE258E" w:rsidRDefault="00FB7CC6">
    <w:pPr>
      <w:pStyle w:val="Header"/>
      <w:framePr w:wrap="around" w:vAnchor="text" w:hAnchor="margin" w:xAlign="center" w:y="1"/>
      <w:rPr>
        <w:rStyle w:val="PageNumber"/>
        <w:sz w:val="28"/>
      </w:rPr>
    </w:pPr>
    <w:r w:rsidRPr="00DE258E">
      <w:rPr>
        <w:rStyle w:val="PageNumber"/>
        <w:sz w:val="28"/>
      </w:rPr>
      <w:fldChar w:fldCharType="begin"/>
    </w:r>
    <w:r w:rsidRPr="00DE258E">
      <w:rPr>
        <w:rStyle w:val="PageNumber"/>
        <w:sz w:val="28"/>
      </w:rPr>
      <w:instrText xml:space="preserve">PAGE  </w:instrText>
    </w:r>
    <w:r w:rsidRPr="00DE258E">
      <w:rPr>
        <w:rStyle w:val="PageNumber"/>
        <w:sz w:val="28"/>
      </w:rPr>
      <w:fldChar w:fldCharType="separate"/>
    </w:r>
    <w:r w:rsidR="00A929FE">
      <w:rPr>
        <w:rStyle w:val="PageNumber"/>
        <w:noProof/>
        <w:sz w:val="28"/>
      </w:rPr>
      <w:t>21</w:t>
    </w:r>
    <w:r w:rsidRPr="00DE258E">
      <w:rPr>
        <w:rStyle w:val="PageNumber"/>
        <w:sz w:val="28"/>
      </w:rPr>
      <w:fldChar w:fldCharType="end"/>
    </w:r>
  </w:p>
  <w:p w:rsidR="00992F0B" w:rsidRDefault="00992F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9439B"/>
    <w:multiLevelType w:val="multilevel"/>
    <w:tmpl w:val="834A173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1A6C6974"/>
    <w:multiLevelType w:val="hybridMultilevel"/>
    <w:tmpl w:val="CAB41A3A"/>
    <w:lvl w:ilvl="0" w:tplc="7F7C3B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96AAB0A">
      <w:start w:val="1"/>
      <w:numFmt w:val="lowerLetter"/>
      <w:lvlText w:val="%2."/>
      <w:lvlJc w:val="left"/>
      <w:pPr>
        <w:ind w:left="1785" w:hanging="360"/>
      </w:pPr>
    </w:lvl>
    <w:lvl w:ilvl="2" w:tplc="50C620AC">
      <w:start w:val="1"/>
      <w:numFmt w:val="lowerRoman"/>
      <w:lvlText w:val="%3."/>
      <w:lvlJc w:val="right"/>
      <w:pPr>
        <w:ind w:left="2505" w:hanging="180"/>
      </w:pPr>
    </w:lvl>
    <w:lvl w:ilvl="3" w:tplc="AADAEE14">
      <w:start w:val="1"/>
      <w:numFmt w:val="decimal"/>
      <w:lvlText w:val="%4."/>
      <w:lvlJc w:val="left"/>
      <w:pPr>
        <w:ind w:left="3225" w:hanging="360"/>
      </w:pPr>
    </w:lvl>
    <w:lvl w:ilvl="4" w:tplc="0C44028C">
      <w:start w:val="1"/>
      <w:numFmt w:val="lowerLetter"/>
      <w:lvlText w:val="%5."/>
      <w:lvlJc w:val="left"/>
      <w:pPr>
        <w:ind w:left="3945" w:hanging="360"/>
      </w:pPr>
    </w:lvl>
    <w:lvl w:ilvl="5" w:tplc="0A5CDBE0">
      <w:start w:val="1"/>
      <w:numFmt w:val="lowerRoman"/>
      <w:lvlText w:val="%6."/>
      <w:lvlJc w:val="right"/>
      <w:pPr>
        <w:ind w:left="4665" w:hanging="180"/>
      </w:pPr>
    </w:lvl>
    <w:lvl w:ilvl="6" w:tplc="C1E02086">
      <w:start w:val="1"/>
      <w:numFmt w:val="decimal"/>
      <w:lvlText w:val="%7."/>
      <w:lvlJc w:val="left"/>
      <w:pPr>
        <w:ind w:left="5385" w:hanging="360"/>
      </w:pPr>
    </w:lvl>
    <w:lvl w:ilvl="7" w:tplc="2544EE98">
      <w:start w:val="1"/>
      <w:numFmt w:val="lowerLetter"/>
      <w:lvlText w:val="%8."/>
      <w:lvlJc w:val="left"/>
      <w:pPr>
        <w:ind w:left="6105" w:hanging="360"/>
      </w:pPr>
    </w:lvl>
    <w:lvl w:ilvl="8" w:tplc="06F0735C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0DD6E1A"/>
    <w:multiLevelType w:val="hybridMultilevel"/>
    <w:tmpl w:val="9EB07802"/>
    <w:lvl w:ilvl="0" w:tplc="6290B192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8173E7B"/>
    <w:multiLevelType w:val="multilevel"/>
    <w:tmpl w:val="5880BBA8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 w15:restartNumberingAfterBreak="0">
    <w:nsid w:val="373E7FF5"/>
    <w:multiLevelType w:val="multilevel"/>
    <w:tmpl w:val="C4CE99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i/>
      </w:rPr>
    </w:lvl>
  </w:abstractNum>
  <w:abstractNum w:abstractNumId="5" w15:restartNumberingAfterBreak="0">
    <w:nsid w:val="388874E8"/>
    <w:multiLevelType w:val="hybridMultilevel"/>
    <w:tmpl w:val="8F6E0A2E"/>
    <w:lvl w:ilvl="0" w:tplc="FB48C106">
      <w:start w:val="1"/>
      <w:numFmt w:val="decimal"/>
      <w:lvlText w:val="%1."/>
      <w:lvlJc w:val="left"/>
      <w:pPr>
        <w:ind w:left="1211" w:hanging="360"/>
      </w:pPr>
      <w:rPr>
        <w:b w:val="0"/>
        <w:i w:val="0"/>
      </w:rPr>
    </w:lvl>
    <w:lvl w:ilvl="1" w:tplc="9184F85A">
      <w:start w:val="1"/>
      <w:numFmt w:val="lowerLetter"/>
      <w:lvlText w:val="%2."/>
      <w:lvlJc w:val="left"/>
      <w:pPr>
        <w:ind w:left="1789" w:hanging="360"/>
      </w:pPr>
    </w:lvl>
    <w:lvl w:ilvl="2" w:tplc="1632025C">
      <w:start w:val="1"/>
      <w:numFmt w:val="lowerRoman"/>
      <w:lvlText w:val="%3."/>
      <w:lvlJc w:val="right"/>
      <w:pPr>
        <w:ind w:left="2509" w:hanging="180"/>
      </w:pPr>
    </w:lvl>
    <w:lvl w:ilvl="3" w:tplc="DE6208B8">
      <w:start w:val="1"/>
      <w:numFmt w:val="decimal"/>
      <w:lvlText w:val="%4."/>
      <w:lvlJc w:val="left"/>
      <w:pPr>
        <w:ind w:left="3229" w:hanging="360"/>
      </w:pPr>
    </w:lvl>
    <w:lvl w:ilvl="4" w:tplc="F8428C5C">
      <w:start w:val="1"/>
      <w:numFmt w:val="lowerLetter"/>
      <w:lvlText w:val="%5."/>
      <w:lvlJc w:val="left"/>
      <w:pPr>
        <w:ind w:left="3949" w:hanging="360"/>
      </w:pPr>
    </w:lvl>
    <w:lvl w:ilvl="5" w:tplc="4A808AD6">
      <w:start w:val="1"/>
      <w:numFmt w:val="lowerRoman"/>
      <w:lvlText w:val="%6."/>
      <w:lvlJc w:val="right"/>
      <w:pPr>
        <w:ind w:left="4669" w:hanging="180"/>
      </w:pPr>
    </w:lvl>
    <w:lvl w:ilvl="6" w:tplc="A850AD6C">
      <w:start w:val="1"/>
      <w:numFmt w:val="decimal"/>
      <w:lvlText w:val="%7."/>
      <w:lvlJc w:val="left"/>
      <w:pPr>
        <w:ind w:left="5389" w:hanging="360"/>
      </w:pPr>
    </w:lvl>
    <w:lvl w:ilvl="7" w:tplc="9D007306">
      <w:start w:val="1"/>
      <w:numFmt w:val="lowerLetter"/>
      <w:lvlText w:val="%8."/>
      <w:lvlJc w:val="left"/>
      <w:pPr>
        <w:ind w:left="6109" w:hanging="360"/>
      </w:pPr>
    </w:lvl>
    <w:lvl w:ilvl="8" w:tplc="0E367B4A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805939"/>
    <w:multiLevelType w:val="hybridMultilevel"/>
    <w:tmpl w:val="609EE838"/>
    <w:lvl w:ilvl="0" w:tplc="04090011">
      <w:start w:val="1"/>
      <w:numFmt w:val="decimal"/>
      <w:lvlText w:val="%1)"/>
      <w:lvlJc w:val="left"/>
      <w:pPr>
        <w:ind w:left="928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0007E31"/>
    <w:multiLevelType w:val="hybridMultilevel"/>
    <w:tmpl w:val="ABEAD30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701691BA">
      <w:start w:val="1"/>
      <w:numFmt w:val="decimal"/>
      <w:lvlText w:val="%3."/>
      <w:lvlJc w:val="left"/>
      <w:pPr>
        <w:ind w:left="1931" w:hanging="1080"/>
      </w:pPr>
      <w:rPr>
        <w:rFonts w:hint="default"/>
        <w:b w:val="0"/>
        <w:sz w:val="28"/>
        <w:szCs w:val="28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2A25478"/>
    <w:multiLevelType w:val="hybridMultilevel"/>
    <w:tmpl w:val="AFC259E2"/>
    <w:lvl w:ilvl="0" w:tplc="B19E6F38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19A8CAD0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47A4DC72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7B5E6250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12360FAC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A01CBD6A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3F121DC2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DBAE5AA2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6FB85B7C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9" w15:restartNumberingAfterBreak="0">
    <w:nsid w:val="5A897453"/>
    <w:multiLevelType w:val="hybridMultilevel"/>
    <w:tmpl w:val="59E65412"/>
    <w:lvl w:ilvl="0" w:tplc="B3BA6774">
      <w:start w:val="1"/>
      <w:numFmt w:val="decimal"/>
      <w:lvlText w:val="%1."/>
      <w:lvlJc w:val="left"/>
      <w:pPr>
        <w:ind w:left="1069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5455321"/>
    <w:multiLevelType w:val="multilevel"/>
    <w:tmpl w:val="E33E450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1" w15:restartNumberingAfterBreak="0">
    <w:nsid w:val="70E7212E"/>
    <w:multiLevelType w:val="multilevel"/>
    <w:tmpl w:val="11F073E2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195420E"/>
    <w:multiLevelType w:val="hybridMultilevel"/>
    <w:tmpl w:val="BFDAAF3E"/>
    <w:lvl w:ilvl="0" w:tplc="6D70C354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E4260D8E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3AE4ADC0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313AE558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10E6972E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386613A0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4E6CDB5A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BD5ADE8E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A4A4BBE8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 w15:restartNumberingAfterBreak="0">
    <w:nsid w:val="726A0B55"/>
    <w:multiLevelType w:val="multilevel"/>
    <w:tmpl w:val="F1AA8D4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10"/>
  </w:num>
  <w:num w:numId="2">
    <w:abstractNumId w:val="13"/>
  </w:num>
  <w:num w:numId="3">
    <w:abstractNumId w:val="5"/>
  </w:num>
  <w:num w:numId="4">
    <w:abstractNumId w:val="0"/>
  </w:num>
  <w:num w:numId="5">
    <w:abstractNumId w:val="12"/>
  </w:num>
  <w:num w:numId="6">
    <w:abstractNumId w:val="3"/>
  </w:num>
  <w:num w:numId="7">
    <w:abstractNumId w:val="8"/>
  </w:num>
  <w:num w:numId="8">
    <w:abstractNumId w:val="1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1"/>
  </w:num>
  <w:num w:numId="14">
    <w:abstractNumId w:val="6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F0B"/>
    <w:rsid w:val="00103D69"/>
    <w:rsid w:val="001508C4"/>
    <w:rsid w:val="00204763"/>
    <w:rsid w:val="00212ECF"/>
    <w:rsid w:val="00266412"/>
    <w:rsid w:val="002723D5"/>
    <w:rsid w:val="003238F4"/>
    <w:rsid w:val="004517F8"/>
    <w:rsid w:val="004D37B6"/>
    <w:rsid w:val="004E3683"/>
    <w:rsid w:val="00597602"/>
    <w:rsid w:val="005B68B2"/>
    <w:rsid w:val="005F18D0"/>
    <w:rsid w:val="006234FB"/>
    <w:rsid w:val="0072700C"/>
    <w:rsid w:val="0078536C"/>
    <w:rsid w:val="007955A9"/>
    <w:rsid w:val="007B4BE8"/>
    <w:rsid w:val="008A0D2B"/>
    <w:rsid w:val="008A51B0"/>
    <w:rsid w:val="008D0109"/>
    <w:rsid w:val="0093458C"/>
    <w:rsid w:val="0096492F"/>
    <w:rsid w:val="00992F0B"/>
    <w:rsid w:val="00A929FE"/>
    <w:rsid w:val="00B2479D"/>
    <w:rsid w:val="00B5383E"/>
    <w:rsid w:val="00C65E19"/>
    <w:rsid w:val="00DE258E"/>
    <w:rsid w:val="00EA4974"/>
    <w:rsid w:val="00EB18F1"/>
    <w:rsid w:val="00ED2B93"/>
    <w:rsid w:val="00EE106D"/>
    <w:rsid w:val="00F22D35"/>
    <w:rsid w:val="00FB0449"/>
    <w:rsid w:val="00FB0CB6"/>
    <w:rsid w:val="00FB7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1B4289"/>
  <w15:docId w15:val="{E0930B0D-20D0-4ADA-9E12-9F9CE74C0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479D"/>
    <w:pPr>
      <w:overflowPunct w:val="0"/>
      <w:autoSpaceDE w:val="0"/>
      <w:autoSpaceDN w:val="0"/>
      <w:adjustRightInd w:val="0"/>
    </w:pPr>
  </w:style>
  <w:style w:type="paragraph" w:styleId="Heading1">
    <w:name w:val="heading 1"/>
    <w:basedOn w:val="Normal"/>
    <w:link w:val="Heading1Char"/>
    <w:qFormat/>
    <w:rsid w:val="003238F4"/>
    <w:pPr>
      <w:overflowPunct/>
      <w:autoSpaceDE/>
      <w:autoSpaceDN/>
      <w:adjustRightInd/>
      <w:spacing w:line="300" w:lineRule="atLeast"/>
      <w:outlineLvl w:val="0"/>
    </w:pPr>
    <w:rPr>
      <w:rFonts w:ascii="Tahoma" w:hAnsi="Tahoma"/>
      <w:b/>
      <w:bCs/>
      <w:color w:val="627A50"/>
      <w:kern w:val="36"/>
      <w:sz w:val="24"/>
      <w:szCs w:val="24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22D3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">
    <w:name w:val="Знак_0"/>
    <w:basedOn w:val="Normal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odyTextIndent">
    <w:name w:val="Body Text Indent"/>
    <w:basedOn w:val="Normal"/>
    <w:link w:val="BodyTextIndentChar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Title">
    <w:name w:val="Title"/>
    <w:basedOn w:val="Normal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Subtitle">
    <w:name w:val="Subtitle"/>
    <w:basedOn w:val="Normal"/>
    <w:link w:val="SubtitleChar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NoSpacing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Normal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SubtitleChar">
    <w:name w:val="Subtitle Char"/>
    <w:link w:val="Subtitle"/>
    <w:rsid w:val="00A47D62"/>
    <w:rPr>
      <w:sz w:val="28"/>
      <w:szCs w:val="24"/>
      <w:lang w:val="ru-RU" w:eastAsia="ru-RU" w:bidi="ar-SA"/>
    </w:rPr>
  </w:style>
  <w:style w:type="table" w:styleId="TableGrid">
    <w:name w:val="Table Grid"/>
    <w:basedOn w:val="TableNormal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qFormat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Normal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Normal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BodyTextIndent2">
    <w:name w:val="Body Text Indent 2"/>
    <w:basedOn w:val="Normal"/>
    <w:link w:val="BodyTextIndent2Char"/>
    <w:rsid w:val="001763DE"/>
    <w:pPr>
      <w:spacing w:after="120" w:line="480" w:lineRule="auto"/>
      <w:ind w:left="283"/>
    </w:pPr>
  </w:style>
  <w:style w:type="character" w:styleId="Hyperlink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">
    <w:name w:val="Знак Знак Знак"/>
    <w:basedOn w:val="Normal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ListParagraph">
    <w:name w:val="List Paragraph"/>
    <w:aliases w:val="маркированный,Абзац списка2,Citation List,Heading1,Colorful List - Accent 11,N_List Paragraph,Bullet Number,List Paragraph (numbered (a)),Use Case List Paragraph,NUMBERED PARAGRAPH,List Paragraph 1,strich,2nd Tier Header,без абзаца,Абзац"/>
    <w:basedOn w:val="Normal"/>
    <w:link w:val="ListParagraphChar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ageNumber">
    <w:name w:val="page number"/>
    <w:basedOn w:val="DefaultParagraphFont"/>
    <w:rsid w:val="00BE78CA"/>
  </w:style>
  <w:style w:type="character" w:styleId="Strong">
    <w:name w:val="Strong"/>
    <w:uiPriority w:val="22"/>
    <w:qFormat/>
    <w:rsid w:val="007111E8"/>
    <w:rPr>
      <w:b/>
      <w:bCs/>
    </w:rPr>
  </w:style>
  <w:style w:type="paragraph" w:styleId="Footer">
    <w:name w:val="footer"/>
    <w:basedOn w:val="Normal"/>
    <w:link w:val="FooterChar"/>
    <w:qFormat/>
    <w:rsid w:val="004726F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4726FE"/>
  </w:style>
  <w:style w:type="paragraph" w:customStyle="1" w:styleId="2">
    <w:name w:val="Знак_2"/>
    <w:basedOn w:val="Normal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Normal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0">
    <w:name w:val="Знак"/>
    <w:basedOn w:val="Normal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55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5A9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nhideWhenUsed/>
    <w:rsid w:val="007955A9"/>
  </w:style>
  <w:style w:type="character" w:customStyle="1" w:styleId="CommentTextChar">
    <w:name w:val="Comment Text Char"/>
    <w:basedOn w:val="DefaultParagraphFont"/>
    <w:link w:val="CommentText"/>
    <w:rsid w:val="007955A9"/>
  </w:style>
  <w:style w:type="character" w:customStyle="1" w:styleId="Heading3Char">
    <w:name w:val="Heading 3 Char"/>
    <w:basedOn w:val="DefaultParagraphFont"/>
    <w:link w:val="Heading3"/>
    <w:uiPriority w:val="9"/>
    <w:rsid w:val="00F22D3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3238F4"/>
    <w:rPr>
      <w:rFonts w:ascii="Tahoma" w:hAnsi="Tahoma"/>
      <w:b/>
      <w:bCs/>
      <w:color w:val="627A50"/>
      <w:kern w:val="36"/>
      <w:sz w:val="24"/>
      <w:szCs w:val="24"/>
      <w:lang w:val="x-none" w:eastAsia="x-none"/>
    </w:rPr>
  </w:style>
  <w:style w:type="numbering" w:customStyle="1" w:styleId="NoList1">
    <w:name w:val="No List1"/>
    <w:next w:val="NoList"/>
    <w:uiPriority w:val="99"/>
    <w:semiHidden/>
    <w:unhideWhenUsed/>
    <w:rsid w:val="003238F4"/>
  </w:style>
  <w:style w:type="paragraph" w:styleId="FootnoteText">
    <w:name w:val="footnote text"/>
    <w:basedOn w:val="Normal"/>
    <w:link w:val="FootnoteTextChar"/>
    <w:unhideWhenUsed/>
    <w:rsid w:val="003238F4"/>
    <w:pPr>
      <w:overflowPunct/>
      <w:autoSpaceDE/>
      <w:autoSpaceDN/>
      <w:adjustRightInd/>
    </w:pPr>
  </w:style>
  <w:style w:type="character" w:customStyle="1" w:styleId="FootnoteTextChar">
    <w:name w:val="Footnote Text Char"/>
    <w:basedOn w:val="DefaultParagraphFont"/>
    <w:link w:val="FootnoteText"/>
    <w:rsid w:val="003238F4"/>
  </w:style>
  <w:style w:type="character" w:styleId="FootnoteReference">
    <w:name w:val="footnote reference"/>
    <w:uiPriority w:val="99"/>
    <w:semiHidden/>
    <w:unhideWhenUsed/>
    <w:rsid w:val="003238F4"/>
    <w:rPr>
      <w:vertAlign w:val="superscript"/>
    </w:rPr>
  </w:style>
  <w:style w:type="character" w:customStyle="1" w:styleId="HeaderChar">
    <w:name w:val="Header Char"/>
    <w:link w:val="Header"/>
    <w:uiPriority w:val="99"/>
    <w:rsid w:val="003238F4"/>
    <w:rPr>
      <w:sz w:val="24"/>
      <w:szCs w:val="24"/>
      <w:lang w:eastAsia="ar-SA"/>
    </w:rPr>
  </w:style>
  <w:style w:type="paragraph" w:customStyle="1" w:styleId="11">
    <w:name w:val="Знак Знак Знак1 Знак Знак Знак Знак Знак Знак"/>
    <w:basedOn w:val="Normal"/>
    <w:next w:val="Heading2"/>
    <w:autoRedefine/>
    <w:rsid w:val="003238F4"/>
    <w:pPr>
      <w:overflowPunct/>
      <w:autoSpaceDE/>
      <w:autoSpaceDN/>
      <w:adjustRightInd/>
      <w:spacing w:after="160"/>
      <w:ind w:firstLine="720"/>
      <w:jc w:val="both"/>
    </w:pPr>
    <w:rPr>
      <w:sz w:val="28"/>
      <w:szCs w:val="28"/>
      <w:lang w:val="en-US" w:eastAsia="en-US"/>
    </w:rPr>
  </w:style>
  <w:style w:type="character" w:customStyle="1" w:styleId="Heading2Char">
    <w:name w:val="Heading 2 Char"/>
    <w:link w:val="Heading2"/>
    <w:rsid w:val="003238F4"/>
    <w:rPr>
      <w:rFonts w:ascii="Times/Kazakh" w:hAnsi="Times/Kazakh"/>
      <w:b/>
      <w:sz w:val="26"/>
      <w:lang w:eastAsia="ko-KR"/>
    </w:rPr>
  </w:style>
  <w:style w:type="character" w:customStyle="1" w:styleId="ListParagraphChar">
    <w:name w:val="List Paragraph Char"/>
    <w:aliases w:val="маркированный Char,Абзац списка2 Char,Citation List Char,Heading1 Char,Colorful List - Accent 11 Char,N_List Paragraph Char,Bullet Number Char,List Paragraph (numbered (a)) Char,Use Case List Paragraph Char,NUMBERED PARAGRAPH Char"/>
    <w:link w:val="ListParagraph"/>
    <w:uiPriority w:val="34"/>
    <w:qFormat/>
    <w:rsid w:val="003238F4"/>
    <w:rPr>
      <w:rFonts w:ascii="Calibri" w:eastAsia="Calibri" w:hAnsi="Calibri"/>
      <w:sz w:val="22"/>
      <w:szCs w:val="22"/>
      <w:lang w:eastAsia="en-US"/>
    </w:rPr>
  </w:style>
  <w:style w:type="table" w:customStyle="1" w:styleId="110">
    <w:name w:val="Сетка таблицы11"/>
    <w:basedOn w:val="TableNormal"/>
    <w:next w:val="TableGrid"/>
    <w:uiPriority w:val="39"/>
    <w:rsid w:val="003238F4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TableNormal"/>
    <w:next w:val="TableGrid"/>
    <w:uiPriority w:val="39"/>
    <w:rsid w:val="003238F4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3238F4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TableNormal"/>
    <w:next w:val="TableGrid"/>
    <w:uiPriority w:val="39"/>
    <w:rsid w:val="003238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">
    <w:name w:val="pr"/>
    <w:basedOn w:val="Normal"/>
    <w:rsid w:val="003238F4"/>
    <w:pPr>
      <w:overflowPunct/>
      <w:autoSpaceDE/>
      <w:autoSpaceDN/>
      <w:adjustRightInd/>
      <w:jc w:val="right"/>
    </w:pPr>
    <w:rPr>
      <w:color w:val="000000"/>
      <w:sz w:val="24"/>
      <w:szCs w:val="24"/>
      <w:lang w:val="en-US" w:eastAsia="en-US"/>
    </w:rPr>
  </w:style>
  <w:style w:type="character" w:customStyle="1" w:styleId="s2">
    <w:name w:val="s2"/>
    <w:basedOn w:val="DefaultParagraphFont"/>
    <w:rsid w:val="003238F4"/>
    <w:rPr>
      <w:color w:val="000080"/>
    </w:rPr>
  </w:style>
  <w:style w:type="paragraph" w:customStyle="1" w:styleId="pc">
    <w:name w:val="pc"/>
    <w:basedOn w:val="Normal"/>
    <w:rsid w:val="003238F4"/>
    <w:pPr>
      <w:overflowPunct/>
      <w:autoSpaceDE/>
      <w:autoSpaceDN/>
      <w:adjustRightInd/>
      <w:jc w:val="center"/>
    </w:pPr>
    <w:rPr>
      <w:color w:val="000000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unhideWhenUsed/>
    <w:rsid w:val="003238F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238F4"/>
    <w:pPr>
      <w:overflowPunct/>
      <w:autoSpaceDE/>
      <w:autoSpaceDN/>
      <w:adjustRightInd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238F4"/>
    <w:rPr>
      <w:b/>
      <w:bCs/>
    </w:rPr>
  </w:style>
  <w:style w:type="numbering" w:customStyle="1" w:styleId="NoList11">
    <w:name w:val="No List11"/>
    <w:next w:val="NoList"/>
    <w:uiPriority w:val="99"/>
    <w:semiHidden/>
    <w:unhideWhenUsed/>
    <w:rsid w:val="003238F4"/>
  </w:style>
  <w:style w:type="character" w:styleId="FollowedHyperlink">
    <w:name w:val="FollowedHyperlink"/>
    <w:rsid w:val="003238F4"/>
    <w:rPr>
      <w:color w:val="800080"/>
      <w:u w:val="single"/>
    </w:rPr>
  </w:style>
  <w:style w:type="paragraph" w:styleId="HTMLPreformatted">
    <w:name w:val="HTML Preformatted"/>
    <w:basedOn w:val="Normal"/>
    <w:link w:val="HTMLPreformattedChar"/>
    <w:rsid w:val="003238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/>
      <w:color w:val="000000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rsid w:val="003238F4"/>
    <w:rPr>
      <w:rFonts w:ascii="Courier New" w:hAnsi="Courier New"/>
      <w:color w:val="000000"/>
      <w:lang w:val="x-none" w:eastAsia="x-none"/>
    </w:rPr>
  </w:style>
  <w:style w:type="paragraph" w:customStyle="1" w:styleId="s8">
    <w:name w:val="s8"/>
    <w:basedOn w:val="Normal"/>
    <w:rsid w:val="003238F4"/>
    <w:pPr>
      <w:overflowPunct/>
      <w:autoSpaceDE/>
      <w:autoSpaceDN/>
      <w:adjustRightInd/>
    </w:pPr>
    <w:rPr>
      <w:i/>
      <w:iCs/>
      <w:vanish/>
      <w:color w:val="FF0000"/>
    </w:rPr>
  </w:style>
  <w:style w:type="character" w:customStyle="1" w:styleId="s3">
    <w:name w:val="s3"/>
    <w:rsid w:val="003238F4"/>
    <w:rPr>
      <w:rFonts w:ascii="Times New Roman" w:hAnsi="Times New Roman" w:cs="Times New Roman" w:hint="default"/>
      <w:b w:val="0"/>
      <w:bCs w:val="0"/>
      <w:i/>
      <w:iCs/>
      <w:strike w:val="0"/>
      <w:dstrike w:val="0"/>
      <w:vanish/>
      <w:webHidden w:val="0"/>
      <w:color w:val="FF0000"/>
      <w:sz w:val="20"/>
      <w:szCs w:val="20"/>
      <w:u w:val="none"/>
      <w:effect w:val="none"/>
      <w:specVanish w:val="0"/>
    </w:rPr>
  </w:style>
  <w:style w:type="character" w:customStyle="1" w:styleId="s6">
    <w:name w:val="s6"/>
    <w:rsid w:val="003238F4"/>
    <w:rPr>
      <w:rFonts w:ascii="Times New Roman" w:hAnsi="Times New Roman" w:cs="Times New Roman" w:hint="default"/>
      <w:b w:val="0"/>
      <w:bCs w:val="0"/>
      <w:i w:val="0"/>
      <w:iCs w:val="0"/>
      <w:strike/>
      <w:color w:val="808000"/>
      <w:sz w:val="20"/>
      <w:szCs w:val="20"/>
    </w:rPr>
  </w:style>
  <w:style w:type="character" w:customStyle="1" w:styleId="s7">
    <w:name w:val="s7"/>
    <w:rsid w:val="003238F4"/>
    <w:rPr>
      <w:rFonts w:ascii="Courier New" w:hAnsi="Courier New" w:cs="Courier New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s9">
    <w:name w:val="s9"/>
    <w:rsid w:val="003238F4"/>
    <w:rPr>
      <w:i/>
      <w:iCs/>
      <w:vanish/>
      <w:webHidden w:val="0"/>
      <w:color w:val="333399"/>
      <w:u w:val="single"/>
      <w:bdr w:val="none" w:sz="0" w:space="0" w:color="auto" w:frame="1"/>
      <w:specVanish w:val="0"/>
    </w:rPr>
  </w:style>
  <w:style w:type="character" w:customStyle="1" w:styleId="s10">
    <w:name w:val="s10"/>
    <w:rsid w:val="003238F4"/>
    <w:rPr>
      <w:strike/>
      <w:color w:val="333399"/>
      <w:u w:val="single"/>
      <w:bdr w:val="none" w:sz="0" w:space="0" w:color="auto" w:frame="1"/>
    </w:rPr>
  </w:style>
  <w:style w:type="character" w:customStyle="1" w:styleId="s11">
    <w:name w:val="s11"/>
    <w:rsid w:val="003238F4"/>
    <w:rPr>
      <w:rFonts w:ascii="Courier New" w:hAnsi="Courier New" w:cs="Courier New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s12">
    <w:name w:val="s12"/>
    <w:rsid w:val="003238F4"/>
    <w:rPr>
      <w:rFonts w:ascii="Courier New" w:hAnsi="Courier New" w:cs="Courier New" w:hint="default"/>
      <w:b/>
      <w:bCs/>
      <w:i w:val="0"/>
      <w:iCs w:val="0"/>
      <w:strike w:val="0"/>
      <w:dstrike w:val="0"/>
      <w:color w:val="000080"/>
      <w:sz w:val="20"/>
      <w:szCs w:val="20"/>
      <w:u w:val="none"/>
      <w:effect w:val="none"/>
    </w:rPr>
  </w:style>
  <w:style w:type="character" w:customStyle="1" w:styleId="s13">
    <w:name w:val="s13"/>
    <w:rsid w:val="003238F4"/>
    <w:rPr>
      <w:rFonts w:ascii="Courier New" w:hAnsi="Courier New" w:cs="Courier New" w:hint="default"/>
      <w:b w:val="0"/>
      <w:bCs w:val="0"/>
      <w:i/>
      <w:iCs/>
      <w:strike w:val="0"/>
      <w:dstrike w:val="0"/>
      <w:vanish/>
      <w:webHidden w:val="0"/>
      <w:color w:val="FF0000"/>
      <w:sz w:val="20"/>
      <w:szCs w:val="20"/>
      <w:u w:val="none"/>
      <w:effect w:val="none"/>
      <w:specVanish w:val="0"/>
    </w:rPr>
  </w:style>
  <w:style w:type="character" w:customStyle="1" w:styleId="s14">
    <w:name w:val="s14"/>
    <w:rsid w:val="003238F4"/>
    <w:rPr>
      <w:rFonts w:ascii="Courier New" w:hAnsi="Courier New" w:cs="Courier New" w:hint="default"/>
      <w:b w:val="0"/>
      <w:bCs w:val="0"/>
      <w:i w:val="0"/>
      <w:iCs w:val="0"/>
      <w:strike/>
      <w:color w:val="808000"/>
      <w:sz w:val="20"/>
      <w:szCs w:val="20"/>
    </w:rPr>
  </w:style>
  <w:style w:type="character" w:customStyle="1" w:styleId="s15">
    <w:name w:val="s15"/>
    <w:rsid w:val="003238F4"/>
    <w:rPr>
      <w:rFonts w:ascii="Courier New" w:hAnsi="Courier New" w:cs="Courier New" w:hint="default"/>
      <w:color w:val="333399"/>
      <w:u w:val="single"/>
      <w:bdr w:val="none" w:sz="0" w:space="0" w:color="auto" w:frame="1"/>
    </w:rPr>
  </w:style>
  <w:style w:type="character" w:customStyle="1" w:styleId="s5">
    <w:name w:val="s5"/>
    <w:rsid w:val="003238F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808080"/>
      <w:sz w:val="20"/>
      <w:szCs w:val="20"/>
      <w:u w:val="none"/>
      <w:effect w:val="none"/>
    </w:rPr>
  </w:style>
  <w:style w:type="paragraph" w:styleId="BodyText">
    <w:name w:val="Body Text"/>
    <w:basedOn w:val="Normal"/>
    <w:link w:val="BodyTextChar"/>
    <w:rsid w:val="003238F4"/>
    <w:pPr>
      <w:overflowPunct/>
      <w:autoSpaceDE/>
      <w:autoSpaceDN/>
      <w:adjustRightInd/>
    </w:pPr>
    <w:rPr>
      <w:sz w:val="24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3238F4"/>
    <w:rPr>
      <w:sz w:val="24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rsid w:val="003238F4"/>
    <w:rPr>
      <w:sz w:val="24"/>
      <w:szCs w:val="24"/>
      <w:lang w:val="kk-KZ"/>
    </w:rPr>
  </w:style>
  <w:style w:type="character" w:customStyle="1" w:styleId="BodyTextIndent2Char">
    <w:name w:val="Body Text Indent 2 Char"/>
    <w:basedOn w:val="DefaultParagraphFont"/>
    <w:link w:val="BodyTextIndent2"/>
    <w:rsid w:val="003238F4"/>
  </w:style>
  <w:style w:type="paragraph" w:customStyle="1" w:styleId="14">
    <w:name w:val="Стиль1"/>
    <w:basedOn w:val="Normal"/>
    <w:rsid w:val="003238F4"/>
    <w:pPr>
      <w:widowControl w:val="0"/>
      <w:overflowPunct/>
      <w:autoSpaceDE/>
      <w:autoSpaceDN/>
      <w:adjustRightInd/>
      <w:jc w:val="both"/>
    </w:pPr>
    <w:rPr>
      <w:snapToGrid w:val="0"/>
      <w:sz w:val="28"/>
      <w:szCs w:val="24"/>
    </w:rPr>
  </w:style>
  <w:style w:type="character" w:customStyle="1" w:styleId="apple-converted-space">
    <w:name w:val="apple-converted-space"/>
    <w:basedOn w:val="DefaultParagraphFont"/>
    <w:rsid w:val="003238F4"/>
  </w:style>
  <w:style w:type="paragraph" w:customStyle="1" w:styleId="120">
    <w:name w:val="Знак Знак Знак1 Знак Знак Знак Знак Знак Знак2"/>
    <w:basedOn w:val="Normal"/>
    <w:next w:val="Heading2"/>
    <w:autoRedefine/>
    <w:rsid w:val="003238F4"/>
    <w:pPr>
      <w:overflowPunct/>
      <w:autoSpaceDE/>
      <w:autoSpaceDN/>
      <w:adjustRightInd/>
      <w:spacing w:after="160"/>
      <w:ind w:firstLine="720"/>
      <w:jc w:val="both"/>
    </w:pPr>
    <w:rPr>
      <w:sz w:val="28"/>
      <w:szCs w:val="28"/>
      <w:lang w:val="en-US" w:eastAsia="en-US"/>
    </w:rPr>
  </w:style>
  <w:style w:type="paragraph" w:styleId="Revision">
    <w:name w:val="Revision"/>
    <w:hidden/>
    <w:uiPriority w:val="99"/>
    <w:semiHidden/>
    <w:rsid w:val="003238F4"/>
    <w:rPr>
      <w:rFonts w:eastAsia="Calibri"/>
      <w:sz w:val="24"/>
      <w:szCs w:val="22"/>
      <w:lang w:eastAsia="en-US"/>
    </w:rPr>
  </w:style>
  <w:style w:type="character" w:customStyle="1" w:styleId="s21">
    <w:name w:val="s21"/>
    <w:rsid w:val="003238F4"/>
  </w:style>
  <w:style w:type="paragraph" w:customStyle="1" w:styleId="111">
    <w:name w:val="Знак Знак Знак1 Знак Знак Знак Знак Знак Знак1"/>
    <w:basedOn w:val="Normal"/>
    <w:next w:val="Heading2"/>
    <w:autoRedefine/>
    <w:rsid w:val="003238F4"/>
    <w:pPr>
      <w:overflowPunct/>
      <w:autoSpaceDE/>
      <w:autoSpaceDN/>
      <w:adjustRightInd/>
      <w:spacing w:after="160"/>
      <w:ind w:firstLine="720"/>
      <w:jc w:val="both"/>
    </w:pPr>
    <w:rPr>
      <w:sz w:val="28"/>
      <w:szCs w:val="28"/>
      <w:lang w:val="en-US" w:eastAsia="en-US"/>
    </w:rPr>
  </w:style>
  <w:style w:type="character" w:customStyle="1" w:styleId="tlid-translation">
    <w:name w:val="tlid-translation"/>
    <w:rsid w:val="003238F4"/>
  </w:style>
  <w:style w:type="paragraph" w:customStyle="1" w:styleId="pj">
    <w:name w:val="pj"/>
    <w:basedOn w:val="Normal"/>
    <w:rsid w:val="003238F4"/>
    <w:pPr>
      <w:overflowPunct/>
      <w:autoSpaceDE/>
      <w:autoSpaceDN/>
      <w:adjustRightInd/>
      <w:ind w:firstLine="400"/>
      <w:jc w:val="both"/>
    </w:pPr>
    <w:rPr>
      <w:color w:val="000000"/>
      <w:sz w:val="24"/>
      <w:szCs w:val="24"/>
    </w:rPr>
  </w:style>
  <w:style w:type="character" w:customStyle="1" w:styleId="s20">
    <w:name w:val="s20"/>
    <w:rsid w:val="003238F4"/>
  </w:style>
  <w:style w:type="table" w:customStyle="1" w:styleId="TableGridLight1">
    <w:name w:val="Table Grid Light1"/>
    <w:basedOn w:val="TableNormal"/>
    <w:next w:val="TableGridLight"/>
    <w:uiPriority w:val="40"/>
    <w:rsid w:val="003238F4"/>
    <w:rPr>
      <w:rFonts w:eastAsia="Calibri"/>
      <w:lang w:val="en-GB" w:eastAsia="en-GB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Light2">
    <w:name w:val="Table Grid Light2"/>
    <w:basedOn w:val="TableNormal"/>
    <w:next w:val="TableGridLight"/>
    <w:uiPriority w:val="40"/>
    <w:rsid w:val="003238F4"/>
    <w:rPr>
      <w:rFonts w:eastAsia="Calibri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GridLight">
    <w:name w:val="Grid Table Light"/>
    <w:basedOn w:val="TableNormal"/>
    <w:uiPriority w:val="40"/>
    <w:rsid w:val="003238F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Grid2">
    <w:name w:val="Table Grid2"/>
    <w:basedOn w:val="TableNormal"/>
    <w:next w:val="TableGrid"/>
    <w:uiPriority w:val="59"/>
    <w:rsid w:val="003238F4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5976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8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1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50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1453</Words>
  <Characters>8285</Characters>
  <Application>Microsoft Office Word</Application>
  <DocSecurity>0</DocSecurity>
  <Lines>69</Lines>
  <Paragraphs>19</Paragraphs>
  <ScaleCrop>false</ScaleCrop>
  <Company>АО НИТ</Company>
  <LinksUpToDate>false</LinksUpToDate>
  <CharactersWithSpaces>9719</CharactersWithSpaces>
  <SharedDoc>false</SharedDoc>
  <HyperlinksChanged>false</HyperlinksChanged>
  <AppVersion>16.0000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2024-11-05T10:36:00Z</dcterms:created>
  <dc:creator>user</dc:creator>
  <lastModifiedBy>ETS_DMO</lastModifiedBy>
  <dcterms:modified xsi:type="dcterms:W3CDTF">2026-01-19T11:38:00Z</dcterms:modified>
  <revision>7</revision>
  <dc:title>ЌАЗАЌСТАН</dc:title>
</coreProperties>
</file>

<file path=customXml/item3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2782</CharactersWithSpaces>
  <SharedDoc>false</SharedDoc>
  <HyperlinksChanged>false</HyperlinksChanged>
  <AppVersion>16.0000</AppVersion>
</Properties>
</file>

<file path=customXml/item4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2024-11-05T10:36:00Z</dcterms:created>
  <dc:creator>user</dc:creator>
  <lastModifiedBy>ETS_DMO</lastModifiedBy>
  <dcterms:modified xsi:type="dcterms:W3CDTF">2024-11-05T10:51:00Z</dcterms:modified>
  <revision>5</revision>
  <dc:title>ЌАЗАЌСТАН</dc:title>
</coreProperties>
</file>

<file path=customXml/itemProps1.xml><?xml version="1.0" encoding="utf-8"?>
<ds:datastoreItem xmlns:ds="http://schemas.openxmlformats.org/officeDocument/2006/customXml" ds:itemID="{D3A6BC4F-4409-471F-BEBE-B19DE536740A}">
  <ds:schemaRefs/>
</ds:datastoreItem>
</file>

<file path=customXml/itemProps2.xml><?xml version="1.0" encoding="utf-8"?>
<ds:datastoreItem xmlns:ds="http://schemas.openxmlformats.org/officeDocument/2006/customXml" ds:itemID="{32803710-0645-4FCD-BD27-51A845B2EC9B}">
  <ds:schemaRefs/>
</ds:datastoreItem>
</file>

<file path=customXml/itemProps3.xml><?xml version="1.0" encoding="utf-8"?>
<ds:datastoreItem xmlns:ds="http://schemas.openxmlformats.org/officeDocument/2006/customXml" ds:itemID="{2F4136BA-CB28-4553-9F01-6DA475A95872}">
  <ds:schemaRefs/>
</ds:datastoreItem>
</file>

<file path=customXml/itemProps4.xml><?xml version="1.0" encoding="utf-8"?>
<ds:datastoreItem xmlns:ds="http://schemas.openxmlformats.org/officeDocument/2006/customXml" ds:itemID="{B263EB1B-9D40-43F6-B3BC-E83245D0A36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43</Pages>
  <Words>10519</Words>
  <Characters>59964</Characters>
  <Application>Microsoft Office Word</Application>
  <DocSecurity>0</DocSecurity>
  <Lines>499</Lines>
  <Paragraphs>140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70343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Жандосай Бакыт</cp:lastModifiedBy>
  <cp:revision>41</cp:revision>
  <dcterms:created xsi:type="dcterms:W3CDTF">2024-11-05T10:36:00Z</dcterms:created>
  <dcterms:modified xsi:type="dcterms:W3CDTF">2026-07-10T09:50:00Z</dcterms:modified>
</cp:coreProperties>
</file>