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10141" w:type="dxa"/>
        <w:tblLayout w:type="fixed"/>
        <w:tblLook w:val="01E0" w:firstRow="1" w:lastRow="1" w:firstColumn="1" w:lastColumn="1" w:noHBand="0" w:noVBand="0"/>
      </w:tblPr>
      <w:tblGrid>
        <w:gridCol w:w="4442"/>
        <w:gridCol w:w="1473"/>
        <w:gridCol w:w="4226"/>
      </w:tblGrid>
      <w:tr w:rsidR="007363F7" w:rsidRPr="00BB2651" w14:paraId="6FF28E3B" w14:textId="77777777" w:rsidTr="00EA0832">
        <w:trPr>
          <w:trHeight w:val="1459"/>
        </w:trPr>
        <w:tc>
          <w:tcPr>
            <w:tcW w:w="4442" w:type="dxa"/>
            <w:shd w:val="clear" w:color="auto" w:fill="auto"/>
            <w:vAlign w:val="center"/>
          </w:tcPr>
          <w:p w14:paraId="57706E05" w14:textId="1070CAB2" w:rsidR="007363F7" w:rsidRPr="000D349C" w:rsidRDefault="007363F7" w:rsidP="000D349C">
            <w:pPr>
              <w:pStyle w:val="Header"/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</w:pP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Қазақстан Республикасы Әділет министрлігінде 202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6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 жылғы 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23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.06.202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6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ж. № 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39035</w:t>
            </w:r>
            <w:r w:rsidRPr="007363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  тіркелді</w:t>
            </w:r>
          </w:p>
        </w:tc>
        <w:tc>
          <w:tcPr>
            <w:tcW w:w="1473" w:type="dxa"/>
            <w:shd w:val="clear" w:color="auto" w:fill="auto"/>
          </w:tcPr>
          <w:p w14:paraId="0F39AC22" w14:textId="77777777" w:rsidR="007363F7" w:rsidRPr="00BB2651" w:rsidRDefault="007363F7" w:rsidP="00EA0832">
            <w:pPr>
              <w:tabs>
                <w:tab w:val="left" w:pos="708"/>
              </w:tabs>
              <w:spacing w:line="22" w:lineRule="atLeast"/>
              <w:contextualSpacing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14:paraId="328D408F" w14:textId="77777777" w:rsidR="007363F7" w:rsidRPr="00BB2651" w:rsidRDefault="007363F7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7F6D" w:rsidRPr="00BB2651" w14:paraId="490D15B7" w14:textId="77777777" w:rsidTr="00EA0832">
        <w:trPr>
          <w:trHeight w:val="1459"/>
        </w:trPr>
        <w:tc>
          <w:tcPr>
            <w:tcW w:w="4442" w:type="dxa"/>
            <w:shd w:val="clear" w:color="auto" w:fill="auto"/>
            <w:vAlign w:val="center"/>
          </w:tcPr>
          <w:p w14:paraId="72FBFBAD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</w:t>
            </w:r>
          </w:p>
          <w:p w14:paraId="47F31AB3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РЕСПУБЛИКАСЫНЫҢ</w:t>
            </w:r>
          </w:p>
          <w:p w14:paraId="545432CC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473" w:type="dxa"/>
            <w:shd w:val="clear" w:color="auto" w:fill="auto"/>
          </w:tcPr>
          <w:p w14:paraId="3D2D99EC" w14:textId="77777777" w:rsidR="00A07F6D" w:rsidRPr="00BB2651" w:rsidRDefault="00A07F6D" w:rsidP="00EA0832">
            <w:pPr>
              <w:tabs>
                <w:tab w:val="left" w:pos="708"/>
              </w:tabs>
              <w:spacing w:line="22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31968" behindDoc="1" locked="0" layoutInCell="1" allowOverlap="1" wp14:anchorId="044A3A49" wp14:editId="2EAAB1F3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1976B619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НАЦИОНАЛЬНЫЙ БАНК</w:t>
            </w:r>
          </w:p>
          <w:p w14:paraId="7A349BDE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</w:t>
            </w:r>
          </w:p>
          <w:p w14:paraId="4F4C9C18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КАЗАХСТАН</w:t>
            </w:r>
          </w:p>
        </w:tc>
      </w:tr>
      <w:tr w:rsidR="00A07F6D" w:rsidRPr="00BB2651" w14:paraId="0FA9A1FD" w14:textId="77777777" w:rsidTr="00EA0832">
        <w:trPr>
          <w:trHeight w:val="853"/>
        </w:trPr>
        <w:tc>
          <w:tcPr>
            <w:tcW w:w="4442" w:type="dxa"/>
            <w:shd w:val="clear" w:color="auto" w:fill="auto"/>
            <w:vAlign w:val="center"/>
          </w:tcPr>
          <w:p w14:paraId="1606F4E2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БАСҚАРМАСЫНЫҢ</w:t>
            </w:r>
          </w:p>
          <w:p w14:paraId="23ED4F0E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1FE9477" w14:textId="77777777" w:rsidR="00A07F6D" w:rsidRPr="00BB2651" w:rsidRDefault="00A07F6D" w:rsidP="00EA0832">
            <w:pPr>
              <w:tabs>
                <w:tab w:val="left" w:pos="715"/>
              </w:tabs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14:paraId="7E9284E6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14:paraId="56016C6E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65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ПРАВЛЕНИЯ</w:t>
            </w:r>
          </w:p>
        </w:tc>
      </w:tr>
      <w:tr w:rsidR="00A07F6D" w:rsidRPr="00BB2651" w14:paraId="27F6DF10" w14:textId="77777777" w:rsidTr="00EA0832">
        <w:trPr>
          <w:trHeight w:val="761"/>
        </w:trPr>
        <w:tc>
          <w:tcPr>
            <w:tcW w:w="4442" w:type="dxa"/>
            <w:shd w:val="clear" w:color="auto" w:fill="auto"/>
          </w:tcPr>
          <w:p w14:paraId="79B81B35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  <w:lang w:val="kk-KZ"/>
              </w:rPr>
            </w:pPr>
          </w:p>
          <w:p w14:paraId="26F8B837" w14:textId="77777777" w:rsidR="005B73B7" w:rsidRPr="00BB2651" w:rsidRDefault="005B73B7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EBFE87A" w14:textId="56A85BE1" w:rsidR="00A07F6D" w:rsidRPr="00BB2651" w:rsidRDefault="008D0300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2651">
              <w:rPr>
                <w:rFonts w:ascii="Times New Roman" w:hAnsi="Times New Roman" w:cs="Times New Roman"/>
                <w:lang w:val="kk-KZ"/>
              </w:rPr>
              <w:t xml:space="preserve">2026 жылғы </w:t>
            </w:r>
            <w:r w:rsidR="001E43FE">
              <w:rPr>
                <w:rFonts w:ascii="Times New Roman" w:hAnsi="Times New Roman" w:cs="Times New Roman"/>
                <w:lang w:val="kk-KZ"/>
              </w:rPr>
              <w:t>22 маусым</w:t>
            </w:r>
            <w:r w:rsidR="00AF73CA" w:rsidRPr="00BB265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57B0C56" w14:textId="77777777" w:rsidR="0061708D" w:rsidRDefault="0061708D" w:rsidP="00EA0832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34669A3" w14:textId="590E5260" w:rsidR="00A07F6D" w:rsidRPr="00BB2651" w:rsidRDefault="00A07F6D" w:rsidP="00EA0832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BB2651">
              <w:rPr>
                <w:rFonts w:ascii="Times New Roman" w:hAnsi="Times New Roman" w:cs="Times New Roman"/>
                <w:lang w:val="kk-KZ"/>
              </w:rPr>
              <w:t>Астана қаласы</w:t>
            </w:r>
          </w:p>
        </w:tc>
        <w:tc>
          <w:tcPr>
            <w:tcW w:w="1473" w:type="dxa"/>
            <w:shd w:val="clear" w:color="auto" w:fill="auto"/>
          </w:tcPr>
          <w:p w14:paraId="0F4F597A" w14:textId="77777777" w:rsidR="00A07F6D" w:rsidRPr="00BB2651" w:rsidRDefault="00A07F6D" w:rsidP="00EA0832">
            <w:pPr>
              <w:tabs>
                <w:tab w:val="left" w:pos="5134"/>
              </w:tabs>
              <w:spacing w:line="22" w:lineRule="atLeast"/>
              <w:contextualSpacing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4226" w:type="dxa"/>
            <w:shd w:val="clear" w:color="auto" w:fill="auto"/>
          </w:tcPr>
          <w:p w14:paraId="722846D4" w14:textId="77777777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  <w:lang w:val="kk-KZ"/>
              </w:rPr>
            </w:pPr>
          </w:p>
          <w:p w14:paraId="0E3224FC" w14:textId="77777777" w:rsidR="005B73B7" w:rsidRPr="00BB2651" w:rsidRDefault="005B73B7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4C195AA" w14:textId="6F92CD7C" w:rsidR="00A07F6D" w:rsidRPr="00BB2651" w:rsidRDefault="00A07F6D" w:rsidP="00EA0832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2651">
              <w:rPr>
                <w:rFonts w:ascii="Times New Roman" w:hAnsi="Times New Roman" w:cs="Times New Roman"/>
                <w:lang w:val="kk-KZ"/>
              </w:rPr>
              <w:t>№</w:t>
            </w:r>
            <w:r w:rsidRPr="00BB265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313E9">
              <w:rPr>
                <w:rFonts w:ascii="Times New Roman" w:hAnsi="Times New Roman" w:cs="Times New Roman"/>
                <w:lang w:val="kk-KZ"/>
              </w:rPr>
              <w:t>65</w:t>
            </w:r>
          </w:p>
          <w:p w14:paraId="581E49D0" w14:textId="77777777" w:rsidR="0061708D" w:rsidRDefault="0061708D" w:rsidP="00EA0832">
            <w:pPr>
              <w:spacing w:line="22" w:lineRule="atLeast"/>
              <w:contextualSpacing/>
              <w:jc w:val="center"/>
              <w:outlineLvl w:val="0"/>
              <w:rPr>
                <w:rFonts w:ascii="Times New Roman" w:hAnsi="Times New Roman" w:cs="Times New Roman"/>
                <w:lang w:val="kk-KZ"/>
              </w:rPr>
            </w:pPr>
          </w:p>
          <w:p w14:paraId="0197647E" w14:textId="2DC7769E" w:rsidR="00A07F6D" w:rsidRPr="00BB2651" w:rsidRDefault="00A07F6D" w:rsidP="00EA0832">
            <w:pPr>
              <w:spacing w:line="22" w:lineRule="atLeast"/>
              <w:contextualSpacing/>
              <w:jc w:val="center"/>
              <w:outlineLvl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B2651">
              <w:rPr>
                <w:rFonts w:ascii="Times New Roman" w:hAnsi="Times New Roman" w:cs="Times New Roman"/>
                <w:lang w:val="kk-KZ"/>
              </w:rPr>
              <w:t>город</w:t>
            </w:r>
            <w:proofErr w:type="spellEnd"/>
            <w:r w:rsidRPr="00BB2651">
              <w:rPr>
                <w:rFonts w:ascii="Times New Roman" w:hAnsi="Times New Roman" w:cs="Times New Roman"/>
                <w:lang w:val="kk-KZ"/>
              </w:rPr>
              <w:t xml:space="preserve"> Астана</w:t>
            </w:r>
          </w:p>
        </w:tc>
      </w:tr>
    </w:tbl>
    <w:p w14:paraId="44D81F83" w14:textId="01CB4842" w:rsidR="00A07F6D" w:rsidRPr="00A9102E" w:rsidRDefault="00A07F6D" w:rsidP="00B30306">
      <w:pPr>
        <w:pStyle w:val="ListParagraph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32"/>
          <w:szCs w:val="14"/>
        </w:rPr>
      </w:pPr>
    </w:p>
    <w:p w14:paraId="6E9FB496" w14:textId="77777777" w:rsidR="00EA0832" w:rsidRPr="00BB2651" w:rsidRDefault="00EA0832" w:rsidP="00B30306">
      <w:pPr>
        <w:pStyle w:val="ListParagraph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32"/>
          <w:szCs w:val="14"/>
          <w:lang w:val="kk-KZ"/>
        </w:rPr>
      </w:pPr>
    </w:p>
    <w:p w14:paraId="323DBA7F" w14:textId="77777777" w:rsidR="00A07F6D" w:rsidRPr="00BB2651" w:rsidRDefault="00A07F6D" w:rsidP="00514F74">
      <w:pPr>
        <w:pStyle w:val="ListParagraph"/>
        <w:tabs>
          <w:tab w:val="left" w:pos="993"/>
        </w:tabs>
        <w:spacing w:after="0" w:line="22" w:lineRule="atLeast"/>
        <w:ind w:left="0"/>
        <w:rPr>
          <w:rFonts w:ascii="Arial" w:hAnsi="Arial" w:cs="Arial"/>
          <w:b/>
          <w:i/>
          <w:sz w:val="16"/>
          <w:szCs w:val="14"/>
          <w:u w:val="single"/>
          <w:lang w:val="kk-KZ"/>
        </w:rPr>
      </w:pPr>
    </w:p>
    <w:p w14:paraId="5EC282DD" w14:textId="77777777" w:rsidR="00800C33" w:rsidRPr="00BB2651" w:rsidRDefault="00D07016" w:rsidP="000F2DA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</w:t>
      </w:r>
    </w:p>
    <w:p w14:paraId="25D5FF5C" w14:textId="790239E6" w:rsidR="009D5F47" w:rsidRPr="00BB2651" w:rsidRDefault="00D07016" w:rsidP="000F2DA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2012 жыл</w:t>
      </w:r>
      <w:r w:rsidR="00DF5C96"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ғы 24 тамыздағы № 242 қаулысына</w:t>
      </w:r>
    </w:p>
    <w:p w14:paraId="0FA84156" w14:textId="6EFAC7F5" w:rsidR="00D07016" w:rsidRPr="00BB2651" w:rsidRDefault="00D07016" w:rsidP="000F2DA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өзгерістер енгізу туралы</w:t>
      </w:r>
    </w:p>
    <w:p w14:paraId="02F93A34" w14:textId="77777777" w:rsidR="00D07016" w:rsidRPr="00BB2651" w:rsidRDefault="00D07016" w:rsidP="000F2DA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</w:p>
    <w:p w14:paraId="38CC2091" w14:textId="77777777" w:rsidR="009B5CBF" w:rsidRPr="00BB2651" w:rsidRDefault="009B5CBF" w:rsidP="000F2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</w:p>
    <w:p w14:paraId="74CEA60C" w14:textId="53FA2D44" w:rsidR="000F2DAD" w:rsidRPr="00BB2651" w:rsidRDefault="00D07016" w:rsidP="00127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 Республикасы Ұлттық Банкінің Басқармасы </w:t>
      </w:r>
      <w:r w:rsidRPr="00BB2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ҚАУЛЫ ЕТЕДІ</w:t>
      </w:r>
      <w:r w:rsidR="000F2DAD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36C505E2" w14:textId="70482687" w:rsidR="000F2DAD" w:rsidRPr="00BB2651" w:rsidRDefault="000F2DAD" w:rsidP="0080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="00800C3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2012 жылғы 24 тамыздағы № 242 қаулысына (Нормативтік құқықтық актілерді мемлекеттік тіркеу тізілімінде № 7977 болып тіркелген) мынадай өзгерістер енгізілсін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3F7F7BC1" w14:textId="0B075563" w:rsidR="005A359E" w:rsidRPr="00BB2651" w:rsidRDefault="00800C33" w:rsidP="0080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кіріспе мынадай редакцияда жазылсын</w:t>
      </w:r>
      <w:r w:rsidR="005A359E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18BB6DFD" w14:textId="07D3AFB9" w:rsidR="005A359E" w:rsidRPr="00BB2651" w:rsidRDefault="005A359E" w:rsidP="0072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25AC0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Ұлттық Банкі туралы» Қазақстан Республикасы Заңының 15-бабы 2-тармағының 5) тармақшасына және «Қазақстан Республикасы Ұлттық Банкінің ережесін және құрылымын бекіту туралы» Қазақстан Республикасы Президентінің 2003 жылғы 31 желтоқсандағы № 1271 Жарлығымен бекітілген Қазақстан Республикасының Ұлттық Банкі туралы ереженің 19-тармағының екінші бөлігі екінші абзацының 2)</w:t>
      </w:r>
      <w:r w:rsidR="008D0300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725AC0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тармақшасына сәйкес Қазақстан Республикасы Ұлттық Банкінің Басқармасы </w:t>
      </w:r>
      <w:r w:rsidR="00725AC0"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ҚАУЛЫ ЕТЕДІ</w:t>
      </w: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:»;</w:t>
      </w:r>
    </w:p>
    <w:p w14:paraId="69773256" w14:textId="64CA7A16" w:rsidR="000F2DAD" w:rsidRPr="00BB2651" w:rsidRDefault="001B2203" w:rsidP="001B2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көрсетілген қаулымен бекітілген Қазақстан Республикасы ұлттық валютасының шетел валюталарына ресми бағамын белгілеу қағидаларында</w:t>
      </w:r>
      <w:r w:rsidR="000F2DAD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2FC8A78E" w14:textId="28BEC921" w:rsidR="004B6C16" w:rsidRPr="00BB2651" w:rsidRDefault="001B2203" w:rsidP="0012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кіріспе мынадай редакцияда жазылсын</w:t>
      </w:r>
      <w:r w:rsidR="00B6163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26793897" w14:textId="1FE14BE1" w:rsidR="00B61630" w:rsidRPr="00BB2651" w:rsidRDefault="00B61630" w:rsidP="0070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Қазақстан Республикасы ұлттық валютасының шетел валюталарына ресми бағамын белгілеу қағидалары (бұдан әрі 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Қағидалар) «Қазақстан </w:t>
      </w:r>
      <w:r w:rsidR="00465762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Республикасы Заңының 15-бабы 2-тармағының 5) тармақшасына және «Қазақстан Республикасы Ұлттық Банкінің ережесін және құрылымын бекіту туралы» Қазақстан Республикасы Президентінің 2003 жылғы 31 желтоқсандағы № 1271 Жарлығымен бекітілген Қазақстан Республикасының Ұлттық Банкі туралы ереженің 19-тармағының екінші бөлігі екінші абзацының 2)</w:t>
      </w:r>
      <w:r w:rsidR="008D0300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5762"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тармақшасына 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сәйкес әзірлен</w:t>
      </w:r>
      <w:r w:rsidR="007048E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ді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онда 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Республикасы Ұлтт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ық Банкінің (бұдан әрі – Ұлттық 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Банк) 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 Республикасы 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валюта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ның шетел валюталарына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ресми бағамын белгілеу тәртібі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айқында</w:t>
      </w:r>
      <w:r w:rsidR="004657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</w:t>
      </w:r>
      <w:r w:rsidR="003F0D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.»</w:t>
      </w:r>
      <w:r w:rsidR="00A23E77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4837F684" w14:textId="77777777" w:rsidR="002E1003" w:rsidRDefault="003F4B8D" w:rsidP="003F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1-тармақт</w:t>
      </w:r>
      <w:r w:rsidR="002E10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а:</w:t>
      </w:r>
    </w:p>
    <w:p w14:paraId="6473A2F1" w14:textId="345E7760" w:rsidR="003F4B8D" w:rsidRPr="00BB2651" w:rsidRDefault="003F4B8D" w:rsidP="003F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тармақша мынадай редакцияда жазылсын:</w:t>
      </w:r>
    </w:p>
    <w:p w14:paraId="39D03F96" w14:textId="781550CD" w:rsidR="003F4B8D" w:rsidRPr="00BB2651" w:rsidRDefault="00B07C2E" w:rsidP="003F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B73D58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 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АЦЖ</w:t>
      </w:r>
      <w:r w:rsidR="003F4B8D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– Ұлттық Банктің автоматтандырылған цифрлық жүйелер</w:t>
      </w:r>
      <w:r w:rsidR="003258A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="003F4B8D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;».</w:t>
      </w:r>
    </w:p>
    <w:p w14:paraId="09FCC379" w14:textId="217A75FF" w:rsidR="00A23E77" w:rsidRPr="00BB2651" w:rsidRDefault="007060EF" w:rsidP="00706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тармақша мынадай редакцияда жазылсын</w:t>
      </w:r>
      <w:r w:rsidR="00A23E77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1CD30C9F" w14:textId="702C1FA6" w:rsidR="00E8129D" w:rsidRPr="00BB2651" w:rsidRDefault="00A23E77" w:rsidP="0024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«5) </w:t>
      </w:r>
      <w:r w:rsidR="007F7D0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ұлттық валютаның ресми бағамы </w:t>
      </w:r>
      <w:r w:rsidR="00BC64F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="00F87F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F7D0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Қағидаларға қосымшаға сәйкес шетел валюталарына </w:t>
      </w:r>
      <w:r w:rsidR="00BC64F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қатысты </w:t>
      </w:r>
      <w:r w:rsidR="007F7D0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Ұлттық Банк белгілейтін </w:t>
      </w:r>
      <w:r w:rsidR="00BC64F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теңге </w:t>
      </w:r>
      <w:r w:rsidR="007F7D0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бағамы. Ұлттық валютаның шетел валюталарына ресми бағамын белгілеу тәртібі валюталарды айырбастаудың нарықтық бағамын айқындау тәртібіне ұқсас. Ұлттық валютаның ресми бағамын және валюталарды айырбастаудың нарықтық бағамын пайдалану мақсаттары Қазақстан Республикасының </w:t>
      </w:r>
      <w:r w:rsidR="00BC64F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Салық к</w:t>
      </w:r>
      <w:r w:rsidR="007F7D01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одексімен, «Қазақстан Республикасындағы кедендік реттеу туралы» Қазақстан Республикасының Кодексімен, «Қазақстан Республикасының Ұлттық Банкі туралы» Қазақстан Республикасының Заңымен және Қазақстан Республикасының халықаралық келісімдерімен белгіленеді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.»;</w:t>
      </w:r>
    </w:p>
    <w:p w14:paraId="6C03D055" w14:textId="5753D3F8" w:rsidR="00F0464A" w:rsidRPr="00BB2651" w:rsidRDefault="00873725" w:rsidP="0087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 және 4-тармақтар мынадай редакцияда жазылсын</w:t>
      </w:r>
      <w:r w:rsidR="00F0464A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3D3A57FF" w14:textId="1B66BB8A" w:rsidR="00F0464A" w:rsidRPr="00BB2651" w:rsidRDefault="00812A62" w:rsidP="00693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127A5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3. </w:t>
      </w:r>
      <w:r w:rsidR="00A13795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Ұлттық валютаның АҚШ долларына қатысты </w:t>
      </w:r>
      <w:r w:rsidR="00B3062B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Астана </w:t>
      </w:r>
      <w:r w:rsidR="00A13795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қаласының уақытымен сағат 15-30-дағы жағдай бойынша қалыптасқан орташа алынған биржалық бағамы ұлттық валютаның АҚШ долларына қатысты сауда-саттық жүргізілген күннен кейінгі келесі жұмыс күніндегі ресми бағамы ретінде белгіленеді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27D7F468" w14:textId="4478EAB3" w:rsidR="00F0464A" w:rsidRDefault="00127A52" w:rsidP="00375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 </w:t>
      </w:r>
      <w:r w:rsidR="00C06EBF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Қағидаларға қосымшада көрсетілген басқа шетел валюталары бойынша ұлттық валютаның шетел валютасына қатысты бағамын Ұлттық Банк қор биржасында сауда-саттық жүргізілген күні Астана қаласының уақытымен сағат 16-00-дегі жағдай бойынша ақпараттық агенттіктің арналары бойынша алынған сұраныстың баға белгіленімдеріне сәйкес қалыптасқан АҚШ долларына кросс-бағамды пайдалана отырып есептейді және ол келесі жұмыс күніне ресми бағам ретінде белгіленеді</w:t>
      </w:r>
      <w:r w:rsidR="00812A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.»</w:t>
      </w:r>
      <w:r w:rsidR="00F0464A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6DD0AAF8" w14:textId="35025B3C" w:rsidR="00FE68B7" w:rsidRPr="00A904B0" w:rsidRDefault="00FE68B7" w:rsidP="00375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6-тармақтың екінші бөлігін</w:t>
      </w:r>
      <w:r w:rsidR="000C3CD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ің</w:t>
      </w: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орыс тілінде</w:t>
      </w:r>
      <w:r w:rsidR="000C3CD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гі мәтініне</w:t>
      </w: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өзгеріс енгізіледі, </w:t>
      </w:r>
      <w:r w:rsidR="000C3CD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</w:t>
      </w: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тіл</w:t>
      </w:r>
      <w:r w:rsidR="000C3CD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</w:t>
      </w: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дегі мәтін өзгермейді;</w:t>
      </w:r>
    </w:p>
    <w:p w14:paraId="71699483" w14:textId="6FBB53ED" w:rsidR="00F0464A" w:rsidRPr="00BB2651" w:rsidRDefault="003759E2" w:rsidP="00375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 және 11-тармақтар мынадай редакцияда жазылсын</w:t>
      </w:r>
      <w:r w:rsidR="00F0464A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163A91F6" w14:textId="05266A6D" w:rsidR="00F0464A" w:rsidRPr="00BB2651" w:rsidRDefault="00812A62" w:rsidP="009D4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127A5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10. </w:t>
      </w:r>
      <w:r w:rsidR="002953D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Шетел валюталарының ұлттық валютаға ресми бағамдары туралы құжат қол қойылған күні Астана қаласының уақытымен сағат 18.00-ге дейін Ұлттық Банктің бөлімшелеріне, екінші деңгейдегі банктерге және басқа мүдделі ұйымдарға деректерді ресми байланыс арналары (ақпарат берудің және төлемдер </w:t>
      </w:r>
      <w:r w:rsidR="002953D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жасаудың банкаралық жүйесі (SWIFT)) және электрондық пошта арқылы беру жолымен ж</w:t>
      </w:r>
      <w:r w:rsidR="009D4B2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іб</w:t>
      </w:r>
      <w:r w:rsidR="002953D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="009D4B2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r w:rsidR="002953D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іледі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1656F85A" w14:textId="44F86EDF" w:rsidR="00F0464A" w:rsidRPr="00BB2651" w:rsidRDefault="008B4B51" w:rsidP="0084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 w:rsidDel="008B4B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27A5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11. </w:t>
      </w:r>
      <w:r w:rsidR="0045538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валютаның ш</w:t>
      </w:r>
      <w:r w:rsidR="008434C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етел валюталарына ресми бағам</w:t>
      </w:r>
      <w:r w:rsidR="0045538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(шетел валюталарының ұлттық валютаға ресми бағамдары) туралы ақпарат белгіленген күні </w:t>
      </w:r>
      <w:r w:rsidR="008434C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Астана </w:t>
      </w:r>
      <w:r w:rsidR="0045538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қаласының уақытымен сағат 24.00-ге дейін А</w:t>
      </w:r>
      <w:r w:rsidR="00A15F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45538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Ж-ға </w:t>
      </w:r>
      <w:r w:rsidR="001B1D3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енгізіледі</w:t>
      </w:r>
      <w:r w:rsidR="00812A6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.»</w:t>
      </w:r>
      <w:r w:rsidR="00F0464A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67980182" w14:textId="3115E414" w:rsidR="000F2DAD" w:rsidRPr="00BB2651" w:rsidRDefault="005B52DE" w:rsidP="005B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 осы қаулыға қосымшаға сәйкес редакцияда жазылсын</w:t>
      </w:r>
      <w:r w:rsidR="00D6044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4D7EB895" w14:textId="61BE7201" w:rsidR="000F2DAD" w:rsidRPr="00BB2651" w:rsidRDefault="000F2DAD" w:rsidP="00FD0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 w:rsidR="00FD0772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Республикасы Ұлттық Банкінің Монетарлық операциялар департаменті Қазақстан Республикасының заңнамасында белгіленген тәртіппен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117C1C99" w14:textId="798909C4" w:rsidR="000F2DAD" w:rsidRPr="00BB2651" w:rsidRDefault="000F2DAD" w:rsidP="00855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 </w:t>
      </w:r>
      <w:r w:rsidR="0085545B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</w:t>
      </w:r>
      <w:bookmarkStart w:id="0" w:name="sub1006274442"/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03B63F94" w14:textId="155843A1" w:rsidR="000F2DAD" w:rsidRPr="00BB2651" w:rsidRDefault="000F2DAD" w:rsidP="00276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2) </w:t>
      </w:r>
      <w:r w:rsidR="00276893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19BA079B" w14:textId="72586796" w:rsidR="000F2DAD" w:rsidRPr="00A027E8" w:rsidRDefault="002A6DB4" w:rsidP="008D0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0F2DAD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="001B21C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қаулы мемлекеттік тіркелгеннен кейін он жұмыс күні ішінде Қазақстан Республикасы Ұлттық Банкінің Заң департаментіне осы тармақтың 2)</w:t>
      </w:r>
      <w:r w:rsidR="008D030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="001B21C0" w:rsidRPr="00BB265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тармақшасында көзделген іс-шараның орындалуы туралы мәліметтерді </w:t>
      </w:r>
      <w:r w:rsidR="001B21C0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ұсынуды қамтамасыз етсін</w:t>
      </w: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10C28959" w14:textId="1E4EF697" w:rsidR="000F2DAD" w:rsidRPr="00A027E8" w:rsidRDefault="003C074C" w:rsidP="008D0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0F2DAD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8D0300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қаулының орындалуын бақылау Қазақстан Республикасы Ұлттық Банкі Төрағасының жетекшілік ететін орынбасарына жүктелсін</w:t>
      </w:r>
      <w:r w:rsidR="000F2DAD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121BE31E" w14:textId="598F1AAB" w:rsidR="000F2DAD" w:rsidRPr="00A027E8" w:rsidRDefault="003C074C" w:rsidP="00C03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0F2DAD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bookmarkEnd w:id="0"/>
      <w:r w:rsidR="00A15F86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қаулы 2026 жылғы 12 шілдеден бастап қолданысқа енгізілетін осы қаулының 1-тармағының </w:t>
      </w:r>
      <w:r w:rsidR="00D2335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сегізі</w:t>
      </w:r>
      <w:r w:rsidR="00A15F86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нші және </w:t>
      </w:r>
      <w:r w:rsidR="00D23354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тоғызыншы</w:t>
      </w:r>
      <w:r w:rsidR="00A15F86" w:rsidRPr="00A027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абзацтарын қоспағанда, алғашқы ресми жарияланған күнінен кейін күнтізбелік он күн өткен соң қолданысқа енгізіледі.</w:t>
      </w:r>
    </w:p>
    <w:p w14:paraId="52E4A9D3" w14:textId="456F488D" w:rsidR="000F2DAD" w:rsidRPr="00A027E8" w:rsidRDefault="00A904B0" w:rsidP="00A15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2026 жылғы 12 шілдеден бастап осы қаулының 1-тармағының </w:t>
      </w:r>
      <w:r w:rsidR="00D23354"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 сегізінші</w:t>
      </w:r>
      <w:r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абзацы мынадай редакцияда қолданылады деп белгіленсін:</w:t>
      </w:r>
    </w:p>
    <w:p w14:paraId="12EB565F" w14:textId="420045CE" w:rsidR="00C677B7" w:rsidRDefault="00A904B0" w:rsidP="000F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«</w:t>
      </w:r>
      <w:r w:rsidR="00A15F86"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11. Ұлттық валютаның шетел валюталарына ресми бағамы (шетел валюталарының ұлттық валютаға ресми бағамдары) туралы ақпарат белгіленген күні Астана қаласының уақытымен сағат 24.00-ге дейін АЦЖ-ға енгізіледі.</w:t>
      </w:r>
      <w:r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A15F86" w:rsidRPr="00A027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F689D4C" w14:textId="6E978810" w:rsidR="00A904B0" w:rsidRDefault="00A904B0" w:rsidP="000F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64BB118" w14:textId="77777777" w:rsidR="00A904B0" w:rsidRPr="00BB2651" w:rsidRDefault="00A904B0" w:rsidP="000F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2186"/>
      </w:tblGrid>
      <w:tr w:rsidR="00A904B0" w:rsidRPr="00BB2651" w14:paraId="6F22138B" w14:textId="77777777" w:rsidTr="00F5046D">
        <w:tc>
          <w:tcPr>
            <w:tcW w:w="6521" w:type="dxa"/>
            <w:hideMark/>
          </w:tcPr>
          <w:p w14:paraId="46E16BB1" w14:textId="1E7164BB" w:rsidR="00A904B0" w:rsidRPr="00BB2651" w:rsidRDefault="00FE17CE" w:rsidP="00A904B0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17C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  <w:t>Төраға</w:t>
            </w:r>
            <w:r w:rsidR="00A904B0" w:rsidRPr="00A82F4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kk-KZ" w:eastAsia="ru-RU"/>
              </w:rPr>
              <w:t xml:space="preserve">                 </w:t>
            </w:r>
          </w:p>
        </w:tc>
        <w:tc>
          <w:tcPr>
            <w:tcW w:w="2186" w:type="dxa"/>
          </w:tcPr>
          <w:p w14:paraId="3914D452" w14:textId="1D77523A" w:rsidR="00A904B0" w:rsidRPr="00BB2651" w:rsidRDefault="00FE17CE" w:rsidP="00A9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17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Т. Сүлейменов</w:t>
            </w:r>
          </w:p>
        </w:tc>
      </w:tr>
      <w:tr w:rsidR="000F2DAD" w:rsidRPr="00BB2651" w14:paraId="72A29324" w14:textId="77777777" w:rsidTr="00F5046D">
        <w:tc>
          <w:tcPr>
            <w:tcW w:w="6521" w:type="dxa"/>
          </w:tcPr>
          <w:p w14:paraId="0954BFD3" w14:textId="77777777" w:rsidR="000F2DAD" w:rsidRPr="00BB2651" w:rsidRDefault="000F2DAD" w:rsidP="000F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186" w:type="dxa"/>
          </w:tcPr>
          <w:p w14:paraId="134FACBD" w14:textId="77777777" w:rsidR="000F2DAD" w:rsidRPr="00BB2651" w:rsidRDefault="000F2DAD" w:rsidP="000F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14:paraId="40DB9E18" w14:textId="082287AE" w:rsidR="00EA0832" w:rsidRPr="00BB2651" w:rsidRDefault="00EA0832" w:rsidP="00E4210F">
      <w:pPr>
        <w:pStyle w:val="ListParagraph"/>
        <w:tabs>
          <w:tab w:val="left" w:pos="993"/>
        </w:tabs>
        <w:spacing w:after="0" w:line="22" w:lineRule="atLeast"/>
        <w:ind w:left="0"/>
        <w:jc w:val="center"/>
        <w:rPr>
          <w:rFonts w:ascii="Arial" w:hAnsi="Arial" w:cs="Arial"/>
          <w:b/>
          <w:i/>
          <w:sz w:val="14"/>
          <w:szCs w:val="14"/>
          <w:u w:val="single"/>
          <w:lang w:val="kk-KZ"/>
        </w:rPr>
      </w:pPr>
    </w:p>
    <w:p w14:paraId="2FBBE013" w14:textId="569963F5" w:rsidR="00EA0832" w:rsidRPr="00BB2651" w:rsidRDefault="00EA0832" w:rsidP="00E4210F">
      <w:pPr>
        <w:pStyle w:val="ListParagraph"/>
        <w:tabs>
          <w:tab w:val="left" w:pos="993"/>
        </w:tabs>
        <w:spacing w:after="0" w:line="22" w:lineRule="atLeast"/>
        <w:ind w:left="0"/>
        <w:jc w:val="center"/>
        <w:rPr>
          <w:rFonts w:ascii="Arial" w:hAnsi="Arial" w:cs="Arial"/>
          <w:b/>
          <w:i/>
          <w:sz w:val="14"/>
          <w:szCs w:val="14"/>
          <w:u w:val="single"/>
          <w:lang w:val="kk-KZ"/>
        </w:rPr>
      </w:pPr>
    </w:p>
    <w:p w14:paraId="559C970D" w14:textId="246413AE" w:rsidR="00EA0832" w:rsidRPr="00BB2651" w:rsidRDefault="00EA0832" w:rsidP="00E4210F">
      <w:pPr>
        <w:pStyle w:val="ListParagraph"/>
        <w:tabs>
          <w:tab w:val="left" w:pos="993"/>
        </w:tabs>
        <w:spacing w:after="0" w:line="22" w:lineRule="atLeast"/>
        <w:ind w:left="0"/>
        <w:jc w:val="center"/>
        <w:rPr>
          <w:rFonts w:ascii="Arial" w:hAnsi="Arial" w:cs="Arial"/>
          <w:b/>
          <w:i/>
          <w:sz w:val="14"/>
          <w:szCs w:val="14"/>
          <w:u w:val="single"/>
          <w:lang w:val="kk-KZ"/>
        </w:rPr>
      </w:pPr>
    </w:p>
    <w:p w14:paraId="2E53CE82" w14:textId="77777777" w:rsidR="00EA0832" w:rsidRPr="00BB2651" w:rsidRDefault="00EA0832" w:rsidP="00E4210F">
      <w:pPr>
        <w:pStyle w:val="ListParagraph"/>
        <w:tabs>
          <w:tab w:val="left" w:pos="993"/>
        </w:tabs>
        <w:spacing w:after="0" w:line="22" w:lineRule="atLeast"/>
        <w:ind w:left="0"/>
        <w:jc w:val="center"/>
        <w:rPr>
          <w:rFonts w:ascii="Arial" w:hAnsi="Arial" w:cs="Arial"/>
          <w:b/>
          <w:i/>
          <w:sz w:val="14"/>
          <w:szCs w:val="14"/>
          <w:u w:val="single"/>
          <w:lang w:val="kk-KZ"/>
        </w:rPr>
      </w:pPr>
    </w:p>
    <w:p w14:paraId="657AB004" w14:textId="77777777" w:rsidR="00BD29A3" w:rsidRPr="00BB2651" w:rsidRDefault="00655A69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BB26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14:paraId="00DC92F1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CB5EB07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24651D7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875E4B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FEA07BB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D665064" w14:textId="77777777" w:rsidR="00BD29A3" w:rsidRPr="00BB2651" w:rsidRDefault="00BD29A3" w:rsidP="00655A6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F47B2C3" w14:textId="2BE8D8E9" w:rsidR="002047E0" w:rsidRDefault="002047E0" w:rsidP="00C61B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D631D9" w14:textId="77777777" w:rsidR="00C61BF2" w:rsidRDefault="00C61BF2" w:rsidP="00C61B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1" w:name="_GoBack"/>
      <w:bookmarkEnd w:id="1"/>
    </w:p>
    <w:p w14:paraId="5E2A4CBC" w14:textId="77777777" w:rsidR="008F3237" w:rsidRPr="00BB2651" w:rsidRDefault="008F3237" w:rsidP="008F3237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B265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 </w:t>
      </w:r>
    </w:p>
    <w:p w14:paraId="73B082DF" w14:textId="7A56C32A" w:rsidR="008F3237" w:rsidRPr="00BB2651" w:rsidRDefault="008F3237" w:rsidP="008F323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651">
        <w:rPr>
          <w:rFonts w:ascii="Times New Roman" w:hAnsi="Times New Roman" w:cs="Times New Roman"/>
          <w:sz w:val="28"/>
          <w:szCs w:val="28"/>
          <w:lang w:val="kk-KZ"/>
        </w:rPr>
        <w:t xml:space="preserve">Ұлттық Банкі Басқармасының </w:t>
      </w:r>
      <w:r w:rsidRPr="00BB2651">
        <w:rPr>
          <w:rFonts w:ascii="Times New Roman" w:hAnsi="Times New Roman" w:cs="Times New Roman"/>
          <w:sz w:val="28"/>
          <w:szCs w:val="28"/>
          <w:lang w:val="kk-KZ"/>
        </w:rPr>
        <w:br/>
        <w:t>20</w:t>
      </w:r>
      <w:r w:rsidR="005D09D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26</w:t>
      </w:r>
      <w:r w:rsidRPr="00BB2651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5D09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 маусымдағы</w:t>
      </w: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1C89A2D" w14:textId="418E44CF" w:rsidR="008F3237" w:rsidRPr="00BB2651" w:rsidRDefault="008F3237" w:rsidP="008F323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651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5D09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</w:t>
      </w: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қаулысына </w:t>
      </w:r>
    </w:p>
    <w:p w14:paraId="1CDEBD08" w14:textId="012822BB" w:rsidR="008F3237" w:rsidRDefault="008F3237" w:rsidP="002047E0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2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</w:t>
      </w:r>
      <w:r w:rsidRPr="00BB2651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BC9137B" w14:textId="77777777" w:rsidR="002047E0" w:rsidRPr="00BB2651" w:rsidRDefault="002047E0" w:rsidP="002047E0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907C15E" w14:textId="6CE2F53A" w:rsidR="008F3237" w:rsidRPr="00BB2651" w:rsidRDefault="002047E0" w:rsidP="008F3237">
      <w:pPr>
        <w:spacing w:after="0" w:line="240" w:lineRule="auto"/>
        <w:ind w:left="5670" w:right="-28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Ұ</w:t>
      </w:r>
      <w:r w:rsidR="008F3237" w:rsidRPr="00BB2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лттық валютасының </w:t>
      </w:r>
    </w:p>
    <w:p w14:paraId="230D025B" w14:textId="194EA474" w:rsidR="008F3237" w:rsidRPr="00BB2651" w:rsidRDefault="008F3237" w:rsidP="008F3237">
      <w:pPr>
        <w:spacing w:after="0" w:line="240" w:lineRule="auto"/>
        <w:ind w:left="5670" w:right="-28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2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шетел валюталарына </w:t>
      </w:r>
    </w:p>
    <w:p w14:paraId="7D2986C7" w14:textId="5796D2CC" w:rsidR="008F3237" w:rsidRPr="00BB2651" w:rsidRDefault="008F3237" w:rsidP="008F3237">
      <w:pPr>
        <w:spacing w:after="0" w:line="240" w:lineRule="auto"/>
        <w:ind w:left="5670" w:right="-28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26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ресми бағамын </w:t>
      </w:r>
    </w:p>
    <w:p w14:paraId="3D878CB1" w14:textId="385F3C2D" w:rsidR="008F3237" w:rsidRPr="00BB2651" w:rsidRDefault="008F3237" w:rsidP="008F3237">
      <w:pPr>
        <w:spacing w:after="0" w:line="240" w:lineRule="auto"/>
        <w:ind w:left="5670" w:right="-28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2651">
        <w:rPr>
          <w:rFonts w:ascii="Times New Roman" w:eastAsia="Calibri" w:hAnsi="Times New Roman" w:cs="Times New Roman"/>
          <w:sz w:val="28"/>
          <w:szCs w:val="28"/>
          <w:lang w:val="kk-KZ"/>
        </w:rPr>
        <w:t>белгілеу қағидаларына</w:t>
      </w:r>
    </w:p>
    <w:p w14:paraId="19873B0F" w14:textId="77777777" w:rsidR="008F3237" w:rsidRPr="00BB2651" w:rsidRDefault="008F3237" w:rsidP="008F3237">
      <w:pPr>
        <w:spacing w:after="0" w:line="240" w:lineRule="auto"/>
        <w:ind w:left="5670" w:right="-28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2651">
        <w:rPr>
          <w:rFonts w:ascii="Times New Roman" w:eastAsia="Calibri" w:hAnsi="Times New Roman" w:cs="Times New Roman"/>
          <w:sz w:val="28"/>
          <w:szCs w:val="28"/>
          <w:lang w:val="kk-KZ"/>
        </w:rPr>
        <w:t>қосымша</w:t>
      </w:r>
    </w:p>
    <w:p w14:paraId="42987540" w14:textId="2BCC832D" w:rsidR="00655A69" w:rsidRDefault="00655A69" w:rsidP="00655A69">
      <w:pPr>
        <w:spacing w:after="0" w:line="240" w:lineRule="auto"/>
        <w:ind w:left="5670" w:right="-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14:paraId="5FD11A6E" w14:textId="77777777" w:rsidR="002047E0" w:rsidRPr="00BB2651" w:rsidRDefault="002047E0" w:rsidP="00655A69">
      <w:pPr>
        <w:spacing w:after="0" w:line="240" w:lineRule="auto"/>
        <w:ind w:left="5670" w:right="-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14:paraId="75E8DE1D" w14:textId="571BE1D9" w:rsidR="00C16513" w:rsidRPr="00BB2651" w:rsidRDefault="00C16513" w:rsidP="00C16513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Республикасының Ұлттық Банкі ұлттық валютаның ресми бағамын белгілейтін шетел валюталарының тізбесі</w:t>
      </w:r>
    </w:p>
    <w:p w14:paraId="17015507" w14:textId="77777777" w:rsidR="00257499" w:rsidRPr="00BB2651" w:rsidRDefault="00655A69" w:rsidP="002574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BB265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911"/>
      </w:tblGrid>
      <w:tr w:rsidR="00257499" w:rsidRPr="00BB2651" w14:paraId="1D1E4FF8" w14:textId="77777777" w:rsidTr="00F30342">
        <w:trPr>
          <w:jc w:val="center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B626" w14:textId="77777777" w:rsidR="00257499" w:rsidRPr="00BB2651" w:rsidRDefault="00257499" w:rsidP="00F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AA04" w14:textId="77777777" w:rsidR="00257499" w:rsidRPr="00BB2651" w:rsidRDefault="00257499" w:rsidP="00F3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Шетел валютасының атауы</w:t>
            </w:r>
          </w:p>
        </w:tc>
      </w:tr>
      <w:tr w:rsidR="00257499" w:rsidRPr="00BB2651" w14:paraId="769DD023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A1F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E4B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Аустралия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доллары (AUD)</w:t>
            </w:r>
          </w:p>
        </w:tc>
      </w:tr>
      <w:tr w:rsidR="00257499" w:rsidRPr="00BB2651" w14:paraId="744BA676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CD7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417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Әзербайжан манаты (AZN)</w:t>
            </w:r>
          </w:p>
        </w:tc>
      </w:tr>
      <w:tr w:rsidR="00257499" w:rsidRPr="00BB2651" w14:paraId="1D90D4F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EA7D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8D5D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Армян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драмы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(AMD)</w:t>
            </w:r>
          </w:p>
        </w:tc>
      </w:tr>
      <w:tr w:rsidR="00257499" w:rsidRPr="00BB2651" w14:paraId="05647D3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F48E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D515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Беларусь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рублі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(BYN)</w:t>
            </w:r>
          </w:p>
        </w:tc>
      </w:tr>
      <w:tr w:rsidR="00257499" w:rsidRPr="00BB2651" w14:paraId="71E12BE1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7B9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B91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Бразилия реалы (BRL)</w:t>
            </w:r>
          </w:p>
        </w:tc>
      </w:tr>
      <w:tr w:rsidR="00257499" w:rsidRPr="00BB2651" w14:paraId="21C67F7B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463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2A10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Мажарстан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форинті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(HUF)</w:t>
            </w:r>
          </w:p>
        </w:tc>
      </w:tr>
      <w:tr w:rsidR="00257499" w:rsidRPr="00BB2651" w14:paraId="655825FB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591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A52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Корея Республикасының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вонасы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(KRW)</w:t>
            </w:r>
          </w:p>
        </w:tc>
      </w:tr>
      <w:tr w:rsidR="00257499" w:rsidRPr="00BB2651" w14:paraId="3FF69D14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F35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0C53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Гонконг доллары (HKD)</w:t>
            </w:r>
          </w:p>
        </w:tc>
      </w:tr>
      <w:tr w:rsidR="00257499" w:rsidRPr="00BB2651" w14:paraId="35FE9DF1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D95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A69D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Грузин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лариі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(GEL)</w:t>
            </w:r>
          </w:p>
        </w:tc>
      </w:tr>
      <w:tr w:rsidR="00257499" w:rsidRPr="00BB2651" w14:paraId="1606D827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F64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BF7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Дат кронасы (DKK)</w:t>
            </w:r>
          </w:p>
        </w:tc>
      </w:tr>
      <w:tr w:rsidR="00257499" w:rsidRPr="00BB2651" w14:paraId="11D67937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122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498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БАӘ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дирхамы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(AED)</w:t>
            </w:r>
          </w:p>
        </w:tc>
      </w:tr>
      <w:tr w:rsidR="00257499" w:rsidRPr="00BB2651" w14:paraId="26E434A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FD28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E0FE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АҚШ доллары (USD)</w:t>
            </w:r>
          </w:p>
        </w:tc>
      </w:tr>
      <w:tr w:rsidR="00257499" w:rsidRPr="00BB2651" w14:paraId="352EBC2D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F132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D9E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Еуро (EUR)</w:t>
            </w:r>
          </w:p>
        </w:tc>
      </w:tr>
      <w:tr w:rsidR="00257499" w:rsidRPr="00BB2651" w14:paraId="103828E8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DFD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1E9C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Үнді рупиясы (INR)</w:t>
            </w:r>
          </w:p>
        </w:tc>
      </w:tr>
      <w:tr w:rsidR="00257499" w:rsidRPr="00BB2651" w14:paraId="62084CDE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04C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1E7D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Иран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риалы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(IRR)</w:t>
            </w:r>
          </w:p>
        </w:tc>
      </w:tr>
      <w:tr w:rsidR="00257499" w:rsidRPr="00BB2651" w14:paraId="7CDBB67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C7F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87CE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Канада доллары (CAD)</w:t>
            </w:r>
          </w:p>
        </w:tc>
      </w:tr>
      <w:tr w:rsidR="00257499" w:rsidRPr="00BB2651" w14:paraId="167CD209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AC4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1C1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Қытай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юані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(CNY)</w:t>
            </w:r>
          </w:p>
        </w:tc>
      </w:tr>
      <w:tr w:rsidR="00257499" w:rsidRPr="00BB2651" w14:paraId="602447B1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6CC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C90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Қырғыз сомы (KGS)</w:t>
            </w:r>
          </w:p>
        </w:tc>
      </w:tr>
      <w:tr w:rsidR="00257499" w:rsidRPr="00BB2651" w14:paraId="3FCD5E66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40F1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501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Кувейт динары (KWD)</w:t>
            </w:r>
          </w:p>
        </w:tc>
      </w:tr>
      <w:tr w:rsidR="00257499" w:rsidRPr="00BB2651" w14:paraId="77A7B34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3E2E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3D5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Малайзия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ринггиті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(MYR)</w:t>
            </w:r>
          </w:p>
        </w:tc>
      </w:tr>
      <w:tr w:rsidR="00257499" w:rsidRPr="00BB2651" w14:paraId="558CF11D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C33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66B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Мексика песосы (MXN)</w:t>
            </w:r>
          </w:p>
        </w:tc>
      </w:tr>
      <w:tr w:rsidR="00257499" w:rsidRPr="00BB2651" w14:paraId="22FD8EA2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CAC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83E5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Молдова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лейі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(MDL)</w:t>
            </w:r>
          </w:p>
        </w:tc>
      </w:tr>
      <w:tr w:rsidR="00257499" w:rsidRPr="00BB2651" w14:paraId="3AD15AB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74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0C2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Норвегия кронасы (NOK)</w:t>
            </w:r>
          </w:p>
        </w:tc>
      </w:tr>
      <w:tr w:rsidR="00257499" w:rsidRPr="00BB2651" w14:paraId="241AE146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AFF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967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Польша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злотыйы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(PLN)</w:t>
            </w:r>
          </w:p>
        </w:tc>
      </w:tr>
      <w:tr w:rsidR="00257499" w:rsidRPr="00BB2651" w14:paraId="77A9A49A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062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25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050C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Ресей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рублі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(RUB)</w:t>
            </w:r>
          </w:p>
        </w:tc>
      </w:tr>
      <w:tr w:rsidR="00257499" w:rsidRPr="00BB2651" w14:paraId="71948C3B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A2E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49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Сауд Арабиясының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риалы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(SAR)</w:t>
            </w:r>
          </w:p>
        </w:tc>
      </w:tr>
      <w:tr w:rsidR="00257499" w:rsidRPr="00BB2651" w14:paraId="47E0F40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B00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4C2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СДР (XDR)</w:t>
            </w:r>
          </w:p>
        </w:tc>
      </w:tr>
      <w:tr w:rsidR="00257499" w:rsidRPr="00BB2651" w14:paraId="5902FCD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55E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C40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Сингапур доллары (SGD)</w:t>
            </w:r>
          </w:p>
        </w:tc>
      </w:tr>
      <w:tr w:rsidR="00257499" w:rsidRPr="00BB2651" w14:paraId="432BDFA0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663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A4E5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Тәжік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сомониі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(TJS)</w:t>
            </w:r>
          </w:p>
        </w:tc>
      </w:tr>
      <w:tr w:rsidR="00257499" w:rsidRPr="00BB2651" w14:paraId="418A7EF6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CF53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609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Тайланд баты (THB)</w:t>
            </w:r>
          </w:p>
        </w:tc>
      </w:tr>
      <w:tr w:rsidR="00257499" w:rsidRPr="00BB2651" w14:paraId="78001D41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71D0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3F9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Түрік лирасы (TRY)</w:t>
            </w:r>
          </w:p>
        </w:tc>
      </w:tr>
      <w:tr w:rsidR="00257499" w:rsidRPr="00BB2651" w14:paraId="74C07170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368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CDD0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Өзбек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сумы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(UZS)</w:t>
            </w:r>
          </w:p>
        </w:tc>
      </w:tr>
      <w:tr w:rsidR="00257499" w:rsidRPr="00BB2651" w14:paraId="4905D867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BD7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47BC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Украина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гривнасы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(UAH)</w:t>
            </w:r>
          </w:p>
        </w:tc>
      </w:tr>
      <w:tr w:rsidR="00257499" w:rsidRPr="0061708D" w14:paraId="12710CF5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D0D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B7B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Біріккен Корольдіктің фунт стерлингі (GBP)</w:t>
            </w:r>
          </w:p>
        </w:tc>
      </w:tr>
      <w:tr w:rsidR="00257499" w:rsidRPr="00BB2651" w14:paraId="5872888B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CA87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675F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Чех кронасы (CZK)</w:t>
            </w:r>
          </w:p>
        </w:tc>
      </w:tr>
      <w:tr w:rsidR="00257499" w:rsidRPr="00BB2651" w14:paraId="174425D4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1EF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440A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Швед кронасы (SEK)</w:t>
            </w:r>
          </w:p>
        </w:tc>
      </w:tr>
      <w:tr w:rsidR="00257499" w:rsidRPr="00BB2651" w14:paraId="6BA4D8D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E29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E458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Швейцария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франкі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(CHF)</w:t>
            </w:r>
          </w:p>
        </w:tc>
      </w:tr>
      <w:tr w:rsidR="00257499" w:rsidRPr="00BB2651" w14:paraId="699F9B42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6868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3A9E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Оңтүстік Африка ранды (ZAR)</w:t>
            </w:r>
          </w:p>
        </w:tc>
      </w:tr>
      <w:tr w:rsidR="00257499" w:rsidRPr="00BB2651" w14:paraId="18565745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2758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11D1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Жапон иені (JPY)</w:t>
            </w:r>
          </w:p>
        </w:tc>
      </w:tr>
      <w:tr w:rsidR="00257499" w:rsidRPr="00BB2651" w14:paraId="5CCBD35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AB7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ACF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Румын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лейі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(RON)</w:t>
            </w:r>
          </w:p>
        </w:tc>
      </w:tr>
      <w:tr w:rsidR="00257499" w:rsidRPr="00BB2651" w14:paraId="6495F04C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CF5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D854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Вьетнам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донгы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(VND)</w:t>
            </w:r>
          </w:p>
        </w:tc>
      </w:tr>
      <w:tr w:rsidR="00257499" w:rsidRPr="00BB2651" w14:paraId="0F3C12E0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6F05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03BC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Израиль шекелі (ILS)</w:t>
            </w:r>
          </w:p>
        </w:tc>
      </w:tr>
      <w:tr w:rsidR="00257499" w:rsidRPr="00BB2651" w14:paraId="7D1F3980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CB1C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995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Индонезия рупиясы (IDR)</w:t>
            </w:r>
          </w:p>
        </w:tc>
      </w:tr>
      <w:tr w:rsidR="00257499" w:rsidRPr="00BB2651" w14:paraId="29783B3F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EBB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D461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Моңғолия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тұғрықы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(MNT)</w:t>
            </w:r>
          </w:p>
        </w:tc>
      </w:tr>
      <w:tr w:rsidR="00257499" w:rsidRPr="00BB2651" w14:paraId="12279860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A79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458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Қатар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риалы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(QAR)</w:t>
            </w:r>
          </w:p>
        </w:tc>
      </w:tr>
      <w:tr w:rsidR="00257499" w:rsidRPr="00BB2651" w14:paraId="474E3ED7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5B2B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2E40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Оман </w:t>
            </w:r>
            <w:proofErr w:type="spellStart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риалы</w:t>
            </w:r>
            <w:proofErr w:type="spellEnd"/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(OMR)</w:t>
            </w:r>
          </w:p>
        </w:tc>
      </w:tr>
      <w:tr w:rsidR="00257499" w:rsidRPr="00BB2651" w14:paraId="2AB24754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A609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5846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Мысыр фунты (EGP)</w:t>
            </w:r>
          </w:p>
        </w:tc>
      </w:tr>
      <w:tr w:rsidR="00257499" w:rsidRPr="00BB2651" w14:paraId="2DDC7A75" w14:textId="77777777" w:rsidTr="00F30342">
        <w:trPr>
          <w:jc w:val="center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2973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E2A3" w14:textId="77777777" w:rsidR="00257499" w:rsidRPr="00BB2651" w:rsidRDefault="00257499" w:rsidP="00F30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2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Пәкістан рупиясы (PKR)</w:t>
            </w:r>
          </w:p>
        </w:tc>
      </w:tr>
    </w:tbl>
    <w:p w14:paraId="7E529BEA" w14:textId="77777777" w:rsidR="00257499" w:rsidRPr="00BB2651" w:rsidRDefault="00257499" w:rsidP="002574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p w14:paraId="50A1574B" w14:textId="65AF73FB" w:rsidR="00655A69" w:rsidRPr="00BB2651" w:rsidRDefault="00655A69" w:rsidP="002574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8529C7D" w14:textId="77777777" w:rsidR="002E124C" w:rsidRPr="00BB2651" w:rsidRDefault="002E124C" w:rsidP="00D66BC0">
      <w:pPr>
        <w:pStyle w:val="ListParagraph"/>
        <w:tabs>
          <w:tab w:val="left" w:pos="993"/>
        </w:tabs>
        <w:spacing w:after="0" w:line="22" w:lineRule="atLeast"/>
        <w:ind w:left="0"/>
        <w:rPr>
          <w:rFonts w:ascii="Times New Roman" w:hAnsi="Times New Roman" w:cs="Times New Roman"/>
          <w:sz w:val="32"/>
          <w:szCs w:val="14"/>
          <w:lang w:val="kk-KZ"/>
        </w:rPr>
      </w:pPr>
    </w:p>
    <w:sectPr w:rsidR="002E124C" w:rsidRPr="00BB2651" w:rsidSect="00FA6047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1081" w14:textId="77777777" w:rsidR="00CD15F1" w:rsidRDefault="00CD15F1" w:rsidP="004D5195">
      <w:pPr>
        <w:spacing w:after="0" w:line="240" w:lineRule="auto"/>
      </w:pPr>
      <w:r>
        <w:separator/>
      </w:r>
    </w:p>
  </w:endnote>
  <w:endnote w:type="continuationSeparator" w:id="0">
    <w:p w14:paraId="1942B1C5" w14:textId="77777777" w:rsidR="00CD15F1" w:rsidRDefault="00CD15F1" w:rsidP="004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1B4F" w14:textId="77777777" w:rsidR="00CD15F1" w:rsidRDefault="00CD15F1" w:rsidP="004D5195">
      <w:pPr>
        <w:spacing w:after="0" w:line="240" w:lineRule="auto"/>
      </w:pPr>
      <w:r>
        <w:separator/>
      </w:r>
    </w:p>
  </w:footnote>
  <w:footnote w:type="continuationSeparator" w:id="0">
    <w:p w14:paraId="04080376" w14:textId="77777777" w:rsidR="00CD15F1" w:rsidRDefault="00CD15F1" w:rsidP="004D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20910"/>
      <w:docPartObj>
        <w:docPartGallery w:val="Page Numbers (Top of Page)"/>
        <w:docPartUnique/>
      </w:docPartObj>
    </w:sdtPr>
    <w:sdtEndPr/>
    <w:sdtContent>
      <w:p w14:paraId="0DAECD37" w14:textId="524D85D0" w:rsidR="00F51372" w:rsidRDefault="00F51372">
        <w:pPr>
          <w:pStyle w:val="Header"/>
          <w:jc w:val="center"/>
        </w:pPr>
        <w:r w:rsidRPr="00655A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5A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5A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BF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55A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6115B9" w14:textId="77777777" w:rsidR="00F51372" w:rsidRDefault="00F51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6"/>
    <w:multiLevelType w:val="hybridMultilevel"/>
    <w:tmpl w:val="1DDE3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D80"/>
    <w:multiLevelType w:val="hybridMultilevel"/>
    <w:tmpl w:val="962A6C48"/>
    <w:lvl w:ilvl="0" w:tplc="93F0D2B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C26A4A"/>
    <w:multiLevelType w:val="hybridMultilevel"/>
    <w:tmpl w:val="BD80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951D2"/>
    <w:multiLevelType w:val="hybridMultilevel"/>
    <w:tmpl w:val="4D9CC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F506E4A"/>
    <w:multiLevelType w:val="hybridMultilevel"/>
    <w:tmpl w:val="B6740FB2"/>
    <w:lvl w:ilvl="0" w:tplc="DB6ECCF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17"/>
    <w:rsid w:val="0003045E"/>
    <w:rsid w:val="00044DBB"/>
    <w:rsid w:val="00050E5A"/>
    <w:rsid w:val="00063ECA"/>
    <w:rsid w:val="000648AC"/>
    <w:rsid w:val="00072510"/>
    <w:rsid w:val="0007557F"/>
    <w:rsid w:val="00077A86"/>
    <w:rsid w:val="00082305"/>
    <w:rsid w:val="00082DEC"/>
    <w:rsid w:val="000849E5"/>
    <w:rsid w:val="000935F3"/>
    <w:rsid w:val="00094E97"/>
    <w:rsid w:val="000975DB"/>
    <w:rsid w:val="000A1CF5"/>
    <w:rsid w:val="000C0AC3"/>
    <w:rsid w:val="000C3CD4"/>
    <w:rsid w:val="000C6D3B"/>
    <w:rsid w:val="000C709C"/>
    <w:rsid w:val="000D00D6"/>
    <w:rsid w:val="000D349C"/>
    <w:rsid w:val="000D5E59"/>
    <w:rsid w:val="000D642B"/>
    <w:rsid w:val="000D789A"/>
    <w:rsid w:val="000F2DAD"/>
    <w:rsid w:val="0010076C"/>
    <w:rsid w:val="00101B7B"/>
    <w:rsid w:val="00114544"/>
    <w:rsid w:val="001262DC"/>
    <w:rsid w:val="00127A52"/>
    <w:rsid w:val="00131676"/>
    <w:rsid w:val="00145F67"/>
    <w:rsid w:val="0016141C"/>
    <w:rsid w:val="00170460"/>
    <w:rsid w:val="001837ED"/>
    <w:rsid w:val="001B1D32"/>
    <w:rsid w:val="001B21C0"/>
    <w:rsid w:val="001B2203"/>
    <w:rsid w:val="001B762A"/>
    <w:rsid w:val="001C2C91"/>
    <w:rsid w:val="001E43FE"/>
    <w:rsid w:val="001F07BC"/>
    <w:rsid w:val="001F5FD9"/>
    <w:rsid w:val="00200300"/>
    <w:rsid w:val="00202AC0"/>
    <w:rsid w:val="002047E0"/>
    <w:rsid w:val="00207F02"/>
    <w:rsid w:val="00213302"/>
    <w:rsid w:val="00214278"/>
    <w:rsid w:val="00217789"/>
    <w:rsid w:val="00241670"/>
    <w:rsid w:val="00242B15"/>
    <w:rsid w:val="00245450"/>
    <w:rsid w:val="00257499"/>
    <w:rsid w:val="0026183B"/>
    <w:rsid w:val="00263D05"/>
    <w:rsid w:val="002709A4"/>
    <w:rsid w:val="002720CA"/>
    <w:rsid w:val="00276893"/>
    <w:rsid w:val="00277957"/>
    <w:rsid w:val="002874B2"/>
    <w:rsid w:val="00287E07"/>
    <w:rsid w:val="00291E66"/>
    <w:rsid w:val="002953D0"/>
    <w:rsid w:val="002A2A03"/>
    <w:rsid w:val="002A5A46"/>
    <w:rsid w:val="002A6DB4"/>
    <w:rsid w:val="002A7467"/>
    <w:rsid w:val="002B44A7"/>
    <w:rsid w:val="002C7455"/>
    <w:rsid w:val="002C77C6"/>
    <w:rsid w:val="002D4BDF"/>
    <w:rsid w:val="002E0381"/>
    <w:rsid w:val="002E1003"/>
    <w:rsid w:val="002E124C"/>
    <w:rsid w:val="002E1B1A"/>
    <w:rsid w:val="002E2191"/>
    <w:rsid w:val="002F41FA"/>
    <w:rsid w:val="00301AB4"/>
    <w:rsid w:val="00303D1D"/>
    <w:rsid w:val="00313107"/>
    <w:rsid w:val="003258A1"/>
    <w:rsid w:val="003340F9"/>
    <w:rsid w:val="00341AE5"/>
    <w:rsid w:val="003472C0"/>
    <w:rsid w:val="003565B2"/>
    <w:rsid w:val="0036221C"/>
    <w:rsid w:val="00371A74"/>
    <w:rsid w:val="00374251"/>
    <w:rsid w:val="003759E2"/>
    <w:rsid w:val="00385692"/>
    <w:rsid w:val="003A5729"/>
    <w:rsid w:val="003A7951"/>
    <w:rsid w:val="003B0A24"/>
    <w:rsid w:val="003C074C"/>
    <w:rsid w:val="003C46E6"/>
    <w:rsid w:val="003D3649"/>
    <w:rsid w:val="003D76EF"/>
    <w:rsid w:val="003E1778"/>
    <w:rsid w:val="003E3F67"/>
    <w:rsid w:val="003E42CC"/>
    <w:rsid w:val="003E661D"/>
    <w:rsid w:val="003F0DA1"/>
    <w:rsid w:val="003F4B8D"/>
    <w:rsid w:val="003F5EC2"/>
    <w:rsid w:val="003F6416"/>
    <w:rsid w:val="003F795E"/>
    <w:rsid w:val="004056BD"/>
    <w:rsid w:val="004064E3"/>
    <w:rsid w:val="004072BA"/>
    <w:rsid w:val="00416AB5"/>
    <w:rsid w:val="00424BD4"/>
    <w:rsid w:val="00455380"/>
    <w:rsid w:val="00463531"/>
    <w:rsid w:val="00465762"/>
    <w:rsid w:val="0047006C"/>
    <w:rsid w:val="004714AC"/>
    <w:rsid w:val="00472EDC"/>
    <w:rsid w:val="004900C2"/>
    <w:rsid w:val="004962BC"/>
    <w:rsid w:val="004A67C1"/>
    <w:rsid w:val="004B2DA2"/>
    <w:rsid w:val="004B5F84"/>
    <w:rsid w:val="004B6C16"/>
    <w:rsid w:val="004D5195"/>
    <w:rsid w:val="004E4850"/>
    <w:rsid w:val="004F4DC5"/>
    <w:rsid w:val="005107F8"/>
    <w:rsid w:val="00513965"/>
    <w:rsid w:val="005145D4"/>
    <w:rsid w:val="00514F74"/>
    <w:rsid w:val="00517BF7"/>
    <w:rsid w:val="005203FE"/>
    <w:rsid w:val="00524651"/>
    <w:rsid w:val="0054337A"/>
    <w:rsid w:val="00547D89"/>
    <w:rsid w:val="00560179"/>
    <w:rsid w:val="005758B3"/>
    <w:rsid w:val="00575EF5"/>
    <w:rsid w:val="005909EB"/>
    <w:rsid w:val="005A089A"/>
    <w:rsid w:val="005A272B"/>
    <w:rsid w:val="005A359E"/>
    <w:rsid w:val="005B22FD"/>
    <w:rsid w:val="005B416B"/>
    <w:rsid w:val="005B52DE"/>
    <w:rsid w:val="005B5632"/>
    <w:rsid w:val="005B73B7"/>
    <w:rsid w:val="005C2C2C"/>
    <w:rsid w:val="005D09D3"/>
    <w:rsid w:val="005D6C69"/>
    <w:rsid w:val="005E139E"/>
    <w:rsid w:val="005E24BB"/>
    <w:rsid w:val="005E5CCE"/>
    <w:rsid w:val="005F2626"/>
    <w:rsid w:val="005F2D8A"/>
    <w:rsid w:val="005F2E75"/>
    <w:rsid w:val="005F77BC"/>
    <w:rsid w:val="00602122"/>
    <w:rsid w:val="00602239"/>
    <w:rsid w:val="006028A9"/>
    <w:rsid w:val="0060446F"/>
    <w:rsid w:val="0061708D"/>
    <w:rsid w:val="0062428B"/>
    <w:rsid w:val="00626552"/>
    <w:rsid w:val="0062709E"/>
    <w:rsid w:val="00627AC6"/>
    <w:rsid w:val="0064378F"/>
    <w:rsid w:val="00647111"/>
    <w:rsid w:val="00655A69"/>
    <w:rsid w:val="00657E7E"/>
    <w:rsid w:val="00663348"/>
    <w:rsid w:val="00663A26"/>
    <w:rsid w:val="00664A39"/>
    <w:rsid w:val="00665E65"/>
    <w:rsid w:val="00670DAF"/>
    <w:rsid w:val="00692406"/>
    <w:rsid w:val="00693977"/>
    <w:rsid w:val="0069401F"/>
    <w:rsid w:val="00697928"/>
    <w:rsid w:val="006A38A0"/>
    <w:rsid w:val="006A471B"/>
    <w:rsid w:val="006B1941"/>
    <w:rsid w:val="006B73AC"/>
    <w:rsid w:val="006C055E"/>
    <w:rsid w:val="006C0870"/>
    <w:rsid w:val="006C51B8"/>
    <w:rsid w:val="006C5606"/>
    <w:rsid w:val="006D0435"/>
    <w:rsid w:val="006D3357"/>
    <w:rsid w:val="006D769F"/>
    <w:rsid w:val="006D7F19"/>
    <w:rsid w:val="006E6A40"/>
    <w:rsid w:val="006F6B33"/>
    <w:rsid w:val="007048E0"/>
    <w:rsid w:val="0070580A"/>
    <w:rsid w:val="007060EF"/>
    <w:rsid w:val="007104FD"/>
    <w:rsid w:val="00713BFA"/>
    <w:rsid w:val="00715061"/>
    <w:rsid w:val="00721B0F"/>
    <w:rsid w:val="00725AC0"/>
    <w:rsid w:val="00733910"/>
    <w:rsid w:val="007363F7"/>
    <w:rsid w:val="007435C7"/>
    <w:rsid w:val="007508D3"/>
    <w:rsid w:val="007721D1"/>
    <w:rsid w:val="00772530"/>
    <w:rsid w:val="00772C94"/>
    <w:rsid w:val="0079273E"/>
    <w:rsid w:val="007A0513"/>
    <w:rsid w:val="007A67F1"/>
    <w:rsid w:val="007B187A"/>
    <w:rsid w:val="007C37C0"/>
    <w:rsid w:val="007C4769"/>
    <w:rsid w:val="007D1085"/>
    <w:rsid w:val="007D2670"/>
    <w:rsid w:val="007D2EC4"/>
    <w:rsid w:val="007E5BE6"/>
    <w:rsid w:val="007E6122"/>
    <w:rsid w:val="007F55B2"/>
    <w:rsid w:val="007F7D01"/>
    <w:rsid w:val="00800C33"/>
    <w:rsid w:val="00807993"/>
    <w:rsid w:val="00812A62"/>
    <w:rsid w:val="0081594B"/>
    <w:rsid w:val="00822765"/>
    <w:rsid w:val="008248A6"/>
    <w:rsid w:val="00825FC0"/>
    <w:rsid w:val="008313E9"/>
    <w:rsid w:val="00840B4C"/>
    <w:rsid w:val="00842256"/>
    <w:rsid w:val="008434C0"/>
    <w:rsid w:val="008537AD"/>
    <w:rsid w:val="0085545B"/>
    <w:rsid w:val="00855674"/>
    <w:rsid w:val="00856253"/>
    <w:rsid w:val="00873725"/>
    <w:rsid w:val="00881F2F"/>
    <w:rsid w:val="0088202B"/>
    <w:rsid w:val="008A6E44"/>
    <w:rsid w:val="008B176C"/>
    <w:rsid w:val="008B27C3"/>
    <w:rsid w:val="008B319E"/>
    <w:rsid w:val="008B4B51"/>
    <w:rsid w:val="008D0300"/>
    <w:rsid w:val="008D24DD"/>
    <w:rsid w:val="008E27FE"/>
    <w:rsid w:val="008E7742"/>
    <w:rsid w:val="008F1940"/>
    <w:rsid w:val="008F3237"/>
    <w:rsid w:val="00905C17"/>
    <w:rsid w:val="00907B1F"/>
    <w:rsid w:val="00912D95"/>
    <w:rsid w:val="00924CEA"/>
    <w:rsid w:val="00932E5A"/>
    <w:rsid w:val="00933C65"/>
    <w:rsid w:val="0094167B"/>
    <w:rsid w:val="00944FEC"/>
    <w:rsid w:val="009534FD"/>
    <w:rsid w:val="00956170"/>
    <w:rsid w:val="00961BE0"/>
    <w:rsid w:val="00963317"/>
    <w:rsid w:val="00964037"/>
    <w:rsid w:val="00964CFD"/>
    <w:rsid w:val="00970C15"/>
    <w:rsid w:val="009778A0"/>
    <w:rsid w:val="00982B67"/>
    <w:rsid w:val="00983BB4"/>
    <w:rsid w:val="00984378"/>
    <w:rsid w:val="00985919"/>
    <w:rsid w:val="00994069"/>
    <w:rsid w:val="009951EE"/>
    <w:rsid w:val="009A331C"/>
    <w:rsid w:val="009B5CBF"/>
    <w:rsid w:val="009B7E2D"/>
    <w:rsid w:val="009C7A5A"/>
    <w:rsid w:val="009D0542"/>
    <w:rsid w:val="009D3909"/>
    <w:rsid w:val="009D4B20"/>
    <w:rsid w:val="009D50C2"/>
    <w:rsid w:val="009D5F47"/>
    <w:rsid w:val="00A027E8"/>
    <w:rsid w:val="00A07F6D"/>
    <w:rsid w:val="00A10B3B"/>
    <w:rsid w:val="00A11B2C"/>
    <w:rsid w:val="00A11DC7"/>
    <w:rsid w:val="00A13795"/>
    <w:rsid w:val="00A15F86"/>
    <w:rsid w:val="00A23E77"/>
    <w:rsid w:val="00A251CF"/>
    <w:rsid w:val="00A40F0B"/>
    <w:rsid w:val="00A439E1"/>
    <w:rsid w:val="00A471D2"/>
    <w:rsid w:val="00A50693"/>
    <w:rsid w:val="00A52784"/>
    <w:rsid w:val="00A57F98"/>
    <w:rsid w:val="00A62541"/>
    <w:rsid w:val="00A633C7"/>
    <w:rsid w:val="00A639D9"/>
    <w:rsid w:val="00A904B0"/>
    <w:rsid w:val="00A9102E"/>
    <w:rsid w:val="00A95100"/>
    <w:rsid w:val="00AA3208"/>
    <w:rsid w:val="00AB081A"/>
    <w:rsid w:val="00AB5659"/>
    <w:rsid w:val="00AE30D2"/>
    <w:rsid w:val="00AF73CA"/>
    <w:rsid w:val="00B02053"/>
    <w:rsid w:val="00B07C2E"/>
    <w:rsid w:val="00B14EB7"/>
    <w:rsid w:val="00B2410A"/>
    <w:rsid w:val="00B30306"/>
    <w:rsid w:val="00B3062B"/>
    <w:rsid w:val="00B45017"/>
    <w:rsid w:val="00B51078"/>
    <w:rsid w:val="00B54165"/>
    <w:rsid w:val="00B61630"/>
    <w:rsid w:val="00B637F6"/>
    <w:rsid w:val="00B64030"/>
    <w:rsid w:val="00B64B91"/>
    <w:rsid w:val="00B655EE"/>
    <w:rsid w:val="00B701EE"/>
    <w:rsid w:val="00B736C1"/>
    <w:rsid w:val="00B73D58"/>
    <w:rsid w:val="00B75912"/>
    <w:rsid w:val="00B828FF"/>
    <w:rsid w:val="00B916CA"/>
    <w:rsid w:val="00B9218C"/>
    <w:rsid w:val="00B93DE9"/>
    <w:rsid w:val="00BA22EC"/>
    <w:rsid w:val="00BA28EE"/>
    <w:rsid w:val="00BA5CCB"/>
    <w:rsid w:val="00BA75A4"/>
    <w:rsid w:val="00BB2651"/>
    <w:rsid w:val="00BB337E"/>
    <w:rsid w:val="00BB4EB6"/>
    <w:rsid w:val="00BC4178"/>
    <w:rsid w:val="00BC64F3"/>
    <w:rsid w:val="00BD29A3"/>
    <w:rsid w:val="00BD6622"/>
    <w:rsid w:val="00BE7F3D"/>
    <w:rsid w:val="00BF120B"/>
    <w:rsid w:val="00C035BA"/>
    <w:rsid w:val="00C06EBF"/>
    <w:rsid w:val="00C12243"/>
    <w:rsid w:val="00C15DCE"/>
    <w:rsid w:val="00C16513"/>
    <w:rsid w:val="00C17D49"/>
    <w:rsid w:val="00C3498E"/>
    <w:rsid w:val="00C35FFC"/>
    <w:rsid w:val="00C517F6"/>
    <w:rsid w:val="00C550DA"/>
    <w:rsid w:val="00C61BF2"/>
    <w:rsid w:val="00C677B7"/>
    <w:rsid w:val="00C80599"/>
    <w:rsid w:val="00C82693"/>
    <w:rsid w:val="00C82A45"/>
    <w:rsid w:val="00C840FB"/>
    <w:rsid w:val="00C96EE8"/>
    <w:rsid w:val="00CA19F2"/>
    <w:rsid w:val="00CA7BC6"/>
    <w:rsid w:val="00CA7BD3"/>
    <w:rsid w:val="00CB1CFE"/>
    <w:rsid w:val="00CB515D"/>
    <w:rsid w:val="00CC452F"/>
    <w:rsid w:val="00CD047B"/>
    <w:rsid w:val="00CD15F1"/>
    <w:rsid w:val="00CD5AC3"/>
    <w:rsid w:val="00CF3B17"/>
    <w:rsid w:val="00CF4DC3"/>
    <w:rsid w:val="00D03899"/>
    <w:rsid w:val="00D04C47"/>
    <w:rsid w:val="00D05A47"/>
    <w:rsid w:val="00D07016"/>
    <w:rsid w:val="00D13190"/>
    <w:rsid w:val="00D21F96"/>
    <w:rsid w:val="00D23354"/>
    <w:rsid w:val="00D25D79"/>
    <w:rsid w:val="00D279B6"/>
    <w:rsid w:val="00D34090"/>
    <w:rsid w:val="00D35EC0"/>
    <w:rsid w:val="00D4637E"/>
    <w:rsid w:val="00D47AD7"/>
    <w:rsid w:val="00D50733"/>
    <w:rsid w:val="00D50D13"/>
    <w:rsid w:val="00D60442"/>
    <w:rsid w:val="00D66BC0"/>
    <w:rsid w:val="00D71B06"/>
    <w:rsid w:val="00D815A6"/>
    <w:rsid w:val="00D879D5"/>
    <w:rsid w:val="00D94FE9"/>
    <w:rsid w:val="00DA6A8B"/>
    <w:rsid w:val="00DC1D8D"/>
    <w:rsid w:val="00DD18FA"/>
    <w:rsid w:val="00DD5B0A"/>
    <w:rsid w:val="00DD6660"/>
    <w:rsid w:val="00DF09A6"/>
    <w:rsid w:val="00DF1159"/>
    <w:rsid w:val="00DF5C96"/>
    <w:rsid w:val="00DF6C42"/>
    <w:rsid w:val="00E0244F"/>
    <w:rsid w:val="00E15A4D"/>
    <w:rsid w:val="00E174EB"/>
    <w:rsid w:val="00E2090B"/>
    <w:rsid w:val="00E233A8"/>
    <w:rsid w:val="00E2631B"/>
    <w:rsid w:val="00E33BAD"/>
    <w:rsid w:val="00E41BD1"/>
    <w:rsid w:val="00E4210F"/>
    <w:rsid w:val="00E4407E"/>
    <w:rsid w:val="00E465D4"/>
    <w:rsid w:val="00E54378"/>
    <w:rsid w:val="00E613B2"/>
    <w:rsid w:val="00E75728"/>
    <w:rsid w:val="00E8129D"/>
    <w:rsid w:val="00E83E86"/>
    <w:rsid w:val="00E87011"/>
    <w:rsid w:val="00E8787F"/>
    <w:rsid w:val="00EA043E"/>
    <w:rsid w:val="00EA0832"/>
    <w:rsid w:val="00EB0BD6"/>
    <w:rsid w:val="00EB6DB2"/>
    <w:rsid w:val="00EC346C"/>
    <w:rsid w:val="00EC461C"/>
    <w:rsid w:val="00ED2ADE"/>
    <w:rsid w:val="00EE1DDD"/>
    <w:rsid w:val="00EF4725"/>
    <w:rsid w:val="00F0464A"/>
    <w:rsid w:val="00F10685"/>
    <w:rsid w:val="00F10B91"/>
    <w:rsid w:val="00F15399"/>
    <w:rsid w:val="00F21D02"/>
    <w:rsid w:val="00F22493"/>
    <w:rsid w:val="00F2261A"/>
    <w:rsid w:val="00F3013E"/>
    <w:rsid w:val="00F33519"/>
    <w:rsid w:val="00F36537"/>
    <w:rsid w:val="00F367D8"/>
    <w:rsid w:val="00F41110"/>
    <w:rsid w:val="00F455EA"/>
    <w:rsid w:val="00F5109A"/>
    <w:rsid w:val="00F51372"/>
    <w:rsid w:val="00F5734D"/>
    <w:rsid w:val="00F67F40"/>
    <w:rsid w:val="00F7242B"/>
    <w:rsid w:val="00F72A8E"/>
    <w:rsid w:val="00F74C70"/>
    <w:rsid w:val="00F803A4"/>
    <w:rsid w:val="00F87F60"/>
    <w:rsid w:val="00F90EDE"/>
    <w:rsid w:val="00F91CAF"/>
    <w:rsid w:val="00F92035"/>
    <w:rsid w:val="00F9665C"/>
    <w:rsid w:val="00FA6047"/>
    <w:rsid w:val="00FA6089"/>
    <w:rsid w:val="00FB14C5"/>
    <w:rsid w:val="00FB1F66"/>
    <w:rsid w:val="00FC0381"/>
    <w:rsid w:val="00FC080A"/>
    <w:rsid w:val="00FC4F72"/>
    <w:rsid w:val="00FD0772"/>
    <w:rsid w:val="00FD5B9E"/>
    <w:rsid w:val="00FE17CE"/>
    <w:rsid w:val="00FE2C8D"/>
    <w:rsid w:val="00FE68B7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AE94"/>
  <w15:chartTrackingRefBased/>
  <w15:docId w15:val="{A722D7B0-66EE-4E19-BC4F-AAD009C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195"/>
  </w:style>
  <w:style w:type="paragraph" w:styleId="Footer">
    <w:name w:val="footer"/>
    <w:basedOn w:val="Normal"/>
    <w:link w:val="FooterChar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195"/>
  </w:style>
  <w:style w:type="paragraph" w:styleId="BalloonText">
    <w:name w:val="Balloon Text"/>
    <w:basedOn w:val="Normal"/>
    <w:link w:val="BalloonTextChar"/>
    <w:uiPriority w:val="99"/>
    <w:semiHidden/>
    <w:unhideWhenUsed/>
    <w:rsid w:val="00BE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1EE"/>
    <w:rPr>
      <w:b/>
      <w:bCs/>
      <w:sz w:val="20"/>
      <w:szCs w:val="20"/>
    </w:rPr>
  </w:style>
  <w:style w:type="paragraph" w:styleId="NoSpacing">
    <w:name w:val="No Spacing"/>
    <w:uiPriority w:val="1"/>
    <w:qFormat/>
    <w:rsid w:val="008F323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EA88-8EEB-41E9-A45E-2DD9B3AE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Айкимбаев</dc:creator>
  <cp:keywords/>
  <dc:description/>
  <cp:lastModifiedBy>Аида Ахметова</cp:lastModifiedBy>
  <cp:revision>16</cp:revision>
  <cp:lastPrinted>2026-04-28T06:39:00Z</cp:lastPrinted>
  <dcterms:created xsi:type="dcterms:W3CDTF">2026-04-28T10:11:00Z</dcterms:created>
  <dcterms:modified xsi:type="dcterms:W3CDTF">2026-06-23T12:56:00Z</dcterms:modified>
</cp:coreProperties>
</file>