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31" w:rsidRPr="00394EE2" w:rsidRDefault="000F1031" w:rsidP="00F30DD6">
      <w:pPr>
        <w:spacing w:after="0" w:line="240" w:lineRule="auto"/>
        <w:jc w:val="center"/>
        <w:rPr>
          <w:rFonts w:ascii="Times New Roman" w:eastAsia="Times New Roman" w:hAnsi="Times New Roman" w:cs="Times New Roman"/>
          <w:b/>
          <w:sz w:val="24"/>
          <w:szCs w:val="24"/>
          <w:lang w:val="kk-KZ"/>
        </w:rPr>
      </w:pPr>
      <w:r w:rsidRPr="00394EE2">
        <w:rPr>
          <w:rFonts w:ascii="Times New Roman" w:eastAsia="Times New Roman" w:hAnsi="Times New Roman" w:cs="Times New Roman"/>
          <w:b/>
          <w:sz w:val="24"/>
          <w:szCs w:val="24"/>
          <w:lang w:val="kk-KZ"/>
        </w:rPr>
        <w:t>«Ашық НҚА» интернет-порталында орналастыру үшін</w:t>
      </w:r>
    </w:p>
    <w:p w:rsidR="00A55CC2" w:rsidRPr="00A55CC2" w:rsidRDefault="00891F4A" w:rsidP="00A55CC2">
      <w:pPr>
        <w:spacing w:after="0" w:line="240" w:lineRule="auto"/>
        <w:jc w:val="center"/>
        <w:rPr>
          <w:rFonts w:ascii="Times New Roman" w:eastAsia="Times New Roman" w:hAnsi="Times New Roman" w:cs="Times New Roman"/>
          <w:b/>
          <w:sz w:val="24"/>
          <w:szCs w:val="24"/>
          <w:lang w:val="kk-KZ"/>
        </w:rPr>
      </w:pPr>
      <w:r w:rsidRPr="00394EE2">
        <w:rPr>
          <w:rFonts w:ascii="Times New Roman" w:eastAsia="Times New Roman" w:hAnsi="Times New Roman" w:cs="Times New Roman"/>
          <w:b/>
          <w:sz w:val="24"/>
          <w:szCs w:val="24"/>
          <w:lang w:val="kk-KZ"/>
        </w:rPr>
        <w:t>«</w:t>
      </w:r>
      <w:r w:rsidR="00A55CC2" w:rsidRPr="00A55CC2">
        <w:rPr>
          <w:rFonts w:ascii="Times New Roman" w:eastAsia="Times New Roman" w:hAnsi="Times New Roman" w:cs="Times New Roman"/>
          <w:b/>
          <w:sz w:val="24"/>
          <w:szCs w:val="24"/>
          <w:lang w:val="kk-KZ"/>
        </w:rPr>
        <w:t xml:space="preserve">Қазақстан Республикасы Ұлттық Банкі Басқармасының </w:t>
      </w:r>
    </w:p>
    <w:p w:rsidR="00A55CC2" w:rsidRPr="00A55CC2" w:rsidRDefault="00A55CC2" w:rsidP="00A55CC2">
      <w:pPr>
        <w:spacing w:after="0" w:line="240" w:lineRule="auto"/>
        <w:jc w:val="center"/>
        <w:rPr>
          <w:rFonts w:ascii="Times New Roman" w:eastAsia="Times New Roman" w:hAnsi="Times New Roman" w:cs="Times New Roman"/>
          <w:b/>
          <w:sz w:val="24"/>
          <w:szCs w:val="24"/>
          <w:lang w:val="kk-KZ"/>
        </w:rPr>
      </w:pPr>
      <w:r w:rsidRPr="00A55CC2">
        <w:rPr>
          <w:rFonts w:ascii="Times New Roman" w:eastAsia="Times New Roman" w:hAnsi="Times New Roman" w:cs="Times New Roman"/>
          <w:b/>
          <w:sz w:val="24"/>
          <w:szCs w:val="24"/>
          <w:lang w:val="kk-KZ"/>
        </w:rPr>
        <w:t xml:space="preserve">кейбір қаулыларына валюталық реттеу мәселелері бойынша </w:t>
      </w:r>
    </w:p>
    <w:p w:rsidR="00232BDC" w:rsidRPr="00394EE2" w:rsidRDefault="00A55CC2" w:rsidP="00A55CC2">
      <w:pPr>
        <w:spacing w:after="0" w:line="240" w:lineRule="auto"/>
        <w:jc w:val="center"/>
        <w:rPr>
          <w:rFonts w:ascii="Times New Roman" w:eastAsia="Times New Roman" w:hAnsi="Times New Roman" w:cs="Times New Roman"/>
          <w:b/>
          <w:sz w:val="24"/>
          <w:szCs w:val="24"/>
          <w:lang w:val="kk-KZ"/>
        </w:rPr>
      </w:pPr>
      <w:r w:rsidRPr="00A55CC2">
        <w:rPr>
          <w:rFonts w:ascii="Times New Roman" w:eastAsia="Times New Roman" w:hAnsi="Times New Roman" w:cs="Times New Roman"/>
          <w:b/>
          <w:sz w:val="24"/>
          <w:szCs w:val="24"/>
          <w:lang w:val="kk-KZ"/>
        </w:rPr>
        <w:t>өзгерістер мен толықтыру енгізу туралы</w:t>
      </w:r>
      <w:r w:rsidR="00891F4A" w:rsidRPr="00394EE2">
        <w:rPr>
          <w:rFonts w:ascii="Times New Roman" w:eastAsia="Times New Roman" w:hAnsi="Times New Roman" w:cs="Times New Roman"/>
          <w:b/>
          <w:sz w:val="24"/>
          <w:szCs w:val="24"/>
          <w:lang w:val="kk-KZ"/>
        </w:rPr>
        <w:t xml:space="preserve">» </w:t>
      </w:r>
      <w:r w:rsidR="00232BDC" w:rsidRPr="00394EE2">
        <w:rPr>
          <w:rFonts w:ascii="Times New Roman" w:eastAsia="Times New Roman" w:hAnsi="Times New Roman" w:cs="Times New Roman"/>
          <w:b/>
          <w:sz w:val="24"/>
          <w:szCs w:val="24"/>
          <w:lang w:val="kk-KZ"/>
        </w:rPr>
        <w:t>Қазақстан Республикасы Ұлттық Банкі Басқармасының қаулысының жобасына</w:t>
      </w:r>
    </w:p>
    <w:p w:rsidR="000F1031" w:rsidRPr="00394EE2" w:rsidRDefault="00232BDC" w:rsidP="00F30DD6">
      <w:pPr>
        <w:spacing w:after="0" w:line="240" w:lineRule="auto"/>
        <w:jc w:val="center"/>
        <w:rPr>
          <w:rFonts w:ascii="Times New Roman" w:eastAsia="Times New Roman" w:hAnsi="Times New Roman" w:cs="Times New Roman"/>
          <w:b/>
          <w:sz w:val="24"/>
          <w:szCs w:val="24"/>
          <w:lang w:val="kk-KZ"/>
        </w:rPr>
      </w:pPr>
      <w:r w:rsidRPr="00394EE2">
        <w:rPr>
          <w:rFonts w:ascii="Times New Roman" w:eastAsia="Times New Roman" w:hAnsi="Times New Roman" w:cs="Times New Roman"/>
          <w:b/>
          <w:sz w:val="24"/>
          <w:szCs w:val="24"/>
          <w:lang w:val="kk-KZ"/>
        </w:rPr>
        <w:t>АҚПАРАТТЫҚ КЕСТЕ</w:t>
      </w:r>
    </w:p>
    <w:p w:rsidR="003C3AF0" w:rsidRPr="00394EE2" w:rsidRDefault="003C3AF0" w:rsidP="00F30DD6">
      <w:pPr>
        <w:spacing w:after="0" w:line="240" w:lineRule="auto"/>
        <w:rPr>
          <w:rFonts w:ascii="Times New Roman" w:hAnsi="Times New Roman" w:cs="Times New Roman"/>
          <w:sz w:val="24"/>
          <w:szCs w:val="24"/>
          <w:lang w:val="kk-KZ"/>
        </w:rPr>
      </w:pPr>
    </w:p>
    <w:p w:rsidR="00232BDC" w:rsidRPr="00394EE2" w:rsidRDefault="00232BDC" w:rsidP="00F30DD6">
      <w:pPr>
        <w:spacing w:after="0" w:line="240" w:lineRule="auto"/>
        <w:rPr>
          <w:rFonts w:ascii="Times New Roman" w:hAnsi="Times New Roman" w:cs="Times New Roman"/>
          <w:sz w:val="24"/>
          <w:szCs w:val="24"/>
          <w:lang w:val="kk-KZ"/>
        </w:rPr>
      </w:pPr>
    </w:p>
    <w:tbl>
      <w:tblPr>
        <w:tblW w:w="55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976"/>
        <w:gridCol w:w="7230"/>
      </w:tblGrid>
      <w:tr w:rsidR="000F1031" w:rsidRPr="00394EE2" w:rsidTr="00E07397">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1.</w:t>
            </w:r>
          </w:p>
        </w:tc>
        <w:tc>
          <w:tcPr>
            <w:tcW w:w="1381" w:type="pct"/>
          </w:tcPr>
          <w:p w:rsidR="00232BDC"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 xml:space="preserve">НҚА-нің жобасының атауы </w:t>
            </w:r>
          </w:p>
          <w:p w:rsidR="000F1031" w:rsidRPr="00394EE2" w:rsidRDefault="000F1031" w:rsidP="00F30DD6">
            <w:pPr>
              <w:spacing w:after="0" w:line="240" w:lineRule="auto"/>
              <w:jc w:val="both"/>
              <w:rPr>
                <w:rFonts w:ascii="Times New Roman" w:hAnsi="Times New Roman" w:cs="Times New Roman"/>
                <w:i/>
                <w:sz w:val="24"/>
                <w:szCs w:val="24"/>
                <w:lang w:val="kk-KZ"/>
              </w:rPr>
            </w:pPr>
            <w:r w:rsidRPr="00394EE2">
              <w:rPr>
                <w:rFonts w:ascii="Times New Roman" w:hAnsi="Times New Roman" w:cs="Times New Roman"/>
                <w:i/>
                <w:sz w:val="24"/>
                <w:szCs w:val="24"/>
                <w:lang w:val="kk-KZ"/>
              </w:rPr>
              <w:t>(НҚА түрін көрсете отырып)</w:t>
            </w:r>
          </w:p>
        </w:tc>
        <w:tc>
          <w:tcPr>
            <w:tcW w:w="3355" w:type="pct"/>
          </w:tcPr>
          <w:p w:rsidR="000F1031" w:rsidRPr="00394EE2" w:rsidRDefault="00891F4A" w:rsidP="001B7C4D">
            <w:pPr>
              <w:spacing w:after="0" w:line="240" w:lineRule="auto"/>
              <w:ind w:firstLine="325"/>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w:t>
            </w:r>
            <w:r w:rsidR="00B84217" w:rsidRPr="00394EE2">
              <w:rPr>
                <w:rFonts w:ascii="Times New Roman" w:hAnsi="Times New Roman" w:cs="Times New Roman"/>
                <w:sz w:val="24"/>
                <w:szCs w:val="24"/>
                <w:lang w:val="kk-KZ"/>
              </w:rPr>
              <w:t>Қазақстан Республикасы Ұлттық Банкі Басқармасының кейбір қаулыларына валюталық реттеу</w:t>
            </w:r>
            <w:bookmarkStart w:id="0" w:name="_GoBack"/>
            <w:bookmarkEnd w:id="0"/>
            <w:r w:rsidR="00E904E7" w:rsidRPr="00394EE2">
              <w:rPr>
                <w:rFonts w:ascii="Times New Roman" w:hAnsi="Times New Roman" w:cs="Times New Roman"/>
                <w:sz w:val="24"/>
                <w:szCs w:val="24"/>
                <w:lang w:val="kk-KZ"/>
              </w:rPr>
              <w:t xml:space="preserve"> </w:t>
            </w:r>
            <w:r w:rsidR="00B84217" w:rsidRPr="00394EE2">
              <w:rPr>
                <w:rFonts w:ascii="Times New Roman" w:hAnsi="Times New Roman" w:cs="Times New Roman"/>
                <w:sz w:val="24"/>
                <w:szCs w:val="24"/>
                <w:lang w:val="kk-KZ"/>
              </w:rPr>
              <w:t>мәселелері бойынша өзгерістер</w:t>
            </w:r>
            <w:r w:rsidR="00DB63ED">
              <w:t xml:space="preserve"> </w:t>
            </w:r>
            <w:r w:rsidR="00DB63ED" w:rsidRPr="00DB63ED">
              <w:rPr>
                <w:rFonts w:ascii="Times New Roman" w:hAnsi="Times New Roman" w:cs="Times New Roman"/>
                <w:sz w:val="24"/>
                <w:szCs w:val="24"/>
                <w:lang w:val="kk-KZ"/>
              </w:rPr>
              <w:t>мен толықтыру</w:t>
            </w:r>
            <w:r w:rsidR="00B84217" w:rsidRPr="00394EE2">
              <w:rPr>
                <w:rFonts w:ascii="Times New Roman" w:hAnsi="Times New Roman" w:cs="Times New Roman"/>
                <w:sz w:val="24"/>
                <w:szCs w:val="24"/>
                <w:lang w:val="kk-KZ"/>
              </w:rPr>
              <w:t xml:space="preserve"> енгізу туралы</w:t>
            </w:r>
            <w:r w:rsidRPr="00394EE2">
              <w:rPr>
                <w:rFonts w:ascii="Times New Roman" w:hAnsi="Times New Roman" w:cs="Times New Roman"/>
                <w:sz w:val="24"/>
                <w:szCs w:val="24"/>
                <w:lang w:val="kk-KZ"/>
              </w:rPr>
              <w:t xml:space="preserve">» </w:t>
            </w:r>
            <w:r w:rsidR="00232BDC" w:rsidRPr="00394EE2">
              <w:rPr>
                <w:rFonts w:ascii="Times New Roman" w:hAnsi="Times New Roman" w:cs="Times New Roman"/>
                <w:sz w:val="24"/>
                <w:szCs w:val="24"/>
                <w:lang w:val="kk-KZ"/>
              </w:rPr>
              <w:t>Қазақстан Республикасы Ұлттық Банкі Басқармасының қаулысы</w:t>
            </w:r>
            <w:r w:rsidR="0062350F" w:rsidRPr="00394EE2">
              <w:rPr>
                <w:rFonts w:ascii="Times New Roman" w:hAnsi="Times New Roman" w:cs="Times New Roman"/>
                <w:sz w:val="24"/>
                <w:szCs w:val="24"/>
                <w:lang w:val="kk-KZ"/>
              </w:rPr>
              <w:t xml:space="preserve"> (бұдан әрі - Жоба)</w:t>
            </w:r>
          </w:p>
        </w:tc>
      </w:tr>
      <w:tr w:rsidR="000F1031" w:rsidRPr="00394EE2" w:rsidTr="00E07397">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2.</w:t>
            </w:r>
          </w:p>
        </w:tc>
        <w:tc>
          <w:tcPr>
            <w:tcW w:w="1381" w:type="pct"/>
          </w:tcPr>
          <w:p w:rsidR="000F1031"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Мемлекеттік орган – әзірлеуші</w:t>
            </w:r>
          </w:p>
        </w:tc>
        <w:tc>
          <w:tcPr>
            <w:tcW w:w="3355" w:type="pct"/>
          </w:tcPr>
          <w:p w:rsidR="000F1031" w:rsidRPr="00394EE2" w:rsidRDefault="000F1031" w:rsidP="00F30DD6">
            <w:pPr>
              <w:spacing w:after="0" w:line="240" w:lineRule="auto"/>
              <w:ind w:firstLine="325"/>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Қазақст</w:t>
            </w:r>
            <w:r w:rsidR="00723253" w:rsidRPr="00394EE2">
              <w:rPr>
                <w:rFonts w:ascii="Times New Roman" w:hAnsi="Times New Roman" w:cs="Times New Roman"/>
                <w:sz w:val="24"/>
                <w:szCs w:val="24"/>
                <w:lang w:val="kk-KZ"/>
              </w:rPr>
              <w:t>ан Республикасының Ұлттық Банкі</w:t>
            </w:r>
          </w:p>
        </w:tc>
      </w:tr>
      <w:tr w:rsidR="000F1031" w:rsidRPr="00394EE2" w:rsidTr="00E07397">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3.</w:t>
            </w:r>
          </w:p>
        </w:tc>
        <w:tc>
          <w:tcPr>
            <w:tcW w:w="1381" w:type="pct"/>
          </w:tcPr>
          <w:p w:rsidR="00232BDC"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 xml:space="preserve">НҚА-нiң жобасын әзiрлеудiң негiздерi </w:t>
            </w:r>
          </w:p>
          <w:p w:rsidR="000F1031"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i/>
                <w:sz w:val="24"/>
                <w:szCs w:val="24"/>
                <w:lang w:val="kk-KZ"/>
              </w:rPr>
              <w:t>(тиiстi НҚА-ге немесе нұсқауға (бар болса) сілтеме жасай отырып)</w:t>
            </w:r>
          </w:p>
        </w:tc>
        <w:tc>
          <w:tcPr>
            <w:tcW w:w="3355" w:type="pct"/>
          </w:tcPr>
          <w:p w:rsidR="00A55CC2" w:rsidRPr="00A55CC2" w:rsidRDefault="00A55CC2" w:rsidP="00A55CC2">
            <w:pPr>
              <w:pStyle w:val="a4"/>
              <w:tabs>
                <w:tab w:val="left" w:pos="454"/>
              </w:tabs>
              <w:ind w:left="0" w:firstLine="323"/>
              <w:jc w:val="both"/>
              <w:rPr>
                <w:bCs/>
                <w:lang w:val="kk-KZ"/>
              </w:rPr>
            </w:pPr>
            <w:r w:rsidRPr="00A55CC2">
              <w:rPr>
                <w:bCs/>
                <w:lang w:val="kk-KZ"/>
              </w:rPr>
              <w:t>Жоба қаржылық инфрақұрылымды одан әрі дамытуға, цифрлық қаржы активтерін қолдану мүмкіндіктерін кеңейтуге және халықаралық есеп айырысудың инновациялық тетіктерін енгізуге жәрдемдесу мақсатында әзірленді.</w:t>
            </w:r>
          </w:p>
          <w:p w:rsidR="00A55CC2" w:rsidRPr="00A55CC2" w:rsidRDefault="00A55CC2" w:rsidP="00A55CC2">
            <w:pPr>
              <w:pStyle w:val="a4"/>
              <w:tabs>
                <w:tab w:val="left" w:pos="454"/>
              </w:tabs>
              <w:ind w:left="0" w:firstLine="323"/>
              <w:jc w:val="both"/>
              <w:rPr>
                <w:bCs/>
                <w:lang w:val="kk-KZ"/>
              </w:rPr>
            </w:pPr>
            <w:r w:rsidRPr="00A55CC2">
              <w:rPr>
                <w:bCs/>
                <w:lang w:val="kk-KZ"/>
              </w:rPr>
              <w:t>Қазіргі уақытта Ұлттық Банктің арнайы реттеушілік ортасында (реттеушілік құмсалғышында) цифрлық қаржы активтерін және өзге де заманауи қаржы құралдарын пайдалана отырып, сыртқы экономикалық операциялар бойынша есеп айырысуларды жүзеге асыру тетіктері сынақтан өткізілуде.</w:t>
            </w:r>
          </w:p>
          <w:p w:rsidR="00232BDC" w:rsidRPr="00394EE2" w:rsidRDefault="00A55CC2" w:rsidP="00A55CC2">
            <w:pPr>
              <w:pStyle w:val="a4"/>
              <w:tabs>
                <w:tab w:val="left" w:pos="454"/>
              </w:tabs>
              <w:ind w:left="0" w:firstLine="323"/>
              <w:jc w:val="both"/>
              <w:rPr>
                <w:bCs/>
                <w:lang w:val="kk-KZ"/>
              </w:rPr>
            </w:pPr>
            <w:r w:rsidRPr="00A55CC2">
              <w:rPr>
                <w:bCs/>
                <w:lang w:val="kk-KZ"/>
              </w:rPr>
              <w:t>Осыған байланысты Жобада пилоттық жобаларға қатысушылардың қызмет ерекшеліктерін ескере отырып, қолма-қол ақшасыз шетел валютасын сатып алуға байланысты жекелеген рәсімдерді нақтылау ұсынылады.</w:t>
            </w:r>
          </w:p>
        </w:tc>
      </w:tr>
      <w:tr w:rsidR="000F1031" w:rsidRPr="00394EE2" w:rsidTr="00E07397">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4.</w:t>
            </w:r>
          </w:p>
        </w:tc>
        <w:tc>
          <w:tcPr>
            <w:tcW w:w="1381" w:type="pct"/>
          </w:tcPr>
          <w:p w:rsidR="000F1031"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НҚА-нің жобасының қысқаша мазмұны, негізгі ережелерінің сипаттамасы</w:t>
            </w:r>
          </w:p>
        </w:tc>
        <w:tc>
          <w:tcPr>
            <w:tcW w:w="3355" w:type="pct"/>
          </w:tcPr>
          <w:p w:rsidR="00A55CC2" w:rsidRPr="00A55CC2" w:rsidRDefault="00A55CC2" w:rsidP="00A55CC2">
            <w:pPr>
              <w:spacing w:after="0" w:line="240" w:lineRule="auto"/>
              <w:ind w:firstLine="325"/>
              <w:contextualSpacing/>
              <w:jc w:val="both"/>
              <w:rPr>
                <w:rFonts w:ascii="Times New Roman" w:hAnsi="Times New Roman" w:cs="Times New Roman"/>
                <w:sz w:val="24"/>
                <w:szCs w:val="24"/>
                <w:lang w:val="kk-KZ"/>
              </w:rPr>
            </w:pPr>
            <w:r w:rsidRPr="00A55CC2">
              <w:rPr>
                <w:rFonts w:ascii="Times New Roman" w:hAnsi="Times New Roman" w:cs="Times New Roman"/>
                <w:sz w:val="24"/>
                <w:szCs w:val="24"/>
                <w:lang w:val="kk-KZ"/>
              </w:rPr>
              <w:t>Жобада мынадай өзгерістер көзделген:</w:t>
            </w:r>
          </w:p>
          <w:p w:rsidR="00A55CC2" w:rsidRPr="00A55CC2" w:rsidRDefault="00A55CC2" w:rsidP="00A55CC2">
            <w:pPr>
              <w:spacing w:after="0" w:line="240" w:lineRule="auto"/>
              <w:ind w:firstLine="325"/>
              <w:contextualSpacing/>
              <w:jc w:val="both"/>
              <w:rPr>
                <w:rFonts w:ascii="Times New Roman" w:hAnsi="Times New Roman" w:cs="Times New Roman"/>
                <w:sz w:val="24"/>
                <w:szCs w:val="24"/>
                <w:lang w:val="kk-KZ"/>
              </w:rPr>
            </w:pPr>
            <w:r w:rsidRPr="00A55CC2">
              <w:rPr>
                <w:rFonts w:ascii="Times New Roman" w:hAnsi="Times New Roman" w:cs="Times New Roman"/>
                <w:sz w:val="24"/>
                <w:szCs w:val="24"/>
                <w:lang w:val="kk-KZ"/>
              </w:rPr>
              <w:t>1) арнайы реттеушілік ортада трансшекаралық есеп айырысуларды жүзеге асыруға қатысатын резидент-заңды тұлғаларға қолма-қол ақшасыз шетел валютасын сатып алу кезінде сыртқы экономикалық міндеттемелерінің бар екенін экспорт немесе импорт бойынша валюталық шарттың есептік нөмірі туралы ақпаратты ұсыну арқылы растау мүмкіндігін беру. Бұл ретте көрсетілген есептік нөмірдің бар болуы мен жарамдылығы уәкілетті банк тарапынан Ұлттық Банктің ақпараттық жүйесі арқылы тексеріледі;</w:t>
            </w:r>
          </w:p>
          <w:p w:rsidR="0062350F" w:rsidRPr="00394EE2" w:rsidRDefault="00A55CC2" w:rsidP="00A55CC2">
            <w:pPr>
              <w:spacing w:after="0" w:line="240" w:lineRule="auto"/>
              <w:ind w:firstLine="325"/>
              <w:contextualSpacing/>
              <w:jc w:val="both"/>
              <w:rPr>
                <w:rFonts w:ascii="Times New Roman" w:hAnsi="Times New Roman" w:cs="Times New Roman"/>
                <w:sz w:val="24"/>
                <w:szCs w:val="24"/>
                <w:lang w:val="kk-KZ"/>
              </w:rPr>
            </w:pPr>
            <w:r w:rsidRPr="00A55CC2">
              <w:rPr>
                <w:rFonts w:ascii="Times New Roman" w:hAnsi="Times New Roman" w:cs="Times New Roman"/>
                <w:sz w:val="24"/>
                <w:szCs w:val="24"/>
                <w:lang w:val="kk-KZ"/>
              </w:rPr>
              <w:t>2) есептіліктің жекелеген нысандарын толтыру жөніндегі түсіндірмелерді нақтылауға бағытталған редакциялық түзетулер енгізу.</w:t>
            </w:r>
          </w:p>
        </w:tc>
      </w:tr>
      <w:tr w:rsidR="000F1031" w:rsidRPr="00394EE2" w:rsidTr="00E07397">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5.</w:t>
            </w:r>
          </w:p>
        </w:tc>
        <w:tc>
          <w:tcPr>
            <w:tcW w:w="1381" w:type="pct"/>
          </w:tcPr>
          <w:p w:rsidR="000F1031"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Нақты мақсаттар мен күтілетін нәтижелердің мерзімдері</w:t>
            </w:r>
          </w:p>
        </w:tc>
        <w:tc>
          <w:tcPr>
            <w:tcW w:w="3355" w:type="pct"/>
          </w:tcPr>
          <w:p w:rsidR="000F1031" w:rsidRPr="00394EE2" w:rsidRDefault="00A55CC2" w:rsidP="000E64FC">
            <w:pPr>
              <w:tabs>
                <w:tab w:val="left" w:pos="709"/>
              </w:tabs>
              <w:spacing w:after="0" w:line="240" w:lineRule="auto"/>
              <w:ind w:firstLine="325"/>
              <w:jc w:val="both"/>
              <w:rPr>
                <w:rFonts w:ascii="Times New Roman" w:hAnsi="Times New Roman" w:cs="Times New Roman"/>
                <w:sz w:val="24"/>
                <w:szCs w:val="24"/>
                <w:lang w:val="kk-KZ"/>
              </w:rPr>
            </w:pPr>
            <w:r w:rsidRPr="00A55CC2">
              <w:rPr>
                <w:rFonts w:ascii="Times New Roman" w:hAnsi="Times New Roman" w:cs="Times New Roman"/>
                <w:sz w:val="24"/>
                <w:szCs w:val="24"/>
                <w:lang w:val="kk-KZ"/>
              </w:rPr>
              <w:t>Аталған шаралардың нәтижелері Жоба ресми жарияланған күннен кейін күнтізбелік он күн өткен соң қолданысқа енгізілген сәттен бастап күтіледі.</w:t>
            </w:r>
          </w:p>
        </w:tc>
      </w:tr>
      <w:tr w:rsidR="000F1031" w:rsidRPr="000E64FC" w:rsidTr="00E07397">
        <w:trPr>
          <w:trHeight w:val="1461"/>
        </w:trPr>
        <w:tc>
          <w:tcPr>
            <w:tcW w:w="264" w:type="pct"/>
          </w:tcPr>
          <w:p w:rsidR="000F1031" w:rsidRPr="00394EE2" w:rsidRDefault="000F1031" w:rsidP="00F30DD6">
            <w:pPr>
              <w:spacing w:after="0" w:line="240" w:lineRule="auto"/>
              <w:jc w:val="center"/>
              <w:rPr>
                <w:rFonts w:ascii="Times New Roman" w:hAnsi="Times New Roman" w:cs="Times New Roman"/>
                <w:sz w:val="24"/>
                <w:szCs w:val="24"/>
                <w:lang w:val="kk-KZ"/>
              </w:rPr>
            </w:pPr>
            <w:r w:rsidRPr="00394EE2">
              <w:rPr>
                <w:rFonts w:ascii="Times New Roman" w:hAnsi="Times New Roman" w:cs="Times New Roman"/>
                <w:sz w:val="24"/>
                <w:szCs w:val="24"/>
                <w:lang w:val="kk-KZ"/>
              </w:rPr>
              <w:t>6.</w:t>
            </w:r>
          </w:p>
        </w:tc>
        <w:tc>
          <w:tcPr>
            <w:tcW w:w="1381" w:type="pct"/>
          </w:tcPr>
          <w:p w:rsidR="000F1031" w:rsidRPr="00394EE2" w:rsidRDefault="000F1031" w:rsidP="00F30DD6">
            <w:pPr>
              <w:spacing w:after="0" w:line="240" w:lineRule="auto"/>
              <w:jc w:val="both"/>
              <w:rPr>
                <w:rFonts w:ascii="Times New Roman" w:hAnsi="Times New Roman" w:cs="Times New Roman"/>
                <w:sz w:val="24"/>
                <w:szCs w:val="24"/>
                <w:lang w:val="kk-KZ"/>
              </w:rPr>
            </w:pPr>
            <w:r w:rsidRPr="00394EE2">
              <w:rPr>
                <w:rFonts w:ascii="Times New Roman" w:hAnsi="Times New Roman" w:cs="Times New Roman"/>
                <w:sz w:val="24"/>
                <w:szCs w:val="24"/>
                <w:lang w:val="kk-KZ"/>
              </w:rPr>
              <w:t>НҚА-ні қабылдау кезіндегі болжанатын әлеуметтік-экономикалық, құқықтық және (немесе) өзге де салдарлар</w:t>
            </w:r>
          </w:p>
        </w:tc>
        <w:tc>
          <w:tcPr>
            <w:tcW w:w="3355" w:type="pct"/>
          </w:tcPr>
          <w:p w:rsidR="000F1031" w:rsidRPr="000E64FC" w:rsidRDefault="001116DB" w:rsidP="00F30DD6">
            <w:pPr>
              <w:tabs>
                <w:tab w:val="left" w:pos="709"/>
              </w:tabs>
              <w:spacing w:after="0" w:line="240" w:lineRule="auto"/>
              <w:ind w:firstLine="325"/>
              <w:jc w:val="both"/>
              <w:rPr>
                <w:rFonts w:ascii="Times New Roman" w:hAnsi="Times New Roman" w:cs="Times New Roman"/>
                <w:sz w:val="24"/>
                <w:szCs w:val="24"/>
                <w:lang w:val="kk-KZ"/>
              </w:rPr>
            </w:pPr>
            <w:r w:rsidRPr="00394EE2">
              <w:rPr>
                <w:rFonts w:ascii="Times New Roman" w:eastAsia="Times New Roman" w:hAnsi="Times New Roman" w:cs="Times New Roman"/>
                <w:color w:val="000000"/>
                <w:sz w:val="24"/>
                <w:szCs w:val="24"/>
                <w:lang w:val="kk-KZ" w:eastAsia="ru-RU"/>
              </w:rPr>
              <w:t>Жобаны қабылдау әлеуметтік-экономикалық, құқықтық және (немесе) өзге де теріс салдарға әкеп соқпайды.</w:t>
            </w:r>
          </w:p>
        </w:tc>
      </w:tr>
    </w:tbl>
    <w:p w:rsidR="00723253" w:rsidRPr="000E64FC" w:rsidRDefault="00723253" w:rsidP="00F30DD6">
      <w:pPr>
        <w:spacing w:after="0" w:line="240" w:lineRule="auto"/>
        <w:jc w:val="center"/>
        <w:rPr>
          <w:rFonts w:ascii="Times New Roman" w:hAnsi="Times New Roman" w:cs="Times New Roman"/>
          <w:sz w:val="24"/>
          <w:szCs w:val="24"/>
          <w:lang w:val="kk-KZ"/>
        </w:rPr>
      </w:pPr>
    </w:p>
    <w:p w:rsidR="00232BDC" w:rsidRPr="008F4F3B" w:rsidRDefault="00232BDC" w:rsidP="00F30DD6">
      <w:pPr>
        <w:spacing w:after="0" w:line="240" w:lineRule="auto"/>
        <w:jc w:val="center"/>
        <w:rPr>
          <w:rFonts w:ascii="Times New Roman" w:hAnsi="Times New Roman" w:cs="Times New Roman"/>
          <w:sz w:val="24"/>
          <w:szCs w:val="24"/>
          <w:lang w:val="kk-KZ"/>
        </w:rPr>
      </w:pPr>
      <w:r w:rsidRPr="008F4F3B">
        <w:rPr>
          <w:rFonts w:ascii="Times New Roman" w:hAnsi="Times New Roman" w:cs="Times New Roman"/>
          <w:sz w:val="24"/>
          <w:szCs w:val="24"/>
          <w:lang w:val="kk-KZ"/>
        </w:rPr>
        <w:t>_____________________</w:t>
      </w:r>
    </w:p>
    <w:p w:rsidR="00232BDC" w:rsidRPr="008F4F3B" w:rsidRDefault="00232BDC" w:rsidP="00F30DD6">
      <w:pPr>
        <w:tabs>
          <w:tab w:val="left" w:pos="1177"/>
        </w:tabs>
        <w:spacing w:after="0" w:line="240" w:lineRule="auto"/>
        <w:rPr>
          <w:rFonts w:ascii="Times New Roman" w:hAnsi="Times New Roman" w:cs="Times New Roman"/>
          <w:sz w:val="24"/>
          <w:szCs w:val="24"/>
          <w:lang w:val="kk-KZ"/>
        </w:rPr>
      </w:pPr>
    </w:p>
    <w:sectPr w:rsidR="00232BDC" w:rsidRPr="008F4F3B" w:rsidSect="00E07397">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0E2" w:rsidRDefault="00F950E2" w:rsidP="000F1031">
      <w:pPr>
        <w:spacing w:after="0" w:line="240" w:lineRule="auto"/>
      </w:pPr>
      <w:r>
        <w:separator/>
      </w:r>
    </w:p>
  </w:endnote>
  <w:endnote w:type="continuationSeparator" w:id="0">
    <w:p w:rsidR="00F950E2" w:rsidRDefault="00F950E2" w:rsidP="000F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0E2" w:rsidRDefault="00F950E2" w:rsidP="000F1031">
      <w:pPr>
        <w:spacing w:after="0" w:line="240" w:lineRule="auto"/>
      </w:pPr>
      <w:r>
        <w:separator/>
      </w:r>
    </w:p>
  </w:footnote>
  <w:footnote w:type="continuationSeparator" w:id="0">
    <w:p w:rsidR="00F950E2" w:rsidRDefault="00F950E2" w:rsidP="000F1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22DD3"/>
    <w:multiLevelType w:val="hybridMultilevel"/>
    <w:tmpl w:val="A0A09FC4"/>
    <w:lvl w:ilvl="0" w:tplc="2FB81B96">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DCA023B"/>
    <w:multiLevelType w:val="hybridMultilevel"/>
    <w:tmpl w:val="CD04D070"/>
    <w:lvl w:ilvl="0" w:tplc="25720E8E">
      <w:start w:val="3"/>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31"/>
    <w:rsid w:val="00046786"/>
    <w:rsid w:val="000C3DB5"/>
    <w:rsid w:val="000D6B11"/>
    <w:rsid w:val="000E5B51"/>
    <w:rsid w:val="000E64FC"/>
    <w:rsid w:val="000F1031"/>
    <w:rsid w:val="001116DB"/>
    <w:rsid w:val="0012323E"/>
    <w:rsid w:val="00124CFD"/>
    <w:rsid w:val="00150947"/>
    <w:rsid w:val="00196B31"/>
    <w:rsid w:val="001A4563"/>
    <w:rsid w:val="001A6648"/>
    <w:rsid w:val="001B7C4D"/>
    <w:rsid w:val="00232BDC"/>
    <w:rsid w:val="00233C7B"/>
    <w:rsid w:val="002725DC"/>
    <w:rsid w:val="002D5BE9"/>
    <w:rsid w:val="002D7728"/>
    <w:rsid w:val="002F2AD6"/>
    <w:rsid w:val="00373F63"/>
    <w:rsid w:val="003913BF"/>
    <w:rsid w:val="00394EE2"/>
    <w:rsid w:val="003C3AF0"/>
    <w:rsid w:val="003E3312"/>
    <w:rsid w:val="004369A2"/>
    <w:rsid w:val="004521A2"/>
    <w:rsid w:val="004C3845"/>
    <w:rsid w:val="00512CFE"/>
    <w:rsid w:val="0055247B"/>
    <w:rsid w:val="005A000F"/>
    <w:rsid w:val="005A4838"/>
    <w:rsid w:val="005B1873"/>
    <w:rsid w:val="0062350F"/>
    <w:rsid w:val="0069054C"/>
    <w:rsid w:val="00696E43"/>
    <w:rsid w:val="006C5BFE"/>
    <w:rsid w:val="007159C1"/>
    <w:rsid w:val="00723253"/>
    <w:rsid w:val="007412D4"/>
    <w:rsid w:val="007B71B3"/>
    <w:rsid w:val="007F7E89"/>
    <w:rsid w:val="00820C1F"/>
    <w:rsid w:val="00891F4A"/>
    <w:rsid w:val="008F4F3B"/>
    <w:rsid w:val="00982B30"/>
    <w:rsid w:val="009B4FE7"/>
    <w:rsid w:val="009E241F"/>
    <w:rsid w:val="00A152AB"/>
    <w:rsid w:val="00A164A9"/>
    <w:rsid w:val="00A2267B"/>
    <w:rsid w:val="00A47645"/>
    <w:rsid w:val="00A55CC2"/>
    <w:rsid w:val="00A8399B"/>
    <w:rsid w:val="00AB2E82"/>
    <w:rsid w:val="00AC2599"/>
    <w:rsid w:val="00B11E7B"/>
    <w:rsid w:val="00B25176"/>
    <w:rsid w:val="00B41936"/>
    <w:rsid w:val="00B45A42"/>
    <w:rsid w:val="00B84217"/>
    <w:rsid w:val="00C233A5"/>
    <w:rsid w:val="00C3050C"/>
    <w:rsid w:val="00C60D2A"/>
    <w:rsid w:val="00C66F12"/>
    <w:rsid w:val="00CF54A4"/>
    <w:rsid w:val="00DB63ED"/>
    <w:rsid w:val="00E07397"/>
    <w:rsid w:val="00E13C28"/>
    <w:rsid w:val="00E44BC9"/>
    <w:rsid w:val="00E904E7"/>
    <w:rsid w:val="00EB0FEB"/>
    <w:rsid w:val="00F30DD6"/>
    <w:rsid w:val="00F655E5"/>
    <w:rsid w:val="00F950E2"/>
    <w:rsid w:val="00FB0822"/>
    <w:rsid w:val="00FB31AC"/>
    <w:rsid w:val="00FE2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1B035-467E-4B41-AAF9-E39FF74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0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F1031"/>
    <w:rPr>
      <w:vertAlign w:val="superscript"/>
    </w:rPr>
  </w:style>
  <w:style w:type="paragraph" w:customStyle="1" w:styleId="pc">
    <w:name w:val="pc"/>
    <w:basedOn w:val="a"/>
    <w:rsid w:val="000F1031"/>
    <w:pPr>
      <w:spacing w:after="0" w:line="240" w:lineRule="auto"/>
      <w:jc w:val="center"/>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0F103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FE26E7"/>
    <w:pPr>
      <w:spacing w:after="0" w:line="240" w:lineRule="auto"/>
    </w:pPr>
    <w:rPr>
      <w:sz w:val="20"/>
      <w:szCs w:val="20"/>
    </w:rPr>
  </w:style>
  <w:style w:type="character" w:customStyle="1" w:styleId="a6">
    <w:name w:val="Текст сноски Знак"/>
    <w:basedOn w:val="a0"/>
    <w:link w:val="a5"/>
    <w:uiPriority w:val="99"/>
    <w:semiHidden/>
    <w:rsid w:val="00FE26E7"/>
    <w:rPr>
      <w:sz w:val="20"/>
      <w:szCs w:val="20"/>
    </w:rPr>
  </w:style>
  <w:style w:type="paragraph" w:styleId="a7">
    <w:name w:val="header"/>
    <w:basedOn w:val="a"/>
    <w:link w:val="a8"/>
    <w:uiPriority w:val="99"/>
    <w:unhideWhenUsed/>
    <w:rsid w:val="00A476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7645"/>
  </w:style>
  <w:style w:type="paragraph" w:styleId="a9">
    <w:name w:val="footer"/>
    <w:basedOn w:val="a"/>
    <w:link w:val="aa"/>
    <w:uiPriority w:val="99"/>
    <w:unhideWhenUsed/>
    <w:rsid w:val="00A4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Тогатаев Даулет</dc:creator>
  <cp:keywords/>
  <dc:description/>
  <cp:lastModifiedBy>Гулфайрус Абдуллаева</cp:lastModifiedBy>
  <cp:revision>48</cp:revision>
  <dcterms:created xsi:type="dcterms:W3CDTF">2025-08-27T06:16:00Z</dcterms:created>
  <dcterms:modified xsi:type="dcterms:W3CDTF">2026-06-18T05:10:00Z</dcterms:modified>
</cp:coreProperties>
</file>