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2F41FA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2C77C6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2F41FA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2F41FA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4461CF" w:rsidRDefault="004461CF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 w:rsidRPr="004461CF">
              <w:t>от 29 апреля 2026 года</w:t>
            </w:r>
          </w:p>
          <w:p w:rsidR="00BD4ACE" w:rsidRPr="00BF120B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6B73AC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4461CF">
              <w:t>49</w:t>
            </w:r>
          </w:p>
          <w:p w:rsidR="00BD4ACE" w:rsidRPr="00BF120B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BD4ACE" w:rsidRDefault="00BD4ACE" w:rsidP="00BD4ACE">
      <w:pPr>
        <w:rPr>
          <w:sz w:val="28"/>
          <w:lang w:val="kk-KZ"/>
        </w:rPr>
      </w:pPr>
    </w:p>
    <w:p w:rsidR="00BD4ACE" w:rsidRDefault="00BD4ACE" w:rsidP="00BD4ACE">
      <w:pPr>
        <w:rPr>
          <w:sz w:val="28"/>
          <w:lang w:val="kk-KZ"/>
        </w:rPr>
      </w:pPr>
    </w:p>
    <w:p w:rsidR="00821435" w:rsidRDefault="00821435" w:rsidP="00821435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DB7165"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</w:rPr>
        <w:t>равил применения ограниченных мер воздействия к оператору платформы цифровых финансовых активов, оператору торговой платформы цифровых активов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подпунктом 8) части второй пункта 1 статьи 4 Закона Республики Казахстан «О цифровых активах в Республике Казахстан» Правление </w:t>
      </w:r>
      <w:r>
        <w:rPr>
          <w:bCs/>
          <w:color w:val="000000" w:themeColor="text1"/>
          <w:sz w:val="28"/>
          <w:szCs w:val="28"/>
        </w:rPr>
        <w:t>Национального Банка</w:t>
      </w:r>
      <w:r>
        <w:rPr>
          <w:color w:val="000000" w:themeColor="text1"/>
          <w:sz w:val="28"/>
          <w:szCs w:val="28"/>
        </w:rPr>
        <w:t xml:space="preserve"> Республики Казахстан </w:t>
      </w:r>
      <w:r>
        <w:rPr>
          <w:b/>
          <w:bCs/>
          <w:color w:val="000000" w:themeColor="text1"/>
          <w:sz w:val="28"/>
          <w:szCs w:val="28"/>
        </w:rPr>
        <w:t>ПОСТАНОВЛЯЕТ</w:t>
      </w:r>
      <w:r>
        <w:rPr>
          <w:color w:val="000000" w:themeColor="text1"/>
          <w:sz w:val="28"/>
          <w:szCs w:val="28"/>
        </w:rPr>
        <w:t>: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Утвердить прилагаемые Правила применения ограниченных мер воздействия к оператору платформы цифровых финансовых активов, оператору торговой платформы цифровых активов.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>
        <w:rPr>
          <w:color w:val="000000" w:themeColor="text1"/>
          <w:sz w:val="28"/>
          <w:szCs w:val="28"/>
        </w:rPr>
        <w:t>интернет-ресурсе</w:t>
      </w:r>
      <w:proofErr w:type="spellEnd"/>
      <w:r>
        <w:rPr>
          <w:color w:val="000000" w:themeColor="text1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>
        <w:rPr>
          <w:sz w:val="28"/>
          <w:szCs w:val="28"/>
        </w:rPr>
        <w:t>Настоящее постановление вводится в действие с 1 мая 2026 года и подлежит официальному опубликованию.</w:t>
      </w:r>
    </w:p>
    <w:p w:rsidR="00C50DB6" w:rsidRDefault="00C50DB6" w:rsidP="00C50DB6">
      <w:pPr>
        <w:ind w:firstLine="708"/>
        <w:jc w:val="both"/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Tr="0084485C">
        <w:tc>
          <w:tcPr>
            <w:tcW w:w="36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Default="00BD4ACE" w:rsidP="00BD4ACE">
      <w:pPr>
        <w:rPr>
          <w:lang w:val="kk-KZ"/>
        </w:rPr>
      </w:pPr>
    </w:p>
    <w:p w:rsidR="00821435" w:rsidRDefault="00821435">
      <w:pPr>
        <w:spacing w:after="160" w:line="259" w:lineRule="auto"/>
      </w:pPr>
      <w:r>
        <w:br w:type="page"/>
      </w:r>
    </w:p>
    <w:p w:rsidR="00BD4ACE" w:rsidRDefault="00BD4ACE"/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bookmarkStart w:id="0" w:name="_GoBack"/>
      <w:bookmarkEnd w:id="0"/>
      <w:r w:rsidRPr="00915B09">
        <w:rPr>
          <w:sz w:val="28"/>
          <w:szCs w:val="28"/>
        </w:rPr>
        <w:t>Утверждены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постановлением Правления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Национального Банка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Республики Казахстан </w:t>
      </w:r>
    </w:p>
    <w:p w:rsidR="00BD4ACE" w:rsidRPr="00915B09" w:rsidRDefault="004461CF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>
        <w:rPr>
          <w:sz w:val="28"/>
          <w:szCs w:val="28"/>
        </w:rPr>
        <w:t>от 29 апреля 2026 года № 49</w:t>
      </w: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C6ABB">
        <w:rPr>
          <w:b/>
          <w:bCs/>
          <w:color w:val="000000" w:themeColor="text1"/>
          <w:sz w:val="28"/>
          <w:szCs w:val="28"/>
        </w:rPr>
        <w:t xml:space="preserve">Правила </w:t>
      </w:r>
    </w:p>
    <w:p w:rsidR="00821435" w:rsidRDefault="00821435" w:rsidP="00821435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C6ABB">
        <w:rPr>
          <w:b/>
          <w:bCs/>
          <w:color w:val="000000" w:themeColor="text1"/>
          <w:sz w:val="28"/>
          <w:szCs w:val="28"/>
        </w:rPr>
        <w:t xml:space="preserve"> применения ограниченных мер воздействия к оператору платформы цифровых финансовых активов, оператору торговой платформы цифровых активов</w:t>
      </w: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EC6ABB">
        <w:rPr>
          <w:b/>
          <w:color w:val="000000" w:themeColor="text1"/>
          <w:sz w:val="28"/>
          <w:szCs w:val="28"/>
        </w:rPr>
        <w:t>Глава 1. Общие положения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1. Настоящие Правила применения ограниченных мер воздействия к оператору платформы цифровых финансовых активов, оператору торговой платформы цифровых активов (далее – Правила) разработаны в соответствии с подпунктом 8) части второй пункта 1 статьи 4 Закона Республики Казахстан «О цифровых активах в Республике Казахстан» и определяют порядок применения Национальным Банком Республики Казахстан (далее – Национальный Банк) ограниченных мер воздействия в отношении оператора платформы цифровых финансовых активов, оператора торговой платформы цифровых активов (далее – субъекты рынка цифровых активов).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2. В Правилах используются понятия, предусмотренные Законом Республики Казахстан «О цифровых активах в Республике Казахстан»</w:t>
      </w:r>
      <w:r w:rsidRPr="00EC6ABB">
        <w:rPr>
          <w:color w:val="000000" w:themeColor="text1"/>
          <w:sz w:val="28"/>
          <w:szCs w:val="28"/>
        </w:rPr>
        <w:t>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3. Национальный Банк применяет ограниченную меру воздействия в отношении субъектов рынка цифровых активов при наличии одного и более из следующих факторов: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1) уровня риска;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 xml:space="preserve">Под риском понимается вероятность возникновения негативных последствий в виде нарушения прав и свобод граждан, инвесторов (держателей цифровых активов), нанесения ущерба интересам общества и государству в результате неисполнения и (или) неполного исполнения субъектами рынка цифровых активов требований, установленных законодательством Республики Казахстан о цифровых активах,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 рынке ценных бумаг, а также ухудшения способности субъектов рынка цифровых активов выполнять свои обязательства по обеспечению функционирования платформы цифровых </w:t>
      </w:r>
      <w:r w:rsidRPr="00EC6ABB">
        <w:rPr>
          <w:sz w:val="28"/>
          <w:szCs w:val="28"/>
        </w:rPr>
        <w:t xml:space="preserve">финансовых </w:t>
      </w:r>
      <w:r w:rsidRPr="00EC6ABB">
        <w:rPr>
          <w:bCs/>
          <w:color w:val="000000" w:themeColor="text1"/>
          <w:sz w:val="28"/>
          <w:szCs w:val="28"/>
        </w:rPr>
        <w:t>активов, торговой платформы цифровых активов либо по оказанию услуг оператора платформы цифровых финансовых активов, оператора торговой платформы цифровых активов;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lastRenderedPageBreak/>
        <w:t>2) способности изменить ситуацию в результате применения выбранной ограниченной меры воздействия;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3) характера нарушений и последствий для субъектов рынка цифровых активов, их клиентов и контрагентов;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4) частоты и продолжительности нарушений;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5) мер по устранению допущенных нарушений и (или) причин, а также условий, способствовавших их совершению, принятых (планируемых) субъектами рынка цифровых активов;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6) наличия примененных ограниченных мер воздействия, санкций за нарушение требований законодательства Республики Казахстан по вопросам, входящим в компетенцию Национального Банка, к субъектам рынка цифровых активов;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7) осведомленности руководящих работников субъектов рынка цифровых активов</w:t>
      </w:r>
      <w:r w:rsidRPr="00EC6ABB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EC6ABB">
        <w:rPr>
          <w:bCs/>
          <w:color w:val="000000" w:themeColor="text1"/>
          <w:sz w:val="28"/>
          <w:szCs w:val="28"/>
        </w:rPr>
        <w:t>о допущенных нарушениях;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8) анализа применяемой системы управления рисками и внутреннего контроля;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9) общей способности субъектов рынка цифровых активов</w:t>
      </w:r>
      <w:r w:rsidRPr="00EC6ABB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EC6ABB">
        <w:rPr>
          <w:bCs/>
          <w:color w:val="000000" w:themeColor="text1"/>
          <w:sz w:val="28"/>
          <w:szCs w:val="28"/>
        </w:rPr>
        <w:t xml:space="preserve">по обеспечению функционирования платформы цифровых </w:t>
      </w:r>
      <w:r w:rsidRPr="00EC6ABB">
        <w:rPr>
          <w:sz w:val="28"/>
          <w:szCs w:val="28"/>
        </w:rPr>
        <w:t xml:space="preserve">финансовых </w:t>
      </w:r>
      <w:r w:rsidRPr="00EC6ABB">
        <w:rPr>
          <w:bCs/>
          <w:color w:val="000000" w:themeColor="text1"/>
          <w:sz w:val="28"/>
          <w:szCs w:val="28"/>
        </w:rPr>
        <w:t>активов, торговой платформы цифровых активов либо по оказанию услуг цифровых активов.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4. Анализ способности оператора</w:t>
      </w:r>
      <w:r w:rsidRPr="00EC6ABB">
        <w:t xml:space="preserve"> </w:t>
      </w:r>
      <w:r w:rsidRPr="00EC6ABB">
        <w:rPr>
          <w:bCs/>
          <w:color w:val="000000" w:themeColor="text1"/>
          <w:sz w:val="28"/>
          <w:szCs w:val="28"/>
        </w:rPr>
        <w:t xml:space="preserve">платформы цифровых финансовых активов и оператора торговой платформы цифровых активов выполнять свои обязательства по обеспечению функционирования платформы цифровых </w:t>
      </w:r>
      <w:r w:rsidRPr="00EC6ABB">
        <w:rPr>
          <w:sz w:val="28"/>
          <w:szCs w:val="28"/>
        </w:rPr>
        <w:t xml:space="preserve">финансовых </w:t>
      </w:r>
      <w:r w:rsidRPr="00EC6ABB">
        <w:rPr>
          <w:bCs/>
          <w:color w:val="000000" w:themeColor="text1"/>
          <w:sz w:val="28"/>
          <w:szCs w:val="28"/>
        </w:rPr>
        <w:t>активов, торговой платформы цифровых активов определяется на основании сведений по выпуску и (или) обороту (обращению) цифровых финансовых активов, представляемых в Национальный Банк, отчетности об услугах</w:t>
      </w:r>
      <w:r w:rsidRPr="00EC6ABB">
        <w:t xml:space="preserve"> </w:t>
      </w:r>
      <w:r w:rsidRPr="00EC6ABB">
        <w:rPr>
          <w:bCs/>
          <w:color w:val="000000" w:themeColor="text1"/>
          <w:sz w:val="28"/>
          <w:szCs w:val="28"/>
        </w:rPr>
        <w:t xml:space="preserve">цифровых активов, представляемых в Национальный Банк, материалов оценок (самооценок) функционирования платформы цифровых </w:t>
      </w:r>
      <w:r w:rsidRPr="00EC6ABB">
        <w:rPr>
          <w:sz w:val="28"/>
          <w:szCs w:val="28"/>
        </w:rPr>
        <w:t xml:space="preserve">финансовых </w:t>
      </w:r>
      <w:r w:rsidRPr="00EC6ABB">
        <w:rPr>
          <w:bCs/>
          <w:color w:val="000000" w:themeColor="text1"/>
          <w:sz w:val="28"/>
          <w:szCs w:val="28"/>
        </w:rPr>
        <w:t>активов, торговой платформы цифровых активов, результатов проведенного оператором платформы цифровых финансовых активов и оператором торговой платформы цифровых активов анализа эффективности функционирования платформы цифровых финансовых активов и торговой платформы цифровых активов на предмет удовлетворенности участников качеством предоставляемых услуг, результатов проверок и поступающих обращений физических и юридических лиц, государственных органов, анализа выполнения требований по наличию систем управления рисками и внутреннего контроля.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5. В отношении субъектов рынка цифровых активов Национальный Банк применяет следующие виды ограниченных мер воздействия за нарушение требований законодательства Республики Казахстан о цифровых активах в Республике Казахстан,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 рынке ценных бумаг: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1) направление обязательного для исполнения письменного предписания;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2) вынесение письменного предупреждения;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3) составление письменного соглашения.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lastRenderedPageBreak/>
        <w:t xml:space="preserve">6. Национальный Банк ведет учет примененных ограниченных мер воздействия и размещает информацию о примененных ограниченных мерах воздействия на своем официальном </w:t>
      </w:r>
      <w:proofErr w:type="spellStart"/>
      <w:r w:rsidRPr="00EC6ABB">
        <w:rPr>
          <w:bCs/>
          <w:color w:val="000000" w:themeColor="text1"/>
          <w:sz w:val="28"/>
          <w:szCs w:val="28"/>
        </w:rPr>
        <w:t>интернет-ресурсе</w:t>
      </w:r>
      <w:proofErr w:type="spellEnd"/>
      <w:r w:rsidRPr="00EC6ABB">
        <w:rPr>
          <w:bCs/>
          <w:color w:val="000000" w:themeColor="text1"/>
          <w:sz w:val="28"/>
          <w:szCs w:val="28"/>
        </w:rPr>
        <w:t>, включая наименование субъекта рынка цифровых активов и вида примененной меры воздействия.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7. Применение одной ограниченной меры воздействия не исключает применения других ограниченных мер воздействия.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8. Субъект рынка цифровых активов уведомляет Национальный Банк об исполнении ограниченной меры воздействия в сроки, указанные в письменном предписании, письменном предупреждении, письменном соглашении.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Уведомление направляется в Национальный Банк в течение 5 (пяти) рабочих дней после определенной при применении ограниченной меры воздействия даты устранения нарушений и (или) причин, а также условий, способствовавших их совершению.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Если установленный в ограниченной мере воздействия срок устранения нарушений и (или) причин, а также условий, способствовавших их совершению, превышает один месяц, субъект рынка 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bCs/>
          <w:color w:val="000000" w:themeColor="text1"/>
          <w:sz w:val="28"/>
          <w:szCs w:val="28"/>
        </w:rPr>
        <w:t>ежемесячно уведомляет Национальный Банк о поэтапном исполнении условий и мероприятий, направленных на устранение нарушений с приложением копий подтверждающих документов, в срок до 5 (пятого) числа месяца, следующего за отчетным.</w:t>
      </w:r>
    </w:p>
    <w:p w:rsidR="00821435" w:rsidRDefault="00821435" w:rsidP="008214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C6ABB">
        <w:rPr>
          <w:bCs/>
          <w:color w:val="000000" w:themeColor="text1"/>
          <w:sz w:val="28"/>
          <w:szCs w:val="28"/>
        </w:rPr>
        <w:t>9. Началом срока выполнения субъектом рынка цифровых активов условий и мероприятий, предусмотренных в соответствующем документе Национального Банка о применении ограниченной меры воздействия, считается дата его фактического получения.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EC6ABB">
        <w:rPr>
          <w:b/>
          <w:color w:val="000000" w:themeColor="text1"/>
          <w:sz w:val="28"/>
          <w:szCs w:val="28"/>
        </w:rPr>
        <w:t>Глава 2. Направление обязательного для исполнения письменного предписания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>10. Письменным предписанием является указание субъекту рынка 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на принятие обязательных к исполнению коррективных мер, направленных на устранение выявленных нарушений и (или) причин, а также условий, способствовавших их совершению в установленный в письменном предписании срок, и (или) на необходимость представления в установленный срок плана мероприятий по устранению выявленных нарушений и (или) причин, а также условий, способствовавших их совершению (далее – план мероприятий).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>11. Коррективные меры указываются в письменном предписании и представляют собой обязательные к исполнению следующие меры: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1) по выполнению обязательств перед клиентами, контрагентами и (или) провайдерами услуг, третьими лицами, с которыми субъектом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заключены договорные обязательства, направленные на оказание услуг цифровых активов;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2) по устранению выявленных нарушений требований, установленных законодательством Республики Казахстан о </w:t>
      </w:r>
      <w:r w:rsidRPr="00EC6ABB">
        <w:rPr>
          <w:bCs/>
          <w:color w:val="000000" w:themeColor="text1"/>
          <w:sz w:val="28"/>
          <w:szCs w:val="28"/>
        </w:rPr>
        <w:t>цифровых активах,</w:t>
      </w:r>
      <w:r w:rsidRPr="00EC6ABB">
        <w:rPr>
          <w:color w:val="000000" w:themeColor="text1"/>
          <w:sz w:val="28"/>
          <w:szCs w:val="28"/>
        </w:rPr>
        <w:t xml:space="preserve"> о противодействии легализации (отмыванию) доходов, полученных преступным путем, финансированию терроризма и финансированию распространения оружия </w:t>
      </w:r>
      <w:r w:rsidRPr="00EC6ABB">
        <w:rPr>
          <w:color w:val="000000" w:themeColor="text1"/>
          <w:sz w:val="28"/>
          <w:szCs w:val="28"/>
        </w:rPr>
        <w:lastRenderedPageBreak/>
        <w:t xml:space="preserve">массового уничтожения, </w:t>
      </w:r>
      <w:r w:rsidRPr="00EC6ABB">
        <w:rPr>
          <w:bCs/>
          <w:color w:val="000000" w:themeColor="text1"/>
          <w:sz w:val="28"/>
          <w:szCs w:val="28"/>
        </w:rPr>
        <w:t>о рынке ценных бумаг,</w:t>
      </w:r>
      <w:r w:rsidRPr="00EC6ABB">
        <w:rPr>
          <w:color w:val="000000" w:themeColor="text1"/>
          <w:sz w:val="28"/>
          <w:szCs w:val="28"/>
        </w:rPr>
        <w:t xml:space="preserve"> а также причин и (или) условий, способствующих их совершению;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3) по выполнению предъявляемых к субъекту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 xml:space="preserve">требований, установленных законодательством Республики Казахстан о </w:t>
      </w:r>
      <w:r w:rsidRPr="00EC6ABB">
        <w:rPr>
          <w:bCs/>
          <w:color w:val="000000" w:themeColor="text1"/>
          <w:sz w:val="28"/>
          <w:szCs w:val="28"/>
        </w:rPr>
        <w:t>цифровых активах,</w:t>
      </w:r>
      <w:r w:rsidRPr="00EC6ABB">
        <w:rPr>
          <w:color w:val="000000" w:themeColor="text1"/>
          <w:sz w:val="28"/>
          <w:szCs w:val="28"/>
        </w:rPr>
        <w:t xml:space="preserve">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</w:t>
      </w:r>
      <w:r w:rsidRPr="00EC6ABB">
        <w:rPr>
          <w:bCs/>
          <w:color w:val="000000" w:themeColor="text1"/>
          <w:sz w:val="28"/>
          <w:szCs w:val="28"/>
        </w:rPr>
        <w:t>о рынке ценных бумаг</w:t>
      </w:r>
      <w:r w:rsidRPr="00EC6ABB">
        <w:rPr>
          <w:color w:val="000000" w:themeColor="text1"/>
          <w:sz w:val="28"/>
          <w:szCs w:val="28"/>
        </w:rPr>
        <w:t>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12.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в срок, установленный письменным предписанием, представляет в Национальный Банк план мероприятий с указанием описания нарушений, причин и (или) условий, способствовавших их совершению, перечня запланированных мероприятий, сроков их осуществления, а также ответственных должностных лиц.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13. Национальный Банк в течение 10 (десяти) рабочих дней со дня представления плана мероприятий рассматривает его и в случае несогласия направляет по нему свое заключение, которое содержит указание субъекту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о необходимости корректировки запланированных мероприятий либо сроков их исполнения и представления уточненного плана мероприятий в срок, установленный Национальным Банком.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14. В случае </w:t>
      </w:r>
      <w:proofErr w:type="spellStart"/>
      <w:r w:rsidRPr="00EC6ABB">
        <w:rPr>
          <w:color w:val="000000" w:themeColor="text1"/>
          <w:sz w:val="28"/>
          <w:szCs w:val="28"/>
        </w:rPr>
        <w:t>ненаправления</w:t>
      </w:r>
      <w:proofErr w:type="spellEnd"/>
      <w:r w:rsidRPr="00EC6ABB">
        <w:rPr>
          <w:color w:val="000000" w:themeColor="text1"/>
          <w:sz w:val="28"/>
          <w:szCs w:val="28"/>
        </w:rPr>
        <w:t xml:space="preserve"> Национальным Банком заключения в течение срока, указанного в пункте 13 Правил, план мероприятий считается принятым.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15. Национальный Банк осуществляет контроль исполнения субъектом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принятого плана мероприятий.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>Субъект рынка 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письменно уведомляет Национальный Банк об исполнении мероприятий, указанных в плане мероприятий, не позднее 15 (пятнадцати) рабочих дней после даты их исполнения.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16. Письменное предписание доводится до сведения руководителя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>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17. Руководитель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в течение 5 (пяти) календарных дней со дня получения письменного предписания ставит в известность всех членов исполнительного органа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>о вынесении письменного предписания.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18. В случае отсутствия возможности устранения нарушений и (или) причин, а также условий, способствовавших их совершению, в сроки, установленные в письменном предписании и (или) плане мероприятий, по независящим от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/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 xml:space="preserve">причинам, субъект рынка </w:t>
      </w:r>
      <w:r w:rsidRPr="00EC6ABB">
        <w:rPr>
          <w:bCs/>
          <w:color w:val="000000" w:themeColor="text1"/>
          <w:sz w:val="28"/>
          <w:szCs w:val="28"/>
        </w:rPr>
        <w:t xml:space="preserve">цифровых активов </w:t>
      </w:r>
      <w:r w:rsidRPr="00EC6ABB">
        <w:rPr>
          <w:color w:val="000000" w:themeColor="text1"/>
          <w:sz w:val="28"/>
          <w:szCs w:val="28"/>
        </w:rPr>
        <w:t>направляет письмо в Национальный Банк с описанием причин и предлагаемых сроков устранения нарушений и (или) причин, а также условий, способствовавших их совершению, и (или) изменений в план мероприятий с указанием предлагаемых сроков исполнения запланированных мероприятий за 20 (двадцать) рабочих дней до наступления сроков, установленных в письменном предписании и (или) в плане мероприятий.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Если срок, установленный частью первой настоящего пункта, составляет менее 20 (двадцати) рабочих дней с даты направления письменного предписания,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bCs/>
          <w:color w:val="000000"/>
          <w:sz w:val="22"/>
          <w:szCs w:val="28"/>
        </w:rPr>
        <w:t xml:space="preserve"> </w:t>
      </w:r>
      <w:r w:rsidRPr="00EC6ABB">
        <w:rPr>
          <w:color w:val="000000" w:themeColor="text1"/>
          <w:sz w:val="28"/>
          <w:szCs w:val="28"/>
        </w:rPr>
        <w:t xml:space="preserve">направляет письмо в Национальный Банк с описанием причин и предлагаемых сроков устранения нарушений и (или) причин, </w:t>
      </w:r>
      <w:r w:rsidRPr="00EC6ABB">
        <w:rPr>
          <w:color w:val="000000" w:themeColor="text1"/>
          <w:sz w:val="28"/>
          <w:szCs w:val="28"/>
        </w:rPr>
        <w:lastRenderedPageBreak/>
        <w:t>а также условий, способствовавших их совершению до наступления срока, установленного в письменном предписании.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По результатам рассмотрения письма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Национальный Банк в течение 5 (пяти) рабочих дней принимает решение о согласии либо несогласии со сроками, указанными в письме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>, либо определяет иные разумные сроки и направляет изменения в письменное предписание и (или) сообщает о согласии с установленными в плане мероприятий сроками или об установлении иных разумных сроков в плане мероприятий или сообщает о несогласии изменить сроки, установленные в письменном предписании и (или) плане мероприятий.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EC6ABB">
        <w:rPr>
          <w:b/>
          <w:color w:val="000000" w:themeColor="text1"/>
          <w:sz w:val="28"/>
          <w:szCs w:val="28"/>
        </w:rPr>
        <w:t>Глава 3. Вынесение письменного предупреждения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19. Письменное предупреждение является уведомлением Национального Банка о возможности применения к субъекту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санкции в случае выявления Национальным Банком в течение 1 (одного) года после вынесения данного предупреждения аналогичного нарушения норм законодательства Республики Казахстан.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20. Письменное предупреждение доводится до сведения руководителя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>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21. Руководитель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в течение 5 (пяти) календарных дней со дня получения письменного предупреждения ставит в известность всех членов исполнительного органа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о вынесении письменного предупреждения.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EC6ABB">
        <w:rPr>
          <w:b/>
          <w:color w:val="000000" w:themeColor="text1"/>
          <w:sz w:val="28"/>
          <w:szCs w:val="28"/>
        </w:rPr>
        <w:t>Глава 4. Составление письменного соглашения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22. Национальный Банк заключает с субъектом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письменное соглашение о необходимости устранения выявленных нарушений и (или) причин, а также условий, способствовавших их совершению, и утверждении перечня мер по устранению этих нарушений и (или) причин, а также условий, способствовавших их совершению, с указанием сроков их устранения и (или) перечня ограничений, которые на себя принимает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до устранения выявленных нарушений и (или) причин, а также условий, способствовавших их совершению.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Письменное соглашение заключается с руководителем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или лицами, их замещающими.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Письменное соглашение подлежит обязательному подписанию со стороны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>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23. В письменном соглашении указывается перечень мер по устранению выявленных нарушений и (или) причин, а также условий, способствовавших их совершению, и сроки их исполнения и (или) перечень обязательств, которые на себя принимает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. Подписав письменное </w:t>
      </w:r>
      <w:r w:rsidRPr="00EC6ABB">
        <w:rPr>
          <w:color w:val="000000" w:themeColor="text1"/>
          <w:sz w:val="28"/>
          <w:szCs w:val="28"/>
        </w:rPr>
        <w:lastRenderedPageBreak/>
        <w:t xml:space="preserve">соглашение,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принимает на себя обязательства по выполнению его условий.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24. В случае отсутствия возможности устранения нарушений и (или) причин, а также условий, способствовавших их совершению, в сроки, установленные в письменном соглашении, по независящим от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причинам,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направляет письмо в Национальный Банк с описанием причин и предлагаемых сроков устранения нарушений и (или) причин, а также условий, способствовавших их совершению, за 20 (двадцать) рабочих дней до наступления сроков, установленных в письменном соглашении.</w:t>
      </w:r>
    </w:p>
    <w:p w:rsidR="00821435" w:rsidRDefault="00821435" w:rsidP="00821435">
      <w:pPr>
        <w:ind w:firstLine="709"/>
        <w:jc w:val="both"/>
        <w:rPr>
          <w:color w:val="000000" w:themeColor="text1"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Если срок, установленный частью первой настоящего пункта, составляет менее 20 (двадцати) рабочих дней с даты заключения письменного соглашения, субъект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направляет письмо в Национальный Банк с описанием причин и предлагаемых сроков устранения нарушений и (или) причин, а также условий, способствовавших их совершению, до наступления сроков, установленных в письменном соглашении.</w:t>
      </w:r>
    </w:p>
    <w:p w:rsidR="00821435" w:rsidRDefault="00821435" w:rsidP="00821435">
      <w:pPr>
        <w:ind w:firstLine="709"/>
        <w:jc w:val="both"/>
        <w:rPr>
          <w:b/>
          <w:sz w:val="28"/>
          <w:szCs w:val="28"/>
        </w:rPr>
      </w:pPr>
      <w:r w:rsidRPr="00EC6ABB">
        <w:rPr>
          <w:color w:val="000000" w:themeColor="text1"/>
          <w:sz w:val="28"/>
          <w:szCs w:val="28"/>
        </w:rPr>
        <w:t xml:space="preserve">По результатам рассмотрения письма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Национальный Банк в течение 5 (пяти) рабочих дней принимает решение о согласии либо несогласии со сроками, указанными в письме субъекта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, либо определяет иные разумные сроки и заключает с субъектом рынка </w:t>
      </w:r>
      <w:r w:rsidRPr="00EC6ABB">
        <w:rPr>
          <w:bCs/>
          <w:color w:val="000000" w:themeColor="text1"/>
          <w:sz w:val="28"/>
          <w:szCs w:val="28"/>
        </w:rPr>
        <w:t>цифровых активов</w:t>
      </w:r>
      <w:r w:rsidRPr="00EC6ABB">
        <w:rPr>
          <w:color w:val="000000" w:themeColor="text1"/>
          <w:sz w:val="28"/>
          <w:szCs w:val="28"/>
        </w:rPr>
        <w:t xml:space="preserve"> дополнительное письменное соглашение с указанием новых сроков устранения нарушений и (или) причин, а также условий, способствовавших их совершению, или сообщает о несогласии изменить сроки, установленные в письменном соглашении.</w:t>
      </w:r>
    </w:p>
    <w:p w:rsidR="00B77348" w:rsidRDefault="00B77348" w:rsidP="00821435">
      <w:pPr>
        <w:jc w:val="center"/>
      </w:pPr>
    </w:p>
    <w:sectPr w:rsidR="00B77348" w:rsidSect="00470B1E">
      <w:headerReference w:type="default" r:id="rId7"/>
      <w:headerReference w:type="firs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6CF" w:rsidRDefault="009E76CF" w:rsidP="00BD4ACE">
      <w:r>
        <w:separator/>
      </w:r>
    </w:p>
  </w:endnote>
  <w:endnote w:type="continuationSeparator" w:id="0">
    <w:p w:rsidR="009E76CF" w:rsidRDefault="009E76CF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6CF" w:rsidRDefault="009E76CF" w:rsidP="00BD4ACE">
      <w:r>
        <w:separator/>
      </w:r>
    </w:p>
  </w:footnote>
  <w:footnote w:type="continuationSeparator" w:id="0">
    <w:p w:rsidR="009E76CF" w:rsidRDefault="009E76CF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1CF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1CF" w:rsidRDefault="004461CF" w:rsidP="004461CF">
    <w:pPr>
      <w:pStyle w:val="a4"/>
      <w:jc w:val="center"/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30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8613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111FDB"/>
    <w:rsid w:val="00261850"/>
    <w:rsid w:val="00336C63"/>
    <w:rsid w:val="00445DF2"/>
    <w:rsid w:val="004461CF"/>
    <w:rsid w:val="004F55E7"/>
    <w:rsid w:val="007D4248"/>
    <w:rsid w:val="00821435"/>
    <w:rsid w:val="009D012B"/>
    <w:rsid w:val="009E76CF"/>
    <w:rsid w:val="00B77348"/>
    <w:rsid w:val="00BD4ACE"/>
    <w:rsid w:val="00C50DB6"/>
    <w:rsid w:val="00D02BEA"/>
    <w:rsid w:val="00D653C9"/>
    <w:rsid w:val="00DB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162336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qFormat/>
    <w:rsid w:val="004F55E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sid w:val="004F55E7"/>
  </w:style>
  <w:style w:type="paragraph" w:styleId="a8">
    <w:name w:val="List Paragraph"/>
    <w:aliases w:val="2nd Tier Header,Bullet Number,Citation List,Colorful List - Accent 11,Heading1,List Paragraph (numbered (a)),List Paragraph 1,NUMBERED PARAGRAPH,N_List Paragraph,Use Case List Paragraph,strich,Абзац списка2,без абзаца,маркированный"/>
    <w:basedOn w:val="a"/>
    <w:link w:val="a9"/>
    <w:uiPriority w:val="34"/>
    <w:qFormat/>
    <w:rsid w:val="00336C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2nd Tier Header Знак,Bullet Number Знак,Citation List Знак,Colorful List - Accent 11 Знак,Heading1 Знак,List Paragraph (numbered (a)) Знак,List Paragraph 1 Знак,NUMBERED PARAGRAPH Знак,N_List Paragraph Знак,Use Case List Paragraph Знак"/>
    <w:link w:val="a8"/>
    <w:uiPriority w:val="34"/>
    <w:rsid w:val="00336C63"/>
    <w:rPr>
      <w:lang w:val="ru-RU"/>
    </w:rPr>
  </w:style>
  <w:style w:type="character" w:customStyle="1" w:styleId="s1">
    <w:name w:val="s1"/>
    <w:qFormat/>
    <w:rsid w:val="00336C63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qFormat/>
    <w:rsid w:val="00336C6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2411</Words>
  <Characters>13745</Characters>
  <Application>Microsoft Office Word</Application>
  <DocSecurity>0</DocSecurity>
  <Lines>114</Lines>
  <Paragraphs>32</Paragraphs>
  <ScaleCrop>false</ScaleCrop>
  <Company/>
  <LinksUpToDate>false</LinksUpToDate>
  <CharactersWithSpaces>16124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10</cp:revision>
  <dcterms:created xsi:type="dcterms:W3CDTF">2026-03-27T09:23:00Z</dcterms:created>
  <dcterms:modified xsi:type="dcterms:W3CDTF">2026-04-30T12:29:00Z</dcterms:modified>
</cp:coreProperties>
</file>