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BD4ACE" w:rsidRPr="002F41FA" w:rsidTr="0084485C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ҚАЗАҚСТАН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2F41FA">
              <w:rPr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72099604" wp14:editId="74CD05BF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b/>
                <w:sz w:val="28"/>
                <w:szCs w:val="28"/>
              </w:rPr>
              <w:t>АЗАХСТАН</w:t>
            </w:r>
          </w:p>
        </w:tc>
      </w:tr>
      <w:tr w:rsidR="00BD4ACE" w:rsidRPr="002C77C6" w:rsidTr="0084485C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</w:rPr>
              <w:t>БА</w:t>
            </w:r>
            <w:r w:rsidRPr="005B73B7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BD4ACE" w:rsidRPr="002F41FA" w:rsidRDefault="00BD4ACE" w:rsidP="0084485C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BD4ACE" w:rsidRPr="002F41FA" w:rsidTr="0084485C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D26568" w:rsidRDefault="00D26568" w:rsidP="0084485C">
            <w:pPr>
              <w:spacing w:line="22" w:lineRule="atLeast"/>
              <w:contextualSpacing/>
              <w:jc w:val="center"/>
              <w:rPr>
                <w:b/>
              </w:rPr>
            </w:pPr>
            <w:r>
              <w:t>от 10 апреля 2026 года</w:t>
            </w:r>
          </w:p>
          <w:p w:rsidR="00BD4ACE" w:rsidRPr="00BF120B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 xml:space="preserve">Астана </w:t>
            </w:r>
            <w:r w:rsidRPr="00BF120B">
              <w:rPr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6B73AC" w:rsidRDefault="00BD4ACE" w:rsidP="0084485C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  <w:r w:rsidRPr="006B73AC">
              <w:t>№</w:t>
            </w:r>
            <w:r w:rsidRPr="006B73AC">
              <w:rPr>
                <w:b/>
                <w:lang w:val="en-US"/>
              </w:rPr>
              <w:t xml:space="preserve"> </w:t>
            </w:r>
            <w:r w:rsidR="00D26568">
              <w:t>31</w:t>
            </w:r>
          </w:p>
          <w:p w:rsidR="00BD4ACE" w:rsidRPr="00BF120B" w:rsidRDefault="00BD4ACE" w:rsidP="0084485C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Астана</w:t>
            </w:r>
          </w:p>
        </w:tc>
      </w:tr>
    </w:tbl>
    <w:p w:rsidR="00BD4ACE" w:rsidRDefault="00BD4ACE" w:rsidP="00BD4ACE">
      <w:pPr>
        <w:rPr>
          <w:sz w:val="28"/>
          <w:lang w:val="kk-KZ"/>
        </w:rPr>
      </w:pPr>
    </w:p>
    <w:p w:rsidR="00BD4ACE" w:rsidRDefault="00BD4ACE" w:rsidP="00BD4ACE">
      <w:pPr>
        <w:rPr>
          <w:sz w:val="28"/>
          <w:lang w:val="kk-KZ"/>
        </w:rPr>
      </w:pPr>
    </w:p>
    <w:p w:rsidR="00895FCC" w:rsidRDefault="00895FCC" w:rsidP="00895FCC">
      <w:pPr>
        <w:jc w:val="center"/>
        <w:rPr>
          <w:b/>
          <w:bCs/>
          <w:color w:val="000000" w:themeColor="text1"/>
        </w:rPr>
      </w:pPr>
      <w:r w:rsidRPr="00EE3BDC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>
        <w:rPr>
          <w:b/>
          <w:bCs/>
          <w:color w:val="000000" w:themeColor="text1"/>
          <w:sz w:val="28"/>
          <w:szCs w:val="28"/>
        </w:rPr>
        <w:t xml:space="preserve">Требований к Правилам </w:t>
      </w:r>
      <w:r w:rsidRPr="00EE3BDC">
        <w:rPr>
          <w:b/>
          <w:bCs/>
          <w:color w:val="000000" w:themeColor="text1"/>
          <w:sz w:val="28"/>
          <w:szCs w:val="28"/>
        </w:rPr>
        <w:t>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эмитентов цифровых финансовых активов, базовым активом которых выступают деньги</w:t>
      </w:r>
      <w:r w:rsidRPr="00A029EC">
        <w:rPr>
          <w:b/>
          <w:bCs/>
          <w:color w:val="000000" w:themeColor="text1"/>
          <w:sz w:val="28"/>
          <w:szCs w:val="28"/>
        </w:rPr>
        <w:t xml:space="preserve"> </w:t>
      </w:r>
      <w:r w:rsidRPr="006277B5">
        <w:rPr>
          <w:b/>
          <w:bCs/>
          <w:color w:val="000000" w:themeColor="text1"/>
          <w:sz w:val="28"/>
          <w:szCs w:val="28"/>
        </w:rPr>
        <w:t>(</w:t>
      </w:r>
      <w:proofErr w:type="spellStart"/>
      <w:r w:rsidRPr="006277B5">
        <w:rPr>
          <w:b/>
          <w:bCs/>
          <w:color w:val="000000" w:themeColor="text1"/>
          <w:sz w:val="28"/>
          <w:szCs w:val="28"/>
        </w:rPr>
        <w:t>стейблкоин</w:t>
      </w:r>
      <w:proofErr w:type="spellEnd"/>
      <w:r w:rsidRPr="006277B5">
        <w:rPr>
          <w:b/>
          <w:bCs/>
          <w:color w:val="000000" w:themeColor="text1"/>
          <w:sz w:val="28"/>
          <w:szCs w:val="28"/>
        </w:rPr>
        <w:t>)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A029EC">
        <w:rPr>
          <w:color w:val="000000" w:themeColor="text1"/>
          <w:sz w:val="28"/>
          <w:szCs w:val="28"/>
        </w:rPr>
        <w:t xml:space="preserve">В соответствии с </w:t>
      </w:r>
      <w:r w:rsidRPr="00F8298D">
        <w:rPr>
          <w:color w:val="000000" w:themeColor="text1"/>
          <w:sz w:val="28"/>
          <w:szCs w:val="28"/>
        </w:rPr>
        <w:t>абзацем третьим пункта</w:t>
      </w:r>
      <w:r>
        <w:rPr>
          <w:color w:val="000000" w:themeColor="text1"/>
          <w:sz w:val="28"/>
          <w:szCs w:val="28"/>
        </w:rPr>
        <w:t xml:space="preserve"> 3-2</w:t>
      </w:r>
      <w:r w:rsidRPr="00EE3BDC">
        <w:rPr>
          <w:color w:val="000000" w:themeColor="text1"/>
          <w:sz w:val="28"/>
          <w:szCs w:val="28"/>
        </w:rPr>
        <w:t xml:space="preserve"> статьи 11 Закона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</w:t>
      </w:r>
      <w:r>
        <w:rPr>
          <w:color w:val="000000" w:themeColor="text1"/>
          <w:sz w:val="28"/>
          <w:szCs w:val="28"/>
        </w:rPr>
        <w:t xml:space="preserve"> </w:t>
      </w:r>
      <w:r w:rsidRPr="00EE3BDC">
        <w:rPr>
          <w:color w:val="000000" w:themeColor="text1"/>
          <w:sz w:val="28"/>
          <w:szCs w:val="28"/>
        </w:rPr>
        <w:t>Правление</w:t>
      </w:r>
      <w:r w:rsidRPr="00A029EC">
        <w:rPr>
          <w:color w:val="000000" w:themeColor="text1"/>
          <w:sz w:val="28"/>
          <w:szCs w:val="28"/>
        </w:rPr>
        <w:t xml:space="preserve"> </w:t>
      </w:r>
      <w:r w:rsidRPr="00A029EC">
        <w:rPr>
          <w:bCs/>
          <w:color w:val="000000" w:themeColor="text1"/>
          <w:sz w:val="28"/>
          <w:szCs w:val="28"/>
        </w:rPr>
        <w:t>Национального Банка</w:t>
      </w:r>
      <w:r w:rsidRPr="00A029EC">
        <w:rPr>
          <w:color w:val="000000" w:themeColor="text1"/>
          <w:sz w:val="28"/>
          <w:szCs w:val="28"/>
        </w:rPr>
        <w:t xml:space="preserve"> Республики Казахстан </w:t>
      </w:r>
      <w:r w:rsidRPr="00A029EC">
        <w:rPr>
          <w:b/>
          <w:bCs/>
          <w:color w:val="000000" w:themeColor="text1"/>
          <w:sz w:val="28"/>
          <w:szCs w:val="28"/>
        </w:rPr>
        <w:t>ПОСТАНОВЛЯЕТ</w:t>
      </w:r>
      <w:r w:rsidRPr="00A029EC">
        <w:rPr>
          <w:color w:val="000000" w:themeColor="text1"/>
          <w:sz w:val="28"/>
          <w:szCs w:val="28"/>
        </w:rPr>
        <w:t>: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EF3125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</w:t>
      </w:r>
      <w:r w:rsidRPr="00EF3125">
        <w:rPr>
          <w:color w:val="000000" w:themeColor="text1"/>
          <w:sz w:val="28"/>
          <w:szCs w:val="28"/>
        </w:rPr>
        <w:t xml:space="preserve">Утвердить прилагаемые </w:t>
      </w:r>
      <w:r w:rsidRPr="00F8298D">
        <w:rPr>
          <w:color w:val="000000" w:themeColor="text1"/>
          <w:sz w:val="28"/>
          <w:szCs w:val="28"/>
        </w:rPr>
        <w:t>Требовани</w:t>
      </w:r>
      <w:r>
        <w:rPr>
          <w:color w:val="000000" w:themeColor="text1"/>
          <w:sz w:val="28"/>
          <w:szCs w:val="28"/>
        </w:rPr>
        <w:t>я</w:t>
      </w:r>
      <w:r w:rsidRPr="00F8298D">
        <w:rPr>
          <w:color w:val="000000" w:themeColor="text1"/>
          <w:sz w:val="28"/>
          <w:szCs w:val="28"/>
        </w:rPr>
        <w:t xml:space="preserve"> к </w:t>
      </w:r>
      <w:r>
        <w:rPr>
          <w:color w:val="000000" w:themeColor="text1"/>
          <w:sz w:val="28"/>
          <w:szCs w:val="28"/>
        </w:rPr>
        <w:t>П</w:t>
      </w:r>
      <w:r w:rsidRPr="00F8298D">
        <w:rPr>
          <w:color w:val="000000" w:themeColor="text1"/>
          <w:sz w:val="28"/>
          <w:szCs w:val="28"/>
        </w:rPr>
        <w:t xml:space="preserve">равилам </w:t>
      </w:r>
      <w:r w:rsidRPr="00EE3BDC">
        <w:rPr>
          <w:color w:val="000000" w:themeColor="text1"/>
          <w:sz w:val="28"/>
          <w:szCs w:val="28"/>
        </w:rPr>
        <w:t xml:space="preserve">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эмитентов цифровых </w:t>
      </w:r>
      <w:r w:rsidRPr="00D40C50">
        <w:rPr>
          <w:color w:val="000000" w:themeColor="text1"/>
          <w:sz w:val="28"/>
          <w:szCs w:val="28"/>
        </w:rPr>
        <w:t>финансовых активов, базовым активом которых выступают деньги (</w:t>
      </w:r>
      <w:proofErr w:type="spellStart"/>
      <w:r w:rsidRPr="00D40C50">
        <w:rPr>
          <w:color w:val="000000" w:themeColor="text1"/>
          <w:sz w:val="28"/>
          <w:szCs w:val="28"/>
        </w:rPr>
        <w:t>стейблкоин</w:t>
      </w:r>
      <w:proofErr w:type="spellEnd"/>
      <w:r w:rsidRPr="00D40C50">
        <w:rPr>
          <w:color w:val="000000" w:themeColor="text1"/>
          <w:sz w:val="28"/>
          <w:szCs w:val="28"/>
        </w:rPr>
        <w:t>) (далее – Требования).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D40C50">
        <w:rPr>
          <w:color w:val="000000" w:themeColor="text1"/>
          <w:sz w:val="28"/>
          <w:szCs w:val="28"/>
        </w:rPr>
        <w:t>2. Департаменту платежных систем и цифровых финансовых технологий Национального</w:t>
      </w:r>
      <w:r w:rsidRPr="00F8298D">
        <w:rPr>
          <w:color w:val="000000" w:themeColor="text1"/>
          <w:sz w:val="28"/>
          <w:szCs w:val="28"/>
        </w:rPr>
        <w:t xml:space="preserve"> Банка Республики Казахстан </w:t>
      </w:r>
      <w:r w:rsidRPr="00DF6AB9">
        <w:rPr>
          <w:color w:val="000000" w:themeColor="text1"/>
          <w:sz w:val="28"/>
          <w:szCs w:val="28"/>
        </w:rPr>
        <w:t>в установленном законодательством Республики Казахстан порядке обеспечить: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DF6AB9">
        <w:rPr>
          <w:color w:val="000000" w:themeColor="text1"/>
          <w:sz w:val="28"/>
          <w:szCs w:val="28"/>
        </w:rPr>
        <w:t>1) совместно</w:t>
      </w:r>
      <w:r w:rsidRPr="00EF3125">
        <w:rPr>
          <w:color w:val="000000" w:themeColor="text1"/>
          <w:sz w:val="28"/>
          <w:szCs w:val="28"/>
        </w:rPr>
        <w:t xml:space="preserve"> с Юридическим департаментом </w:t>
      </w:r>
      <w:r w:rsidRPr="00F8298D">
        <w:rPr>
          <w:color w:val="000000" w:themeColor="text1"/>
          <w:sz w:val="28"/>
          <w:szCs w:val="28"/>
        </w:rPr>
        <w:t xml:space="preserve">Национального Банка Республики Казахстан </w:t>
      </w:r>
      <w:r w:rsidRPr="00EF3125">
        <w:rPr>
          <w:color w:val="000000" w:themeColor="text1"/>
          <w:sz w:val="28"/>
          <w:szCs w:val="28"/>
        </w:rPr>
        <w:t>государственную регистрацию настоящего постановления в Министерстве юстиции Республики Казахстан;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EF3125">
        <w:rPr>
          <w:color w:val="000000" w:themeColor="text1"/>
          <w:sz w:val="28"/>
          <w:szCs w:val="28"/>
        </w:rPr>
        <w:t xml:space="preserve">2) размещение настоящего постановления на официальном </w:t>
      </w:r>
      <w:proofErr w:type="spellStart"/>
      <w:r w:rsidRPr="00EF3125">
        <w:rPr>
          <w:color w:val="000000" w:themeColor="text1"/>
          <w:sz w:val="28"/>
          <w:szCs w:val="28"/>
        </w:rPr>
        <w:t>интернет-ресурсе</w:t>
      </w:r>
      <w:proofErr w:type="spellEnd"/>
      <w:r w:rsidRPr="00EF3125">
        <w:rPr>
          <w:color w:val="000000" w:themeColor="text1"/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EF3125">
        <w:rPr>
          <w:color w:val="000000" w:themeColor="text1"/>
          <w:sz w:val="28"/>
          <w:szCs w:val="28"/>
        </w:rP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</w:t>
      </w:r>
      <w:r w:rsidRPr="00F8298D">
        <w:rPr>
          <w:color w:val="000000" w:themeColor="text1"/>
          <w:sz w:val="28"/>
          <w:szCs w:val="28"/>
        </w:rPr>
        <w:lastRenderedPageBreak/>
        <w:t xml:space="preserve">Национального Банка Республики Казахстан </w:t>
      </w:r>
      <w:r w:rsidRPr="00DF6AB9">
        <w:rPr>
          <w:color w:val="000000" w:themeColor="text1"/>
          <w:sz w:val="28"/>
          <w:szCs w:val="28"/>
        </w:rPr>
        <w:t>сведений об исполнении мероприятий, предусмотренных подпунктом 2) настоящего пункта.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 w:rsidRPr="00DF6AB9">
        <w:rPr>
          <w:color w:val="000000" w:themeColor="text1"/>
          <w:sz w:val="28"/>
          <w:szCs w:val="28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895FCC" w:rsidRDefault="00895FCC" w:rsidP="00895FCC">
      <w:pPr>
        <w:ind w:firstLine="709"/>
        <w:jc w:val="both"/>
        <w:rPr>
          <w:color w:val="000000"/>
          <w:sz w:val="28"/>
        </w:rPr>
      </w:pPr>
      <w:r w:rsidRPr="00DF6AB9">
        <w:rPr>
          <w:color w:val="000000" w:themeColor="text1"/>
          <w:sz w:val="28"/>
          <w:szCs w:val="28"/>
        </w:rPr>
        <w:t xml:space="preserve">4. </w:t>
      </w:r>
      <w:r w:rsidRPr="00DA1445">
        <w:rPr>
          <w:color w:val="000000"/>
          <w:sz w:val="28"/>
        </w:rPr>
        <w:t xml:space="preserve">Настоящее постановление вводится в действие </w:t>
      </w:r>
      <w:r w:rsidRPr="00557057">
        <w:rPr>
          <w:color w:val="000000"/>
          <w:sz w:val="28"/>
        </w:rPr>
        <w:t>с 1 мая 2026 года</w:t>
      </w:r>
      <w:r>
        <w:rPr>
          <w:color w:val="000000"/>
          <w:sz w:val="28"/>
        </w:rPr>
        <w:t xml:space="preserve"> </w:t>
      </w:r>
      <w:r w:rsidRPr="00B87CC5">
        <w:rPr>
          <w:color w:val="000000"/>
          <w:sz w:val="28"/>
        </w:rPr>
        <w:t>и подлежит официальному опубликованию</w:t>
      </w:r>
      <w:r w:rsidRPr="00DA1445">
        <w:rPr>
          <w:color w:val="000000"/>
          <w:sz w:val="28"/>
        </w:rPr>
        <w:t>.</w:t>
      </w:r>
    </w:p>
    <w:p w:rsidR="00895FCC" w:rsidRDefault="00895FCC" w:rsidP="00895FCC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>П</w:t>
      </w:r>
      <w:proofErr w:type="spellStart"/>
      <w:r w:rsidRPr="000445FF">
        <w:rPr>
          <w:color w:val="000000"/>
          <w:sz w:val="28"/>
        </w:rPr>
        <w:t>риостановить</w:t>
      </w:r>
      <w:proofErr w:type="spellEnd"/>
      <w:r w:rsidRPr="000445FF">
        <w:rPr>
          <w:color w:val="000000"/>
          <w:sz w:val="28"/>
        </w:rPr>
        <w:t xml:space="preserve"> до 12 июля 2026 года действие:</w:t>
      </w:r>
    </w:p>
    <w:p w:rsidR="00895FCC" w:rsidRDefault="00895FCC" w:rsidP="00895FCC">
      <w:pPr>
        <w:ind w:firstLine="709"/>
        <w:jc w:val="both"/>
        <w:rPr>
          <w:color w:val="000000"/>
          <w:sz w:val="28"/>
        </w:rPr>
      </w:pPr>
      <w:r w:rsidRPr="000445FF">
        <w:rPr>
          <w:color w:val="000000"/>
          <w:sz w:val="28"/>
        </w:rPr>
        <w:t>1) подпункта 1) пункта 8 Требований, установив, что в период приостановления данный подпункт действует в следующей редакции: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0445FF">
        <w:rPr>
          <w:sz w:val="28"/>
          <w:szCs w:val="28"/>
        </w:rPr>
        <w:t xml:space="preserve">«1) </w:t>
      </w:r>
      <w:r w:rsidRPr="0023232C">
        <w:rPr>
          <w:sz w:val="28"/>
          <w:szCs w:val="28"/>
        </w:rPr>
        <w:t xml:space="preserve">получение доступа ко всем помещениям эмитента, </w:t>
      </w:r>
      <w:r>
        <w:rPr>
          <w:sz w:val="28"/>
          <w:szCs w:val="28"/>
        </w:rPr>
        <w:t>информационным</w:t>
      </w:r>
      <w:r w:rsidRPr="0023232C">
        <w:rPr>
          <w:sz w:val="28"/>
          <w:szCs w:val="28"/>
        </w:rPr>
        <w:t xml:space="preserve"> системам, средствам телекоммуникаций, документам и файлам, в пределах, позволяющих осуществлять свои функции в полном объеме, и в порядке, </w:t>
      </w:r>
      <w:r w:rsidRPr="00D40C50">
        <w:rPr>
          <w:sz w:val="28"/>
          <w:szCs w:val="28"/>
        </w:rPr>
        <w:t>предусмотренном внутренними документами эмитента;»;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D40C50">
        <w:rPr>
          <w:sz w:val="28"/>
          <w:szCs w:val="28"/>
        </w:rPr>
        <w:t xml:space="preserve">2) </w:t>
      </w:r>
      <w:r w:rsidRPr="00D40C50">
        <w:rPr>
          <w:color w:val="000000"/>
          <w:sz w:val="28"/>
        </w:rPr>
        <w:t>пункта 10 Требований, установив, что в период приостановления данный пункт действует в следующей редакции:</w:t>
      </w:r>
    </w:p>
    <w:p w:rsidR="00BD4ACE" w:rsidRDefault="00895FCC" w:rsidP="00895FCC">
      <w:pPr>
        <w:ind w:firstLine="709"/>
        <w:jc w:val="both"/>
        <w:rPr>
          <w:sz w:val="28"/>
          <w:szCs w:val="28"/>
        </w:rPr>
      </w:pPr>
      <w:r w:rsidRPr="00D40C50">
        <w:rPr>
          <w:sz w:val="28"/>
          <w:szCs w:val="28"/>
        </w:rPr>
        <w:t>«10. Эмитент</w:t>
      </w:r>
      <w:r w:rsidRPr="0058226A">
        <w:rPr>
          <w:sz w:val="28"/>
          <w:szCs w:val="28"/>
        </w:rPr>
        <w:t xml:space="preserve"> для автоматизации процессов по вопросам внутреннего контроля в целях противодействия ОД/ФТ/ФРОМУ использует </w:t>
      </w:r>
      <w:r w:rsidRPr="000445FF">
        <w:rPr>
          <w:sz w:val="28"/>
          <w:szCs w:val="28"/>
        </w:rPr>
        <w:t>автоматизированные информационные системы</w:t>
      </w:r>
      <w:r w:rsidRPr="0058226A">
        <w:rPr>
          <w:sz w:val="28"/>
          <w:szCs w:val="28"/>
        </w:rPr>
        <w:t>, соответствующие требованиям внутреннего контроля организации</w:t>
      </w:r>
      <w:r>
        <w:rPr>
          <w:sz w:val="28"/>
          <w:szCs w:val="28"/>
        </w:rPr>
        <w:t>.</w:t>
      </w:r>
      <w:r w:rsidRPr="000445FF">
        <w:rPr>
          <w:sz w:val="28"/>
          <w:szCs w:val="28"/>
        </w:rPr>
        <w:t>».</w:t>
      </w:r>
    </w:p>
    <w:p w:rsidR="00BD4ACE" w:rsidRDefault="00BD4ACE" w:rsidP="00BD4ACE">
      <w:pPr>
        <w:rPr>
          <w:sz w:val="28"/>
          <w:szCs w:val="28"/>
        </w:rPr>
      </w:pPr>
    </w:p>
    <w:p w:rsidR="00BD4ACE" w:rsidRDefault="00BD4ACE" w:rsidP="00BD4ACE">
      <w:pPr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D4ACE" w:rsidTr="0084485C">
        <w:tc>
          <w:tcPr>
            <w:tcW w:w="36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Т.М. Сулейменов</w:t>
            </w:r>
          </w:p>
        </w:tc>
      </w:tr>
    </w:tbl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895FCC" w:rsidRDefault="00895FCC" w:rsidP="00895FCC">
      <w:pPr>
        <w:shd w:val="clear" w:color="auto" w:fill="FFFFFF"/>
        <w:tabs>
          <w:tab w:val="left" w:pos="1134"/>
        </w:tabs>
        <w:ind w:firstLine="851"/>
        <w:jc w:val="both"/>
        <w:rPr>
          <w:bCs/>
          <w:sz w:val="28"/>
          <w:szCs w:val="28"/>
        </w:rPr>
      </w:pPr>
      <w:r w:rsidRPr="00DA1445">
        <w:rPr>
          <w:bCs/>
          <w:sz w:val="28"/>
          <w:szCs w:val="28"/>
        </w:rPr>
        <w:t>«СОГЛАСОВАНО»</w:t>
      </w:r>
    </w:p>
    <w:p w:rsidR="00895FCC" w:rsidRDefault="00895FCC" w:rsidP="00895FCC">
      <w:pPr>
        <w:shd w:val="clear" w:color="auto" w:fill="FFFFFF"/>
        <w:tabs>
          <w:tab w:val="left" w:pos="1134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Агентство </w:t>
      </w:r>
      <w:r w:rsidRPr="00DA1445">
        <w:rPr>
          <w:bCs/>
          <w:sz w:val="28"/>
          <w:szCs w:val="28"/>
        </w:rPr>
        <w:t>Республики Казахстан</w:t>
      </w:r>
      <w:r>
        <w:rPr>
          <w:bCs/>
          <w:sz w:val="28"/>
          <w:szCs w:val="28"/>
        </w:rPr>
        <w:t xml:space="preserve"> </w:t>
      </w:r>
    </w:p>
    <w:p w:rsidR="00895FCC" w:rsidRDefault="00895FCC" w:rsidP="00895FCC">
      <w:pPr>
        <w:shd w:val="clear" w:color="auto" w:fill="FFFFFF"/>
        <w:tabs>
          <w:tab w:val="left" w:pos="1134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финансовому мониторингу</w:t>
      </w:r>
    </w:p>
    <w:p w:rsidR="00BD4ACE" w:rsidRDefault="00BD4ACE" w:rsidP="00BD4AC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D4ACE" w:rsidRDefault="00BD4ACE"/>
    <w:p w:rsidR="00BD4ACE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>Утверждены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постановлением Правления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Национального Банка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Республики Казахстан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от </w:t>
      </w:r>
      <w:r w:rsidR="00D26568">
        <w:rPr>
          <w:sz w:val="28"/>
          <w:szCs w:val="28"/>
        </w:rPr>
        <w:t>10 апреля</w:t>
      </w:r>
      <w:bookmarkStart w:id="0" w:name="_GoBack"/>
      <w:bookmarkEnd w:id="0"/>
      <w:r w:rsidRPr="00915B09">
        <w:rPr>
          <w:sz w:val="28"/>
          <w:szCs w:val="28"/>
        </w:rPr>
        <w:t xml:space="preserve"> 2026 года № </w:t>
      </w:r>
      <w:r w:rsidR="00D26568">
        <w:rPr>
          <w:sz w:val="28"/>
          <w:szCs w:val="28"/>
        </w:rPr>
        <w:t>31</w:t>
      </w: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895FCC" w:rsidRDefault="00895FCC" w:rsidP="00895FCC">
      <w:pPr>
        <w:jc w:val="center"/>
        <w:rPr>
          <w:b/>
          <w:color w:val="000000"/>
          <w:sz w:val="28"/>
          <w:lang w:eastAsia="en-US"/>
        </w:rPr>
      </w:pPr>
      <w:r>
        <w:rPr>
          <w:b/>
          <w:color w:val="000000"/>
          <w:sz w:val="28"/>
          <w:lang w:eastAsia="en-US"/>
        </w:rPr>
        <w:t>Т</w:t>
      </w:r>
      <w:r w:rsidRPr="00EE3BDC">
        <w:rPr>
          <w:b/>
          <w:color w:val="000000"/>
          <w:sz w:val="28"/>
          <w:lang w:eastAsia="en-US"/>
        </w:rPr>
        <w:t>ребовани</w:t>
      </w:r>
      <w:r>
        <w:rPr>
          <w:b/>
          <w:color w:val="000000"/>
          <w:sz w:val="28"/>
          <w:lang w:eastAsia="en-US"/>
        </w:rPr>
        <w:t>я</w:t>
      </w:r>
      <w:r w:rsidRPr="00EE3BDC">
        <w:rPr>
          <w:b/>
          <w:color w:val="000000"/>
          <w:sz w:val="28"/>
          <w:lang w:eastAsia="en-US"/>
        </w:rPr>
        <w:t xml:space="preserve"> </w:t>
      </w:r>
    </w:p>
    <w:p w:rsidR="00895FCC" w:rsidRDefault="00895FCC" w:rsidP="00895FCC">
      <w:pPr>
        <w:jc w:val="center"/>
        <w:rPr>
          <w:b/>
          <w:color w:val="000000"/>
          <w:sz w:val="28"/>
          <w:lang w:eastAsia="en-US"/>
        </w:rPr>
      </w:pPr>
      <w:r w:rsidRPr="00EE3BDC">
        <w:rPr>
          <w:b/>
          <w:color w:val="000000"/>
          <w:sz w:val="28"/>
          <w:lang w:eastAsia="en-US"/>
        </w:rPr>
        <w:t>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эмитентов цифровых финансовых активов, базовым активом которых выступают деньги</w:t>
      </w:r>
      <w:r>
        <w:rPr>
          <w:b/>
          <w:color w:val="000000"/>
          <w:sz w:val="28"/>
          <w:lang w:eastAsia="en-US"/>
        </w:rPr>
        <w:t xml:space="preserve"> </w:t>
      </w:r>
      <w:r w:rsidRPr="00081727">
        <w:rPr>
          <w:b/>
          <w:color w:val="000000"/>
          <w:sz w:val="28"/>
          <w:lang w:eastAsia="en-US"/>
        </w:rPr>
        <w:t>(</w:t>
      </w:r>
      <w:proofErr w:type="spellStart"/>
      <w:r w:rsidRPr="00081727">
        <w:rPr>
          <w:b/>
          <w:color w:val="000000"/>
          <w:sz w:val="28"/>
          <w:lang w:eastAsia="en-US"/>
        </w:rPr>
        <w:t>стейблкоин</w:t>
      </w:r>
      <w:proofErr w:type="spellEnd"/>
      <w:r w:rsidRPr="00081727">
        <w:rPr>
          <w:b/>
          <w:color w:val="000000"/>
          <w:sz w:val="28"/>
          <w:lang w:eastAsia="en-US"/>
        </w:rPr>
        <w:t>)</w:t>
      </w:r>
    </w:p>
    <w:p w:rsidR="00895FCC" w:rsidRDefault="00895FCC" w:rsidP="00895FCC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895FCC" w:rsidRDefault="00895FCC" w:rsidP="00895FCC">
      <w:pPr>
        <w:jc w:val="center"/>
        <w:rPr>
          <w:b/>
          <w:color w:val="000000" w:themeColor="text1"/>
          <w:sz w:val="28"/>
          <w:szCs w:val="28"/>
        </w:rPr>
      </w:pPr>
      <w:r w:rsidRPr="00E71374">
        <w:rPr>
          <w:b/>
          <w:color w:val="000000" w:themeColor="text1"/>
          <w:sz w:val="28"/>
          <w:szCs w:val="28"/>
        </w:rPr>
        <w:t>Глава 1. Общие положения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E71374">
        <w:rPr>
          <w:color w:val="000000" w:themeColor="text1"/>
          <w:sz w:val="28"/>
          <w:szCs w:val="28"/>
        </w:rPr>
        <w:t xml:space="preserve">1. Настоящие </w:t>
      </w:r>
      <w:r w:rsidRPr="00E42E46">
        <w:rPr>
          <w:color w:val="000000" w:themeColor="text1"/>
          <w:sz w:val="28"/>
          <w:szCs w:val="28"/>
        </w:rPr>
        <w:t>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эмитентов цифровых финансовых активов, базовым активом которых выступают деньги</w:t>
      </w:r>
      <w:r>
        <w:rPr>
          <w:color w:val="000000" w:themeColor="text1"/>
          <w:sz w:val="28"/>
          <w:szCs w:val="28"/>
        </w:rPr>
        <w:t xml:space="preserve"> </w:t>
      </w:r>
      <w:r w:rsidRPr="00081727">
        <w:rPr>
          <w:color w:val="000000" w:themeColor="text1"/>
          <w:sz w:val="28"/>
          <w:szCs w:val="28"/>
        </w:rPr>
        <w:t>(</w:t>
      </w:r>
      <w:proofErr w:type="spellStart"/>
      <w:r w:rsidRPr="00081727">
        <w:rPr>
          <w:color w:val="000000" w:themeColor="text1"/>
          <w:sz w:val="28"/>
          <w:szCs w:val="28"/>
        </w:rPr>
        <w:t>стейблкоин</w:t>
      </w:r>
      <w:proofErr w:type="spellEnd"/>
      <w:r w:rsidRPr="00081727">
        <w:rPr>
          <w:color w:val="000000" w:themeColor="text1"/>
          <w:sz w:val="28"/>
          <w:szCs w:val="28"/>
        </w:rPr>
        <w:t>)</w:t>
      </w:r>
      <w:r w:rsidRPr="00E71374">
        <w:rPr>
          <w:color w:val="000000" w:themeColor="text1"/>
          <w:sz w:val="28"/>
          <w:szCs w:val="28"/>
        </w:rPr>
        <w:t xml:space="preserve">, (далее – </w:t>
      </w:r>
      <w:r>
        <w:rPr>
          <w:color w:val="000000" w:themeColor="text1"/>
          <w:sz w:val="28"/>
          <w:szCs w:val="28"/>
        </w:rPr>
        <w:t>Требования</w:t>
      </w:r>
      <w:r w:rsidRPr="00E71374">
        <w:rPr>
          <w:color w:val="000000" w:themeColor="text1"/>
          <w:sz w:val="28"/>
          <w:szCs w:val="28"/>
        </w:rPr>
        <w:t xml:space="preserve">) разработаны в </w:t>
      </w:r>
      <w:r w:rsidRPr="003C37F9">
        <w:rPr>
          <w:color w:val="000000" w:themeColor="text1"/>
          <w:sz w:val="28"/>
          <w:szCs w:val="28"/>
        </w:rPr>
        <w:t xml:space="preserve">соответствии с </w:t>
      </w:r>
      <w:r w:rsidRPr="008348AF">
        <w:rPr>
          <w:color w:val="000000" w:themeColor="text1"/>
          <w:sz w:val="28"/>
          <w:szCs w:val="28"/>
        </w:rPr>
        <w:t xml:space="preserve">абзацем третьим пункта 3-2 статьи 11 Закона Республики Казахстан </w:t>
      </w:r>
      <w:r w:rsidRPr="00E42E46">
        <w:rPr>
          <w:color w:val="000000" w:themeColor="text1"/>
          <w:sz w:val="28"/>
          <w:szCs w:val="28"/>
        </w:rPr>
        <w:t>«О противодействии легализации (</w:t>
      </w:r>
      <w:r w:rsidRPr="0058226A">
        <w:rPr>
          <w:color w:val="000000" w:themeColor="text1"/>
          <w:sz w:val="28"/>
          <w:szCs w:val="28"/>
        </w:rPr>
        <w:t>отмыванию) доходов, полученных преступным путем, финансированию терроризма и финансированию распространения оружия массового уничтожения» (далее – Закон о ПОД/ФТ/ФРОМУ).</w:t>
      </w:r>
    </w:p>
    <w:p w:rsidR="00895FCC" w:rsidRDefault="00895FCC" w:rsidP="00895FCC">
      <w:pPr>
        <w:ind w:firstLine="709"/>
        <w:jc w:val="both"/>
        <w:rPr>
          <w:color w:val="000000" w:themeColor="text1"/>
          <w:sz w:val="28"/>
          <w:szCs w:val="28"/>
        </w:rPr>
      </w:pPr>
      <w:r w:rsidRPr="0058226A">
        <w:rPr>
          <w:sz w:val="28"/>
          <w:szCs w:val="28"/>
        </w:rPr>
        <w:t>Требования распространяются на эмитентов цифровых финансовых активов, базовым активом которых выступают деньги (</w:t>
      </w:r>
      <w:proofErr w:type="spellStart"/>
      <w:r w:rsidRPr="0058226A">
        <w:rPr>
          <w:sz w:val="28"/>
          <w:szCs w:val="28"/>
        </w:rPr>
        <w:t>стейблкоин</w:t>
      </w:r>
      <w:proofErr w:type="spellEnd"/>
      <w:r w:rsidRPr="0058226A">
        <w:rPr>
          <w:sz w:val="28"/>
          <w:szCs w:val="28"/>
        </w:rPr>
        <w:t>) (далее – эмитенты).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58226A">
        <w:rPr>
          <w:color w:val="000000" w:themeColor="text1"/>
          <w:sz w:val="28"/>
          <w:szCs w:val="28"/>
        </w:rPr>
        <w:t xml:space="preserve">2. </w:t>
      </w:r>
      <w:r w:rsidRPr="0058226A">
        <w:rPr>
          <w:sz w:val="28"/>
          <w:szCs w:val="28"/>
        </w:rPr>
        <w:t>В Требованиях используются понятия, предусмотренные Законами Республики Казахстан о ПОД/ФТ/ФРОМУ и «О цифровых активах в Республике Казахстан», а также следующие понятия: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58226A">
        <w:rPr>
          <w:sz w:val="28"/>
          <w:szCs w:val="28"/>
        </w:rPr>
        <w:t xml:space="preserve">1) необычная </w:t>
      </w:r>
      <w:r w:rsidRPr="00C36122">
        <w:rPr>
          <w:sz w:val="28"/>
          <w:szCs w:val="28"/>
        </w:rPr>
        <w:t>операция (сделка) – операция (сделка) клиента, подлежащая обязательному изучению в соответствии с пунктом 4 статьи 4 Закона о ПОД/ФТ/ФРОМУ с учетом признаков определения подозрительной операции, определенных уполномоченным органом, осуществляющим финансовый мониторинг и принимающим иные меры по противодействию легализации (отмыванию) доходов, полученных преступным путем, финансированию терроризма, финансированию распространения оружия массового уничтожения (далее – уполномоченный орган) в соответствии с пунктом 2 статьи 10 Закона о ПОД/ФТ/ФРОМУ, а также разработанных эмитентами самостоятельно;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lastRenderedPageBreak/>
        <w:t>2) управление рисками ОД/ФТ/ФРОМУ – совокупность принимаемых эмитентами мер по выявлению, оценке, мониторингу рисков ОД/ФТ/ФРОМУ, а также их минимизации (в отношении услуг, клиентов, а также совершаемых клиентами операций);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риски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(далее – риски ОД/ФТ/ФРОМУ) – риски преднамеренного или непреднамеренного вовлечения эмитентов в процессы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(далее – ОД/ФТ/ФРОМУ);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4) пороговая операция – операция клиента с деньгами и (или) иным имуществом, подлежащая финансовому мониторингу в соответствии с пунктом 1 статьи 4 Закона о ПОД/ФТ/ФРОМУ.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3. Внутренний контроль в целях противодействия ОД/ФТ/ФРОМУ осуществляется эмитентами в целях: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обеспечения выполнения требований Закона о ПОД/ФТ/ФРОМУ;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поддержания эффективности системы внутреннего контроля эмитентов на уровне, достаточном для управления рисками ОД/ФТ/ФРОМУ с учетом особенностей цифровых финансовых активов и применяемых технологий</w:t>
      </w:r>
      <w:r w:rsidRPr="00C36122">
        <w:t xml:space="preserve"> </w:t>
      </w:r>
      <w:r w:rsidRPr="00C36122">
        <w:rPr>
          <w:sz w:val="28"/>
          <w:szCs w:val="28"/>
        </w:rPr>
        <w:t xml:space="preserve">и сопряженными рисками (операционным, </w:t>
      </w:r>
      <w:proofErr w:type="spellStart"/>
      <w:r w:rsidRPr="00C36122">
        <w:rPr>
          <w:sz w:val="28"/>
          <w:szCs w:val="28"/>
        </w:rPr>
        <w:t>репутационным</w:t>
      </w:r>
      <w:proofErr w:type="spellEnd"/>
      <w:r w:rsidRPr="00C36122">
        <w:rPr>
          <w:sz w:val="28"/>
          <w:szCs w:val="28"/>
        </w:rPr>
        <w:t>, правовым);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исключения вовлечения эмитентов, их должностных лиц и работников в процессы ОД/ФТ/ФРОМУ.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4. В рамках организации внутреннего контроля в целях противодействия ОД/ФТ/ФРОМУ эмитентами разрабатываются и принимаются правила внутреннего контроля в целях противодействия ОД/ФТ/ФРОМУ (далее – правила внутреннего контроля).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Правила внутреннего контроля включают в себя программы, предусмотренные статьей 11 Закона о ПОД/ФТ/ФРОМУ, которые разрабатываются эмитентами самостоятельно в соответствии с Требованиями и являются внутренними документами эмитентов либо совокупностью таких документов.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center"/>
        <w:rPr>
          <w:b/>
          <w:sz w:val="28"/>
          <w:szCs w:val="28"/>
        </w:rPr>
      </w:pPr>
      <w:r w:rsidRPr="00C36122">
        <w:rPr>
          <w:b/>
          <w:sz w:val="28"/>
          <w:szCs w:val="28"/>
        </w:rPr>
        <w:t>Глава 2. Программа организации внутреннего контроля в целях противодействия ОД/ФТ/ФРОМУ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5. В порядке, установленном внутренними документами эмитента, у эмитента назначается лицо, ответственное за реализацию и соблюдение правил внутреннего контроля (далее – ответственный работник), которое имеет высшее образование, безупречную деловую репутацию в соответствии с Законом о ПОД/ФТ/ФРОМУ и Законом Республики Казахстан </w:t>
      </w:r>
      <w:r>
        <w:rPr>
          <w:sz w:val="28"/>
          <w:szCs w:val="28"/>
        </w:rPr>
        <w:t>«</w:t>
      </w:r>
      <w:r w:rsidRPr="00C36122">
        <w:rPr>
          <w:sz w:val="28"/>
          <w:szCs w:val="28"/>
        </w:rPr>
        <w:t>О цифровых активах в Республике Казахстан».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6. Программа организации внутреннего контроля в целях противодействия ОД/ФТ/ФРОМУ включает, но не ограничивается: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lastRenderedPageBreak/>
        <w:t>1) порядок фиксирования сведений, а также хранения документов и информации, полученных в ходе реализации внутреннего контроля в целях противодействия ОД/ФТ/ФРОМУ;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2) порядок применения целевых финансовых санкций и проверки клиента (его представителя) и </w:t>
      </w:r>
      <w:proofErr w:type="spellStart"/>
      <w:r w:rsidRPr="00C36122">
        <w:rPr>
          <w:sz w:val="28"/>
          <w:szCs w:val="28"/>
        </w:rPr>
        <w:t>бенефициарного</w:t>
      </w:r>
      <w:proofErr w:type="spellEnd"/>
      <w:r w:rsidRPr="00C36122">
        <w:rPr>
          <w:sz w:val="28"/>
          <w:szCs w:val="28"/>
        </w:rPr>
        <w:t xml:space="preserve"> собственника на наличие в перечне организаций и лиц, связанных с финансированием терроризма и экстремизма, составленном в соответствии со статьей 12 Закона о ПОД/ФТ/ФРОМУ (далее – Перечень), и перечне организаций и лиц, связанных с финансированием распространения оружия массового уничтожения, составленном в соответствии со статьей 12-1 Закона о ПОД/ФТ/ФРОМУ (далее – Перечень ФРОМУ);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3) порядок прекращения действия целевых финансовых санкций при исключении сведений о клиенте (его представителе) и </w:t>
      </w:r>
      <w:proofErr w:type="spellStart"/>
      <w:r w:rsidRPr="00C36122">
        <w:rPr>
          <w:sz w:val="28"/>
          <w:szCs w:val="28"/>
        </w:rPr>
        <w:t>бенефициарном</w:t>
      </w:r>
      <w:proofErr w:type="spellEnd"/>
      <w:r w:rsidRPr="00C36122">
        <w:rPr>
          <w:sz w:val="28"/>
          <w:szCs w:val="28"/>
        </w:rPr>
        <w:t xml:space="preserve"> собственнике из Перечня и Перечня ФРОМУ;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4) порядок информирования работниками эмитентов о ставших им известными фактах нарушения Закона о ПОД/ФТ/ФРОМУ, а также правил внутреннего контроля, допущенных работниками эмитентов;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5) описание требований по противодействию ОД/ФТ/ФРОМУ, установленных юридическими лицами, которые имеют контроль над эмитентами (при наличии).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7. Функции ответственного работника в соответствии с программой организации внутреннего контроля в целях противодействия ОД/ФТ/ФРОМУ включают, но не ограничиваются: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обеспечение наличия разработанных эмитентом правил внутреннего контроля и (или) изменений (дополнений) к ним, а также мониторинг за их соблюдением;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организацию представления и контроль за представлением сообщений в уполномоченный орган в соответствии с Законом о ПОД/ФТ/ФРОМУ;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информирование руководства эмитентов о выявленных клиентах, состоящих в Перечне, Перечне ФРОМУ и принятых мерах по применению целевых финансовых санкций;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4) принятие решений о признании операций клиентов в качестве подозрительных и необходимости направления сообщений в уполномоченный орган в порядке, предусмотренном внутренними документами эмитентов;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5) принятие либо согласование с руководством эмитентов решений о </w:t>
      </w:r>
      <w:proofErr w:type="gramStart"/>
      <w:r w:rsidRPr="00C36122">
        <w:rPr>
          <w:sz w:val="28"/>
          <w:szCs w:val="28"/>
        </w:rPr>
        <w:t>приостановлении</w:t>
      </w:r>
      <w:proofErr w:type="gramEnd"/>
      <w:r w:rsidRPr="00C36122">
        <w:rPr>
          <w:sz w:val="28"/>
          <w:szCs w:val="28"/>
        </w:rPr>
        <w:t xml:space="preserve"> либо отказе от проведения операций клиентов в случаях, предусмотренных Законом о ПОД/ФТ/ФРОМУ и (или) договорами с клиентами, и в порядке, предусмотренном внутренними документами эмитента.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8. Для выполнения возложенных функций ответственный работник наделяется следующими полномочиями, включая, но не ограничиваясь: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получение доступа ко всем помещениям эмитента, цифровым системам, средствам телекоммуникаций, документам и файлам, в пределах, позволяющих осуществлять свои функции в полном объеме, и в порядке, предусмотренном внутренними документами эмитента;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обеспечение конфиденциальности информации, полученной при осуществлении своих функций.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lastRenderedPageBreak/>
        <w:t>9. Эмитент обеспечивает проведение независимой оценки эффективности системы внутреннего контроля в целях противодействия ОД/ФТ/ФРОМУ с учетом риск-ориентированного подхода.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Такая оценка может проводиться лицом либо организацией, не участвующими в реализации правил внутреннего контроля.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10. Эмитент для автоматизации процессов по вопросам внутреннего контроля в целях противодействия ОД/ФТ/ФРОМУ использует цифровые системы, соответствующие требованиям внутреннего контроля организации.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jc w:val="center"/>
        <w:rPr>
          <w:b/>
          <w:sz w:val="28"/>
          <w:szCs w:val="28"/>
        </w:rPr>
      </w:pPr>
      <w:r w:rsidRPr="00C36122">
        <w:rPr>
          <w:b/>
          <w:sz w:val="28"/>
          <w:szCs w:val="28"/>
        </w:rPr>
        <w:t>Глава 3. Программа управления рисками ОД/ФТ/ФРОМУ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11. В целях организации управления рисками ОД/ФТ/ФРОМУ эмитент разрабатывает программу управления рисками ОД/ФТ/ФРОМУ.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12. При реализации программы управления рисками ОД/ФТ/ФРОМУ эмитент учитывает опубликованную информацию из отчета рисков ОД/ФТ/ФРОМУ в соответствии с пунктом 6 статьи 11-1 Закона о ПОД/ФТ/ФРОМУ.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13. Программа управления рисками ОД/ФТ/ФРОМУ включает, но не ограничивается: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порядок организации управления рисками ОД/ФТ/ФРОМУ;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2) методику оценки рисков ОД/ФТ/ФРОМУ с учетом основных категорий рисков (по типу клиента, </w:t>
      </w:r>
      <w:proofErr w:type="spellStart"/>
      <w:r w:rsidRPr="00C36122">
        <w:rPr>
          <w:sz w:val="28"/>
          <w:szCs w:val="28"/>
        </w:rPr>
        <w:t>страновому</w:t>
      </w:r>
      <w:proofErr w:type="spellEnd"/>
      <w:r w:rsidRPr="00C36122">
        <w:rPr>
          <w:sz w:val="28"/>
          <w:szCs w:val="28"/>
        </w:rPr>
        <w:t xml:space="preserve"> риску и риску услуг/продуктов) в отношении: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уровня риска клиента;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степени подверженности услуг (продуктов) эмитента рискам ОД/ФТ/ФРОМУ;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порядок присвоения, сроки и основания для пересмотра уровней рисков клиентов.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sz w:val="28"/>
          <w:szCs w:val="28"/>
        </w:rPr>
        <w:t xml:space="preserve">4) </w:t>
      </w:r>
      <w:r w:rsidRPr="00C36122">
        <w:rPr>
          <w:color w:val="000000"/>
          <w:sz w:val="28"/>
          <w:szCs w:val="28"/>
        </w:rPr>
        <w:t>порядок определения и оценки рисков ОД/ФТ/ФРОМУ, возникающих до разработки (запуска) новых продуктов и новой деловой практики, включая новые механизмы передачи, а также использовании новых или развивающихся технологий как для новых, так и для уже существующих продуктов.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14. При оценке рисков ОД/ФТ/ФРОМУ эмитент учитывает особенности выпуска, размещения, обращения и погашения цифровых финансовых активов, базовым активом которых выступают деньги, включая риски, связанные с их конвертацией в денежные средства, скоростью и объемом совершаемых операций, а также использованием в трансграничных операциях.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15. Типы клиентов, чей статус и (или) чья деятельность повышают риск ОД/ФТ/ФРОМУ, включают, но не ограничиваются: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публичные должностные лица, их супруги и близкие родственники;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иностранные финансовые организации;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лица, осуществляющие выпуск и оборот необеспеченных цифровых активов на территории Международного финансового центра «Астана»;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lastRenderedPageBreak/>
        <w:t xml:space="preserve">4) клиенты, осуществляющие операции с использованием </w:t>
      </w:r>
      <w:r w:rsidRPr="00C36122">
        <w:rPr>
          <w:color w:val="000000"/>
          <w:sz w:val="28"/>
          <w:szCs w:val="28"/>
        </w:rPr>
        <w:t>кошельков цифровых активов, не обслуживаемых провайдерами услуг цифровых активов</w:t>
      </w:r>
      <w:r w:rsidRPr="00C36122">
        <w:rPr>
          <w:sz w:val="28"/>
          <w:szCs w:val="28"/>
        </w:rPr>
        <w:t>, при отсутствии достаточной информации о целях и характере операций;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5) юридические лица и индивидуальные предприниматели, деятельность которых связана с интенсивным оборотом наличных денег, в том числе: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организаторы игорного бизнеса, а также лица, предоставляющие услуги либо получающие доходы от деятельности онлайн-казино за пределами Республики Казахстан;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лица, предоставляющие туристские услуги, а также иные услуги, связанные с интенсивным оборотом наличных денег;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6) страховые (перестраховочные) организации, страховые брокеры, осуществляющие деятельность по отрасли «страхование жизни»;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7) лица, осуществляющие деятельность в качестве страховых агентов;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8) лица, осуществляющие посредническую деятельность по купле-продаже недвижимости;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9) некоммерческие организации, в организационно-правовой форме фондов, религиозных объединений;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10) лица, расположенные (зарегистрированные) в иностранных государствах, указанных в пункте 17 Требований, а также расположенные в Республике Казахстан филиалы и представительства таких лиц;</w:t>
      </w:r>
    </w:p>
    <w:p w:rsidR="00895FCC" w:rsidRDefault="00895FCC" w:rsidP="00895FCC">
      <w:pPr>
        <w:ind w:firstLine="708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11) определенные эмитентом дополнительные типы (при наличии) клиентов, чей статус и (или) чья деятельность повышают риск ОД/ФТ/ФРОМУ.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16. Типы клиентов, чей статус и (или) чья деятельность понижают риск ОД/ФТ/ФРОМУ, включают, но не ограничиваются: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государственные органы Республики Казахстан, включая Национальный Банк Республики Казахстан, уполномоченный орган по регулированию, контролю и надзору финансового рынка и финансовых организаций, а также юридические лица, контроль над которыми осуществляется государственными органами Республики Казахстан;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юридические лица, созданные в организационно-правовой форме государственных учреждений или государственных предприятий, а также национальным управляющим холдингом либо юридическими лицами, сто процентов голосующих акций (долей участия) которых принадлежат национальному управляющему холдингу;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банки второго уровня, страховые (перестраховочные) организации – резиденты Республики Казахстан, профессиональные участники рынка ценных бумаг – резиденты Республики Казахстан.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17. Эмитент осуществляет оценку </w:t>
      </w:r>
      <w:proofErr w:type="spellStart"/>
      <w:r w:rsidRPr="00C36122">
        <w:rPr>
          <w:sz w:val="28"/>
          <w:szCs w:val="28"/>
        </w:rPr>
        <w:t>странового</w:t>
      </w:r>
      <w:proofErr w:type="spellEnd"/>
      <w:r w:rsidRPr="00C36122">
        <w:rPr>
          <w:sz w:val="28"/>
          <w:szCs w:val="28"/>
        </w:rPr>
        <w:t xml:space="preserve"> риска, связанного с ведением деятельности в иностранных государствах (территориях), указанных в настоящем пункте, предоставлением услуг клиентам из таких иностранных государств, осуществлением операций с участием таких иностранных государств.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Иностранными государствами (территориями), операции с которыми повышают риск ОД/ФТ/ФРОМУ, являются: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1) иностранные государства (территории), включенные в перечень государств (территорий), не выполняющих либо недостаточно выполняющих </w:t>
      </w:r>
      <w:r w:rsidRPr="00C36122">
        <w:rPr>
          <w:sz w:val="28"/>
          <w:szCs w:val="28"/>
        </w:rPr>
        <w:lastRenderedPageBreak/>
        <w:t>рекомендации Группы разработки финансовых мер борьбы с отмыванием денег (ФАТФ), составляемый уполномоченным органом в соответствии с пунктом 4 статьи 4 Закона о ПОД/ФТ/ФРОМУ;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иностранные государства (территории), в отношении которых применяются международные санкции (эмбарго), принятые резолюциями Совета Безопасности Организации Объединенных Наций;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иностранные государства (территории), характеризующиеся как оффшорные зоны согласно перечню оффшорных зон, установленных Национальным Банком Республики Казахстан;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4) иностранные государства (территории), определенные эмитентом в качестве представляющих высокий риск ОД/ФТ/ФРОМУ на основе других факторов (сведения об уровне коррупции, незаконного производства, оборота и (или) транзита наркотиков, сведения о поддержке международного терроризма и другое).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18. При оценке степени подверженности услуг эмитента рискам ОД/ФТ/ФРОМУ в соответствии с факторами рисков, указанными в пунктах 12, 13 и 14 Требований, эмитентом учитываются дополнительные сведения, влияющие на итоговую степень риска, включая, но не ограничиваясь: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количество направленных эмитентом в уполномоченный орган сообщений о подозрительных операциях клиентов;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количество направленных эмитентом в уполномоченный орган сообщений о пороговых операциях клиентов.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19. В рамках реализации программы управления рисками ОД/ФТ/ФРОМУ эмитентом принимаются меры по классификации клиентов с учетом категорий и факторов риска, указанных в пунктах 12, 13 и 14 Требований.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jc w:val="center"/>
        <w:rPr>
          <w:b/>
          <w:sz w:val="28"/>
          <w:szCs w:val="28"/>
        </w:rPr>
      </w:pPr>
      <w:r w:rsidRPr="00C36122">
        <w:rPr>
          <w:b/>
          <w:sz w:val="28"/>
          <w:szCs w:val="28"/>
        </w:rPr>
        <w:t xml:space="preserve">Глава 4. Программа идентификации клиентов (их представителей) и </w:t>
      </w:r>
      <w:proofErr w:type="spellStart"/>
      <w:r w:rsidRPr="00C36122">
        <w:rPr>
          <w:b/>
          <w:sz w:val="28"/>
          <w:szCs w:val="28"/>
        </w:rPr>
        <w:t>бенефициарных</w:t>
      </w:r>
      <w:proofErr w:type="spellEnd"/>
      <w:r w:rsidRPr="00C36122">
        <w:rPr>
          <w:b/>
          <w:sz w:val="28"/>
          <w:szCs w:val="28"/>
        </w:rPr>
        <w:t xml:space="preserve"> собственников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20. В целях реализации требований Закона о ПОД/ФТ/ФРОМУ по надлежащей проверке клиента (его представителя) и </w:t>
      </w:r>
      <w:proofErr w:type="spellStart"/>
      <w:r w:rsidRPr="00C36122">
        <w:rPr>
          <w:sz w:val="28"/>
          <w:szCs w:val="28"/>
        </w:rPr>
        <w:t>бенефициарного</w:t>
      </w:r>
      <w:proofErr w:type="spellEnd"/>
      <w:r w:rsidRPr="00C36122">
        <w:rPr>
          <w:sz w:val="28"/>
          <w:szCs w:val="28"/>
        </w:rPr>
        <w:t xml:space="preserve"> собственника эмитенты разрабатывают программу идентификации клиентов (их представителей) и </w:t>
      </w:r>
      <w:proofErr w:type="spellStart"/>
      <w:r w:rsidRPr="00C36122">
        <w:rPr>
          <w:sz w:val="28"/>
          <w:szCs w:val="28"/>
        </w:rPr>
        <w:t>бенефициарных</w:t>
      </w:r>
      <w:proofErr w:type="spellEnd"/>
      <w:r w:rsidRPr="00C36122">
        <w:rPr>
          <w:sz w:val="28"/>
          <w:szCs w:val="28"/>
        </w:rPr>
        <w:t xml:space="preserve"> собственников.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Идентификация клиента (его представителя) и </w:t>
      </w:r>
      <w:proofErr w:type="spellStart"/>
      <w:r w:rsidRPr="00C36122">
        <w:rPr>
          <w:sz w:val="28"/>
          <w:szCs w:val="28"/>
        </w:rPr>
        <w:t>бенефициарного</w:t>
      </w:r>
      <w:proofErr w:type="spellEnd"/>
      <w:r w:rsidRPr="00C36122">
        <w:rPr>
          <w:sz w:val="28"/>
          <w:szCs w:val="28"/>
        </w:rPr>
        <w:t xml:space="preserve"> собственника заключается в проведении эмитентами мероприятий по фиксированию и проверке достоверности сведений о клиенте (его представителе), выявлению </w:t>
      </w:r>
      <w:proofErr w:type="spellStart"/>
      <w:r w:rsidRPr="00C36122">
        <w:rPr>
          <w:sz w:val="28"/>
          <w:szCs w:val="28"/>
        </w:rPr>
        <w:t>бенефициарного</w:t>
      </w:r>
      <w:proofErr w:type="spellEnd"/>
      <w:r w:rsidRPr="00C36122">
        <w:rPr>
          <w:sz w:val="28"/>
          <w:szCs w:val="28"/>
        </w:rPr>
        <w:t xml:space="preserve"> собственника и фиксированию сведений о нем, установлению и фиксированию предполагаемой цели деловых отношений.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21. Сведения, полученные в рамках идентификации клиентов, вносятся эмитентами в досье клиента, которое хранится эмитентами на протяжении всего периода деловых отношений с клиентом и не менее 5 (пяти) лет со дня их прекращения.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22. Программа идентификации клиента, его представителя и </w:t>
      </w:r>
      <w:proofErr w:type="spellStart"/>
      <w:r w:rsidRPr="00C36122">
        <w:rPr>
          <w:sz w:val="28"/>
          <w:szCs w:val="28"/>
        </w:rPr>
        <w:t>бенефициарного</w:t>
      </w:r>
      <w:proofErr w:type="spellEnd"/>
      <w:r w:rsidRPr="00C36122">
        <w:rPr>
          <w:sz w:val="28"/>
          <w:szCs w:val="28"/>
        </w:rPr>
        <w:t xml:space="preserve"> собственника включает, но не ограничивается: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lastRenderedPageBreak/>
        <w:t>1) порядок принятия клиентов на обслуживание, включая процедуру, основания и сроки принятия эмитентами решения об отказе в установлении деловых отношений и (или) в проведении операции, а также прекращении деловых отношений;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2) порядок идентификации клиента (его представителя) и </w:t>
      </w:r>
      <w:proofErr w:type="spellStart"/>
      <w:r w:rsidRPr="00C36122">
        <w:rPr>
          <w:sz w:val="28"/>
          <w:szCs w:val="28"/>
        </w:rPr>
        <w:t>бенефициарного</w:t>
      </w:r>
      <w:proofErr w:type="spellEnd"/>
      <w:r w:rsidRPr="00C36122">
        <w:rPr>
          <w:sz w:val="28"/>
          <w:szCs w:val="28"/>
        </w:rPr>
        <w:t xml:space="preserve"> собственника, в том числе особенности процедур упрощенных и усиленных мер надлежащей проверки клиента;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3) описание мер, направленных на выявление эмитентами среди клиентов (их представителей) и </w:t>
      </w:r>
      <w:proofErr w:type="spellStart"/>
      <w:r w:rsidRPr="00C36122">
        <w:rPr>
          <w:sz w:val="28"/>
          <w:szCs w:val="28"/>
        </w:rPr>
        <w:t>бенефициарных</w:t>
      </w:r>
      <w:proofErr w:type="spellEnd"/>
      <w:r w:rsidRPr="00C36122">
        <w:rPr>
          <w:sz w:val="28"/>
          <w:szCs w:val="28"/>
        </w:rPr>
        <w:t xml:space="preserve"> собственников, находящихся на обслуживании или принимаемых на обслуживание, публичных должностных лиц, их супругов и близких родственников.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В отношении клиентов, их представителей и (или) </w:t>
      </w:r>
      <w:proofErr w:type="spellStart"/>
      <w:r w:rsidRPr="00C36122">
        <w:rPr>
          <w:sz w:val="28"/>
          <w:szCs w:val="28"/>
        </w:rPr>
        <w:t>бенефициарных</w:t>
      </w:r>
      <w:proofErr w:type="spellEnd"/>
      <w:r w:rsidRPr="00C36122">
        <w:rPr>
          <w:sz w:val="28"/>
          <w:szCs w:val="28"/>
        </w:rPr>
        <w:t xml:space="preserve"> собственников, отнесенных к публичным должностным лицам, их супругам и близким родственникам, эмитент применяет усиленные меры надлежащей проверки, а также усиленный мониторинг операций и обновление сведений о таких клиентах с повышенной периодичностью.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4) порядок проверки клиента (его представителя) и </w:t>
      </w:r>
      <w:proofErr w:type="spellStart"/>
      <w:r w:rsidRPr="00C36122">
        <w:rPr>
          <w:sz w:val="28"/>
          <w:szCs w:val="28"/>
        </w:rPr>
        <w:t>бенефициарного</w:t>
      </w:r>
      <w:proofErr w:type="spellEnd"/>
      <w:r w:rsidRPr="00C36122">
        <w:rPr>
          <w:sz w:val="28"/>
          <w:szCs w:val="28"/>
        </w:rPr>
        <w:t xml:space="preserve"> собственника на наличие в Перечне и Перечне ФРОМУ.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 xml:space="preserve">5) процедуру обеспечения прозрачности переводов цифровых активов, включая порядок получения, передачи и хранения сведений об отправителе и получателе цифровых активов при осуществлении операций с цифровыми активами, а также порядок действий работников </w:t>
      </w:r>
      <w:r w:rsidRPr="00C36122">
        <w:rPr>
          <w:color w:val="000000"/>
          <w:sz w:val="28"/>
          <w:szCs w:val="28"/>
          <w:lang w:val="kk-KZ"/>
        </w:rPr>
        <w:t>эмитента</w:t>
      </w:r>
      <w:r w:rsidRPr="00C36122">
        <w:rPr>
          <w:color w:val="000000"/>
          <w:sz w:val="28"/>
          <w:szCs w:val="28"/>
        </w:rPr>
        <w:t xml:space="preserve"> при отсутствии, неполноте либо противоречивости таких сведений.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 xml:space="preserve">В рамках указанной процедуры </w:t>
      </w:r>
      <w:r w:rsidRPr="00C36122">
        <w:rPr>
          <w:color w:val="000000"/>
          <w:sz w:val="28"/>
          <w:szCs w:val="28"/>
          <w:lang w:val="kk-KZ"/>
        </w:rPr>
        <w:t>эмитент</w:t>
      </w:r>
      <w:r w:rsidRPr="00C36122">
        <w:rPr>
          <w:color w:val="000000"/>
          <w:sz w:val="28"/>
          <w:szCs w:val="28"/>
        </w:rPr>
        <w:t xml:space="preserve"> обеспечивает получение и фиксирование сведений об отправителе и получателе цифровых активов, включая, но не ограничиваясь, следующими: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 xml:space="preserve">сведения об операции, включая вид цифрового актива, сумму, дату и время совершения операции, используемый </w:t>
      </w:r>
      <w:proofErr w:type="spellStart"/>
      <w:r w:rsidRPr="00C36122">
        <w:rPr>
          <w:color w:val="000000"/>
          <w:sz w:val="28"/>
          <w:szCs w:val="28"/>
        </w:rPr>
        <w:t>блокчейн</w:t>
      </w:r>
      <w:proofErr w:type="spellEnd"/>
      <w:r w:rsidRPr="00C36122">
        <w:rPr>
          <w:color w:val="000000"/>
          <w:sz w:val="28"/>
          <w:szCs w:val="28"/>
        </w:rPr>
        <w:t xml:space="preserve"> (распределенный реестр) и иные сведения, предусмотренные внутренними документами </w:t>
      </w:r>
      <w:r w:rsidRPr="00C36122">
        <w:rPr>
          <w:color w:val="000000"/>
          <w:sz w:val="28"/>
          <w:szCs w:val="28"/>
          <w:lang w:val="kk-KZ"/>
        </w:rPr>
        <w:t>эмитента</w:t>
      </w:r>
      <w:r w:rsidRPr="00C36122">
        <w:rPr>
          <w:color w:val="000000"/>
          <w:sz w:val="28"/>
          <w:szCs w:val="28"/>
        </w:rPr>
        <w:t>.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 xml:space="preserve">об отправителе цифровых активов: 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фамилия, имя, отчество (при его наличии) либо наименование юридического лица;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сведения, позволяющие идентифицировать клиента;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адрес кошелька цифровых активов либо иной уникальный идентификатор, используемый для осуществления операции;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при наличии – сведения о провайдере услуг цифровых активов, обслуживающем отправителя;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 xml:space="preserve">о получателе цифровых активов: 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фамилия, имя, отчество (при его наличии) либо наименование юридического лица;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адрес кошелька цифровых активов либо иной уникальный идентификатор получателя;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>при наличии – сведения о провайдере услуг цифровых активов, обслуживающем получателя.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lastRenderedPageBreak/>
        <w:t>6) особенности применения мер надлежащей проверки при переводе цифровых активов на адреса кошельков цифровых активов, не обслуживаемых провайдерами услуг цифровых активов, либо при получении цифровых активов с таких адресов, включая риск-ориентированные меры по установлению и проверке сведений о владельце (</w:t>
      </w:r>
      <w:proofErr w:type="spellStart"/>
      <w:r w:rsidRPr="00C36122">
        <w:rPr>
          <w:color w:val="000000"/>
          <w:sz w:val="28"/>
          <w:szCs w:val="28"/>
        </w:rPr>
        <w:t>бенефициарном</w:t>
      </w:r>
      <w:proofErr w:type="spellEnd"/>
      <w:r w:rsidRPr="00C36122">
        <w:rPr>
          <w:color w:val="000000"/>
          <w:sz w:val="28"/>
          <w:szCs w:val="28"/>
        </w:rPr>
        <w:t xml:space="preserve"> собственнике) такого кошелька цифрового актива, проведение усиленной идентификации и усиленного мониторинга операций в случаях, предусмотренных внутренними документами эмитента.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23. </w:t>
      </w:r>
      <w:r w:rsidRPr="00C36122">
        <w:rPr>
          <w:color w:val="000000"/>
          <w:sz w:val="28"/>
          <w:szCs w:val="28"/>
        </w:rPr>
        <w:t xml:space="preserve">Мероприятия по выявлению </w:t>
      </w:r>
      <w:proofErr w:type="spellStart"/>
      <w:r w:rsidRPr="00C36122">
        <w:rPr>
          <w:color w:val="000000"/>
          <w:sz w:val="28"/>
          <w:szCs w:val="28"/>
        </w:rPr>
        <w:t>бенефициарного</w:t>
      </w:r>
      <w:proofErr w:type="spellEnd"/>
      <w:r w:rsidRPr="00C36122">
        <w:rPr>
          <w:color w:val="000000"/>
          <w:sz w:val="28"/>
          <w:szCs w:val="28"/>
        </w:rPr>
        <w:t xml:space="preserve"> собственника клиента, установлению структуры его собственности и управления проводятся на основании учредительных документов и реестра держателей акций (реестра участников) такого клиента, Реестра </w:t>
      </w:r>
      <w:proofErr w:type="spellStart"/>
      <w:r w:rsidRPr="00C36122">
        <w:rPr>
          <w:color w:val="000000"/>
          <w:sz w:val="28"/>
          <w:szCs w:val="28"/>
        </w:rPr>
        <w:t>бенефициарных</w:t>
      </w:r>
      <w:proofErr w:type="spellEnd"/>
      <w:r w:rsidRPr="00C36122">
        <w:rPr>
          <w:color w:val="000000"/>
          <w:sz w:val="28"/>
          <w:szCs w:val="28"/>
        </w:rPr>
        <w:t xml:space="preserve"> собственников юридических лиц (далее – Реестр БС), размещенного на </w:t>
      </w:r>
      <w:proofErr w:type="spellStart"/>
      <w:r w:rsidRPr="00C36122">
        <w:rPr>
          <w:color w:val="000000"/>
          <w:sz w:val="28"/>
          <w:szCs w:val="28"/>
        </w:rPr>
        <w:t>интернет-ресурсе</w:t>
      </w:r>
      <w:proofErr w:type="spellEnd"/>
      <w:r w:rsidRPr="00C36122">
        <w:rPr>
          <w:color w:val="000000"/>
          <w:sz w:val="28"/>
          <w:szCs w:val="28"/>
        </w:rPr>
        <w:t xml:space="preserve"> уполномоченного органа по финансовому мониторингу либо сведений, полученных из других источников.</w:t>
      </w:r>
    </w:p>
    <w:p w:rsidR="00895FCC" w:rsidRDefault="00895FCC" w:rsidP="00895FCC">
      <w:pPr>
        <w:ind w:firstLine="709"/>
        <w:jc w:val="both"/>
        <w:rPr>
          <w:color w:val="000000"/>
          <w:sz w:val="28"/>
          <w:szCs w:val="28"/>
        </w:rPr>
      </w:pPr>
      <w:r w:rsidRPr="00C36122">
        <w:rPr>
          <w:color w:val="000000"/>
          <w:sz w:val="28"/>
          <w:szCs w:val="28"/>
        </w:rPr>
        <w:t xml:space="preserve">24. Сведения о выявленных </w:t>
      </w:r>
      <w:proofErr w:type="spellStart"/>
      <w:r w:rsidRPr="00C36122">
        <w:rPr>
          <w:color w:val="000000"/>
          <w:sz w:val="28"/>
          <w:szCs w:val="28"/>
        </w:rPr>
        <w:t>бенефициарных</w:t>
      </w:r>
      <w:proofErr w:type="spellEnd"/>
      <w:r w:rsidRPr="00C36122">
        <w:rPr>
          <w:color w:val="000000"/>
          <w:sz w:val="28"/>
          <w:szCs w:val="28"/>
        </w:rPr>
        <w:t xml:space="preserve"> собственниках вносятся в Реестр БС.  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jc w:val="both"/>
        <w:rPr>
          <w:sz w:val="28"/>
          <w:szCs w:val="28"/>
        </w:rPr>
      </w:pPr>
    </w:p>
    <w:p w:rsidR="00895FCC" w:rsidRDefault="00895FCC" w:rsidP="00895FCC">
      <w:pPr>
        <w:jc w:val="center"/>
        <w:rPr>
          <w:b/>
          <w:sz w:val="28"/>
          <w:szCs w:val="28"/>
        </w:rPr>
      </w:pPr>
      <w:r w:rsidRPr="00C36122">
        <w:rPr>
          <w:b/>
          <w:sz w:val="28"/>
          <w:szCs w:val="28"/>
        </w:rPr>
        <w:t>Глава 5. Программа мониторинга и изучения операций клиентов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25. В целях реализации требований Закона о ПОД/ФТ/ФРОМУ по надлежащей проверке клиента, а также по выявлению и направлению в уполномоченный орган сообщений о пороговых и подозрительных операциях, эмитент разрабатывает программу мониторинга и изучения операций клиентов.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 xml:space="preserve">26. В рамках программы мониторинга и изучения операций клиентов эмитентом проводятся мероприятия по обновлению и (или) получению дополнительных сведений о клиентах (их представителях) и </w:t>
      </w:r>
      <w:proofErr w:type="spellStart"/>
      <w:r w:rsidRPr="00C36122">
        <w:rPr>
          <w:sz w:val="28"/>
          <w:szCs w:val="28"/>
        </w:rPr>
        <w:t>бенефициарных</w:t>
      </w:r>
      <w:proofErr w:type="spellEnd"/>
      <w:r w:rsidRPr="00C36122">
        <w:rPr>
          <w:sz w:val="28"/>
          <w:szCs w:val="28"/>
        </w:rPr>
        <w:t xml:space="preserve"> собственниках, включая сведения об источнике финансирования совершаемых клиентами операций, а также по изучению операций клиентов и выявлению пороговых, необычных и подозрительных операций.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27. Программа мониторинга и изучения операций клиентов включает, но не ограничивается: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1) перечень признаков подозрительных операций, составленный на основе признаков определения подозрительной операции, определенных уполномоченным органом в соответствии с пунктом 2 статьи 10 Закона о ПОД/ФТ/ФРОМУ, а также разработанных эмитентами самостоятельно;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2) порядок, основания и срок принятия ответственным работником решения о квалификации операции клиента;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3) порядок представления в уполномоченный орган сообщений о пороговых и подозрительных операциях.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28. При возникновении сомнений в части правомерности квалификации операции в качестве пороговой, а также при выявлении необычной или подозрительной операции, работник эмитента, выявивший указанную операцию, направляет сообщение о такой операции ответственному работнику.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center"/>
        <w:rPr>
          <w:b/>
          <w:sz w:val="28"/>
          <w:szCs w:val="28"/>
        </w:rPr>
      </w:pPr>
      <w:r w:rsidRPr="00C36122">
        <w:rPr>
          <w:b/>
          <w:sz w:val="28"/>
          <w:szCs w:val="28"/>
        </w:rPr>
        <w:t>Глава 6. Программа подготовки и обучения работников эмитента по вопросам противодействия ОД/ФТ/ФРОМУ</w:t>
      </w:r>
    </w:p>
    <w:p w:rsidR="00895FCC" w:rsidRDefault="00895FCC" w:rsidP="00895FCC">
      <w:pPr>
        <w:ind w:firstLine="709"/>
        <w:jc w:val="both"/>
        <w:rPr>
          <w:sz w:val="28"/>
          <w:szCs w:val="28"/>
        </w:rPr>
      </w:pPr>
    </w:p>
    <w:p w:rsidR="00895FCC" w:rsidRDefault="00895FCC" w:rsidP="00895FCC">
      <w:pPr>
        <w:ind w:firstLine="709"/>
        <w:jc w:val="both"/>
        <w:rPr>
          <w:sz w:val="28"/>
          <w:szCs w:val="28"/>
        </w:rPr>
      </w:pPr>
      <w:r w:rsidRPr="00C36122">
        <w:rPr>
          <w:sz w:val="28"/>
          <w:szCs w:val="28"/>
        </w:rPr>
        <w:t>29. Целью программы подготовки и обучения работников эмитента по вопросам противодействия ОД/ФТ/ФРОМУ (далее – программа обучения) является получение работниками эмитента знаний и формирование навыков, необходимых для исполнения ими требований законодательства Республики Казахстан о противодействии ОД/ФТ/ФРОМУ, а также правил внутреннего контроля и иных внутренних документов эмитента в сфере противодействия ОД/ФТ/ФРОМУ.</w:t>
      </w:r>
    </w:p>
    <w:p w:rsidR="00895FCC" w:rsidRDefault="00895FCC" w:rsidP="00895FCC">
      <w:pPr>
        <w:ind w:firstLine="709"/>
        <w:jc w:val="both"/>
        <w:rPr>
          <w:b/>
          <w:sz w:val="28"/>
          <w:szCs w:val="28"/>
        </w:rPr>
      </w:pPr>
      <w:r w:rsidRPr="00C36122">
        <w:rPr>
          <w:sz w:val="28"/>
          <w:szCs w:val="28"/>
        </w:rPr>
        <w:t>30. Программа обучения разрабатывается в соответствии с требованиями к субъектам финансового мониторинга по подготовке и обучению в сфере противодействия ОД/ФТ/ФРОМУ, указанными в пункте 8 статьи 11 Закона о</w:t>
      </w:r>
      <w:r w:rsidRPr="006B36C7">
        <w:rPr>
          <w:sz w:val="28"/>
          <w:szCs w:val="28"/>
        </w:rPr>
        <w:t xml:space="preserve"> ПОД/ФТ</w:t>
      </w:r>
      <w:r>
        <w:rPr>
          <w:sz w:val="28"/>
          <w:szCs w:val="28"/>
        </w:rPr>
        <w:t>/ФРОМУ</w:t>
      </w:r>
      <w:r w:rsidRPr="006B36C7">
        <w:rPr>
          <w:sz w:val="28"/>
          <w:szCs w:val="28"/>
        </w:rPr>
        <w:t>.</w:t>
      </w:r>
    </w:p>
    <w:p w:rsidR="00BD4ACE" w:rsidRDefault="00BD4ACE" w:rsidP="00BD4AC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D4ACE" w:rsidRDefault="00BD4ACE" w:rsidP="00BD4ACE">
      <w:pPr>
        <w:widowControl w:val="0"/>
        <w:ind w:firstLine="709"/>
        <w:jc w:val="both"/>
        <w:rPr>
          <w:b/>
          <w:sz w:val="28"/>
          <w:szCs w:val="28"/>
        </w:rPr>
      </w:pPr>
    </w:p>
    <w:p w:rsidR="00B77348" w:rsidRDefault="00B77348"/>
    <w:sectPr w:rsidR="00B77348" w:rsidSect="00470B1E">
      <w:headerReference w:type="default" r:id="rId7"/>
      <w:headerReference w:type="firs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D83" w:rsidRDefault="00352D83" w:rsidP="00BD4ACE">
      <w:r>
        <w:separator/>
      </w:r>
    </w:p>
  </w:endnote>
  <w:endnote w:type="continuationSeparator" w:id="0">
    <w:p w:rsidR="00352D83" w:rsidRDefault="00352D83" w:rsidP="00BD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D83" w:rsidRDefault="00352D83" w:rsidP="00BD4ACE">
      <w:r>
        <w:separator/>
      </w:r>
    </w:p>
  </w:footnote>
  <w:footnote w:type="continuationSeparator" w:id="0">
    <w:p w:rsidR="00352D83" w:rsidRDefault="00352D83" w:rsidP="00BD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79019"/>
      <w:docPartObj>
        <w:docPartGallery w:val="Page Numbers (Top of Page)"/>
        <w:docPartUnique/>
      </w:docPartObj>
    </w:sdtPr>
    <w:sdtEndPr/>
    <w:sdtContent>
      <w:p w:rsidR="002B51E6" w:rsidRDefault="007D42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568">
          <w:rPr>
            <w:noProof/>
          </w:rPr>
          <w:t>11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568" w:rsidRDefault="00D26568" w:rsidP="00D26568">
    <w:pPr>
      <w:pStyle w:val="a4"/>
      <w:jc w:val="center"/>
    </w:pPr>
    <w:r w:rsidRPr="00543C9F">
      <w:rPr>
        <w:i/>
      </w:rPr>
      <w:t xml:space="preserve">Зарегистрировано в Министерстве юстиции Республики Казахстан </w:t>
    </w:r>
    <w:r w:rsidRPr="00543C9F">
      <w:rPr>
        <w:i/>
      </w:rPr>
      <w:br/>
    </w:r>
    <w:r>
      <w:rPr>
        <w:i/>
        <w:lang w:val="kk-KZ"/>
      </w:rPr>
      <w:t>13</w:t>
    </w:r>
    <w:r>
      <w:rPr>
        <w:i/>
      </w:rPr>
      <w:t xml:space="preserve"> </w:t>
    </w:r>
    <w:r>
      <w:rPr>
        <w:i/>
        <w:lang w:val="kk-KZ"/>
      </w:rPr>
      <w:t>апреля</w:t>
    </w:r>
    <w:r>
      <w:rPr>
        <w:i/>
      </w:rPr>
      <w:t xml:space="preserve"> </w:t>
    </w:r>
    <w:r w:rsidRPr="00543C9F">
      <w:rPr>
        <w:i/>
      </w:rPr>
      <w:t>202</w:t>
    </w:r>
    <w:r>
      <w:rPr>
        <w:i/>
        <w:lang w:val="kk-KZ"/>
      </w:rPr>
      <w:t>6</w:t>
    </w:r>
    <w:r w:rsidRPr="00543C9F">
      <w:rPr>
        <w:i/>
      </w:rPr>
      <w:t xml:space="preserve"> года № 3</w:t>
    </w:r>
    <w:r>
      <w:rPr>
        <w:i/>
        <w:lang w:val="kk-KZ"/>
      </w:rPr>
      <w:t>8410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50"/>
    <w:rsid w:val="00261850"/>
    <w:rsid w:val="00352D83"/>
    <w:rsid w:val="007D4248"/>
    <w:rsid w:val="00895FCC"/>
    <w:rsid w:val="00940ACC"/>
    <w:rsid w:val="00B77348"/>
    <w:rsid w:val="00BD4ACE"/>
    <w:rsid w:val="00D2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94558"/>
  <w15:chartTrackingRefBased/>
  <w15:docId w15:val="{320DDD37-F159-48B9-9BD1-81F98690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ACE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qFormat/>
    <w:rsid w:val="00BD4ACE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D4ACE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3499</Words>
  <Characters>19946</Characters>
  <Application>Microsoft Office Word</Application>
  <DocSecurity>0</DocSecurity>
  <Lines>166</Lines>
  <Paragraphs>46</Paragraphs>
  <ScaleCrop>false</ScaleCrop>
  <Company/>
  <LinksUpToDate>false</LinksUpToDate>
  <CharactersWithSpaces>23399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Мадияр Кызайбеков</dc:creator>
  <cp:keywords/>
  <dc:description/>
  <cp:lastModifiedBy>Аружан Лұқпан</cp:lastModifiedBy>
  <cp:revision>4</cp:revision>
  <dcterms:created xsi:type="dcterms:W3CDTF">2026-03-27T09:23:00Z</dcterms:created>
  <dcterms:modified xsi:type="dcterms:W3CDTF">2026-04-16T11:05:00Z</dcterms:modified>
</cp:coreProperties>
</file>