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F7143" w14:textId="306A4BD1" w:rsidR="00B07B26" w:rsidRPr="00B77133" w:rsidRDefault="00B07B26" w:rsidP="00B07B26">
      <w:pPr>
        <w:ind w:left="4253"/>
        <w:jc w:val="both"/>
        <w:rPr>
          <w:rFonts w:ascii="Times New Roman" w:hAnsi="Times New Roman" w:cs="Times New Roman"/>
          <w:sz w:val="28"/>
          <w:szCs w:val="28"/>
          <w:lang w:val="kk-KZ"/>
        </w:rPr>
      </w:pPr>
      <w:r w:rsidRPr="00B77133">
        <w:rPr>
          <w:rFonts w:ascii="Times New Roman" w:hAnsi="Times New Roman" w:cs="Times New Roman"/>
          <w:color w:val="000000"/>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sidRPr="00B77133">
        <w:rPr>
          <w:rFonts w:ascii="Times New Roman" w:hAnsi="Times New Roman" w:cs="Times New Roman"/>
          <w:b/>
          <w:color w:val="000000"/>
          <w:sz w:val="28"/>
          <w:szCs w:val="28"/>
          <w:u w:val="single"/>
          <w:lang w:val="kk-KZ"/>
        </w:rPr>
        <w:t>1-қосымша</w:t>
      </w:r>
    </w:p>
    <w:p w14:paraId="0A35CE6D" w14:textId="77777777" w:rsidR="00A05DA5" w:rsidRPr="00B77133" w:rsidRDefault="00A05DA5" w:rsidP="00F27E9C">
      <w:pPr>
        <w:jc w:val="center"/>
        <w:rPr>
          <w:rFonts w:ascii="Times New Roman" w:hAnsi="Times New Roman" w:cs="Times New Roman"/>
          <w:b/>
          <w:sz w:val="24"/>
          <w:szCs w:val="24"/>
          <w:lang w:val="kk-KZ"/>
        </w:rPr>
      </w:pPr>
    </w:p>
    <w:p w14:paraId="35A81228" w14:textId="77777777" w:rsidR="00244BF5" w:rsidRPr="00B77133" w:rsidRDefault="00244BF5" w:rsidP="00F27E9C">
      <w:pPr>
        <w:jc w:val="center"/>
        <w:rPr>
          <w:rFonts w:ascii="Times New Roman" w:hAnsi="Times New Roman" w:cs="Times New Roman"/>
          <w:b/>
          <w:sz w:val="24"/>
          <w:szCs w:val="24"/>
          <w:lang w:val="kk-KZ"/>
        </w:rPr>
      </w:pPr>
    </w:p>
    <w:p w14:paraId="0BCD6A9E" w14:textId="64CB5BFB" w:rsidR="00A05DA5" w:rsidRPr="00B77133" w:rsidRDefault="009A241E" w:rsidP="00F27E9C">
      <w:pPr>
        <w:jc w:val="center"/>
        <w:rPr>
          <w:rFonts w:ascii="Times New Roman" w:hAnsi="Times New Roman" w:cs="Times New Roman"/>
          <w:sz w:val="24"/>
          <w:szCs w:val="24"/>
          <w:lang w:val="kk-KZ"/>
        </w:rPr>
      </w:pPr>
      <w:r w:rsidRPr="00B77133">
        <w:rPr>
          <w:rFonts w:ascii="Times New Roman" w:hAnsi="Times New Roman" w:cs="Times New Roman"/>
          <w:sz w:val="24"/>
          <w:szCs w:val="24"/>
          <w:lang w:val="kk-KZ"/>
        </w:rPr>
        <w:t xml:space="preserve">ЗЕРТТЕУ ТАҚЫРЫБЫНА АРНАЛҒАН </w:t>
      </w:r>
      <w:r w:rsidR="00A05DA5" w:rsidRPr="00B77133">
        <w:rPr>
          <w:rFonts w:ascii="Times New Roman" w:hAnsi="Times New Roman" w:cs="Times New Roman"/>
          <w:sz w:val="24"/>
          <w:szCs w:val="24"/>
          <w:lang w:val="kk-KZ"/>
        </w:rPr>
        <w:t>ТЕХНИ</w:t>
      </w:r>
      <w:r w:rsidRPr="00B77133">
        <w:rPr>
          <w:rFonts w:ascii="Times New Roman" w:hAnsi="Times New Roman" w:cs="Times New Roman"/>
          <w:sz w:val="24"/>
          <w:szCs w:val="24"/>
          <w:lang w:val="kk-KZ"/>
        </w:rPr>
        <w:t>КАЛ</w:t>
      </w:r>
      <w:r w:rsidR="007A5924" w:rsidRPr="00B77133">
        <w:rPr>
          <w:rFonts w:ascii="Times New Roman" w:hAnsi="Times New Roman" w:cs="Times New Roman"/>
          <w:sz w:val="24"/>
          <w:szCs w:val="24"/>
          <w:lang w:val="kk-KZ"/>
        </w:rPr>
        <w:t>Ы</w:t>
      </w:r>
      <w:r w:rsidRPr="00B77133">
        <w:rPr>
          <w:rFonts w:ascii="Times New Roman" w:hAnsi="Times New Roman" w:cs="Times New Roman"/>
          <w:sz w:val="24"/>
          <w:szCs w:val="24"/>
          <w:lang w:val="kk-KZ"/>
        </w:rPr>
        <w:t>Қ ТАПСЫРМА</w:t>
      </w:r>
      <w:r w:rsidR="00A05DA5" w:rsidRPr="00B77133">
        <w:rPr>
          <w:rFonts w:ascii="Times New Roman" w:hAnsi="Times New Roman" w:cs="Times New Roman"/>
          <w:sz w:val="24"/>
          <w:szCs w:val="24"/>
          <w:lang w:val="kk-KZ"/>
        </w:rPr>
        <w:t>:</w:t>
      </w:r>
    </w:p>
    <w:p w14:paraId="38FDF1BA" w14:textId="77777777" w:rsidR="001B795D" w:rsidRDefault="001B795D" w:rsidP="001B795D">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ҚАЗАҚСТАННЫҢ БАНК СЕКТОРЫНЫҢ РЕНТАБЕЛЬДІЛІГІ ЖӘНЕ ҚАРЖЫЛЫҚ ТҰРАҚТЫЛЫҚ: ҚАЛЫПТАСу ФАКТОРЛАРЫ ЖӘНЕ НЕГІЗГІ ӨЗАРА БАЙЛАНЫСТАРДЫ ТАЛДАУ»</w:t>
      </w:r>
    </w:p>
    <w:p w14:paraId="012F4165" w14:textId="77777777" w:rsidR="001B795D" w:rsidRDefault="001B795D" w:rsidP="001B795D">
      <w:pPr>
        <w:jc w:val="center"/>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2175"/>
        <w:gridCol w:w="7169"/>
      </w:tblGrid>
      <w:tr w:rsidR="001B795D" w:rsidRPr="000051AF" w14:paraId="62ADB191"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0CEC647C" w14:textId="77777777" w:rsidR="001B795D" w:rsidRDefault="001B795D">
            <w:pPr>
              <w:tabs>
                <w:tab w:val="left" w:pos="567"/>
              </w:tabs>
              <w:rPr>
                <w:rFonts w:ascii="Times New Roman" w:hAnsi="Times New Roman"/>
                <w:b/>
                <w:sz w:val="24"/>
                <w:lang w:val="kk-KZ"/>
              </w:rPr>
            </w:pPr>
            <w:r>
              <w:rPr>
                <w:rFonts w:ascii="Times New Roman" w:hAnsi="Times New Roman"/>
                <w:b/>
                <w:sz w:val="24"/>
                <w:lang w:val="kk-KZ"/>
              </w:rPr>
              <w:t>Жауапты бөлімше</w:t>
            </w:r>
          </w:p>
        </w:tc>
        <w:tc>
          <w:tcPr>
            <w:tcW w:w="7169" w:type="dxa"/>
            <w:tcBorders>
              <w:top w:val="single" w:sz="4" w:space="0" w:color="auto"/>
              <w:left w:val="single" w:sz="4" w:space="0" w:color="auto"/>
              <w:bottom w:val="single" w:sz="4" w:space="0" w:color="auto"/>
              <w:right w:val="single" w:sz="4" w:space="0" w:color="auto"/>
            </w:tcBorders>
            <w:hideMark/>
          </w:tcPr>
          <w:p w14:paraId="63D7A3A4" w14:textId="77777777" w:rsidR="001B795D" w:rsidRDefault="001B795D">
            <w:pPr>
              <w:tabs>
                <w:tab w:val="left" w:pos="567"/>
              </w:tabs>
              <w:rPr>
                <w:rFonts w:ascii="Times New Roman" w:hAnsi="Times New Roman"/>
                <w:b/>
                <w:sz w:val="24"/>
                <w:lang w:val="kk-KZ"/>
              </w:rPr>
            </w:pPr>
            <w:r>
              <w:rPr>
                <w:rFonts w:ascii="Times New Roman" w:hAnsi="Times New Roman"/>
                <w:b/>
                <w:sz w:val="24"/>
                <w:lang w:val="kk-KZ"/>
              </w:rPr>
              <w:t>Қаржылық тұрақтылық және зерттеулер департаменті</w:t>
            </w:r>
          </w:p>
        </w:tc>
      </w:tr>
      <w:tr w:rsidR="001B795D" w:rsidRPr="000051AF" w14:paraId="5EA9ABA1" w14:textId="77777777" w:rsidTr="001B795D">
        <w:trPr>
          <w:trHeight w:val="381"/>
        </w:trPr>
        <w:tc>
          <w:tcPr>
            <w:tcW w:w="9344" w:type="dxa"/>
            <w:gridSpan w:val="2"/>
            <w:tcBorders>
              <w:top w:val="single" w:sz="4" w:space="0" w:color="auto"/>
              <w:left w:val="single" w:sz="4" w:space="0" w:color="auto"/>
              <w:bottom w:val="single" w:sz="4" w:space="0" w:color="auto"/>
              <w:right w:val="single" w:sz="4" w:space="0" w:color="auto"/>
            </w:tcBorders>
            <w:hideMark/>
          </w:tcPr>
          <w:p w14:paraId="3C81E7E2" w14:textId="78CD4467" w:rsidR="001B795D" w:rsidRDefault="001B795D">
            <w:pPr>
              <w:tabs>
                <w:tab w:val="left" w:pos="567"/>
              </w:tabs>
              <w:rPr>
                <w:rFonts w:ascii="Times New Roman" w:hAnsi="Times New Roman"/>
                <w:b/>
                <w:sz w:val="24"/>
                <w:lang w:val="kk-KZ"/>
              </w:rPr>
            </w:pPr>
            <w:r>
              <w:rPr>
                <w:rFonts w:ascii="Times New Roman" w:hAnsi="Times New Roman"/>
                <w:b/>
                <w:sz w:val="24"/>
                <w:lang w:val="kk-KZ"/>
              </w:rPr>
              <w:t>1. Зерттеудің мақсаты мен міндеттері, зерттеу нысаны, зерттеу міндетінің өзектілігі мен негізділігі</w:t>
            </w:r>
          </w:p>
        </w:tc>
      </w:tr>
      <w:tr w:rsidR="001B795D" w:rsidRPr="000051AF" w14:paraId="0BBD4542"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2E2A3A39" w14:textId="77777777" w:rsidR="001B795D" w:rsidRDefault="001B795D">
            <w:pPr>
              <w:rPr>
                <w:rFonts w:ascii="Times New Roman" w:hAnsi="Times New Roman"/>
                <w:sz w:val="24"/>
                <w:lang w:val="kk-KZ"/>
              </w:rPr>
            </w:pPr>
            <w:r>
              <w:rPr>
                <w:rFonts w:ascii="Times New Roman" w:hAnsi="Times New Roman" w:cs="Times New Roman"/>
                <w:b/>
                <w:sz w:val="24"/>
                <w:szCs w:val="24"/>
                <w:lang w:val="kk-KZ"/>
              </w:rPr>
              <w:t>Зерттеу мәселесін белгілеу</w:t>
            </w:r>
          </w:p>
        </w:tc>
        <w:tc>
          <w:tcPr>
            <w:tcW w:w="7169" w:type="dxa"/>
            <w:tcBorders>
              <w:top w:val="single" w:sz="4" w:space="0" w:color="auto"/>
              <w:left w:val="single" w:sz="4" w:space="0" w:color="auto"/>
              <w:bottom w:val="single" w:sz="4" w:space="0" w:color="auto"/>
              <w:right w:val="single" w:sz="4" w:space="0" w:color="auto"/>
            </w:tcBorders>
          </w:tcPr>
          <w:p w14:paraId="2508646A" w14:textId="77777777" w:rsidR="001B795D" w:rsidRDefault="001B795D">
            <w:pPr>
              <w:jc w:val="both"/>
              <w:rPr>
                <w:rFonts w:ascii="Times New Roman" w:hAnsi="Times New Roman"/>
                <w:sz w:val="24"/>
                <w:lang w:val="kk-KZ"/>
              </w:rPr>
            </w:pPr>
            <w:r>
              <w:rPr>
                <w:rFonts w:ascii="Times New Roman" w:hAnsi="Times New Roman"/>
                <w:sz w:val="24"/>
                <w:lang w:val="kk-KZ"/>
              </w:rPr>
              <w:t>Банк секторының рентабельділігі экономиканың қаржылық тұрақтылығын қамтамасыз етуде сектордың қаржылық «денсаулығының» көрсеткіштерінің бірі ретінде шешуші рөл атқарады. Қазақстанда банк секторының рентабельділігі соңғы жылдары оң серпінді көрсетіп отыр. Алайда, қол жеткізілген нәтижелерге қарамастан, сектор сыртқы экономикалық және ішкі (салық салуды саралау, ең төменгі резервтік талаптарды ұлғайту және т.б.) бірқатар сын-қатерлерге тап болады. Бұл факторлар операциялық тиімділікке және сол арқылы банктердің әлеуетті қаржылық тұрақтылығына айтарлықтай әсер етеді.</w:t>
            </w:r>
          </w:p>
          <w:p w14:paraId="18E2E342" w14:textId="77777777" w:rsidR="001B795D" w:rsidRDefault="001B795D" w:rsidP="001B795D">
            <w:pPr>
              <w:ind w:firstLine="258"/>
              <w:jc w:val="both"/>
              <w:rPr>
                <w:rFonts w:ascii="Times New Roman" w:hAnsi="Times New Roman"/>
                <w:sz w:val="24"/>
                <w:lang w:val="kk-KZ"/>
              </w:rPr>
            </w:pPr>
            <w:r>
              <w:rPr>
                <w:rFonts w:ascii="Times New Roman" w:hAnsi="Times New Roman"/>
                <w:sz w:val="24"/>
                <w:lang w:val="kk-KZ"/>
              </w:rPr>
              <w:t>Банк қызметінің табыстылығын анықтайтын факторларды түсіну қаржы жүйесінің тұрақтылығын бағалау және тиімді реттеушілік саясатты қалыптастыру үшін маңызды. Рентабельділік банктердің экономикалық күйзелістерге төтеп беру және тәуекелдерді тиімді басқару қабілетін ғана емес, сонымен қатар олардың несиелеуді кеңейту және салымшылардың сенімін сақтау қабілетіне де әсер етеді.</w:t>
            </w:r>
          </w:p>
          <w:p w14:paraId="3763D3B3" w14:textId="77777777" w:rsidR="001B795D" w:rsidRDefault="001B795D" w:rsidP="001B795D">
            <w:pPr>
              <w:ind w:firstLine="258"/>
              <w:jc w:val="both"/>
              <w:rPr>
                <w:rFonts w:ascii="Times New Roman" w:hAnsi="Times New Roman"/>
                <w:sz w:val="24"/>
                <w:lang w:val="kk-KZ"/>
              </w:rPr>
            </w:pPr>
            <w:r>
              <w:rPr>
                <w:rFonts w:ascii="Times New Roman" w:hAnsi="Times New Roman"/>
                <w:sz w:val="24"/>
                <w:lang w:val="kk-KZ"/>
              </w:rPr>
              <w:t>Осылайша, бұл зерттеу банктердің табыстылығы мен қаржылық тұрақтылығы арасындағы өзара байланысты талдауға, ықтимал жүйелік осалдықтарды анықтауға, сондай-ақ Қазақстандағы банк секторының сенімділігі мен тұрақтылығын арттыру бойынша ұсыныстар әзірлеуге бағытталған.</w:t>
            </w:r>
          </w:p>
        </w:tc>
      </w:tr>
      <w:tr w:rsidR="001B795D" w:rsidRPr="000051AF" w14:paraId="77375B21"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7716B689" w14:textId="1A8E7538" w:rsidR="001B795D" w:rsidRDefault="001B79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мақсаты</w:t>
            </w:r>
            <w:r w:rsidR="00277F8F">
              <w:rPr>
                <w:rFonts w:ascii="Times New Roman" w:eastAsia="Times New Roman" w:hAnsi="Times New Roman" w:cs="Times New Roman"/>
                <w:b/>
                <w:sz w:val="24"/>
                <w:szCs w:val="24"/>
                <w:lang w:val="kk-KZ"/>
              </w:rPr>
              <w:t>*</w:t>
            </w:r>
          </w:p>
        </w:tc>
        <w:tc>
          <w:tcPr>
            <w:tcW w:w="7169" w:type="dxa"/>
            <w:tcBorders>
              <w:top w:val="single" w:sz="4" w:space="0" w:color="auto"/>
              <w:left w:val="single" w:sz="4" w:space="0" w:color="auto"/>
              <w:bottom w:val="single" w:sz="4" w:space="0" w:color="auto"/>
              <w:right w:val="single" w:sz="4" w:space="0" w:color="auto"/>
            </w:tcBorders>
            <w:hideMark/>
          </w:tcPr>
          <w:p w14:paraId="3D65A380" w14:textId="60762D7F"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1. Банк қызметінің табыстылығын анықтайтын негізгі факторларды айқындау (макроэкономикалық факторлар, пайыздық мөлшерлемелер, операциялық тиімділік, бизнес үлгісі, пайыздық/пайыздық емес кірістер).</w:t>
            </w:r>
          </w:p>
          <w:p w14:paraId="7F3E378B" w14:textId="205159D2"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2. Рентабельділік пен қаржылық тұрақтылық арасындағы өзара байланысты талдау: рентабельділіктің ұлғаюы банктердің тәуекел дәрежесінің өсуі арқылы қаржылық тұрақтылықтың жүйелік тәуекелдерінің жоғарылауына алып келеді ме? Банк рентабельділігінің деңгейі несие ресурстарын экономиканың әртүрлі секторлары, қарыз алушылардың түрлері, несие мерзімділігі және басқа да сипаттамалар негізінде қайта бөлуде қалай әсер ететінін бағалаңыз. </w:t>
            </w:r>
          </w:p>
          <w:p w14:paraId="10E5CBBB" w14:textId="79A686DF"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lastRenderedPageBreak/>
              <w:t xml:space="preserve">3. Банктерді кірістілік деңгейі бойынша олардың әрқайсысында тиісті сипаттамалары бар (экожүйелер, несиелеу бағыттары, активтердің мөлшері және т.б.) кіші топтарға бөлу. Банк секторының шоғырлану деңгейі мен олардың рентабельділігі қалай байланысты? </w:t>
            </w:r>
          </w:p>
          <w:p w14:paraId="5AC57EB4" w14:textId="54DA5338"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4. Банктердің алынған пайдасын ұзақ мерзімді дамуға қайта инвестициялау үшін пайдалану дәрежесін зерттеу.</w:t>
            </w:r>
          </w:p>
          <w:p w14:paraId="659A9AF3" w14:textId="20A6F9E1"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5. Банк секторының рентабельділігі мен экономикалық өсу арасындағы өзара байланыстың эндогенділігін талдау: банк секторының табыстылығының өсуі (немесе төмендеуі) экономиканың нақты секторына кредит беру көлемінің сапалы ұлғаюына (қысқаруына) және соның салдарынан экономикалық өсудің жеделдеуіне (немесе баяулауына) алып келеді ме? </w:t>
            </w:r>
          </w:p>
        </w:tc>
      </w:tr>
      <w:tr w:rsidR="001B795D" w:rsidRPr="000051AF" w14:paraId="62F5F24D" w14:textId="77777777" w:rsidTr="001B795D">
        <w:trPr>
          <w:trHeight w:val="675"/>
        </w:trPr>
        <w:tc>
          <w:tcPr>
            <w:tcW w:w="9344" w:type="dxa"/>
            <w:gridSpan w:val="2"/>
            <w:tcBorders>
              <w:top w:val="single" w:sz="4" w:space="0" w:color="auto"/>
              <w:left w:val="single" w:sz="4" w:space="0" w:color="auto"/>
              <w:bottom w:val="single" w:sz="4" w:space="0" w:color="auto"/>
              <w:right w:val="single" w:sz="4" w:space="0" w:color="auto"/>
            </w:tcBorders>
            <w:hideMark/>
          </w:tcPr>
          <w:p w14:paraId="21AFEEAF" w14:textId="77777777" w:rsidR="001B795D" w:rsidRDefault="001B795D">
            <w:pPr>
              <w:jc w:val="both"/>
              <w:rPr>
                <w:rFonts w:ascii="Times New Roman" w:hAnsi="Times New Roman"/>
                <w:b/>
                <w:sz w:val="24"/>
                <w:lang w:val="kk-KZ"/>
              </w:rPr>
            </w:pPr>
            <w:r>
              <w:rPr>
                <w:rFonts w:ascii="Times New Roman" w:hAnsi="Times New Roman"/>
                <w:b/>
                <w:sz w:val="24"/>
                <w:lang w:val="kk-KZ"/>
              </w:rPr>
              <w:lastRenderedPageBreak/>
              <w:t>2. Зерттеудің жетекші орындаушылары</w:t>
            </w:r>
          </w:p>
          <w:p w14:paraId="7564866A" w14:textId="77777777" w:rsidR="001B795D" w:rsidRDefault="001B795D">
            <w:pPr>
              <w:jc w:val="both"/>
              <w:rPr>
                <w:rFonts w:ascii="Times New Roman" w:hAnsi="Times New Roman"/>
                <w:sz w:val="24"/>
                <w:lang w:val="kk-KZ"/>
              </w:rPr>
            </w:pPr>
            <w:r>
              <w:rPr>
                <w:rFonts w:ascii="Times New Roman" w:hAnsi="Times New Roman"/>
                <w:sz w:val="24"/>
                <w:lang w:val="kk-KZ"/>
              </w:rPr>
              <w:t xml:space="preserve">Зерттеу жүргізу үшін ізденуші жетекші орындаушыларды тартады, олардың ішінен мына талаптарға сәйкес келетін зерттеу жетекшісі тағайындалады: </w:t>
            </w:r>
          </w:p>
          <w:p w14:paraId="2C857E5B" w14:textId="77777777" w:rsidR="001B795D" w:rsidRDefault="001B795D">
            <w:pPr>
              <w:jc w:val="both"/>
              <w:rPr>
                <w:rFonts w:ascii="Times New Roman" w:hAnsi="Times New Roman"/>
                <w:sz w:val="24"/>
                <w:lang w:val="kk-KZ"/>
              </w:rPr>
            </w:pPr>
            <w:r>
              <w:rPr>
                <w:rFonts w:ascii="Times New Roman" w:hAnsi="Times New Roman"/>
                <w:sz w:val="24"/>
                <w:lang w:val="kk-KZ"/>
              </w:rPr>
              <w:t>1) рецензияланатын мерзімді және (немесе) ғылыми басылымдарда ұқсас тақырыптарда немесе экономика мен қаржы саласында жарияланымы бар;</w:t>
            </w:r>
          </w:p>
          <w:p w14:paraId="184D27A0" w14:textId="77777777" w:rsidR="001B795D" w:rsidRDefault="001B795D">
            <w:pPr>
              <w:jc w:val="both"/>
              <w:rPr>
                <w:rFonts w:ascii="Times New Roman" w:hAnsi="Times New Roman"/>
                <w:sz w:val="24"/>
                <w:lang w:val="kk-KZ"/>
              </w:rPr>
            </w:pPr>
            <w:r>
              <w:rPr>
                <w:rFonts w:ascii="Times New Roman" w:hAnsi="Times New Roman"/>
                <w:sz w:val="24"/>
                <w:lang w:val="kk-KZ"/>
              </w:rPr>
              <w:t>2) ұқсас салады ғылыми дәрежесі және (немесе) жұмыс тәжірибесі бар, бұл зерттеу тақырыбына байланысты жалпы қағидаттар мен мәселелерді түсінуге мүмкіндік береді.</w:t>
            </w:r>
          </w:p>
        </w:tc>
      </w:tr>
      <w:tr w:rsidR="001B795D" w:rsidRPr="000051AF" w14:paraId="59B6387C"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105D5143" w14:textId="77777777" w:rsidR="001B795D" w:rsidRDefault="001B795D">
            <w:pPr>
              <w:shd w:val="clear" w:color="auto" w:fill="FFFFFF"/>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Зерттеу жүргізу мерзімі</w:t>
            </w:r>
          </w:p>
          <w:p w14:paraId="67033049" w14:textId="77777777" w:rsidR="001B795D" w:rsidRDefault="001B795D">
            <w:pPr>
              <w:shd w:val="clear" w:color="auto" w:fill="FFFFFF"/>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(Зерттеу жүргізу мерзімінде ҚРҰБ-ның зерттеу нәтижелері бойынша есептерді қарау кезеңі қамтылмайды)</w:t>
            </w:r>
          </w:p>
        </w:tc>
        <w:tc>
          <w:tcPr>
            <w:tcW w:w="7169" w:type="dxa"/>
            <w:tcBorders>
              <w:top w:val="single" w:sz="4" w:space="0" w:color="auto"/>
              <w:left w:val="single" w:sz="4" w:space="0" w:color="auto"/>
              <w:bottom w:val="single" w:sz="4" w:space="0" w:color="auto"/>
              <w:right w:val="single" w:sz="4" w:space="0" w:color="auto"/>
            </w:tcBorders>
            <w:hideMark/>
          </w:tcPr>
          <w:p w14:paraId="00603C29" w14:textId="77777777" w:rsidR="001B795D" w:rsidRDefault="001B79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Зерттеу жүргізудің мерзімі: </w:t>
            </w:r>
            <w:r>
              <w:rPr>
                <w:rFonts w:ascii="Times New Roman" w:eastAsia="Times New Roman" w:hAnsi="Times New Roman" w:cs="Times New Roman"/>
                <w:b/>
                <w:sz w:val="24"/>
                <w:szCs w:val="24"/>
                <w:lang w:val="kk-KZ"/>
              </w:rPr>
              <w:t>8 айдан аспайды</w:t>
            </w:r>
            <w:r>
              <w:rPr>
                <w:rFonts w:ascii="Times New Roman" w:eastAsia="Times New Roman" w:hAnsi="Times New Roman" w:cs="Times New Roman"/>
                <w:sz w:val="24"/>
                <w:szCs w:val="24"/>
                <w:lang w:val="kk-KZ"/>
              </w:rPr>
              <w:t xml:space="preserve">. </w:t>
            </w:r>
          </w:p>
          <w:p w14:paraId="06F0A9FE" w14:textId="77777777" w:rsidR="001B795D" w:rsidRDefault="001B795D">
            <w:pPr>
              <w:rPr>
                <w:rFonts w:ascii="Times New Roman" w:hAnsi="Times New Roman"/>
                <w:sz w:val="24"/>
                <w:lang w:val="kk-KZ"/>
              </w:rPr>
            </w:pPr>
            <w:r>
              <w:rPr>
                <w:rFonts w:ascii="Times New Roman" w:eastAsia="Times New Roman" w:hAnsi="Times New Roman" w:cs="Times New Roman"/>
                <w:sz w:val="24"/>
                <w:szCs w:val="24"/>
                <w:lang w:val="kk-KZ"/>
              </w:rPr>
              <w:t xml:space="preserve">Аралық есепті ұсыну мерзімі: шартқа қол қойылған күннен бастап </w:t>
            </w:r>
            <w:r>
              <w:rPr>
                <w:rFonts w:ascii="Times New Roman" w:eastAsia="Times New Roman" w:hAnsi="Times New Roman" w:cs="Times New Roman"/>
                <w:b/>
                <w:sz w:val="24"/>
                <w:szCs w:val="24"/>
                <w:lang w:val="kk-KZ"/>
              </w:rPr>
              <w:t>4 айдан кешіктірмей</w:t>
            </w:r>
            <w:r>
              <w:rPr>
                <w:rFonts w:ascii="Times New Roman" w:eastAsia="Times New Roman" w:hAnsi="Times New Roman" w:cs="Times New Roman"/>
                <w:sz w:val="24"/>
                <w:szCs w:val="24"/>
                <w:lang w:val="kk-KZ"/>
              </w:rPr>
              <w:t>.</w:t>
            </w:r>
          </w:p>
        </w:tc>
      </w:tr>
      <w:tr w:rsidR="001B795D" w:rsidRPr="000051AF" w14:paraId="179A666E"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3EA1D2A4" w14:textId="77777777" w:rsidR="001B795D" w:rsidRDefault="001B795D">
            <w:pPr>
              <w:shd w:val="clear" w:color="auto" w:fill="FFFFFF"/>
              <w:rPr>
                <w:rFonts w:ascii="Times New Roman" w:hAnsi="Times New Roman"/>
                <w:b/>
                <w:sz w:val="24"/>
                <w:lang w:val="kk-KZ"/>
              </w:rPr>
            </w:pPr>
            <w:r>
              <w:rPr>
                <w:rFonts w:ascii="Times New Roman" w:hAnsi="Times New Roman" w:cs="Times New Roman"/>
                <w:b/>
                <w:sz w:val="24"/>
                <w:szCs w:val="24"/>
                <w:lang w:val="kk-KZ"/>
              </w:rPr>
              <w:t>4</w:t>
            </w:r>
            <w:r>
              <w:rPr>
                <w:rFonts w:ascii="Times New Roman" w:hAnsi="Times New Roman"/>
                <w:b/>
                <w:sz w:val="24"/>
                <w:lang w:val="kk-KZ"/>
              </w:rPr>
              <w:t xml:space="preserve">. </w:t>
            </w:r>
            <w:r>
              <w:rPr>
                <w:rFonts w:ascii="Times New Roman" w:hAnsi="Times New Roman" w:cs="Times New Roman"/>
                <w:b/>
                <w:sz w:val="24"/>
                <w:szCs w:val="24"/>
                <w:lang w:val="kk-KZ"/>
              </w:rPr>
              <w:t>Зерттеу нәтижелері бойынша есептерге қойылатын талаптар</w:t>
            </w:r>
          </w:p>
        </w:tc>
        <w:tc>
          <w:tcPr>
            <w:tcW w:w="7169" w:type="dxa"/>
            <w:tcBorders>
              <w:top w:val="single" w:sz="4" w:space="0" w:color="auto"/>
              <w:left w:val="single" w:sz="4" w:space="0" w:color="auto"/>
              <w:bottom w:val="single" w:sz="4" w:space="0" w:color="auto"/>
              <w:right w:val="single" w:sz="4" w:space="0" w:color="auto"/>
            </w:tcBorders>
            <w:hideMark/>
          </w:tcPr>
          <w:p w14:paraId="611AB3D2"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қолайлы болса мәліметтер қатарын және жүргізілген есептеулерді көрсету үшін .xls (Excel форматы) форматында және қағаз тасымалдағышта ұсынылады</w:t>
            </w:r>
            <w:r>
              <w:rPr>
                <w:rFonts w:ascii="Times New Roman" w:hAnsi="Times New Roman" w:cs="Times New Roman"/>
                <w:sz w:val="24"/>
                <w:szCs w:val="24"/>
                <w:lang w:val="kk-KZ"/>
              </w:rPr>
              <w:t xml:space="preserve">. </w:t>
            </w:r>
          </w:p>
          <w:p w14:paraId="58715BC0" w14:textId="77777777" w:rsidR="001B795D" w:rsidRDefault="001B795D">
            <w:pPr>
              <w:jc w:val="both"/>
              <w:rPr>
                <w:rFonts w:ascii="Times New Roman" w:eastAsia="Times New Roman" w:hAnsi="Times New Roman"/>
                <w:b/>
                <w:sz w:val="24"/>
                <w:lang w:val="kk-KZ"/>
              </w:rPr>
            </w:pPr>
            <w:r>
              <w:rPr>
                <w:rFonts w:ascii="Times New Roman" w:eastAsia="Times New Roman" w:hAnsi="Times New Roman" w:cs="Times New Roman"/>
                <w:b/>
                <w:sz w:val="24"/>
                <w:szCs w:val="24"/>
                <w:lang w:val="kk-KZ"/>
              </w:rPr>
              <w:t>Қорытынды есепте мыналар:</w:t>
            </w:r>
          </w:p>
          <w:p w14:paraId="0FD9B423"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14:paraId="2DE05EF5"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ғылыми зерттеулерге шолу жасауды, басқа мемлекеттердің орталық банктерінің практикаларын талдауды (бенчмарк) қоса алғанда, бірақ шектемей, зерттеу әдіснамасын сипаттау, жорамалдар мен шектеулерді қоса алғанда, зерттеуде қолданылатын әдістер мен тәсілдерді негіздеу және сипаттау;</w:t>
            </w:r>
          </w:p>
          <w:p w14:paraId="13A7B858"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алғашқы (бастапқы) ақпаратты жинау әдістерін, оның көздерін, деректерді өңдеу тәсілдерін, сондай-ақ олардың дұрыстығы мен жаңғыртылуын қамтамасыз етуді қоса алғанда, пайдаланылған деректердің сипаттамасы;</w:t>
            </w:r>
          </w:p>
          <w:p w14:paraId="2457CB8E"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Pr>
                <w:rFonts w:eastAsia="Times New Roman"/>
                <w:lang w:val="kk-KZ"/>
              </w:rPr>
              <w:t xml:space="preserve"> </w:t>
            </w:r>
            <w:r>
              <w:rPr>
                <w:rFonts w:ascii="Times New Roman" w:eastAsia="Times New Roman" w:hAnsi="Times New Roman" w:cs="Times New Roman"/>
                <w:sz w:val="24"/>
                <w:szCs w:val="24"/>
                <w:lang w:val="kk-KZ"/>
              </w:rPr>
              <w:t>зерттеу нәтижелерінің сандық және сапалық сипаттамаларын сипаттау, қорытындылар мен ұсыныстар, оның ішінде</w:t>
            </w:r>
            <w:r>
              <w:rPr>
                <w:rFonts w:ascii="Times New Roman" w:hAnsi="Times New Roman" w:cs="Times New Roman"/>
                <w:sz w:val="24"/>
                <w:szCs w:val="24"/>
                <w:lang w:val="kk-KZ"/>
              </w:rPr>
              <w:t>:</w:t>
            </w:r>
          </w:p>
          <w:p w14:paraId="5728DA48" w14:textId="77777777" w:rsidR="001B795D" w:rsidRDefault="001B795D">
            <w:pPr>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барысында алынған сандық деректерді ұсыну;</w:t>
            </w:r>
          </w:p>
          <w:p w14:paraId="554AD1E0" w14:textId="77777777" w:rsidR="001B795D" w:rsidRDefault="001B795D">
            <w:pPr>
              <w:jc w:val="both"/>
              <w:rPr>
                <w:rFonts w:ascii="Times New Roman" w:hAnsi="Times New Roman"/>
                <w:sz w:val="24"/>
                <w:szCs w:val="24"/>
                <w:lang w:val="kk-KZ"/>
              </w:rPr>
            </w:pPr>
            <w:r>
              <w:rPr>
                <w:rFonts w:ascii="Times New Roman" w:hAnsi="Times New Roman"/>
                <w:sz w:val="24"/>
                <w:szCs w:val="24"/>
                <w:lang w:val="kk-KZ"/>
              </w:rPr>
              <w:t>– Қазақстанның банк секторындағы табыстылыққа қатысты анықталған мәселелер мен тенденцияларды сипаттау;</w:t>
            </w:r>
          </w:p>
          <w:p w14:paraId="3262506C" w14:textId="77777777" w:rsidR="001B795D" w:rsidRDefault="001B795D">
            <w:pPr>
              <w:jc w:val="both"/>
              <w:rPr>
                <w:rFonts w:ascii="Times New Roman" w:hAnsi="Times New Roman"/>
                <w:sz w:val="24"/>
                <w:szCs w:val="24"/>
                <w:lang w:val="kk-KZ"/>
              </w:rPr>
            </w:pPr>
            <w:r>
              <w:rPr>
                <w:rFonts w:ascii="Times New Roman" w:hAnsi="Times New Roman"/>
                <w:sz w:val="24"/>
                <w:szCs w:val="24"/>
                <w:lang w:val="kk-KZ"/>
              </w:rPr>
              <w:lastRenderedPageBreak/>
              <w:t>– банк табыстылығын қалыптастыруға әсер ететін факторларды бағалау;</w:t>
            </w:r>
          </w:p>
          <w:p w14:paraId="00B4151B" w14:textId="0118B67E" w:rsidR="001B795D" w:rsidRDefault="001B795D">
            <w:pPr>
              <w:jc w:val="both"/>
              <w:rPr>
                <w:rFonts w:ascii="Times New Roman" w:hAnsi="Times New Roman"/>
                <w:sz w:val="24"/>
                <w:szCs w:val="24"/>
                <w:lang w:val="kk-KZ"/>
              </w:rPr>
            </w:pPr>
            <w:r>
              <w:rPr>
                <w:rFonts w:ascii="Times New Roman" w:hAnsi="Times New Roman"/>
                <w:sz w:val="24"/>
                <w:szCs w:val="24"/>
                <w:lang w:val="kk-KZ"/>
              </w:rPr>
              <w:t>– алынған нәтижелерді түсіндіре отырып, зерттеу гипотезасын растау немесе теріске шығару.</w:t>
            </w:r>
          </w:p>
        </w:tc>
      </w:tr>
      <w:tr w:rsidR="00637A75" w:rsidRPr="000051AF" w14:paraId="6335A97F" w14:textId="77777777" w:rsidTr="00147F20">
        <w:trPr>
          <w:trHeight w:val="435"/>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71C50D87" w14:textId="42815B71" w:rsidR="00637A75" w:rsidRDefault="00637A75">
            <w:pPr>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5. </w:t>
            </w:r>
            <w:r w:rsidR="000051AF" w:rsidRPr="000051AF">
              <w:rPr>
                <w:rFonts w:ascii="Times New Roman" w:hAnsi="Times New Roman" w:cs="Times New Roman"/>
                <w:b/>
                <w:sz w:val="24"/>
                <w:szCs w:val="24"/>
                <w:lang w:val="kk-KZ"/>
              </w:rPr>
              <w:t>Жасанды интеллект құралдарын пайдалану шарттары</w:t>
            </w:r>
          </w:p>
        </w:tc>
        <w:tc>
          <w:tcPr>
            <w:tcW w:w="7169" w:type="dxa"/>
            <w:tcBorders>
              <w:top w:val="single" w:sz="4" w:space="0" w:color="auto"/>
              <w:left w:val="single" w:sz="4" w:space="0" w:color="auto"/>
              <w:bottom w:val="single" w:sz="4" w:space="0" w:color="auto"/>
              <w:right w:val="single" w:sz="4" w:space="0" w:color="auto"/>
            </w:tcBorders>
            <w:shd w:val="clear" w:color="auto" w:fill="auto"/>
          </w:tcPr>
          <w:p w14:paraId="12602C96" w14:textId="77777777" w:rsidR="000051AF" w:rsidRPr="000051AF" w:rsidRDefault="000051AF" w:rsidP="000051AF">
            <w:pPr>
              <w:jc w:val="both"/>
              <w:rPr>
                <w:rFonts w:ascii="Times New Roman" w:eastAsia="Times New Roman" w:hAnsi="Times New Roman" w:cs="Times New Roman"/>
                <w:sz w:val="24"/>
                <w:szCs w:val="24"/>
                <w:lang w:val="kk-KZ"/>
              </w:rPr>
            </w:pPr>
            <w:r w:rsidRPr="000051AF">
              <w:rPr>
                <w:rFonts w:ascii="Times New Roman" w:eastAsia="Times New Roman" w:hAnsi="Times New Roman" w:cs="Times New Roman"/>
                <w:sz w:val="24"/>
                <w:szCs w:val="24"/>
                <w:lang w:val="kk-KZ"/>
              </w:rPr>
              <w:t>Жасанды интеллект (ЖИ) құралдары өтінімдерді қалыптастыру, зерттеулер жүргізу және нәтижелерді жариялау кезінде тек қана академиялық нормалар, ғылыми адалдық қағидаттар, ғылыми дұрыстығын қатаң сақтау ескеріле отырып, пайдаланылуы мүмкін. Өтінім беруді, зерттеулер жүргізуді және нәтижелерді жариялауды қоса алғанда, барлық жағдайларда авторлар ЖИ генеративтік пайдалану туралы ақпаратты жария етуге міндетті: мәтіндерді жасау, деректер мен сауалнамаларды генерациялау, идеяларды тұжырымдау, деректерді, карталарды, бастапқы кодты, графиктерді талдау, әдебиетті талдау және егер бұл дәлелдеуге әсер етсе, шолуларды синтездеу. Генеративтік ЖИ көмегімен жасалғандарды қоса алғанда, барлық қорытындылар мен нәтижелер толығымен жаңғыртылуға тиіс. ЖИ-ді пайдалануды жария ету өтінім беру, зерттеу жүргізу және оның нәтижелерін жариялау кезінде құжаттарда пайдаланылатын бекітулердің дұрыстығы үшін жауапкершіліктен босатпайды.</w:t>
            </w:r>
          </w:p>
          <w:p w14:paraId="2FA4E017" w14:textId="0E9B2567" w:rsidR="00637A75" w:rsidRDefault="000051AF" w:rsidP="000051AF">
            <w:pPr>
              <w:ind w:firstLine="259"/>
              <w:jc w:val="both"/>
              <w:rPr>
                <w:rFonts w:ascii="Times New Roman" w:eastAsia="Times New Roman" w:hAnsi="Times New Roman" w:cs="Times New Roman"/>
                <w:sz w:val="24"/>
                <w:szCs w:val="24"/>
                <w:lang w:val="kk-KZ"/>
              </w:rPr>
            </w:pPr>
            <w:r w:rsidRPr="000051AF">
              <w:rPr>
                <w:rFonts w:ascii="Times New Roman" w:eastAsia="Times New Roman" w:hAnsi="Times New Roman" w:cs="Times New Roman"/>
                <w:sz w:val="24"/>
                <w:szCs w:val="24"/>
                <w:lang w:val="kk-KZ"/>
              </w:rPr>
              <w:t>ЖИ техникалық пайдалану кезінде жария ету талап етілмейді: орфографияны, стильді, пунктуацияны түзету, деректерді талдау немесе синтездеусіз іздеу, библиографияны пішімдеу және жүргізу.</w:t>
            </w:r>
          </w:p>
        </w:tc>
      </w:tr>
      <w:tr w:rsidR="001B795D" w14:paraId="4677C3CF"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19585797" w14:textId="180FB83D" w:rsidR="001B795D" w:rsidRDefault="00637A75" w:rsidP="001B795D">
            <w:pPr>
              <w:shd w:val="clear" w:color="auto" w:fill="FFFFFF"/>
              <w:tabs>
                <w:tab w:val="left" w:pos="323"/>
              </w:tabs>
              <w:spacing w:after="6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r w:rsidR="001B795D">
              <w:rPr>
                <w:rFonts w:ascii="Times New Roman" w:eastAsia="Times New Roman" w:hAnsi="Times New Roman"/>
                <w:b/>
                <w:sz w:val="24"/>
                <w:lang w:val="kk-KZ"/>
              </w:rPr>
              <w:t xml:space="preserve">. </w:t>
            </w:r>
            <w:r w:rsidR="001B795D">
              <w:rPr>
                <w:rFonts w:ascii="Times New Roman" w:eastAsia="Times New Roman" w:hAnsi="Times New Roman" w:cs="Times New Roman"/>
                <w:b/>
                <w:sz w:val="24"/>
                <w:szCs w:val="24"/>
                <w:lang w:val="kk-KZ"/>
              </w:rPr>
              <w:t>Жауапты адамдардың байланыс деректері</w:t>
            </w:r>
          </w:p>
        </w:tc>
        <w:tc>
          <w:tcPr>
            <w:tcW w:w="7169" w:type="dxa"/>
            <w:tcBorders>
              <w:top w:val="single" w:sz="4" w:space="0" w:color="auto"/>
              <w:left w:val="single" w:sz="4" w:space="0" w:color="auto"/>
              <w:bottom w:val="single" w:sz="4" w:space="0" w:color="auto"/>
              <w:right w:val="single" w:sz="4" w:space="0" w:color="auto"/>
            </w:tcBorders>
            <w:hideMark/>
          </w:tcPr>
          <w:p w14:paraId="6D2501B9" w14:textId="27FD291D" w:rsidR="001B795D" w:rsidRDefault="001B795D">
            <w:pPr>
              <w:rPr>
                <w:rFonts w:ascii="Times New Roman" w:hAnsi="Times New Roman"/>
                <w:sz w:val="24"/>
                <w:lang w:val="kk-KZ"/>
              </w:rPr>
            </w:pPr>
            <w:r>
              <w:rPr>
                <w:rFonts w:ascii="Times New Roman" w:hAnsi="Times New Roman"/>
                <w:sz w:val="24"/>
                <w:lang w:val="kk-KZ"/>
              </w:rPr>
              <w:t xml:space="preserve">Жандос Ыбраев, email: </w:t>
            </w:r>
            <w:hyperlink r:id="rId6" w:history="1">
              <w:r w:rsidRPr="00E7688C">
                <w:rPr>
                  <w:rStyle w:val="a3"/>
                  <w:rFonts w:ascii="Times New Roman" w:hAnsi="Times New Roman"/>
                  <w:sz w:val="24"/>
                  <w:lang w:val="kk-KZ"/>
                </w:rPr>
                <w:t>zhandos.ybrayev@nationalbank.kz</w:t>
              </w:r>
            </w:hyperlink>
            <w:r>
              <w:rPr>
                <w:rFonts w:ascii="Times New Roman" w:hAnsi="Times New Roman"/>
                <w:sz w:val="24"/>
                <w:lang w:val="kk-KZ"/>
              </w:rPr>
              <w:t xml:space="preserve">  </w:t>
            </w:r>
          </w:p>
          <w:p w14:paraId="3FC011CD" w14:textId="04CF4A0C" w:rsidR="001B795D" w:rsidRDefault="001B795D">
            <w:pPr>
              <w:rPr>
                <w:rFonts w:ascii="Times New Roman" w:hAnsi="Times New Roman"/>
                <w:sz w:val="24"/>
                <w:lang w:val="kk-KZ"/>
              </w:rPr>
            </w:pPr>
            <w:r>
              <w:rPr>
                <w:rFonts w:ascii="Times New Roman" w:hAnsi="Times New Roman"/>
                <w:sz w:val="24"/>
                <w:lang w:val="kk-KZ"/>
              </w:rPr>
              <w:t xml:space="preserve">Сара Орумбаева, email: </w:t>
            </w:r>
            <w:hyperlink r:id="rId7" w:history="1">
              <w:r w:rsidRPr="00E7688C">
                <w:rPr>
                  <w:rStyle w:val="a3"/>
                  <w:rFonts w:ascii="Times New Roman" w:hAnsi="Times New Roman"/>
                  <w:sz w:val="24"/>
                  <w:lang w:val="kk-KZ"/>
                </w:rPr>
                <w:t>Sara.Orumbayeva@nationalbank.kz</w:t>
              </w:r>
            </w:hyperlink>
            <w:r>
              <w:rPr>
                <w:rFonts w:ascii="Times New Roman" w:hAnsi="Times New Roman"/>
                <w:sz w:val="24"/>
                <w:lang w:val="kk-KZ"/>
              </w:rPr>
              <w:t xml:space="preserve"> </w:t>
            </w:r>
          </w:p>
        </w:tc>
      </w:tr>
    </w:tbl>
    <w:p w14:paraId="7B9FA9F9" w14:textId="6633A21C" w:rsidR="001B795D" w:rsidRDefault="001B795D" w:rsidP="001B795D">
      <w:pPr>
        <w:rPr>
          <w:rFonts w:ascii="Times New Roman" w:hAnsi="Times New Roman" w:cs="Times New Roman"/>
          <w:sz w:val="24"/>
          <w:szCs w:val="24"/>
          <w:lang w:val="kk-KZ"/>
        </w:rPr>
      </w:pPr>
    </w:p>
    <w:p w14:paraId="65DEF1EC" w14:textId="27C98F5D" w:rsidR="00277F8F" w:rsidRPr="00277F8F" w:rsidRDefault="00277F8F" w:rsidP="00277F8F">
      <w:pPr>
        <w:jc w:val="both"/>
        <w:rPr>
          <w:rFonts w:ascii="Times New Roman" w:hAnsi="Times New Roman" w:cs="Times New Roman"/>
          <w:sz w:val="24"/>
          <w:szCs w:val="24"/>
          <w:lang w:val="kk-KZ"/>
        </w:rPr>
      </w:pPr>
      <w:r w:rsidRPr="001D3B61">
        <w:rPr>
          <w:rFonts w:ascii="Times New Roman" w:hAnsi="Times New Roman" w:cs="Times New Roman"/>
          <w:sz w:val="24"/>
          <w:szCs w:val="24"/>
          <w:lang w:val="kk-KZ"/>
        </w:rPr>
        <w:t xml:space="preserve">* </w:t>
      </w:r>
      <w:r w:rsidR="001D3B61" w:rsidRPr="001D3B61">
        <w:rPr>
          <w:rFonts w:ascii="Times New Roman" w:hAnsi="Times New Roman" w:cs="Times New Roman"/>
          <w:sz w:val="24"/>
          <w:szCs w:val="24"/>
          <w:lang w:val="kk-KZ"/>
        </w:rPr>
        <w:t>Iзденуші зерттеу гранты шеңберінде зерттеу үшін ұсынылған бес бағыттың ішінен кемінде үш негізгі бағытты айқын</w:t>
      </w:r>
      <w:bookmarkStart w:id="0" w:name="_GoBack"/>
      <w:bookmarkEnd w:id="0"/>
      <w:r w:rsidR="001D3B61" w:rsidRPr="001D3B61">
        <w:rPr>
          <w:rFonts w:ascii="Times New Roman" w:hAnsi="Times New Roman" w:cs="Times New Roman"/>
          <w:sz w:val="24"/>
          <w:szCs w:val="24"/>
          <w:lang w:val="kk-KZ"/>
        </w:rPr>
        <w:t>дауға құқылы</w:t>
      </w:r>
      <w:r w:rsidRPr="001D3B61">
        <w:rPr>
          <w:rFonts w:ascii="Times New Roman" w:hAnsi="Times New Roman" w:cs="Times New Roman"/>
          <w:sz w:val="24"/>
          <w:szCs w:val="24"/>
          <w:lang w:val="kk-KZ"/>
        </w:rPr>
        <w:t>.</w:t>
      </w:r>
    </w:p>
    <w:sectPr w:rsidR="00277F8F" w:rsidRPr="00277F8F" w:rsidSect="003C1F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BEB"/>
    <w:multiLevelType w:val="hybridMultilevel"/>
    <w:tmpl w:val="F1583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25054"/>
    <w:multiLevelType w:val="hybridMultilevel"/>
    <w:tmpl w:val="024A2BAC"/>
    <w:lvl w:ilvl="0" w:tplc="96ACAE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D0EE9"/>
    <w:multiLevelType w:val="multilevel"/>
    <w:tmpl w:val="C5EC8014"/>
    <w:lvl w:ilvl="0">
      <w:start w:val="1"/>
      <w:numFmt w:val="upperRoman"/>
      <w:lvlText w:val="%1."/>
      <w:lvlJc w:val="right"/>
      <w:pPr>
        <w:ind w:left="720" w:hanging="360"/>
      </w:pPr>
    </w:lvl>
    <w:lvl w:ilvl="1">
      <w:start w:val="1"/>
      <w:numFmt w:val="decimal"/>
      <w:isLgl/>
      <w:lvlText w:val="%1.%2"/>
      <w:lvlJc w:val="left"/>
      <w:pPr>
        <w:ind w:left="760" w:hanging="4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52A83445"/>
    <w:multiLevelType w:val="hybridMultilevel"/>
    <w:tmpl w:val="FC7845A0"/>
    <w:lvl w:ilvl="0" w:tplc="8A3A7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937E66"/>
    <w:multiLevelType w:val="hybridMultilevel"/>
    <w:tmpl w:val="C9F08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B6134"/>
    <w:multiLevelType w:val="hybridMultilevel"/>
    <w:tmpl w:val="8A1AA8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1C"/>
    <w:rsid w:val="000051AF"/>
    <w:rsid w:val="00017FBA"/>
    <w:rsid w:val="00087580"/>
    <w:rsid w:val="00090956"/>
    <w:rsid w:val="001240BC"/>
    <w:rsid w:val="00125179"/>
    <w:rsid w:val="00136713"/>
    <w:rsid w:val="00136CA0"/>
    <w:rsid w:val="00147F20"/>
    <w:rsid w:val="001B795D"/>
    <w:rsid w:val="001D3B61"/>
    <w:rsid w:val="001E2970"/>
    <w:rsid w:val="001F4956"/>
    <w:rsid w:val="00220806"/>
    <w:rsid w:val="00244BF5"/>
    <w:rsid w:val="00250F1C"/>
    <w:rsid w:val="00277F8F"/>
    <w:rsid w:val="00283AA4"/>
    <w:rsid w:val="002A5FA7"/>
    <w:rsid w:val="00317F63"/>
    <w:rsid w:val="003505FE"/>
    <w:rsid w:val="00400273"/>
    <w:rsid w:val="004F31EE"/>
    <w:rsid w:val="004F5AFC"/>
    <w:rsid w:val="005002BC"/>
    <w:rsid w:val="005D5CD6"/>
    <w:rsid w:val="005F188E"/>
    <w:rsid w:val="006137E0"/>
    <w:rsid w:val="006217FA"/>
    <w:rsid w:val="00637A75"/>
    <w:rsid w:val="007817B2"/>
    <w:rsid w:val="007A5924"/>
    <w:rsid w:val="007A7106"/>
    <w:rsid w:val="007B7AE9"/>
    <w:rsid w:val="007C25F3"/>
    <w:rsid w:val="0084383A"/>
    <w:rsid w:val="00876746"/>
    <w:rsid w:val="008B3071"/>
    <w:rsid w:val="008B466C"/>
    <w:rsid w:val="00923B03"/>
    <w:rsid w:val="0094432C"/>
    <w:rsid w:val="00950E90"/>
    <w:rsid w:val="00983C7C"/>
    <w:rsid w:val="009A241E"/>
    <w:rsid w:val="009C0E25"/>
    <w:rsid w:val="00A05DA5"/>
    <w:rsid w:val="00A25730"/>
    <w:rsid w:val="00A43778"/>
    <w:rsid w:val="00B07B26"/>
    <w:rsid w:val="00B11767"/>
    <w:rsid w:val="00B12714"/>
    <w:rsid w:val="00B60408"/>
    <w:rsid w:val="00B73C63"/>
    <w:rsid w:val="00B77133"/>
    <w:rsid w:val="00B92E9E"/>
    <w:rsid w:val="00BD72C9"/>
    <w:rsid w:val="00BF6129"/>
    <w:rsid w:val="00C2036E"/>
    <w:rsid w:val="00C212C3"/>
    <w:rsid w:val="00C26E41"/>
    <w:rsid w:val="00C86351"/>
    <w:rsid w:val="00CE16BC"/>
    <w:rsid w:val="00CE57BA"/>
    <w:rsid w:val="00D1047D"/>
    <w:rsid w:val="00D2352B"/>
    <w:rsid w:val="00D66486"/>
    <w:rsid w:val="00DC24CE"/>
    <w:rsid w:val="00DC7666"/>
    <w:rsid w:val="00DE66EA"/>
    <w:rsid w:val="00DF6909"/>
    <w:rsid w:val="00DF7F07"/>
    <w:rsid w:val="00E05395"/>
    <w:rsid w:val="00EA5B4B"/>
    <w:rsid w:val="00EB1134"/>
    <w:rsid w:val="00F03996"/>
    <w:rsid w:val="00F27E9C"/>
    <w:rsid w:val="00F3007C"/>
    <w:rsid w:val="00F50DE4"/>
    <w:rsid w:val="00F758E5"/>
    <w:rsid w:val="00FA0A40"/>
    <w:rsid w:val="00FA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1CDD"/>
  <w15:chartTrackingRefBased/>
  <w15:docId w15:val="{C21E6B4F-BE2F-47D3-89CC-1663A5AD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A5"/>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5DA5"/>
    <w:rPr>
      <w:color w:val="0563C1" w:themeColor="hyperlink"/>
      <w:u w:val="single"/>
    </w:rPr>
  </w:style>
  <w:style w:type="table" w:styleId="a4">
    <w:name w:val="Table Grid"/>
    <w:basedOn w:val="a1"/>
    <w:uiPriority w:val="39"/>
    <w:rsid w:val="00A05D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007C"/>
    <w:pPr>
      <w:spacing w:after="160" w:line="256" w:lineRule="auto"/>
      <w:ind w:left="720"/>
      <w:contextualSpacing/>
    </w:pPr>
    <w:rPr>
      <w:rFonts w:eastAsia="Calibri" w:cs="Times New Roman"/>
    </w:rPr>
  </w:style>
  <w:style w:type="paragraph" w:styleId="a6">
    <w:name w:val="Balloon Text"/>
    <w:basedOn w:val="a"/>
    <w:link w:val="a7"/>
    <w:uiPriority w:val="99"/>
    <w:semiHidden/>
    <w:unhideWhenUsed/>
    <w:rsid w:val="00BD72C9"/>
    <w:rPr>
      <w:rFonts w:ascii="Segoe UI" w:hAnsi="Segoe UI" w:cs="Segoe UI"/>
      <w:sz w:val="18"/>
      <w:szCs w:val="18"/>
    </w:rPr>
  </w:style>
  <w:style w:type="character" w:customStyle="1" w:styleId="a7">
    <w:name w:val="Текст выноски Знак"/>
    <w:basedOn w:val="a0"/>
    <w:link w:val="a6"/>
    <w:uiPriority w:val="99"/>
    <w:semiHidden/>
    <w:rsid w:val="00BD72C9"/>
    <w:rPr>
      <w:rFonts w:ascii="Segoe UI" w:hAnsi="Segoe UI" w:cs="Segoe UI"/>
      <w:sz w:val="18"/>
      <w:szCs w:val="18"/>
    </w:rPr>
  </w:style>
  <w:style w:type="character" w:styleId="a8">
    <w:name w:val="annotation reference"/>
    <w:basedOn w:val="a0"/>
    <w:uiPriority w:val="99"/>
    <w:semiHidden/>
    <w:unhideWhenUsed/>
    <w:rsid w:val="00C26E41"/>
    <w:rPr>
      <w:sz w:val="16"/>
      <w:szCs w:val="16"/>
    </w:rPr>
  </w:style>
  <w:style w:type="paragraph" w:styleId="a9">
    <w:name w:val="annotation text"/>
    <w:basedOn w:val="a"/>
    <w:link w:val="aa"/>
    <w:uiPriority w:val="99"/>
    <w:semiHidden/>
    <w:unhideWhenUsed/>
    <w:rsid w:val="00C26E41"/>
    <w:rPr>
      <w:sz w:val="20"/>
      <w:szCs w:val="20"/>
    </w:rPr>
  </w:style>
  <w:style w:type="character" w:customStyle="1" w:styleId="aa">
    <w:name w:val="Текст примечания Знак"/>
    <w:basedOn w:val="a0"/>
    <w:link w:val="a9"/>
    <w:uiPriority w:val="99"/>
    <w:semiHidden/>
    <w:rsid w:val="00C26E41"/>
    <w:rPr>
      <w:rFonts w:ascii="Calibri" w:hAnsi="Calibri" w:cs="Calibri"/>
      <w:sz w:val="20"/>
      <w:szCs w:val="20"/>
    </w:rPr>
  </w:style>
  <w:style w:type="paragraph" w:styleId="ab">
    <w:name w:val="annotation subject"/>
    <w:basedOn w:val="a9"/>
    <w:next w:val="a9"/>
    <w:link w:val="ac"/>
    <w:uiPriority w:val="99"/>
    <w:semiHidden/>
    <w:unhideWhenUsed/>
    <w:rsid w:val="00C26E41"/>
    <w:rPr>
      <w:b/>
      <w:bCs/>
    </w:rPr>
  </w:style>
  <w:style w:type="character" w:customStyle="1" w:styleId="ac">
    <w:name w:val="Тема примечания Знак"/>
    <w:basedOn w:val="aa"/>
    <w:link w:val="ab"/>
    <w:uiPriority w:val="99"/>
    <w:semiHidden/>
    <w:rsid w:val="00C26E41"/>
    <w:rPr>
      <w:rFonts w:ascii="Calibri" w:hAnsi="Calibri" w:cs="Calibri"/>
      <w:b/>
      <w:bCs/>
      <w:sz w:val="20"/>
      <w:szCs w:val="20"/>
    </w:rPr>
  </w:style>
  <w:style w:type="character" w:customStyle="1" w:styleId="anegp0gi0b9av8jahpyh">
    <w:name w:val="anegp0gi0b9av8jahpyh"/>
    <w:basedOn w:val="a0"/>
    <w:rsid w:val="001E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a.Orumbayeva@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ndos.ybrayev@nationalbank.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A1B0-BE94-4889-A4F6-CD9A9DAC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37</cp:revision>
  <cp:lastPrinted>2024-10-02T11:23:00Z</cp:lastPrinted>
  <dcterms:created xsi:type="dcterms:W3CDTF">2024-10-03T11:55:00Z</dcterms:created>
  <dcterms:modified xsi:type="dcterms:W3CDTF">2026-03-17T05:55:00Z</dcterms:modified>
</cp:coreProperties>
</file>