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3C1908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3B6416" w:rsidP="000A50B0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bookmarkStart w:id="0" w:name="_GoBack"/>
      <w:r w:rsidR="000A50B0" w:rsidRPr="000A50B0">
        <w:rPr>
          <w:rFonts w:asciiTheme="minorHAnsi" w:eastAsia="Times New Roman" w:hAnsiTheme="minorHAnsi" w:cstheme="minorHAnsi"/>
          <w:b/>
          <w:szCs w:val="24"/>
          <w:lang w:val="kk-KZ" w:eastAsia="ru-RU"/>
        </w:rPr>
        <w:t>Цифрлық қаржы активтері платформасы операторларының, цифрлық активтер Сауда платформасы операторларының мәліметтерді бағалы қағаздардың орталық депозитарийіне ұсынуы қағидаларын бекіту туралы</w:t>
      </w:r>
      <w:bookmarkEnd w:id="0"/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  <w:r w:rsidR="000A50B0" w:rsidRPr="000A50B0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Банкінің Басқармасы және Қазақстан Республикасы Қаржы нарығын реттеу және дамыту агенттігінің Басқармасы </w:t>
      </w:r>
      <w:r w:rsidR="000A50B0">
        <w:rPr>
          <w:rFonts w:asciiTheme="minorHAnsi" w:eastAsia="Times New Roman" w:hAnsiTheme="minorHAnsi" w:cstheme="minorHAnsi"/>
          <w:b/>
          <w:szCs w:val="24"/>
          <w:lang w:val="kk-KZ" w:eastAsia="ru-RU"/>
        </w:rPr>
        <w:t>б</w:t>
      </w:r>
      <w:r w:rsidR="000A50B0" w:rsidRPr="000A50B0">
        <w:rPr>
          <w:rFonts w:asciiTheme="minorHAnsi" w:eastAsia="Times New Roman" w:hAnsiTheme="minorHAnsi" w:cstheme="minorHAnsi"/>
          <w:b/>
          <w:szCs w:val="24"/>
          <w:lang w:val="kk-KZ" w:eastAsia="ru-RU"/>
        </w:rPr>
        <w:t>ірлескен қаулы жобасын әзірлеу туралы</w:t>
      </w:r>
      <w:r w:rsidR="000A50B0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EB76C1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="003C1908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A0A7F">
        <w:rPr>
          <w:rFonts w:asciiTheme="minorHAnsi" w:eastAsia="Times New Roman" w:hAnsiTheme="minorHAnsi"/>
          <w:szCs w:val="24"/>
          <w:lang w:val="kk-KZ"/>
        </w:rPr>
        <w:t>20</w:t>
      </w:r>
      <w:r>
        <w:rPr>
          <w:rFonts w:asciiTheme="minorHAnsi" w:eastAsia="Times New Roman" w:hAnsiTheme="minorHAnsi"/>
          <w:szCs w:val="24"/>
          <w:lang w:val="kk-KZ"/>
        </w:rPr>
        <w:t xml:space="preserve"> ақпан</w:t>
      </w:r>
      <w:r w:rsidR="002B3724" w:rsidRPr="006C1015">
        <w:rPr>
          <w:rFonts w:asciiTheme="minorHAnsi" w:eastAsia="Times New Roman" w:hAnsiTheme="minorHAnsi"/>
          <w:szCs w:val="24"/>
          <w:lang w:val="kk-KZ"/>
        </w:rPr>
        <w:tab/>
      </w:r>
      <w:r w:rsidR="002B3724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0A50B0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0A50B0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>
        <w:rPr>
          <w:rFonts w:asciiTheme="minorHAnsi" w:hAnsiTheme="minorHAnsi"/>
          <w:szCs w:val="24"/>
          <w:lang w:val="kk-KZ"/>
        </w:rPr>
        <w:t>«Ц</w:t>
      </w:r>
      <w:r w:rsidRPr="000A50B0">
        <w:rPr>
          <w:rFonts w:asciiTheme="minorHAnsi" w:hAnsiTheme="minorHAnsi"/>
          <w:szCs w:val="24"/>
          <w:lang w:val="kk-KZ"/>
        </w:rPr>
        <w:t>ифрлық қаржы активтері платформасы операторларының, цифрлық активтер Сауда платформасы операторларының мәліметтерді бағалы қағаздардың орталық депозитарийіне ұсынуы қағидаларын бекіту туралы</w:t>
      </w:r>
      <w:r>
        <w:rPr>
          <w:rFonts w:asciiTheme="minorHAnsi" w:hAnsiTheme="minorHAnsi"/>
          <w:szCs w:val="24"/>
          <w:lang w:val="kk-KZ"/>
        </w:rPr>
        <w:t xml:space="preserve">» </w:t>
      </w:r>
      <w:r w:rsidRPr="000A50B0">
        <w:rPr>
          <w:rFonts w:asciiTheme="minorHAnsi" w:hAnsiTheme="minorHAnsi"/>
          <w:szCs w:val="24"/>
          <w:lang w:val="kk-KZ"/>
        </w:rPr>
        <w:t>Қазақстан Республикасы Ұлттық Банкі Басқармасының және Қазақстан Республикасы Қаржы нарығын реттеу және дамыту агенттігі Басқармасының бірлескен қаулысының жобасын әзірлеу туралы хабарлайды</w:t>
      </w:r>
      <w:r w:rsidR="003B6623" w:rsidRPr="002B3724">
        <w:rPr>
          <w:rFonts w:asciiTheme="minorHAnsi" w:hAnsiTheme="minorHAnsi"/>
          <w:szCs w:val="24"/>
          <w:lang w:val="kk-KZ"/>
        </w:rPr>
        <w:t>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A753E2" w:rsidRDefault="000A50B0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0A50B0">
        <w:rPr>
          <w:rFonts w:asciiTheme="minorHAnsi" w:hAnsiTheme="minorHAnsi"/>
          <w:szCs w:val="24"/>
          <w:lang w:val="kk-KZ"/>
        </w:rPr>
        <w:t xml:space="preserve">Жоба Цифрлық қаржы активтерін ұстаушыларды есепке алу жүйесінде (иесінің аты-жөні, цифрлық қаржы активінің түрі, әмиян нөмірі және т. б.) мәліметтер құрамына және сақталуына қойылатын талаптарды көздейді, нақты уақыт режимінде цифрлық активтерді ұстаушылардың тізілімін жүргізу тәртібін айқындайды, сондай-ақ платформа операторларының бағалы қағаздардың </w:t>
      </w:r>
      <w:r>
        <w:rPr>
          <w:rFonts w:asciiTheme="minorHAnsi" w:hAnsiTheme="minorHAnsi"/>
          <w:szCs w:val="24"/>
          <w:lang w:val="kk-KZ"/>
        </w:rPr>
        <w:t>О</w:t>
      </w:r>
      <w:r w:rsidRPr="000A50B0">
        <w:rPr>
          <w:rFonts w:asciiTheme="minorHAnsi" w:hAnsiTheme="minorHAnsi"/>
          <w:szCs w:val="24"/>
          <w:lang w:val="kk-KZ"/>
        </w:rPr>
        <w:t>рталық депозитарийімен өзара іс-қимыл жасау қағидаларын белгілейді. қатысушылар және цифрлық Қаржы активтерімен жасалатын мәмілелер туралы деректерді жүйелеу мақсаты, нақты уақыт режимінде мәліметтерді өзектендіру және нарықтың ашықтығын қамтамасыз ету есебінен тәуекелдерді азайту.</w:t>
      </w:r>
    </w:p>
    <w:p w:rsidR="00EB76C1" w:rsidRDefault="00EB76C1" w:rsidP="00EB76C1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327DC9">
        <w:rPr>
          <w:rFonts w:asciiTheme="minorHAnsi" w:hAnsiTheme="minorHAnsi"/>
          <w:szCs w:val="24"/>
          <w:lang w:val="kk-KZ"/>
        </w:rPr>
        <w:t xml:space="preserve">Қаулы жобасының негізгі мазмұны бар ақпараттық кестемен </w:t>
      </w:r>
      <w:r>
        <w:rPr>
          <w:rFonts w:asciiTheme="minorHAnsi" w:hAnsiTheme="minorHAnsi"/>
          <w:szCs w:val="24"/>
          <w:lang w:val="kk-KZ"/>
        </w:rPr>
        <w:t>«</w:t>
      </w:r>
      <w:r w:rsidRPr="00327DC9">
        <w:rPr>
          <w:rFonts w:asciiTheme="minorHAnsi" w:hAnsiTheme="minorHAnsi"/>
          <w:szCs w:val="24"/>
          <w:lang w:val="kk-KZ"/>
        </w:rPr>
        <w:t>Ашық НҚА</w:t>
      </w:r>
      <w:r>
        <w:rPr>
          <w:rFonts w:asciiTheme="minorHAnsi" w:hAnsiTheme="minorHAnsi"/>
          <w:szCs w:val="24"/>
          <w:lang w:val="kk-KZ"/>
        </w:rPr>
        <w:t>»</w:t>
      </w:r>
      <w:r w:rsidRPr="00327DC9">
        <w:rPr>
          <w:rFonts w:asciiTheme="minorHAnsi" w:hAnsiTheme="minorHAnsi"/>
          <w:szCs w:val="24"/>
          <w:lang w:val="kk-KZ"/>
        </w:rPr>
        <w:t xml:space="preserve"> порталында </w:t>
      </w:r>
      <w:hyperlink r:id="rId6" w:history="1">
        <w:r w:rsidRPr="008A0A7F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327DC9">
        <w:rPr>
          <w:rFonts w:asciiTheme="minorHAnsi" w:hAnsiTheme="minorHAnsi"/>
          <w:szCs w:val="24"/>
          <w:lang w:val="kk-KZ"/>
        </w:rPr>
        <w:t xml:space="preserve"> болады.</w:t>
      </w:r>
    </w:p>
    <w:p w:rsidR="0065256B" w:rsidRDefault="0065256B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B6416" w:rsidRPr="002B3724" w:rsidRDefault="003B6416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Pr="00EB64D6">
        <w:rPr>
          <w:rFonts w:ascii="Calibri" w:hAnsi="Calibri" w:cs="Arial"/>
          <w:szCs w:val="24"/>
          <w:lang w:val="en-US" w:eastAsia="ru-RU"/>
        </w:rPr>
        <w:t>1</w:t>
      </w:r>
      <w:r w:rsidR="008A0A7F">
        <w:rPr>
          <w:rFonts w:ascii="Calibri" w:hAnsi="Calibri" w:cs="Arial"/>
          <w:szCs w:val="24"/>
          <w:lang w:eastAsia="ru-RU"/>
        </w:rPr>
        <w:t>023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F16F85" w:rsidRPr="00163C74">
          <w:rPr>
            <w:rStyle w:val="a3"/>
            <w:lang w:val="en-US"/>
          </w:rPr>
          <w:t>Yerlan.Smailov@nationalbank.kz</w:t>
        </w:r>
      </w:hyperlink>
      <w:r w:rsidR="00953B68" w:rsidRPr="002B3724">
        <w:rPr>
          <w:lang w:val="kk-KZ"/>
        </w:rPr>
        <w:t xml:space="preserve"> 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A50B0"/>
    <w:rsid w:val="000C1F1B"/>
    <w:rsid w:val="000D475E"/>
    <w:rsid w:val="001239EA"/>
    <w:rsid w:val="00140B64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B16D9"/>
    <w:rsid w:val="003B6416"/>
    <w:rsid w:val="003B6623"/>
    <w:rsid w:val="003B772B"/>
    <w:rsid w:val="003C1908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689A"/>
    <w:rsid w:val="005B3627"/>
    <w:rsid w:val="005D4EE3"/>
    <w:rsid w:val="00611502"/>
    <w:rsid w:val="0065054E"/>
    <w:rsid w:val="0065256B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91EEF"/>
    <w:rsid w:val="008A0A7F"/>
    <w:rsid w:val="008F3FEA"/>
    <w:rsid w:val="00942EB5"/>
    <w:rsid w:val="00953B68"/>
    <w:rsid w:val="00977E8D"/>
    <w:rsid w:val="009A713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77763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4346A"/>
    <w:rsid w:val="00D62895"/>
    <w:rsid w:val="00DA2A68"/>
    <w:rsid w:val="00DA4B6D"/>
    <w:rsid w:val="00E27B0C"/>
    <w:rsid w:val="00EB76C1"/>
    <w:rsid w:val="00EC0E17"/>
    <w:rsid w:val="00ED22E4"/>
    <w:rsid w:val="00EE486B"/>
    <w:rsid w:val="00F116FF"/>
    <w:rsid w:val="00F16F85"/>
    <w:rsid w:val="00F83002"/>
    <w:rsid w:val="00FB09E8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F3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rlan.Smailov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676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Ерлан Смаилов</cp:lastModifiedBy>
  <cp:revision>22</cp:revision>
  <cp:lastPrinted>2025-01-22T05:57:00Z</cp:lastPrinted>
  <dcterms:created xsi:type="dcterms:W3CDTF">2026-01-19T14:36:00Z</dcterms:created>
  <dcterms:modified xsi:type="dcterms:W3CDTF">2026-02-19T13:14:00Z</dcterms:modified>
</cp:coreProperties>
</file>