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3E2" w:rsidRPr="00382AFD" w:rsidRDefault="005372A0" w:rsidP="00A753E2">
      <w:pPr>
        <w:spacing w:line="288" w:lineRule="auto"/>
        <w:jc w:val="center"/>
        <w:rPr>
          <w:rFonts w:asciiTheme="minorHAnsi" w:eastAsia="Times New Roman" w:hAnsiTheme="minorHAnsi"/>
          <w:sz w:val="22"/>
        </w:rPr>
      </w:pPr>
      <w:r>
        <w:rPr>
          <w:rFonts w:asciiTheme="minorHAnsi" w:eastAsia="Times New Roman" w:hAnsiTheme="minorHAnsi"/>
          <w:noProof/>
          <w:sz w:val="22"/>
        </w:rPr>
        <w:t>в</w:t>
      </w:r>
      <w:r w:rsidR="00A753E2" w:rsidRPr="00382AFD">
        <w:rPr>
          <w:rFonts w:asciiTheme="minorHAnsi" w:eastAsia="Times New Roman" w:hAnsiTheme="minorHAnsi"/>
          <w:noProof/>
          <w:sz w:val="22"/>
          <w:lang w:val="en-US"/>
        </w:rPr>
        <w:drawing>
          <wp:inline distT="0" distB="0" distL="0" distR="0" wp14:anchorId="7A26F36C" wp14:editId="43557CF5">
            <wp:extent cx="5143500" cy="695325"/>
            <wp:effectExtent l="0" t="0" r="0" b="9525"/>
            <wp:docPr id="2" name="Рисунок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43500" cy="695325"/>
                    </a:xfrm>
                    <a:prstGeom prst="rect">
                      <a:avLst/>
                    </a:prstGeom>
                    <a:noFill/>
                    <a:ln>
                      <a:noFill/>
                    </a:ln>
                  </pic:spPr>
                </pic:pic>
              </a:graphicData>
            </a:graphic>
          </wp:inline>
        </w:drawing>
      </w:r>
    </w:p>
    <w:p w:rsidR="00A753E2" w:rsidRPr="00382AFD" w:rsidRDefault="00A753E2" w:rsidP="00A753E2">
      <w:pPr>
        <w:rPr>
          <w:rFonts w:asciiTheme="minorHAnsi" w:eastAsia="Times New Roman" w:hAnsiTheme="minorHAnsi"/>
          <w:sz w:val="22"/>
        </w:rPr>
      </w:pPr>
    </w:p>
    <w:p w:rsidR="00A753E2" w:rsidRPr="00382AFD" w:rsidRDefault="00A753E2" w:rsidP="00A753E2">
      <w:pPr>
        <w:rPr>
          <w:rFonts w:asciiTheme="minorHAnsi" w:eastAsia="Times New Roman" w:hAnsiTheme="minorHAnsi"/>
          <w:sz w:val="22"/>
        </w:rPr>
      </w:pPr>
    </w:p>
    <w:p w:rsidR="00A753E2" w:rsidRPr="00E07416" w:rsidRDefault="00E07416" w:rsidP="00A753E2">
      <w:pPr>
        <w:jc w:val="center"/>
        <w:rPr>
          <w:rFonts w:asciiTheme="minorHAnsi" w:eastAsiaTheme="minorHAnsi" w:hAnsiTheme="minorHAnsi" w:cstheme="minorBidi"/>
          <w:b/>
          <w:szCs w:val="24"/>
          <w:lang w:val="kk-KZ"/>
        </w:rPr>
      </w:pPr>
      <w:r>
        <w:rPr>
          <w:rFonts w:asciiTheme="minorHAnsi" w:eastAsiaTheme="minorHAnsi" w:hAnsiTheme="minorHAnsi" w:cstheme="minorBidi"/>
          <w:b/>
          <w:szCs w:val="24"/>
          <w:lang w:val="kk-KZ"/>
        </w:rPr>
        <w:t xml:space="preserve">БАСПАСӨЗ </w:t>
      </w:r>
      <w:r w:rsidR="00A753E2">
        <w:rPr>
          <w:rFonts w:asciiTheme="minorHAnsi" w:eastAsiaTheme="minorHAnsi" w:hAnsiTheme="minorHAnsi" w:cstheme="minorBidi"/>
          <w:b/>
          <w:szCs w:val="24"/>
        </w:rPr>
        <w:t>РЕЛИЗ</w:t>
      </w:r>
      <w:r>
        <w:rPr>
          <w:rFonts w:asciiTheme="minorHAnsi" w:eastAsiaTheme="minorHAnsi" w:hAnsiTheme="minorHAnsi" w:cstheme="minorBidi"/>
          <w:b/>
          <w:szCs w:val="24"/>
          <w:lang w:val="kk-KZ"/>
        </w:rPr>
        <w:t>І</w:t>
      </w:r>
    </w:p>
    <w:p w:rsidR="00A753E2" w:rsidRPr="00382AFD" w:rsidRDefault="00A753E2" w:rsidP="00A753E2">
      <w:pPr>
        <w:jc w:val="center"/>
        <w:rPr>
          <w:rFonts w:asciiTheme="minorHAnsi" w:eastAsia="Times New Roman" w:hAnsiTheme="minorHAnsi"/>
          <w:szCs w:val="24"/>
        </w:rPr>
      </w:pPr>
    </w:p>
    <w:p w:rsidR="00A753E2" w:rsidRDefault="00E07416" w:rsidP="00E323C9">
      <w:pPr>
        <w:jc w:val="center"/>
        <w:rPr>
          <w:rFonts w:asciiTheme="minorHAnsi" w:eastAsiaTheme="minorHAnsi" w:hAnsiTheme="minorHAnsi" w:cstheme="minorBidi"/>
          <w:b/>
          <w:szCs w:val="24"/>
          <w:lang w:val="kk-KZ"/>
        </w:rPr>
      </w:pPr>
      <w:r>
        <w:rPr>
          <w:rFonts w:asciiTheme="minorHAnsi" w:eastAsiaTheme="minorHAnsi" w:hAnsiTheme="minorHAnsi" w:cstheme="minorBidi"/>
          <w:b/>
          <w:szCs w:val="24"/>
          <w:lang w:val="kk-KZ"/>
        </w:rPr>
        <w:t>«</w:t>
      </w:r>
      <w:r w:rsidRPr="00E07416">
        <w:rPr>
          <w:rFonts w:asciiTheme="minorHAnsi" w:eastAsiaTheme="minorHAnsi" w:hAnsiTheme="minorHAnsi" w:cstheme="minorBidi"/>
          <w:b/>
          <w:szCs w:val="24"/>
          <w:lang w:val="kk-KZ"/>
        </w:rPr>
        <w:t>Қазақстан Республикасының Ұлттық Банкіне цифрлық қаржы активінің базалық активін сақтау жөніндегі ұйымдардың есеп беру, оны ұсыну нысандарын, кезеңділігі мен мерзімдерін қоса алғанда, қағидаларын бекіту туралы» Қазақстан Республикасы Ұлттық Банкі Басқармасының және Қазақстан Республикасы Қаржы нарығын реттеу дамыту агенттігінің Басқармасының бірлескен қаулысының</w:t>
      </w:r>
      <w:r>
        <w:rPr>
          <w:rFonts w:asciiTheme="minorHAnsi" w:eastAsiaTheme="minorHAnsi" w:hAnsiTheme="minorHAnsi" w:cstheme="minorBidi"/>
          <w:b/>
          <w:szCs w:val="24"/>
          <w:lang w:val="kk-KZ"/>
        </w:rPr>
        <w:t xml:space="preserve"> жобаны әзірлеу туралы</w:t>
      </w:r>
    </w:p>
    <w:p w:rsidR="00E07416" w:rsidRPr="00E07416" w:rsidRDefault="00E07416" w:rsidP="00E323C9">
      <w:pPr>
        <w:jc w:val="center"/>
        <w:rPr>
          <w:rFonts w:asciiTheme="minorHAnsi" w:eastAsiaTheme="minorHAnsi" w:hAnsiTheme="minorHAnsi" w:cstheme="minorBidi"/>
          <w:b/>
          <w:szCs w:val="24"/>
          <w:lang w:val="kk-KZ"/>
        </w:rPr>
      </w:pPr>
    </w:p>
    <w:p w:rsidR="00A753E2" w:rsidRPr="00E07416" w:rsidRDefault="006D45DF" w:rsidP="0065054E">
      <w:pPr>
        <w:tabs>
          <w:tab w:val="center" w:pos="9498"/>
        </w:tabs>
        <w:rPr>
          <w:rFonts w:asciiTheme="minorHAnsi" w:eastAsia="Times New Roman" w:hAnsiTheme="minorHAnsi"/>
          <w:szCs w:val="24"/>
          <w:lang w:val="kk-KZ"/>
        </w:rPr>
      </w:pPr>
      <w:r>
        <w:rPr>
          <w:rFonts w:asciiTheme="minorHAnsi" w:eastAsia="Times New Roman" w:hAnsiTheme="minorHAnsi"/>
          <w:szCs w:val="24"/>
          <w:lang w:val="kk-KZ"/>
        </w:rPr>
        <w:t>20</w:t>
      </w:r>
      <w:r>
        <w:rPr>
          <w:rFonts w:asciiTheme="minorHAnsi" w:eastAsia="Times New Roman" w:hAnsiTheme="minorHAnsi"/>
          <w:szCs w:val="24"/>
          <w:lang w:val="en-US"/>
        </w:rPr>
        <w:t xml:space="preserve">26 </w:t>
      </w:r>
      <w:r>
        <w:rPr>
          <w:rFonts w:asciiTheme="minorHAnsi" w:eastAsia="Times New Roman" w:hAnsiTheme="minorHAnsi"/>
          <w:szCs w:val="24"/>
          <w:lang w:val="kk-KZ"/>
        </w:rPr>
        <w:t>жылғы</w:t>
      </w:r>
      <w:r w:rsidR="00A753E2" w:rsidRPr="00E07416">
        <w:rPr>
          <w:rFonts w:asciiTheme="minorHAnsi" w:eastAsia="Times New Roman" w:hAnsiTheme="minorHAnsi"/>
          <w:szCs w:val="24"/>
          <w:lang w:val="kk-KZ"/>
        </w:rPr>
        <w:t xml:space="preserve"> </w:t>
      </w:r>
      <w:r>
        <w:rPr>
          <w:rFonts w:asciiTheme="minorHAnsi" w:eastAsia="Times New Roman" w:hAnsiTheme="minorHAnsi"/>
          <w:szCs w:val="24"/>
          <w:lang w:val="kk-KZ"/>
        </w:rPr>
        <w:t>20 ақпан</w:t>
      </w:r>
      <w:r w:rsidR="00A753E2" w:rsidRPr="00E07416">
        <w:rPr>
          <w:rFonts w:asciiTheme="minorHAnsi" w:eastAsia="Times New Roman" w:hAnsiTheme="minorHAnsi"/>
          <w:szCs w:val="24"/>
          <w:lang w:val="kk-KZ"/>
        </w:rPr>
        <w:t xml:space="preserve"> </w:t>
      </w:r>
      <w:r w:rsidR="00A753E2" w:rsidRPr="00E07416">
        <w:rPr>
          <w:rFonts w:asciiTheme="minorHAnsi" w:eastAsia="Times New Roman" w:hAnsiTheme="minorHAnsi"/>
          <w:szCs w:val="24"/>
          <w:lang w:val="kk-KZ"/>
        </w:rPr>
        <w:tab/>
      </w:r>
      <w:r w:rsidR="00305345" w:rsidRPr="00E07416">
        <w:rPr>
          <w:rFonts w:asciiTheme="minorHAnsi" w:eastAsia="Times New Roman" w:hAnsiTheme="minorHAnsi"/>
          <w:szCs w:val="24"/>
          <w:lang w:val="kk-KZ"/>
        </w:rPr>
        <w:t>Астана</w:t>
      </w:r>
      <w:r w:rsidR="00E07416">
        <w:rPr>
          <w:rFonts w:asciiTheme="minorHAnsi" w:eastAsia="Times New Roman" w:hAnsiTheme="minorHAnsi"/>
          <w:szCs w:val="24"/>
          <w:lang w:val="kk-KZ"/>
        </w:rPr>
        <w:t xml:space="preserve"> қ.</w:t>
      </w:r>
    </w:p>
    <w:p w:rsidR="00A753E2" w:rsidRPr="00382AFD" w:rsidRDefault="00A753E2" w:rsidP="00A753E2">
      <w:pPr>
        <w:jc w:val="center"/>
        <w:rPr>
          <w:rFonts w:asciiTheme="minorHAnsi" w:hAnsiTheme="minorHAnsi" w:cs="Calibri"/>
          <w:b/>
          <w:szCs w:val="24"/>
          <w:lang w:val="kk-KZ"/>
        </w:rPr>
      </w:pPr>
    </w:p>
    <w:p w:rsidR="00E07416" w:rsidRPr="00E07416" w:rsidRDefault="00E07416" w:rsidP="00E07416">
      <w:pPr>
        <w:rPr>
          <w:lang w:val="kk-KZ"/>
        </w:rPr>
      </w:pPr>
    </w:p>
    <w:p w:rsidR="00E07416" w:rsidRPr="00E07416" w:rsidRDefault="00E07416" w:rsidP="002446D1">
      <w:pPr>
        <w:ind w:firstLine="709"/>
        <w:jc w:val="both"/>
        <w:rPr>
          <w:rFonts w:asciiTheme="minorHAnsi" w:hAnsiTheme="minorHAnsi"/>
          <w:szCs w:val="24"/>
          <w:lang w:val="kk-KZ"/>
        </w:rPr>
      </w:pPr>
    </w:p>
    <w:p w:rsidR="00800539" w:rsidRPr="006D45DF" w:rsidRDefault="00E07416" w:rsidP="00E07416">
      <w:pPr>
        <w:ind w:firstLine="709"/>
        <w:jc w:val="both"/>
        <w:rPr>
          <w:rFonts w:asciiTheme="minorHAnsi" w:hAnsiTheme="minorHAnsi"/>
          <w:szCs w:val="24"/>
          <w:lang w:val="kk-KZ"/>
        </w:rPr>
      </w:pPr>
      <w:r w:rsidRPr="006D45DF">
        <w:rPr>
          <w:rFonts w:asciiTheme="minorHAnsi" w:hAnsiTheme="minorHAnsi"/>
          <w:szCs w:val="24"/>
          <w:lang w:val="kk-KZ"/>
        </w:rPr>
        <w:t>Қазақстан Ұлттық Банкі</w:t>
      </w:r>
      <w:r w:rsidR="00800539" w:rsidRPr="006D45DF">
        <w:rPr>
          <w:rFonts w:asciiTheme="minorHAnsi" w:hAnsiTheme="minorHAnsi"/>
          <w:szCs w:val="24"/>
          <w:lang w:val="kk-KZ"/>
        </w:rPr>
        <w:t xml:space="preserve"> </w:t>
      </w:r>
      <w:r w:rsidRPr="006D45DF">
        <w:rPr>
          <w:rFonts w:asciiTheme="minorHAnsi" w:hAnsiTheme="minorHAnsi"/>
          <w:szCs w:val="24"/>
          <w:lang w:val="kk-KZ"/>
        </w:rPr>
        <w:t>«Қазақстан Республикасының Ұлттық Банкіне цифрлық қаржы активінің базалық активін сақтау жөніндегі ұйымдардың есеп беру, оны ұсыну нысандарын, кезеңділігі мен мерзімдерін қоса алғанда, қағидаларын бекіту туралы» Қазақстан Республикасы Ұлттық Банкі Басқармасының және Қазақстан Республикасы Қаржы нарығын реттеу дамыту агенттігінің Басқармасының бірлескен қаулысының жобаны әзірлегенін хабарлайды</w:t>
      </w:r>
      <w:r w:rsidR="00800539" w:rsidRPr="006D45DF">
        <w:rPr>
          <w:rFonts w:asciiTheme="minorHAnsi" w:hAnsiTheme="minorHAnsi"/>
          <w:szCs w:val="24"/>
          <w:lang w:val="kk-KZ"/>
        </w:rPr>
        <w:t>.</w:t>
      </w:r>
    </w:p>
    <w:p w:rsidR="00E07416" w:rsidRPr="005372A0" w:rsidRDefault="00E07416" w:rsidP="00E07416">
      <w:pPr>
        <w:ind w:firstLine="709"/>
        <w:jc w:val="both"/>
        <w:rPr>
          <w:rFonts w:asciiTheme="minorHAnsi" w:hAnsiTheme="minorHAnsi"/>
          <w:szCs w:val="24"/>
          <w:lang w:val="kk-KZ"/>
        </w:rPr>
      </w:pPr>
      <w:r w:rsidRPr="005372A0">
        <w:rPr>
          <w:rFonts w:asciiTheme="minorHAnsi" w:hAnsiTheme="minorHAnsi"/>
          <w:szCs w:val="24"/>
          <w:lang w:val="kk-KZ"/>
        </w:rPr>
        <w:t>Жоба Қазақстан Республикасының «Қазақстан Республикасындағы банктер және банк қызметі туралы» және «Қазақстан Республикасының кейбір заңнамалық актілеріне қаржы нарығын реттеу мен дамыту, байланыс және банкроттық мәселелері бойынша өзгерістер мен толықтырулар енгізу туралы» Заңдарын іске асыру мақсатында әзірленді.</w:t>
      </w:r>
    </w:p>
    <w:p w:rsidR="005372A0" w:rsidRDefault="005372A0" w:rsidP="005372A0">
      <w:pPr>
        <w:ind w:firstLine="709"/>
        <w:jc w:val="both"/>
        <w:rPr>
          <w:rFonts w:asciiTheme="minorHAnsi" w:hAnsiTheme="minorHAnsi"/>
          <w:szCs w:val="24"/>
          <w:lang w:val="kk-KZ"/>
        </w:rPr>
      </w:pPr>
      <w:r w:rsidRPr="005372A0">
        <w:rPr>
          <w:rFonts w:asciiTheme="minorHAnsi" w:hAnsiTheme="minorHAnsi"/>
          <w:szCs w:val="24"/>
          <w:lang w:val="kk-KZ"/>
        </w:rPr>
        <w:t>Жоба</w:t>
      </w:r>
      <w:r>
        <w:rPr>
          <w:rFonts w:asciiTheme="minorHAnsi" w:hAnsiTheme="minorHAnsi"/>
          <w:szCs w:val="24"/>
          <w:lang w:val="kk-KZ"/>
        </w:rPr>
        <w:t xml:space="preserve">мен </w:t>
      </w:r>
      <w:r w:rsidRPr="005372A0">
        <w:rPr>
          <w:rFonts w:asciiTheme="minorHAnsi" w:hAnsiTheme="minorHAnsi"/>
          <w:szCs w:val="24"/>
          <w:lang w:val="kk-KZ"/>
        </w:rPr>
        <w:t>цифрлық қаржы активтерін шығару бойынша базалық активтер мен жоғары өтімді активтердің жай-күйін айқындау мақсатында цифрлық қаржы активінің базалық активін</w:t>
      </w:r>
      <w:r>
        <w:rPr>
          <w:rFonts w:asciiTheme="minorHAnsi" w:hAnsiTheme="minorHAnsi"/>
          <w:szCs w:val="24"/>
          <w:lang w:val="kk-KZ"/>
        </w:rPr>
        <w:t xml:space="preserve"> </w:t>
      </w:r>
      <w:r w:rsidRPr="005372A0">
        <w:rPr>
          <w:rFonts w:asciiTheme="minorHAnsi" w:hAnsiTheme="minorHAnsi"/>
          <w:i/>
          <w:sz w:val="20"/>
          <w:szCs w:val="24"/>
          <w:lang w:val="kk-KZ"/>
        </w:rPr>
        <w:t>(қаржы құралдары, ақша, мүліктік құқықтар және т.б. базалық актив болуы мүмкін)</w:t>
      </w:r>
      <w:r w:rsidRPr="005372A0">
        <w:rPr>
          <w:rFonts w:asciiTheme="minorHAnsi" w:hAnsiTheme="minorHAnsi"/>
          <w:szCs w:val="24"/>
          <w:lang w:val="kk-KZ"/>
        </w:rPr>
        <w:t xml:space="preserve"> сақтау жөніндегі ұйымдардың оны ұсыну нысандарын, кезеңділігі мен мерзімдерін қоса алғанда, Қазақстан Республикасының Ұлттық Банкіне есеп беру тәртібін белгілеуді көздейді.</w:t>
      </w:r>
    </w:p>
    <w:p w:rsidR="006D45DF" w:rsidRDefault="006D45DF" w:rsidP="006D45DF">
      <w:pPr>
        <w:ind w:firstLine="709"/>
        <w:jc w:val="both"/>
        <w:rPr>
          <w:rFonts w:asciiTheme="minorHAnsi" w:hAnsiTheme="minorHAnsi"/>
          <w:szCs w:val="24"/>
          <w:lang w:val="kk-KZ"/>
        </w:rPr>
      </w:pPr>
      <w:r w:rsidRPr="00327DC9">
        <w:rPr>
          <w:rFonts w:asciiTheme="minorHAnsi" w:hAnsiTheme="minorHAnsi"/>
          <w:szCs w:val="24"/>
          <w:lang w:val="kk-KZ"/>
        </w:rPr>
        <w:t xml:space="preserve">Қаулы жобасының негізгі мазмұны бар ақпараттық кестемен </w:t>
      </w:r>
      <w:r>
        <w:rPr>
          <w:rFonts w:asciiTheme="minorHAnsi" w:hAnsiTheme="minorHAnsi"/>
          <w:szCs w:val="24"/>
          <w:lang w:val="kk-KZ"/>
        </w:rPr>
        <w:t>«</w:t>
      </w:r>
      <w:r w:rsidRPr="00327DC9">
        <w:rPr>
          <w:rFonts w:asciiTheme="minorHAnsi" w:hAnsiTheme="minorHAnsi"/>
          <w:szCs w:val="24"/>
          <w:lang w:val="kk-KZ"/>
        </w:rPr>
        <w:t>Ашық НҚА</w:t>
      </w:r>
      <w:r>
        <w:rPr>
          <w:rFonts w:asciiTheme="minorHAnsi" w:hAnsiTheme="minorHAnsi"/>
          <w:szCs w:val="24"/>
          <w:lang w:val="kk-KZ"/>
        </w:rPr>
        <w:t>»</w:t>
      </w:r>
      <w:r w:rsidRPr="00327DC9">
        <w:rPr>
          <w:rFonts w:asciiTheme="minorHAnsi" w:hAnsiTheme="minorHAnsi"/>
          <w:szCs w:val="24"/>
          <w:lang w:val="kk-KZ"/>
        </w:rPr>
        <w:t xml:space="preserve"> порталында </w:t>
      </w:r>
      <w:hyperlink r:id="rId6" w:history="1">
        <w:r w:rsidRPr="00327DC9">
          <w:rPr>
            <w:rStyle w:val="a3"/>
            <w:rFonts w:asciiTheme="minorHAnsi" w:hAnsiTheme="minorHAnsi"/>
            <w:szCs w:val="24"/>
            <w:lang w:val="kk-KZ"/>
          </w:rPr>
          <w:t>тан</w:t>
        </w:r>
        <w:bookmarkStart w:id="0" w:name="_GoBack"/>
        <w:bookmarkEnd w:id="0"/>
        <w:r w:rsidRPr="00327DC9">
          <w:rPr>
            <w:rStyle w:val="a3"/>
            <w:rFonts w:asciiTheme="minorHAnsi" w:hAnsiTheme="minorHAnsi"/>
            <w:szCs w:val="24"/>
            <w:lang w:val="kk-KZ"/>
          </w:rPr>
          <w:t>ы</w:t>
        </w:r>
        <w:r w:rsidRPr="00327DC9">
          <w:rPr>
            <w:rStyle w:val="a3"/>
            <w:rFonts w:asciiTheme="minorHAnsi" w:hAnsiTheme="minorHAnsi"/>
            <w:szCs w:val="24"/>
            <w:lang w:val="kk-KZ"/>
          </w:rPr>
          <w:t>суға</w:t>
        </w:r>
      </w:hyperlink>
      <w:r w:rsidRPr="00327DC9">
        <w:rPr>
          <w:rFonts w:asciiTheme="minorHAnsi" w:hAnsiTheme="minorHAnsi"/>
          <w:szCs w:val="24"/>
          <w:lang w:val="kk-KZ"/>
        </w:rPr>
        <w:t xml:space="preserve"> болады.</w:t>
      </w:r>
    </w:p>
    <w:p w:rsidR="006D45DF" w:rsidRPr="005372A0" w:rsidRDefault="006D45DF" w:rsidP="005372A0">
      <w:pPr>
        <w:ind w:firstLine="709"/>
        <w:jc w:val="both"/>
        <w:rPr>
          <w:rFonts w:asciiTheme="minorHAnsi" w:hAnsiTheme="minorHAnsi"/>
          <w:szCs w:val="24"/>
          <w:lang w:val="kk-KZ"/>
        </w:rPr>
      </w:pPr>
    </w:p>
    <w:p w:rsidR="005372A0" w:rsidRPr="005372A0" w:rsidRDefault="005372A0" w:rsidP="002446D1">
      <w:pPr>
        <w:ind w:firstLine="709"/>
        <w:jc w:val="both"/>
        <w:rPr>
          <w:rFonts w:asciiTheme="minorHAnsi" w:hAnsiTheme="minorHAnsi" w:cstheme="minorHAnsi"/>
          <w:szCs w:val="24"/>
          <w:lang w:val="kk-KZ"/>
        </w:rPr>
      </w:pPr>
    </w:p>
    <w:p w:rsidR="00A753E2" w:rsidRPr="005372A0" w:rsidRDefault="00A753E2" w:rsidP="00A753E2">
      <w:pPr>
        <w:ind w:firstLine="709"/>
        <w:jc w:val="both"/>
        <w:rPr>
          <w:rFonts w:asciiTheme="minorHAnsi" w:hAnsiTheme="minorHAnsi"/>
          <w:lang w:val="kk-KZ"/>
        </w:rPr>
      </w:pPr>
    </w:p>
    <w:p w:rsidR="005372A0" w:rsidRDefault="005372A0" w:rsidP="005372A0">
      <w:pPr>
        <w:jc w:val="center"/>
      </w:pPr>
      <w:r w:rsidRPr="005372A0">
        <w:rPr>
          <w:rFonts w:asciiTheme="minorHAnsi" w:hAnsiTheme="minorHAnsi"/>
          <w:szCs w:val="24"/>
          <w:lang w:val="kk-KZ"/>
        </w:rPr>
        <w:t>Толық ақпаратты мына телефон арқылы алуға болады:</w:t>
      </w:r>
    </w:p>
    <w:p w:rsidR="00816393" w:rsidRPr="00B65EA9" w:rsidRDefault="00816393" w:rsidP="00816393">
      <w:pPr>
        <w:jc w:val="center"/>
        <w:rPr>
          <w:rFonts w:ascii="Calibri" w:hAnsi="Calibri" w:cs="Arial"/>
          <w:szCs w:val="24"/>
          <w:lang w:val="it-IT" w:eastAsia="ru-RU"/>
        </w:rPr>
      </w:pPr>
      <w:r w:rsidRPr="00B65EA9">
        <w:rPr>
          <w:rFonts w:ascii="Calibri" w:hAnsi="Calibri" w:cs="Arial"/>
          <w:szCs w:val="24"/>
          <w:lang w:val="it-IT" w:eastAsia="ru-RU"/>
        </w:rPr>
        <w:t xml:space="preserve">+7 (7172) </w:t>
      </w:r>
      <w:r w:rsidR="00AB0E1A" w:rsidRPr="00B65EA9">
        <w:rPr>
          <w:rFonts w:ascii="Calibri" w:hAnsi="Calibri" w:cs="Arial"/>
          <w:szCs w:val="24"/>
          <w:lang w:val="it-IT" w:eastAsia="ru-RU"/>
        </w:rPr>
        <w:t>77-5</w:t>
      </w:r>
      <w:r w:rsidR="00330B4F">
        <w:rPr>
          <w:rFonts w:ascii="Calibri" w:hAnsi="Calibri" w:cs="Arial"/>
          <w:szCs w:val="24"/>
          <w:lang w:val="it-IT" w:eastAsia="ru-RU"/>
        </w:rPr>
        <w:t>5</w:t>
      </w:r>
      <w:r w:rsidR="00AB0E1A" w:rsidRPr="00B65EA9">
        <w:rPr>
          <w:rFonts w:ascii="Calibri" w:hAnsi="Calibri" w:cs="Arial"/>
          <w:szCs w:val="24"/>
          <w:lang w:val="it-IT" w:eastAsia="ru-RU"/>
        </w:rPr>
        <w:t>-</w:t>
      </w:r>
      <w:r w:rsidR="00330B4F">
        <w:rPr>
          <w:rFonts w:ascii="Calibri" w:hAnsi="Calibri" w:cs="Arial"/>
          <w:szCs w:val="24"/>
          <w:lang w:val="it-IT" w:eastAsia="ru-RU"/>
        </w:rPr>
        <w:t>77 (17</w:t>
      </w:r>
      <w:r w:rsidR="002446D1" w:rsidRPr="002446D1">
        <w:rPr>
          <w:rFonts w:ascii="Calibri" w:hAnsi="Calibri" w:cs="Arial"/>
          <w:szCs w:val="24"/>
          <w:lang w:val="en-US" w:eastAsia="ru-RU"/>
        </w:rPr>
        <w:t>67</w:t>
      </w:r>
      <w:r w:rsidR="00330B4F">
        <w:rPr>
          <w:rFonts w:ascii="Calibri" w:hAnsi="Calibri" w:cs="Arial"/>
          <w:szCs w:val="24"/>
          <w:lang w:val="it-IT" w:eastAsia="ru-RU"/>
        </w:rPr>
        <w:t>)</w:t>
      </w:r>
    </w:p>
    <w:p w:rsidR="00816393" w:rsidRPr="005C400A" w:rsidRDefault="00816393" w:rsidP="00816393">
      <w:pPr>
        <w:ind w:right="20"/>
        <w:jc w:val="center"/>
        <w:rPr>
          <w:rFonts w:ascii="Calibri" w:hAnsi="Calibri" w:cs="Arial"/>
          <w:color w:val="0000FF"/>
          <w:szCs w:val="24"/>
          <w:u w:val="single"/>
          <w:lang w:val="kk-KZ" w:eastAsia="ru-RU"/>
        </w:rPr>
      </w:pPr>
      <w:r w:rsidRPr="00B65EA9">
        <w:rPr>
          <w:rFonts w:ascii="Calibri" w:hAnsi="Calibri" w:cs="Arial"/>
          <w:szCs w:val="24"/>
          <w:lang w:val="it-IT" w:eastAsia="ru-RU"/>
        </w:rPr>
        <w:t xml:space="preserve">e-mail: </w:t>
      </w:r>
      <w:hyperlink r:id="rId7" w:history="1">
        <w:r w:rsidR="002446D1" w:rsidRPr="002446D1">
          <w:rPr>
            <w:rStyle w:val="a3"/>
            <w:lang w:val="en-US"/>
          </w:rPr>
          <w:t>Talgat.Katrenov2@nationalbank.kz</w:t>
        </w:r>
      </w:hyperlink>
      <w:r w:rsidR="002446D1" w:rsidRPr="002446D1">
        <w:rPr>
          <w:lang w:val="en-US"/>
        </w:rPr>
        <w:t xml:space="preserve"> </w:t>
      </w:r>
      <w:r w:rsidR="005C400A">
        <w:rPr>
          <w:lang w:val="kk-KZ"/>
        </w:rPr>
        <w:t xml:space="preserve"> </w:t>
      </w:r>
    </w:p>
    <w:p w:rsidR="002C7371" w:rsidRPr="00B65EA9" w:rsidRDefault="00816393" w:rsidP="00816393">
      <w:pPr>
        <w:jc w:val="center"/>
        <w:rPr>
          <w:rFonts w:ascii="Calibri" w:eastAsia="Times New Roman" w:hAnsi="Calibri"/>
          <w:szCs w:val="24"/>
          <w:lang w:val="it-IT"/>
        </w:rPr>
      </w:pPr>
      <w:r w:rsidRPr="00B65EA9">
        <w:rPr>
          <w:rFonts w:ascii="Calibri" w:hAnsi="Calibri" w:cs="Arial"/>
          <w:color w:val="0000FF"/>
          <w:szCs w:val="24"/>
          <w:u w:val="single"/>
          <w:lang w:val="it-IT" w:eastAsia="ru-RU"/>
        </w:rPr>
        <w:t>www.nationalbank.kz</w:t>
      </w:r>
    </w:p>
    <w:sectPr w:rsidR="002C7371" w:rsidRPr="00B65EA9" w:rsidSect="00DA2A68">
      <w:pgSz w:w="11906" w:h="16838"/>
      <w:pgMar w:top="1134" w:right="851" w:bottom="1418"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323A"/>
    <w:multiLevelType w:val="hybridMultilevel"/>
    <w:tmpl w:val="3D8EC8BA"/>
    <w:lvl w:ilvl="0" w:tplc="8BFA833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3E2"/>
    <w:rsid w:val="000145C1"/>
    <w:rsid w:val="00014865"/>
    <w:rsid w:val="00020E97"/>
    <w:rsid w:val="00050D36"/>
    <w:rsid w:val="00057A2D"/>
    <w:rsid w:val="000C1F1B"/>
    <w:rsid w:val="000D475E"/>
    <w:rsid w:val="001239EA"/>
    <w:rsid w:val="00156FB9"/>
    <w:rsid w:val="00220AB1"/>
    <w:rsid w:val="002446D1"/>
    <w:rsid w:val="002C7371"/>
    <w:rsid w:val="002D6C4F"/>
    <w:rsid w:val="002F109A"/>
    <w:rsid w:val="00305345"/>
    <w:rsid w:val="0031536E"/>
    <w:rsid w:val="00315A52"/>
    <w:rsid w:val="00330B4F"/>
    <w:rsid w:val="00345AB5"/>
    <w:rsid w:val="003B16D9"/>
    <w:rsid w:val="003B772B"/>
    <w:rsid w:val="00401979"/>
    <w:rsid w:val="004168F1"/>
    <w:rsid w:val="00417FAC"/>
    <w:rsid w:val="00421A9E"/>
    <w:rsid w:val="00473FDB"/>
    <w:rsid w:val="00475ACA"/>
    <w:rsid w:val="004A289C"/>
    <w:rsid w:val="005006FA"/>
    <w:rsid w:val="00500B99"/>
    <w:rsid w:val="00507A80"/>
    <w:rsid w:val="005233A2"/>
    <w:rsid w:val="005372A0"/>
    <w:rsid w:val="00562FC6"/>
    <w:rsid w:val="00581B4D"/>
    <w:rsid w:val="0058689A"/>
    <w:rsid w:val="005B3627"/>
    <w:rsid w:val="005C400A"/>
    <w:rsid w:val="005D4EE3"/>
    <w:rsid w:val="00611502"/>
    <w:rsid w:val="0065054E"/>
    <w:rsid w:val="006A64E2"/>
    <w:rsid w:val="006C78E7"/>
    <w:rsid w:val="006D45DF"/>
    <w:rsid w:val="006F0B98"/>
    <w:rsid w:val="007168F9"/>
    <w:rsid w:val="0077499F"/>
    <w:rsid w:val="00781EB4"/>
    <w:rsid w:val="00785D45"/>
    <w:rsid w:val="007D25BD"/>
    <w:rsid w:val="00800539"/>
    <w:rsid w:val="00815002"/>
    <w:rsid w:val="00816393"/>
    <w:rsid w:val="0081675F"/>
    <w:rsid w:val="00822C84"/>
    <w:rsid w:val="008230BA"/>
    <w:rsid w:val="00891EEF"/>
    <w:rsid w:val="00942EB5"/>
    <w:rsid w:val="009556FC"/>
    <w:rsid w:val="00977E8D"/>
    <w:rsid w:val="009A7131"/>
    <w:rsid w:val="00A753E2"/>
    <w:rsid w:val="00AB0E1A"/>
    <w:rsid w:val="00AC156B"/>
    <w:rsid w:val="00AF5466"/>
    <w:rsid w:val="00B2384B"/>
    <w:rsid w:val="00B336A5"/>
    <w:rsid w:val="00B476A1"/>
    <w:rsid w:val="00B634C1"/>
    <w:rsid w:val="00B65EA9"/>
    <w:rsid w:val="00B801AB"/>
    <w:rsid w:val="00BA04E3"/>
    <w:rsid w:val="00BD0E5B"/>
    <w:rsid w:val="00BD30B4"/>
    <w:rsid w:val="00BD4664"/>
    <w:rsid w:val="00BE6AA2"/>
    <w:rsid w:val="00C01ED9"/>
    <w:rsid w:val="00CA2FD8"/>
    <w:rsid w:val="00CE59B6"/>
    <w:rsid w:val="00D07C7C"/>
    <w:rsid w:val="00D4346A"/>
    <w:rsid w:val="00D62895"/>
    <w:rsid w:val="00D6461C"/>
    <w:rsid w:val="00DA2A68"/>
    <w:rsid w:val="00DA4B6D"/>
    <w:rsid w:val="00E07416"/>
    <w:rsid w:val="00E15F1D"/>
    <w:rsid w:val="00E27B0C"/>
    <w:rsid w:val="00E323C9"/>
    <w:rsid w:val="00E90050"/>
    <w:rsid w:val="00EC0E17"/>
    <w:rsid w:val="00ED22E4"/>
    <w:rsid w:val="00EE486B"/>
    <w:rsid w:val="00F116FF"/>
    <w:rsid w:val="00FB44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C66A0"/>
  <w15:chartTrackingRefBased/>
  <w15:docId w15:val="{A4E5D2D0-B363-4789-B7ED-69CF164CF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53E2"/>
    <w:pPr>
      <w:spacing w:after="0" w:line="240" w:lineRule="auto"/>
    </w:pPr>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753E2"/>
    <w:rPr>
      <w:color w:val="0563C1" w:themeColor="hyperlink"/>
      <w:u w:val="single"/>
    </w:rPr>
  </w:style>
  <w:style w:type="character" w:customStyle="1" w:styleId="s1">
    <w:name w:val="s1"/>
    <w:rsid w:val="00220AB1"/>
    <w:rPr>
      <w:rFonts w:ascii="Times New Roman" w:hAnsi="Times New Roman" w:cs="Times New Roman" w:hint="default"/>
      <w:b/>
      <w:bCs/>
      <w:i w:val="0"/>
      <w:iCs w:val="0"/>
      <w:strike w:val="0"/>
      <w:dstrike w:val="0"/>
      <w:color w:val="000000"/>
      <w:sz w:val="20"/>
      <w:szCs w:val="20"/>
      <w:u w:val="none"/>
      <w:effect w:val="none"/>
    </w:rPr>
  </w:style>
  <w:style w:type="character" w:customStyle="1" w:styleId="a4">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5"/>
    <w:uiPriority w:val="34"/>
    <w:locked/>
    <w:rsid w:val="00B65EA9"/>
    <w:rPr>
      <w:rFonts w:ascii="Times New Roman" w:eastAsia="Times New Roman" w:hAnsi="Times New Roman" w:cs="Times New Roman"/>
      <w:sz w:val="24"/>
      <w:szCs w:val="24"/>
      <w:lang w:eastAsia="ru-RU"/>
    </w:rPr>
  </w:style>
  <w:style w:type="paragraph" w:styleId="a5">
    <w:name w:val="List Paragraph"/>
    <w:aliases w:val="List Paragraph (numbered (a)),Use Case List Paragraph,NUMBERED PARAGRAPH,List Paragraph 1,маркированный,Citation List,Heading1,Colorful List - Accent 11"/>
    <w:basedOn w:val="a"/>
    <w:link w:val="a4"/>
    <w:uiPriority w:val="34"/>
    <w:qFormat/>
    <w:rsid w:val="00B65EA9"/>
    <w:pPr>
      <w:ind w:left="720"/>
      <w:contextualSpacing/>
    </w:pPr>
    <w:rPr>
      <w:rFonts w:eastAsia="Times New Roman"/>
      <w:szCs w:val="24"/>
      <w:lang w:eastAsia="ru-RU"/>
    </w:rPr>
  </w:style>
  <w:style w:type="paragraph" w:customStyle="1" w:styleId="pj">
    <w:name w:val="pj"/>
    <w:basedOn w:val="a"/>
    <w:rsid w:val="00B65EA9"/>
    <w:pPr>
      <w:ind w:firstLine="400"/>
      <w:jc w:val="both"/>
    </w:pPr>
    <w:rPr>
      <w:rFonts w:eastAsia="Times New Roman"/>
      <w:color w:val="000000"/>
      <w:szCs w:val="24"/>
      <w:lang w:eastAsia="ru-RU"/>
    </w:rPr>
  </w:style>
  <w:style w:type="character" w:styleId="a6">
    <w:name w:val="FollowedHyperlink"/>
    <w:basedOn w:val="a0"/>
    <w:uiPriority w:val="99"/>
    <w:semiHidden/>
    <w:unhideWhenUsed/>
    <w:rsid w:val="006D45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432324">
      <w:bodyDiv w:val="1"/>
      <w:marLeft w:val="0"/>
      <w:marRight w:val="0"/>
      <w:marTop w:val="0"/>
      <w:marBottom w:val="0"/>
      <w:divBdr>
        <w:top w:val="none" w:sz="0" w:space="0" w:color="auto"/>
        <w:left w:val="none" w:sz="0" w:space="0" w:color="auto"/>
        <w:bottom w:val="none" w:sz="0" w:space="0" w:color="auto"/>
        <w:right w:val="none" w:sz="0" w:space="0" w:color="auto"/>
      </w:divBdr>
    </w:div>
    <w:div w:id="778569260">
      <w:bodyDiv w:val="1"/>
      <w:marLeft w:val="0"/>
      <w:marRight w:val="0"/>
      <w:marTop w:val="0"/>
      <w:marBottom w:val="0"/>
      <w:divBdr>
        <w:top w:val="none" w:sz="0" w:space="0" w:color="auto"/>
        <w:left w:val="none" w:sz="0" w:space="0" w:color="auto"/>
        <w:bottom w:val="none" w:sz="0" w:space="0" w:color="auto"/>
        <w:right w:val="none" w:sz="0" w:space="0" w:color="auto"/>
      </w:divBdr>
      <w:divsChild>
        <w:div w:id="981495731">
          <w:marLeft w:val="0"/>
          <w:marRight w:val="0"/>
          <w:marTop w:val="0"/>
          <w:marBottom w:val="0"/>
          <w:divBdr>
            <w:top w:val="none" w:sz="0" w:space="0" w:color="auto"/>
            <w:left w:val="none" w:sz="0" w:space="0" w:color="auto"/>
            <w:bottom w:val="none" w:sz="0" w:space="0" w:color="auto"/>
            <w:right w:val="none" w:sz="0" w:space="0" w:color="auto"/>
          </w:divBdr>
        </w:div>
        <w:div w:id="1423912219">
          <w:marLeft w:val="0"/>
          <w:marRight w:val="0"/>
          <w:marTop w:val="0"/>
          <w:marBottom w:val="0"/>
          <w:divBdr>
            <w:top w:val="none" w:sz="0" w:space="0" w:color="auto"/>
            <w:left w:val="none" w:sz="0" w:space="0" w:color="auto"/>
            <w:bottom w:val="none" w:sz="0" w:space="0" w:color="auto"/>
            <w:right w:val="none" w:sz="0" w:space="0" w:color="auto"/>
          </w:divBdr>
        </w:div>
        <w:div w:id="1770734354">
          <w:marLeft w:val="0"/>
          <w:marRight w:val="0"/>
          <w:marTop w:val="0"/>
          <w:marBottom w:val="0"/>
          <w:divBdr>
            <w:top w:val="none" w:sz="0" w:space="0" w:color="auto"/>
            <w:left w:val="none" w:sz="0" w:space="0" w:color="auto"/>
            <w:bottom w:val="none" w:sz="0" w:space="0" w:color="auto"/>
            <w:right w:val="none" w:sz="0" w:space="0" w:color="auto"/>
          </w:divBdr>
        </w:div>
      </w:divsChild>
    </w:div>
    <w:div w:id="954409085">
      <w:bodyDiv w:val="1"/>
      <w:marLeft w:val="0"/>
      <w:marRight w:val="0"/>
      <w:marTop w:val="0"/>
      <w:marBottom w:val="0"/>
      <w:divBdr>
        <w:top w:val="none" w:sz="0" w:space="0" w:color="auto"/>
        <w:left w:val="none" w:sz="0" w:space="0" w:color="auto"/>
        <w:bottom w:val="none" w:sz="0" w:space="0" w:color="auto"/>
        <w:right w:val="none" w:sz="0" w:space="0" w:color="auto"/>
      </w:divBdr>
    </w:div>
    <w:div w:id="1444496876">
      <w:bodyDiv w:val="1"/>
      <w:marLeft w:val="0"/>
      <w:marRight w:val="0"/>
      <w:marTop w:val="0"/>
      <w:marBottom w:val="0"/>
      <w:divBdr>
        <w:top w:val="none" w:sz="0" w:space="0" w:color="auto"/>
        <w:left w:val="none" w:sz="0" w:space="0" w:color="auto"/>
        <w:bottom w:val="none" w:sz="0" w:space="0" w:color="auto"/>
        <w:right w:val="none" w:sz="0" w:space="0" w:color="auto"/>
      </w:divBdr>
    </w:div>
    <w:div w:id="186686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algat.Katrenov2@nationalbank.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alacts.egov.kz/npa/view?id=15768151"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291</Words>
  <Characters>1664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Назгуль Кубашева</dc:creator>
  <cp:keywords/>
  <dc:description/>
  <cp:lastModifiedBy>Талгат Катренов</cp:lastModifiedBy>
  <cp:revision>7</cp:revision>
  <cp:lastPrinted>2025-01-22T05:57:00Z</cp:lastPrinted>
  <dcterms:created xsi:type="dcterms:W3CDTF">2026-02-16T10:28:00Z</dcterms:created>
  <dcterms:modified xsi:type="dcterms:W3CDTF">2026-02-19T13:23:00Z</dcterms:modified>
</cp:coreProperties>
</file>