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A406D8" w:rsidP="00A753E2">
      <w:pPr>
        <w:spacing w:line="288" w:lineRule="auto"/>
        <w:jc w:val="center"/>
        <w:rPr>
          <w:rFonts w:asciiTheme="minorHAnsi" w:eastAsia="Times New Roman" w:hAnsiTheme="minorHAnsi"/>
          <w:sz w:val="22"/>
        </w:rPr>
      </w:pPr>
      <w:r w:rsidRPr="00DC6E00">
        <w:rPr>
          <w:rFonts w:ascii="Arial" w:hAnsi="Arial" w:cs="Arial"/>
          <w:b/>
          <w:noProof/>
          <w:lang w:eastAsia="ru-RU"/>
        </w:rPr>
        <w:drawing>
          <wp:inline distT="0" distB="0" distL="0" distR="0" wp14:anchorId="13964E0E" wp14:editId="083D183A">
            <wp:extent cx="3783600" cy="759600"/>
            <wp:effectExtent l="0" t="0" r="7620" b="2540"/>
            <wp:docPr id="2" name="Рисунок 2" descr="Z:\Документы\Брендбук\Лого\Лого в png\Қазақстан Ұлттық Банк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Документы\Брендбук\Лого\Лого в png\Қазақстан Ұлттық Банкі.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3600" cy="759600"/>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406D8" w:rsidRPr="005D6727" w:rsidRDefault="00A406D8" w:rsidP="00A406D8">
      <w:pPr>
        <w:jc w:val="center"/>
        <w:rPr>
          <w:rFonts w:asciiTheme="minorHAnsi" w:eastAsiaTheme="minorHAnsi" w:hAnsiTheme="minorHAnsi" w:cstheme="minorBidi"/>
          <w:b/>
          <w:szCs w:val="24"/>
          <w:lang w:val="kk-KZ"/>
        </w:rPr>
      </w:pPr>
      <w:bookmarkStart w:id="0" w:name="_GoBack"/>
      <w:bookmarkEnd w:id="0"/>
      <w:r>
        <w:rPr>
          <w:rFonts w:asciiTheme="minorHAnsi" w:eastAsiaTheme="minorHAnsi" w:hAnsiTheme="minorHAnsi" w:cstheme="minorBidi"/>
          <w:b/>
          <w:szCs w:val="24"/>
          <w:lang w:val="kk-KZ"/>
        </w:rPr>
        <w:t xml:space="preserve">БАСПАСӨЗ </w:t>
      </w:r>
      <w:r>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A406D8" w:rsidRPr="00C80E22" w:rsidRDefault="00A406D8" w:rsidP="00A406D8">
      <w:pPr>
        <w:jc w:val="center"/>
        <w:rPr>
          <w:rFonts w:asciiTheme="minorHAnsi" w:eastAsia="Times New Roman" w:hAnsiTheme="minorHAnsi"/>
          <w:szCs w:val="24"/>
          <w:lang w:val="kk-KZ"/>
        </w:rPr>
      </w:pPr>
    </w:p>
    <w:p w:rsidR="00A406D8" w:rsidRDefault="00A406D8" w:rsidP="00A406D8">
      <w:pPr>
        <w:jc w:val="center"/>
        <w:rPr>
          <w:rFonts w:asciiTheme="minorHAnsi" w:hAnsiTheme="minorHAnsi" w:cstheme="minorHAnsi"/>
          <w:b/>
          <w:color w:val="000000"/>
          <w:szCs w:val="24"/>
          <w:lang w:val="kk-KZ"/>
        </w:rPr>
      </w:pPr>
      <w:r w:rsidRPr="00C80E22">
        <w:rPr>
          <w:rFonts w:asciiTheme="minorHAnsi" w:hAnsiTheme="minorHAnsi" w:cstheme="minorHAnsi"/>
          <w:b/>
          <w:color w:val="000000"/>
          <w:szCs w:val="24"/>
          <w:lang w:val="kk-KZ"/>
        </w:rPr>
        <w:t>«</w:t>
      </w:r>
      <w:r w:rsidRPr="00A406D8">
        <w:rPr>
          <w:rFonts w:asciiTheme="minorHAnsi" w:hAnsiTheme="minorHAnsi" w:cstheme="minorHAnsi"/>
          <w:b/>
          <w:color w:val="000000"/>
          <w:szCs w:val="24"/>
          <w:lang w:val="kk-KZ"/>
        </w:rPr>
        <w:t xml:space="preserve">Цифрлық теңгені шығару, айналысқа жіберу және өтеу қағидаларын </w:t>
      </w:r>
    </w:p>
    <w:p w:rsidR="00A406D8" w:rsidRDefault="00A406D8" w:rsidP="00A406D8">
      <w:pPr>
        <w:jc w:val="center"/>
        <w:rPr>
          <w:rFonts w:asciiTheme="minorHAnsi" w:hAnsiTheme="minorHAnsi" w:cstheme="minorHAnsi"/>
          <w:b/>
          <w:color w:val="000000"/>
          <w:szCs w:val="24"/>
          <w:lang w:val="kk-KZ"/>
        </w:rPr>
      </w:pPr>
      <w:r w:rsidRPr="00A406D8">
        <w:rPr>
          <w:rFonts w:asciiTheme="minorHAnsi" w:hAnsiTheme="minorHAnsi" w:cstheme="minorHAnsi"/>
          <w:b/>
          <w:color w:val="000000"/>
          <w:szCs w:val="24"/>
          <w:lang w:val="kk-KZ"/>
        </w:rPr>
        <w:t>бекіту туралы</w:t>
      </w:r>
      <w:r>
        <w:rPr>
          <w:rFonts w:asciiTheme="minorHAnsi" w:hAnsiTheme="minorHAnsi" w:cstheme="minorHAnsi"/>
          <w:b/>
          <w:color w:val="000000"/>
          <w:szCs w:val="24"/>
          <w:lang w:val="kk-KZ"/>
        </w:rPr>
        <w:t xml:space="preserve">» </w:t>
      </w:r>
      <w:r w:rsidRPr="00B53CE7">
        <w:rPr>
          <w:rFonts w:asciiTheme="minorHAnsi" w:hAnsiTheme="minorHAnsi" w:cstheme="minorHAnsi"/>
          <w:b/>
          <w:color w:val="000000"/>
          <w:szCs w:val="24"/>
          <w:lang w:val="kk-KZ"/>
        </w:rPr>
        <w:t xml:space="preserve">Қазақстан Республикасы Ұлттық Банкінің Басқармасы </w:t>
      </w:r>
    </w:p>
    <w:p w:rsidR="00A406D8" w:rsidRDefault="00A406D8" w:rsidP="00A406D8">
      <w:pPr>
        <w:jc w:val="center"/>
        <w:rPr>
          <w:b/>
          <w:sz w:val="28"/>
          <w:szCs w:val="24"/>
          <w:lang w:val="kk-KZ"/>
        </w:rPr>
      </w:pPr>
      <w:r w:rsidRPr="00B53CE7">
        <w:rPr>
          <w:rFonts w:asciiTheme="minorHAnsi" w:hAnsiTheme="minorHAnsi" w:cstheme="minorHAnsi"/>
          <w:b/>
          <w:color w:val="000000"/>
          <w:szCs w:val="24"/>
          <w:lang w:val="kk-KZ"/>
        </w:rPr>
        <w:t>қаулысының жобасын әзірлеу туралы</w:t>
      </w:r>
    </w:p>
    <w:p w:rsidR="00A406D8" w:rsidRPr="00C80E22" w:rsidRDefault="00A406D8" w:rsidP="00A406D8">
      <w:pPr>
        <w:jc w:val="center"/>
        <w:rPr>
          <w:rFonts w:asciiTheme="minorHAnsi" w:eastAsia="Times New Roman" w:hAnsiTheme="minorHAnsi" w:cstheme="minorHAnsi"/>
          <w:b/>
          <w:szCs w:val="24"/>
          <w:lang w:val="kk-KZ" w:eastAsia="ru-RU"/>
        </w:rPr>
      </w:pPr>
    </w:p>
    <w:p w:rsidR="00A406D8" w:rsidRPr="00C80E22" w:rsidRDefault="00A406D8" w:rsidP="00A406D8">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Pr>
          <w:rFonts w:asciiTheme="minorHAnsi" w:eastAsia="Times New Roman" w:hAnsiTheme="minorHAnsi"/>
          <w:szCs w:val="24"/>
          <w:lang w:val="kk-KZ"/>
        </w:rPr>
        <w:t>6</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__</w:t>
      </w:r>
      <w:r w:rsidRPr="006C1015">
        <w:rPr>
          <w:rFonts w:asciiTheme="minorHAnsi" w:eastAsia="Times New Roman" w:hAnsiTheme="minorHAnsi"/>
          <w:szCs w:val="24"/>
          <w:lang w:val="kk-KZ"/>
        </w:rPr>
        <w:t>»</w:t>
      </w:r>
      <w:r>
        <w:rPr>
          <w:rFonts w:asciiTheme="minorHAnsi" w:eastAsia="Times New Roman" w:hAnsiTheme="minorHAnsi"/>
          <w:szCs w:val="24"/>
          <w:lang w:val="kk-KZ"/>
        </w:rPr>
        <w:t xml:space="preserve"> ___________</w:t>
      </w:r>
      <w:r w:rsidRPr="00C80E22">
        <w:rPr>
          <w:rFonts w:asciiTheme="minorHAnsi" w:eastAsia="Times New Roman" w:hAnsiTheme="minorHAnsi"/>
          <w:szCs w:val="24"/>
          <w:lang w:val="kk-KZ"/>
        </w:rPr>
        <w:t xml:space="preserve"> </w:t>
      </w:r>
      <w:r w:rsidRPr="00C80E22">
        <w:rPr>
          <w:rFonts w:asciiTheme="minorHAnsi" w:eastAsia="Times New Roman" w:hAnsiTheme="minorHAnsi"/>
          <w:szCs w:val="24"/>
          <w:lang w:val="kk-KZ"/>
        </w:rPr>
        <w:tab/>
        <w:t>Астана</w:t>
      </w:r>
      <w:r>
        <w:rPr>
          <w:rFonts w:asciiTheme="minorHAnsi" w:eastAsia="Times New Roman" w:hAnsiTheme="minorHAnsi"/>
          <w:szCs w:val="24"/>
          <w:lang w:val="kk-KZ"/>
        </w:rPr>
        <w:t xml:space="preserve"> қ.</w:t>
      </w:r>
    </w:p>
    <w:p w:rsidR="00A406D8" w:rsidRPr="00A406D8" w:rsidRDefault="00A406D8" w:rsidP="00A753E2">
      <w:pPr>
        <w:jc w:val="center"/>
        <w:rPr>
          <w:rFonts w:asciiTheme="minorHAnsi" w:eastAsiaTheme="minorHAnsi" w:hAnsiTheme="minorHAnsi" w:cstheme="minorBidi"/>
          <w:b/>
          <w:szCs w:val="24"/>
          <w:lang w:val="kk-KZ"/>
        </w:rPr>
      </w:pPr>
    </w:p>
    <w:p w:rsidR="00A753E2" w:rsidRPr="00382AFD" w:rsidRDefault="00A753E2" w:rsidP="00A753E2">
      <w:pPr>
        <w:jc w:val="center"/>
        <w:rPr>
          <w:rFonts w:asciiTheme="minorHAnsi" w:hAnsiTheme="minorHAnsi" w:cs="Calibri"/>
          <w:b/>
          <w:szCs w:val="24"/>
        </w:rPr>
      </w:pPr>
    </w:p>
    <w:p w:rsidR="00A406D8" w:rsidRPr="00A406D8" w:rsidRDefault="00A406D8" w:rsidP="00A406D8">
      <w:pPr>
        <w:ind w:firstLine="709"/>
        <w:jc w:val="both"/>
        <w:rPr>
          <w:rFonts w:asciiTheme="minorHAnsi" w:hAnsiTheme="minorHAnsi"/>
          <w:szCs w:val="24"/>
          <w:lang w:val="kk-KZ"/>
        </w:rPr>
      </w:pPr>
      <w:r w:rsidRPr="00A406D8">
        <w:rPr>
          <w:rFonts w:asciiTheme="minorHAnsi" w:hAnsiTheme="minorHAnsi"/>
          <w:szCs w:val="24"/>
          <w:lang w:val="kk-KZ"/>
        </w:rPr>
        <w:t xml:space="preserve">Қазақстан Ұлттық Банкі </w:t>
      </w:r>
      <w:r>
        <w:rPr>
          <w:rFonts w:asciiTheme="minorHAnsi" w:hAnsiTheme="minorHAnsi"/>
          <w:szCs w:val="24"/>
          <w:lang w:val="kk-KZ"/>
        </w:rPr>
        <w:t>«</w:t>
      </w:r>
      <w:r w:rsidRPr="00A406D8">
        <w:rPr>
          <w:rFonts w:asciiTheme="minorHAnsi" w:hAnsiTheme="minorHAnsi"/>
          <w:szCs w:val="24"/>
          <w:lang w:val="kk-KZ"/>
        </w:rPr>
        <w:t>Цифрлық теңгені шығару, айналысқа жіберу және өтеу қағидаларын бекіту туралы</w:t>
      </w:r>
      <w:r>
        <w:rPr>
          <w:rFonts w:asciiTheme="minorHAnsi" w:hAnsiTheme="minorHAnsi"/>
          <w:szCs w:val="24"/>
          <w:lang w:val="kk-KZ"/>
        </w:rPr>
        <w:t xml:space="preserve">» </w:t>
      </w:r>
      <w:r w:rsidRPr="00A406D8">
        <w:rPr>
          <w:rFonts w:asciiTheme="minorHAnsi" w:hAnsiTheme="minorHAnsi"/>
          <w:szCs w:val="24"/>
          <w:lang w:val="kk-KZ"/>
        </w:rPr>
        <w:t>Қазақстан Республикасы Ұлттық Банкі</w:t>
      </w:r>
      <w:r>
        <w:rPr>
          <w:rFonts w:asciiTheme="minorHAnsi" w:hAnsiTheme="minorHAnsi"/>
          <w:szCs w:val="24"/>
          <w:lang w:val="kk-KZ"/>
        </w:rPr>
        <w:t>нің</w:t>
      </w:r>
      <w:r w:rsidRPr="00A406D8">
        <w:rPr>
          <w:rFonts w:asciiTheme="minorHAnsi" w:hAnsiTheme="minorHAnsi"/>
          <w:szCs w:val="24"/>
          <w:lang w:val="kk-KZ"/>
        </w:rPr>
        <w:t xml:space="preserve"> Басқармасы қаулысының жобасын әзірлеу туралы хабарлайды.</w:t>
      </w:r>
    </w:p>
    <w:p w:rsidR="00A406D8" w:rsidRPr="00A406D8" w:rsidRDefault="00A406D8" w:rsidP="00A406D8">
      <w:pPr>
        <w:ind w:firstLine="709"/>
        <w:jc w:val="both"/>
        <w:rPr>
          <w:rFonts w:asciiTheme="minorHAnsi" w:hAnsiTheme="minorHAnsi"/>
          <w:szCs w:val="24"/>
          <w:lang w:val="kk-KZ"/>
        </w:rPr>
      </w:pPr>
      <w:r>
        <w:rPr>
          <w:rFonts w:asciiTheme="minorHAnsi" w:hAnsiTheme="minorHAnsi"/>
          <w:szCs w:val="24"/>
          <w:lang w:val="kk-KZ"/>
        </w:rPr>
        <w:t>Жоба «</w:t>
      </w:r>
      <w:r w:rsidRPr="00A406D8">
        <w:rPr>
          <w:rFonts w:asciiTheme="minorHAnsi" w:hAnsiTheme="minorHAnsi"/>
          <w:szCs w:val="24"/>
          <w:lang w:val="kk-KZ"/>
        </w:rPr>
        <w:t>Қазақстан Республикасының кейбір заңнамалық актілеріне қаржы нарығын реттеу мен дамыту, байланыс және банкроттық мәселелері бойынша өзгерістер мен толықтырулар енгізу туралы</w:t>
      </w:r>
      <w:r>
        <w:rPr>
          <w:rFonts w:asciiTheme="minorHAnsi" w:hAnsiTheme="minorHAnsi"/>
          <w:szCs w:val="24"/>
          <w:lang w:val="kk-KZ"/>
        </w:rPr>
        <w:t xml:space="preserve">» </w:t>
      </w:r>
      <w:r w:rsidRPr="00A406D8">
        <w:rPr>
          <w:rFonts w:asciiTheme="minorHAnsi" w:hAnsiTheme="minorHAnsi"/>
          <w:szCs w:val="24"/>
          <w:lang w:val="kk-KZ"/>
        </w:rPr>
        <w:t>2026 жылғы 16 қаңтардағы № 259-VIII Қазақстан Республикасының Заңын іске асыруға әзірленді.</w:t>
      </w:r>
    </w:p>
    <w:p w:rsidR="00A406D8" w:rsidRPr="00A406D8" w:rsidRDefault="00A406D8" w:rsidP="00A406D8">
      <w:pPr>
        <w:ind w:firstLine="709"/>
        <w:jc w:val="both"/>
        <w:rPr>
          <w:rFonts w:asciiTheme="minorHAnsi" w:hAnsiTheme="minorHAnsi"/>
          <w:szCs w:val="24"/>
          <w:lang w:val="kk-KZ"/>
        </w:rPr>
      </w:pPr>
      <w:r w:rsidRPr="00A406D8">
        <w:rPr>
          <w:rFonts w:asciiTheme="minorHAnsi" w:hAnsiTheme="minorHAnsi"/>
          <w:szCs w:val="24"/>
          <w:lang w:val="kk-KZ"/>
        </w:rPr>
        <w:t xml:space="preserve">Жоба </w:t>
      </w:r>
      <w:r>
        <w:rPr>
          <w:rFonts w:asciiTheme="minorHAnsi" w:hAnsiTheme="minorHAnsi"/>
          <w:szCs w:val="24"/>
          <w:lang w:val="kk-KZ"/>
        </w:rPr>
        <w:t>ц</w:t>
      </w:r>
      <w:r w:rsidRPr="00A406D8">
        <w:rPr>
          <w:rFonts w:asciiTheme="minorHAnsi" w:hAnsiTheme="minorHAnsi"/>
          <w:szCs w:val="24"/>
          <w:lang w:val="kk-KZ"/>
        </w:rPr>
        <w:t xml:space="preserve">ифрлық шоттарды ашу, жүргізу және жабуды, цифрлық теңгені таңбалауды және смарт-келісімшарттар қолдануды қоса алғанда, цифрлық теңгені шығару, айналысқа жіберу және өтеу қағидаларын, сондай-ақ қатысушыларға қойылатын талаптарды және олардың цифрлық теңге платформасында өзара </w:t>
      </w:r>
      <w:r>
        <w:rPr>
          <w:rFonts w:asciiTheme="minorHAnsi" w:hAnsiTheme="minorHAnsi"/>
          <w:szCs w:val="24"/>
          <w:lang w:val="kk-KZ"/>
        </w:rPr>
        <w:t>әрекет ету</w:t>
      </w:r>
      <w:r w:rsidRPr="00A406D8">
        <w:rPr>
          <w:rFonts w:asciiTheme="minorHAnsi" w:hAnsiTheme="minorHAnsi"/>
          <w:szCs w:val="24"/>
          <w:lang w:val="kk-KZ"/>
        </w:rPr>
        <w:t xml:space="preserve"> тәртібін бекітуді көздейді.</w:t>
      </w:r>
    </w:p>
    <w:p w:rsidR="00A406D8" w:rsidRDefault="00A406D8" w:rsidP="00A406D8">
      <w:pPr>
        <w:ind w:firstLine="709"/>
        <w:jc w:val="both"/>
        <w:rPr>
          <w:rFonts w:asciiTheme="minorHAnsi" w:hAnsiTheme="minorHAnsi"/>
          <w:szCs w:val="24"/>
          <w:lang w:val="kk-KZ"/>
        </w:rPr>
      </w:pPr>
      <w:r w:rsidRPr="00A406D8">
        <w:rPr>
          <w:rFonts w:asciiTheme="minorHAnsi" w:hAnsiTheme="minorHAnsi"/>
          <w:szCs w:val="24"/>
          <w:lang w:val="kk-KZ"/>
        </w:rPr>
        <w:t xml:space="preserve">Жобаны қабылдау ұлттық цифрлық валютаны шығару, айналысқа шығару және өтеу үшін құқықтық жағдай қалыптастыруды қамтамасыз етеді, қаржылық қызметтердің қолжетімділігін, қауіпсіздігін және үздіксіздігін арттырады, ақша ағындарының ашықтығын арттырады және жаңа банкаралық цифрлық сервистерді енгізу үшін инфрақұрылым </w:t>
      </w:r>
      <w:r>
        <w:rPr>
          <w:rFonts w:asciiTheme="minorHAnsi" w:hAnsiTheme="minorHAnsi"/>
          <w:szCs w:val="24"/>
          <w:lang w:val="kk-KZ"/>
        </w:rPr>
        <w:t>құрады</w:t>
      </w:r>
      <w:r w:rsidRPr="00A406D8">
        <w:rPr>
          <w:rFonts w:asciiTheme="minorHAnsi" w:hAnsiTheme="minorHAnsi"/>
          <w:szCs w:val="24"/>
          <w:lang w:val="kk-KZ"/>
        </w:rPr>
        <w:t>.</w:t>
      </w:r>
    </w:p>
    <w:p w:rsidR="00A406D8" w:rsidRPr="00A406D8" w:rsidRDefault="00A406D8" w:rsidP="00A406D8">
      <w:pPr>
        <w:ind w:firstLine="709"/>
        <w:jc w:val="both"/>
        <w:rPr>
          <w:rFonts w:asciiTheme="minorHAnsi" w:hAnsiTheme="minorHAnsi"/>
          <w:szCs w:val="24"/>
          <w:lang w:val="kk-KZ"/>
        </w:rPr>
      </w:pPr>
    </w:p>
    <w:p w:rsidR="00A406D8" w:rsidRPr="00E03D0A" w:rsidRDefault="00A406D8" w:rsidP="00A406D8">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Pr="00E03D0A">
        <w:rPr>
          <w:rFonts w:asciiTheme="minorHAnsi" w:hAnsiTheme="minorHAnsi" w:cstheme="minorHAnsi"/>
        </w:rPr>
        <w:t>:</w:t>
      </w:r>
    </w:p>
    <w:p w:rsidR="00A406D8" w:rsidRPr="00B65EA9" w:rsidRDefault="00A406D8" w:rsidP="00A406D8">
      <w:pPr>
        <w:jc w:val="center"/>
        <w:rPr>
          <w:rFonts w:ascii="Calibri" w:hAnsi="Calibri" w:cs="Arial"/>
          <w:szCs w:val="24"/>
          <w:lang w:val="it-IT" w:eastAsia="ru-RU"/>
        </w:rPr>
      </w:pPr>
      <w:r w:rsidRPr="00B65EA9">
        <w:rPr>
          <w:rFonts w:ascii="Calibri" w:hAnsi="Calibri" w:cs="Arial"/>
          <w:szCs w:val="24"/>
          <w:lang w:val="it-IT" w:eastAsia="ru-RU"/>
        </w:rPr>
        <w:t>+7 (7172) 77-5</w:t>
      </w:r>
      <w:r>
        <w:rPr>
          <w:rFonts w:ascii="Calibri" w:hAnsi="Calibri" w:cs="Arial"/>
          <w:szCs w:val="24"/>
          <w:lang w:val="it-IT" w:eastAsia="ru-RU"/>
        </w:rPr>
        <w:t>5</w:t>
      </w:r>
      <w:r w:rsidRPr="00B65EA9">
        <w:rPr>
          <w:rFonts w:ascii="Calibri" w:hAnsi="Calibri" w:cs="Arial"/>
          <w:szCs w:val="24"/>
          <w:lang w:val="it-IT" w:eastAsia="ru-RU"/>
        </w:rPr>
        <w:t>-</w:t>
      </w:r>
      <w:r>
        <w:rPr>
          <w:rFonts w:ascii="Calibri" w:hAnsi="Calibri" w:cs="Arial"/>
          <w:szCs w:val="24"/>
          <w:lang w:val="it-IT" w:eastAsia="ru-RU"/>
        </w:rPr>
        <w:t>77 (1741)</w:t>
      </w:r>
    </w:p>
    <w:p w:rsidR="00A406D8" w:rsidRPr="00B65EA9" w:rsidRDefault="00A406D8" w:rsidP="00A406D8">
      <w:pPr>
        <w:ind w:right="20"/>
        <w:jc w:val="center"/>
        <w:rPr>
          <w:rFonts w:ascii="Calibri" w:hAnsi="Calibri" w:cs="Arial"/>
          <w:color w:val="0000FF"/>
          <w:szCs w:val="24"/>
          <w:u w:val="single"/>
          <w:lang w:val="it-IT" w:eastAsia="ru-RU"/>
        </w:rPr>
      </w:pPr>
      <w:r w:rsidRPr="00B65EA9">
        <w:rPr>
          <w:rFonts w:ascii="Calibri" w:hAnsi="Calibri" w:cs="Arial"/>
          <w:szCs w:val="24"/>
          <w:lang w:val="it-IT" w:eastAsia="ru-RU"/>
        </w:rPr>
        <w:t xml:space="preserve">e-mail: </w:t>
      </w:r>
      <w:r w:rsidRPr="00B65EA9">
        <w:rPr>
          <w:rFonts w:ascii="Calibri" w:hAnsi="Calibri" w:cs="Arial"/>
          <w:color w:val="0000FF"/>
          <w:szCs w:val="24"/>
          <w:u w:val="single"/>
          <w:lang w:val="it-IT" w:eastAsia="ru-RU"/>
        </w:rPr>
        <w:t>press@nationalbank.kz</w:t>
      </w:r>
    </w:p>
    <w:p w:rsidR="00A406D8" w:rsidRPr="00B65EA9" w:rsidRDefault="00A406D8" w:rsidP="00A406D8">
      <w:pPr>
        <w:jc w:val="center"/>
        <w:rPr>
          <w:rFonts w:ascii="Calibri" w:eastAsia="Times New Roman" w:hAnsi="Calibri"/>
          <w:szCs w:val="24"/>
          <w:lang w:val="it-IT"/>
        </w:rPr>
      </w:pPr>
      <w:r w:rsidRPr="00B65EA9">
        <w:rPr>
          <w:rFonts w:ascii="Calibri" w:hAnsi="Calibri" w:cs="Arial"/>
          <w:color w:val="0000FF"/>
          <w:szCs w:val="24"/>
          <w:u w:val="single"/>
          <w:lang w:val="it-IT" w:eastAsia="ru-RU"/>
        </w:rPr>
        <w:t>www.nationalbank.kz</w:t>
      </w:r>
    </w:p>
    <w:p w:rsidR="002C7371" w:rsidRPr="00B65EA9" w:rsidRDefault="002C7371" w:rsidP="00A406D8">
      <w:pPr>
        <w:jc w:val="center"/>
        <w:rPr>
          <w:rFonts w:ascii="Calibri" w:eastAsia="Times New Roman" w:hAnsi="Calibri"/>
          <w:szCs w:val="24"/>
          <w:lang w:val="it-IT"/>
        </w:rPr>
      </w:pPr>
    </w:p>
    <w:sectPr w:rsidR="002C7371" w:rsidRPr="00B65EA9"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37968"/>
    <w:rsid w:val="00050D36"/>
    <w:rsid w:val="000C1F1B"/>
    <w:rsid w:val="000D475E"/>
    <w:rsid w:val="001239EA"/>
    <w:rsid w:val="00156FB9"/>
    <w:rsid w:val="00220AB1"/>
    <w:rsid w:val="002C7371"/>
    <w:rsid w:val="002D6C4F"/>
    <w:rsid w:val="002F109A"/>
    <w:rsid w:val="00305345"/>
    <w:rsid w:val="0031536E"/>
    <w:rsid w:val="00315A52"/>
    <w:rsid w:val="00330B4F"/>
    <w:rsid w:val="00345AB5"/>
    <w:rsid w:val="003B772B"/>
    <w:rsid w:val="00401979"/>
    <w:rsid w:val="004168F1"/>
    <w:rsid w:val="00473FDB"/>
    <w:rsid w:val="00475ACA"/>
    <w:rsid w:val="004A289C"/>
    <w:rsid w:val="005006FA"/>
    <w:rsid w:val="00500B99"/>
    <w:rsid w:val="00507A80"/>
    <w:rsid w:val="005233A2"/>
    <w:rsid w:val="00523947"/>
    <w:rsid w:val="00533632"/>
    <w:rsid w:val="00581B4D"/>
    <w:rsid w:val="005B3627"/>
    <w:rsid w:val="005D4EE3"/>
    <w:rsid w:val="00611502"/>
    <w:rsid w:val="00645410"/>
    <w:rsid w:val="0065054E"/>
    <w:rsid w:val="006C78E7"/>
    <w:rsid w:val="006F0B98"/>
    <w:rsid w:val="007168F9"/>
    <w:rsid w:val="0077499F"/>
    <w:rsid w:val="00785D45"/>
    <w:rsid w:val="007D25BD"/>
    <w:rsid w:val="00815002"/>
    <w:rsid w:val="00816393"/>
    <w:rsid w:val="00822C84"/>
    <w:rsid w:val="008230BA"/>
    <w:rsid w:val="00891EEF"/>
    <w:rsid w:val="00942EB5"/>
    <w:rsid w:val="009A7131"/>
    <w:rsid w:val="009D4487"/>
    <w:rsid w:val="00A406D8"/>
    <w:rsid w:val="00A753E2"/>
    <w:rsid w:val="00AB0E1A"/>
    <w:rsid w:val="00AC156B"/>
    <w:rsid w:val="00B2384B"/>
    <w:rsid w:val="00B336A5"/>
    <w:rsid w:val="00B476A1"/>
    <w:rsid w:val="00B634C1"/>
    <w:rsid w:val="00B65EA9"/>
    <w:rsid w:val="00BA04E3"/>
    <w:rsid w:val="00BD0E5B"/>
    <w:rsid w:val="00BD30B4"/>
    <w:rsid w:val="00BD4664"/>
    <w:rsid w:val="00BE6AA2"/>
    <w:rsid w:val="00C01ED9"/>
    <w:rsid w:val="00C13418"/>
    <w:rsid w:val="00CA2FD8"/>
    <w:rsid w:val="00CE59B6"/>
    <w:rsid w:val="00D4346A"/>
    <w:rsid w:val="00D62895"/>
    <w:rsid w:val="00DA2A68"/>
    <w:rsid w:val="00DA4B6D"/>
    <w:rsid w:val="00EC0E17"/>
    <w:rsid w:val="00ED22E4"/>
    <w:rsid w:val="00EE486B"/>
    <w:rsid w:val="00F116FF"/>
    <w:rsid w:val="00FC1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86D9"/>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Асель Кабиева</cp:lastModifiedBy>
  <cp:revision>2</cp:revision>
  <cp:lastPrinted>2025-01-22T05:57:00Z</cp:lastPrinted>
  <dcterms:created xsi:type="dcterms:W3CDTF">2026-02-04T12:45:00Z</dcterms:created>
  <dcterms:modified xsi:type="dcterms:W3CDTF">2026-02-04T12:45:00Z</dcterms:modified>
</cp:coreProperties>
</file>