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876C3E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876C3E" w:rsidRPr="00876C3E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Базалық активі ақша болып табылатын цифрлық қаржы активтерінің эмитенттері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</w:t>
      </w: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2B3724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876C3E">
        <w:rPr>
          <w:rFonts w:asciiTheme="minorHAnsi" w:eastAsia="Times New Roman" w:hAnsiTheme="minorHAnsi"/>
          <w:szCs w:val="24"/>
          <w:lang w:val="kk-KZ"/>
        </w:rPr>
        <w:t>3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9C6501">
        <w:rPr>
          <w:rFonts w:asciiTheme="minorHAnsi" w:eastAsia="Times New Roman" w:hAnsiTheme="minorHAnsi"/>
          <w:szCs w:val="24"/>
          <w:lang w:val="kk-KZ"/>
        </w:rPr>
        <w:t>ақпан</w:t>
      </w:r>
      <w:bookmarkStart w:id="0" w:name="_GoBack"/>
      <w:bookmarkEnd w:id="0"/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</w:t>
      </w:r>
      <w:r w:rsidR="00876C3E" w:rsidRPr="00876C3E">
        <w:rPr>
          <w:rFonts w:asciiTheme="minorHAnsi" w:hAnsiTheme="minorHAnsi"/>
          <w:szCs w:val="24"/>
          <w:lang w:val="kk-KZ"/>
        </w:rPr>
        <w:t>Базалық активі ақша болып табылатын цифрлық қаржы активтерінің эмитенттері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</w:t>
      </w:r>
      <w:r w:rsidR="00DE144D" w:rsidRPr="00DE144D">
        <w:rPr>
          <w:rFonts w:asciiTheme="minorHAnsi" w:hAnsiTheme="minorHAnsi"/>
          <w:szCs w:val="24"/>
          <w:lang w:val="kk-KZ"/>
        </w:rPr>
        <w:t>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876C3E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876C3E">
        <w:rPr>
          <w:rFonts w:asciiTheme="minorHAnsi" w:hAnsiTheme="minorHAnsi"/>
          <w:szCs w:val="24"/>
          <w:lang w:val="kk-KZ"/>
        </w:rPr>
        <w:t>Жоба Қылмыстық жолмен алынған кірістерді заңдастыруға (жылыстатуға), терроризмді қаржыландыруға және базалық активі ақша (стейблкоин) болып табылатын цифрлық қаржы активтері эмитенттерінің жаппай қырып-жою қаруын таратуын қаржыландыруға қарсы іс-қимыл мақсатында ішкі бақылауды ұйымдастыру үшін талаптарды бекітуді көздейді.</w:t>
      </w:r>
    </w:p>
    <w:p w:rsidR="00FB100A" w:rsidRDefault="009C6501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27DC9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</w:t>
      </w:r>
      <w:r>
        <w:rPr>
          <w:rFonts w:asciiTheme="minorHAnsi" w:hAnsiTheme="minorHAnsi"/>
          <w:szCs w:val="24"/>
          <w:lang w:val="kk-KZ"/>
        </w:rPr>
        <w:t>«</w:t>
      </w:r>
      <w:r w:rsidRPr="00327DC9">
        <w:rPr>
          <w:rFonts w:asciiTheme="minorHAnsi" w:hAnsiTheme="minorHAnsi"/>
          <w:szCs w:val="24"/>
          <w:lang w:val="kk-KZ"/>
        </w:rPr>
        <w:t>Ашық НҚА</w:t>
      </w:r>
      <w:r>
        <w:rPr>
          <w:rFonts w:asciiTheme="minorHAnsi" w:hAnsiTheme="minorHAnsi"/>
          <w:szCs w:val="24"/>
          <w:lang w:val="kk-KZ"/>
        </w:rPr>
        <w:t>»</w:t>
      </w:r>
      <w:r w:rsidRPr="00327DC9">
        <w:rPr>
          <w:rFonts w:asciiTheme="minorHAnsi" w:hAnsiTheme="minorHAnsi"/>
          <w:szCs w:val="24"/>
          <w:lang w:val="kk-KZ"/>
        </w:rPr>
        <w:t xml:space="preserve"> порталында </w:t>
      </w:r>
      <w:hyperlink r:id="rId6" w:history="1">
        <w:r w:rsidRPr="009C6501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327DC9">
        <w:rPr>
          <w:rFonts w:asciiTheme="minorHAnsi" w:hAnsiTheme="minorHAnsi"/>
          <w:szCs w:val="24"/>
          <w:lang w:val="kk-KZ"/>
        </w:rPr>
        <w:t xml:space="preserve"> болады.</w:t>
      </w: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="00876C3E">
        <w:rPr>
          <w:rFonts w:ascii="Calibri" w:hAnsi="Calibri" w:cs="Arial"/>
          <w:szCs w:val="24"/>
          <w:lang w:val="kk-KZ" w:eastAsia="ru-RU"/>
        </w:rPr>
        <w:t>1839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876C3E" w:rsidRPr="00876C3E">
          <w:rPr>
            <w:rStyle w:val="a3"/>
            <w:lang w:val="en-US"/>
          </w:rPr>
          <w:t>Aruzhan.Lukpan@nationalbank.kz</w:t>
        </w:r>
      </w:hyperlink>
      <w:r w:rsidR="00876C3E">
        <w:rPr>
          <w:lang w:val="kk-KZ"/>
        </w:rPr>
        <w:t xml:space="preserve"> </w:t>
      </w:r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76C3E"/>
    <w:rsid w:val="00891EEF"/>
    <w:rsid w:val="00942EB5"/>
    <w:rsid w:val="00953B68"/>
    <w:rsid w:val="00977E8D"/>
    <w:rsid w:val="009A7131"/>
    <w:rsid w:val="009C650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3C47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uzhan.Lukpan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6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14</cp:revision>
  <cp:lastPrinted>2025-01-22T05:57:00Z</cp:lastPrinted>
  <dcterms:created xsi:type="dcterms:W3CDTF">2026-01-19T14:36:00Z</dcterms:created>
  <dcterms:modified xsi:type="dcterms:W3CDTF">2026-02-03T04:48:00Z</dcterms:modified>
</cp:coreProperties>
</file>