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DC64CF">
        <w:trPr>
          <w:trHeight w:val="3077"/>
        </w:trPr>
        <w:tc>
          <w:tcPr>
            <w:tcW w:w="318" w:type="pct"/>
          </w:tcPr>
          <w:p w:rsidR="00FE5314" w:rsidRPr="00A50B3B" w:rsidRDefault="00FE5314" w:rsidP="00E02D3A">
            <w:pPr>
              <w:jc w:val="center"/>
              <w:rPr>
                <w:sz w:val="28"/>
                <w:szCs w:val="28"/>
              </w:rPr>
            </w:pPr>
            <w:bookmarkStart w:id="0" w:name="_GoBack"/>
            <w:bookmarkEnd w:id="0"/>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A5752C">
            <w:pPr>
              <w:jc w:val="both"/>
              <w:rPr>
                <w:sz w:val="28"/>
                <w:szCs w:val="28"/>
                <w:lang w:val="kk-KZ"/>
              </w:rPr>
            </w:pPr>
            <w:r>
              <w:rPr>
                <w:sz w:val="28"/>
                <w:szCs w:val="28"/>
                <w:lang w:val="kk-KZ"/>
              </w:rPr>
              <w:t>«</w:t>
            </w:r>
            <w:r w:rsidR="00DC64CF" w:rsidRPr="00DC64CF">
              <w:rPr>
                <w:sz w:val="28"/>
                <w:szCs w:val="28"/>
                <w:lang w:val="kk-KZ"/>
              </w:rPr>
              <w:t>Цифрлық қаржы активтері платформасының операторына, цифрлық активтердің сауда платформасының операторына, цифрлық қаржы активтері эмитентіне әсер етудің шектеулі шараларын қолдану қағидаларын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6E3C2F"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B6E4B" w:rsidP="003E656A">
            <w:pPr>
              <w:jc w:val="both"/>
              <w:rPr>
                <w:sz w:val="28"/>
                <w:szCs w:val="28"/>
                <w:lang w:val="kk-KZ"/>
              </w:rPr>
            </w:pPr>
            <w:r w:rsidRPr="00AB6E4B">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E656A">
              <w:rPr>
                <w:sz w:val="28"/>
                <w:szCs w:val="28"/>
                <w:lang w:val="kk-KZ"/>
              </w:rPr>
              <w:t>16 қаңтардағы</w:t>
            </w:r>
            <w:r w:rsidRPr="00AB6E4B">
              <w:rPr>
                <w:sz w:val="28"/>
                <w:szCs w:val="28"/>
                <w:lang w:val="kk-KZ"/>
              </w:rPr>
              <w:t xml:space="preserve"> Қазақстан Республикасының Заңын іске асыруға әзірленді.</w:t>
            </w:r>
            <w:r w:rsidR="0074608E" w:rsidRPr="0074608E">
              <w:rPr>
                <w:sz w:val="28"/>
                <w:szCs w:val="28"/>
                <w:lang w:val="kk-KZ"/>
              </w:rPr>
              <w:t>.</w:t>
            </w:r>
          </w:p>
        </w:tc>
      </w:tr>
      <w:tr w:rsidR="00AD23B1" w:rsidRPr="006E3C2F"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AD23B1" w:rsidRPr="00AD23B1" w:rsidRDefault="00AF7812" w:rsidP="00AD23B1">
            <w:pPr>
              <w:jc w:val="both"/>
              <w:rPr>
                <w:sz w:val="28"/>
                <w:szCs w:val="28"/>
                <w:lang w:val="kk-KZ"/>
              </w:rPr>
            </w:pPr>
            <w:r w:rsidRPr="00AF7812">
              <w:rPr>
                <w:sz w:val="28"/>
                <w:szCs w:val="28"/>
                <w:lang w:val="kk-KZ"/>
              </w:rPr>
              <w:t>Жоба цифрлық активтер нарығының субъектілеріне – цифрлық қаржы активтері платформаларының операторларына, цифрлық активтердің сауда платформаларының операторларына және базалық активі ақша (стейблкоин) болып табылатын цифрлық қаржы активтерінің эмитенттеріне қатысты шектеулі ықпал ету шараларын қолдану қағидаларын бекітуді, факторларды және оларды қолдану тәртібін айқындауды көздейді.</w:t>
            </w:r>
          </w:p>
        </w:tc>
      </w:tr>
      <w:tr w:rsidR="00AD23B1" w:rsidRPr="006E3C2F" w:rsidTr="00E02D3A">
        <w:tc>
          <w:tcPr>
            <w:tcW w:w="318" w:type="pct"/>
          </w:tcPr>
          <w:p w:rsidR="00AD23B1" w:rsidRPr="00CB328B" w:rsidRDefault="00AD23B1" w:rsidP="00AD23B1">
            <w:pPr>
              <w:jc w:val="center"/>
              <w:rPr>
                <w:sz w:val="28"/>
                <w:szCs w:val="28"/>
              </w:rPr>
            </w:pPr>
            <w:r>
              <w:rPr>
                <w:sz w:val="28"/>
                <w:szCs w:val="28"/>
              </w:rPr>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DA56EA" w:rsidP="00DA56EA">
            <w:pPr>
              <w:jc w:val="both"/>
              <w:rPr>
                <w:sz w:val="28"/>
                <w:szCs w:val="28"/>
                <w:highlight w:val="yellow"/>
                <w:lang w:val="kk-KZ"/>
              </w:rPr>
            </w:pPr>
            <w:r w:rsidRPr="00DA56EA">
              <w:rPr>
                <w:sz w:val="28"/>
                <w:szCs w:val="28"/>
                <w:lang w:val="kk-KZ"/>
              </w:rPr>
              <w:t xml:space="preserve">Жобаны іске асыру цифрлық активтер нарығында қауіпсіздікті, ашықтықты және сенімділікті арттыруға ықпал </w:t>
            </w:r>
            <w:r w:rsidRPr="00DA56EA">
              <w:rPr>
                <w:sz w:val="28"/>
                <w:szCs w:val="28"/>
                <w:lang w:val="kk-KZ"/>
              </w:rPr>
              <w:lastRenderedPageBreak/>
              <w:t>етеді, бұл инвесторлар мен нарық қатысушылары үшін болжамды және қорғалған ортаны қалыптастырады, сондай-ақ Ұлттық қаржы жүйесіне үздіксіз интеграциялауға мүмкіндік береді.</w:t>
            </w:r>
            <w:r>
              <w:rPr>
                <w:sz w:val="28"/>
                <w:szCs w:val="28"/>
                <w:lang w:val="kk-KZ"/>
              </w:rPr>
              <w:t xml:space="preserve"> </w:t>
            </w:r>
            <w:r w:rsidRPr="00DA56EA">
              <w:rPr>
                <w:sz w:val="28"/>
                <w:szCs w:val="28"/>
                <w:lang w:val="kk-KZ"/>
              </w:rPr>
              <w:t>Аталған шаралардың нәтижелері осы жоба қолданысқа енгізілген сәттен бастап күтіледі.</w:t>
            </w:r>
          </w:p>
        </w:tc>
      </w:tr>
      <w:tr w:rsidR="00BB0F8A" w:rsidRPr="00CB328B" w:rsidTr="00E02D3A">
        <w:tc>
          <w:tcPr>
            <w:tcW w:w="318" w:type="pct"/>
          </w:tcPr>
          <w:p w:rsidR="00BB0F8A" w:rsidRPr="00CB328B" w:rsidRDefault="00BB0F8A" w:rsidP="00BB0F8A">
            <w:pPr>
              <w:jc w:val="center"/>
              <w:rPr>
                <w:sz w:val="28"/>
                <w:szCs w:val="28"/>
              </w:rPr>
            </w:pPr>
            <w:r>
              <w:rPr>
                <w:sz w:val="28"/>
                <w:szCs w:val="28"/>
              </w:rPr>
              <w:lastRenderedPageBreak/>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74608E">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310" w:rsidRDefault="004D7310" w:rsidP="00EA256A">
      <w:r>
        <w:separator/>
      </w:r>
    </w:p>
  </w:endnote>
  <w:endnote w:type="continuationSeparator" w:id="0">
    <w:p w:rsidR="004D7310" w:rsidRDefault="004D7310"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310" w:rsidRDefault="004D7310" w:rsidP="00EA256A">
      <w:r>
        <w:separator/>
      </w:r>
    </w:p>
  </w:footnote>
  <w:footnote w:type="continuationSeparator" w:id="0">
    <w:p w:rsidR="004D7310" w:rsidRDefault="004D7310"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6E3C2F">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7E96"/>
    <w:rsid w:val="00291664"/>
    <w:rsid w:val="00295298"/>
    <w:rsid w:val="00295895"/>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079AB"/>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E656A"/>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7596B"/>
    <w:rsid w:val="00480852"/>
    <w:rsid w:val="004824DA"/>
    <w:rsid w:val="00483ED5"/>
    <w:rsid w:val="00484C36"/>
    <w:rsid w:val="004938E3"/>
    <w:rsid w:val="004940B5"/>
    <w:rsid w:val="00497508"/>
    <w:rsid w:val="00497F11"/>
    <w:rsid w:val="004A1199"/>
    <w:rsid w:val="004A3B55"/>
    <w:rsid w:val="004A57D5"/>
    <w:rsid w:val="004B0DD6"/>
    <w:rsid w:val="004B6D37"/>
    <w:rsid w:val="004C1AC7"/>
    <w:rsid w:val="004C25D9"/>
    <w:rsid w:val="004C37F3"/>
    <w:rsid w:val="004C728B"/>
    <w:rsid w:val="004D0592"/>
    <w:rsid w:val="004D4AE8"/>
    <w:rsid w:val="004D5AF6"/>
    <w:rsid w:val="004D643E"/>
    <w:rsid w:val="004D7310"/>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3C2F"/>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608E"/>
    <w:rsid w:val="007475F2"/>
    <w:rsid w:val="00750C0F"/>
    <w:rsid w:val="00754B0B"/>
    <w:rsid w:val="0076194B"/>
    <w:rsid w:val="00762703"/>
    <w:rsid w:val="00763CAD"/>
    <w:rsid w:val="0076521A"/>
    <w:rsid w:val="00766430"/>
    <w:rsid w:val="00767D98"/>
    <w:rsid w:val="00771389"/>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24E0C"/>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B6E4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812"/>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31B1"/>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56EA"/>
    <w:rsid w:val="00DB476E"/>
    <w:rsid w:val="00DB5917"/>
    <w:rsid w:val="00DC1B66"/>
    <w:rsid w:val="00DC5973"/>
    <w:rsid w:val="00DC64CF"/>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4162"/>
    <w:rsid w:val="00FE5314"/>
    <w:rsid w:val="00FE5D71"/>
    <w:rsid w:val="00FF0719"/>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0465-5863-486A-8C8A-FAD19F09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7</cp:revision>
  <cp:lastPrinted>2019-09-17T09:58:00Z</cp:lastPrinted>
  <dcterms:created xsi:type="dcterms:W3CDTF">2026-01-15T08:48:00Z</dcterms:created>
  <dcterms:modified xsi:type="dcterms:W3CDTF">2026-02-02T14:16:00Z</dcterms:modified>
</cp:coreProperties>
</file>