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2FD" w:rsidRPr="00C61AA4" w:rsidRDefault="00B252FD" w:rsidP="006346A7">
      <w:pPr>
        <w:pStyle w:val="a4"/>
        <w:spacing w:before="0" w:beforeAutospacing="0" w:after="0" w:afterAutospacing="0"/>
        <w:contextualSpacing/>
        <w:jc w:val="right"/>
        <w:rPr>
          <w:rStyle w:val="apple-converted-space"/>
          <w:i/>
          <w:color w:val="000000"/>
          <w:sz w:val="20"/>
          <w:szCs w:val="20"/>
        </w:rPr>
      </w:pPr>
      <w:r w:rsidRPr="00C61AA4">
        <w:rPr>
          <w:i/>
          <w:color w:val="000000"/>
          <w:sz w:val="20"/>
          <w:szCs w:val="20"/>
        </w:rPr>
        <w:t>Приложение 3</w:t>
      </w:r>
    </w:p>
    <w:p w:rsidR="00E53E32" w:rsidRPr="00C61AA4" w:rsidRDefault="00B252FD" w:rsidP="006346A7">
      <w:pPr>
        <w:pStyle w:val="a4"/>
        <w:spacing w:before="0" w:beforeAutospacing="0" w:after="0" w:afterAutospacing="0"/>
        <w:contextualSpacing/>
        <w:jc w:val="right"/>
        <w:rPr>
          <w:i/>
          <w:color w:val="000000"/>
          <w:sz w:val="20"/>
          <w:szCs w:val="20"/>
        </w:rPr>
      </w:pPr>
      <w:r w:rsidRPr="00C61AA4">
        <w:rPr>
          <w:i/>
          <w:color w:val="000000"/>
          <w:sz w:val="20"/>
          <w:szCs w:val="20"/>
        </w:rPr>
        <w:t xml:space="preserve">к Методике по проведению мониторинга </w:t>
      </w:r>
    </w:p>
    <w:p w:rsidR="00E53E32" w:rsidRPr="00C61AA4" w:rsidRDefault="00B252FD" w:rsidP="006346A7">
      <w:pPr>
        <w:pStyle w:val="a4"/>
        <w:spacing w:before="0" w:beforeAutospacing="0" w:after="0" w:afterAutospacing="0"/>
        <w:contextualSpacing/>
        <w:jc w:val="right"/>
        <w:rPr>
          <w:i/>
          <w:color w:val="000000"/>
          <w:sz w:val="20"/>
          <w:szCs w:val="20"/>
        </w:rPr>
      </w:pPr>
      <w:r w:rsidRPr="00C61AA4">
        <w:rPr>
          <w:i/>
          <w:color w:val="000000"/>
          <w:sz w:val="20"/>
          <w:szCs w:val="20"/>
        </w:rPr>
        <w:t xml:space="preserve">Стратегического плана развития Республики Казахстан, </w:t>
      </w:r>
    </w:p>
    <w:p w:rsidR="006346A7" w:rsidRPr="00C61AA4" w:rsidRDefault="00B252FD" w:rsidP="006346A7">
      <w:pPr>
        <w:pStyle w:val="a4"/>
        <w:spacing w:before="0" w:beforeAutospacing="0" w:after="0" w:afterAutospacing="0"/>
        <w:contextualSpacing/>
        <w:jc w:val="right"/>
        <w:rPr>
          <w:i/>
          <w:color w:val="000000"/>
          <w:sz w:val="20"/>
          <w:szCs w:val="20"/>
        </w:rPr>
      </w:pPr>
      <w:r w:rsidRPr="00C61AA4">
        <w:rPr>
          <w:i/>
          <w:color w:val="000000"/>
          <w:sz w:val="20"/>
          <w:szCs w:val="20"/>
        </w:rPr>
        <w:t xml:space="preserve">государственных и правительственных программ, </w:t>
      </w:r>
    </w:p>
    <w:p w:rsidR="006346A7" w:rsidRPr="00C61AA4" w:rsidRDefault="00B252FD" w:rsidP="006346A7">
      <w:pPr>
        <w:pStyle w:val="a4"/>
        <w:spacing w:before="0" w:beforeAutospacing="0" w:after="0" w:afterAutospacing="0"/>
        <w:contextualSpacing/>
        <w:jc w:val="right"/>
        <w:rPr>
          <w:i/>
          <w:color w:val="000000"/>
          <w:sz w:val="20"/>
          <w:szCs w:val="20"/>
        </w:rPr>
      </w:pPr>
      <w:r w:rsidRPr="00C61AA4">
        <w:rPr>
          <w:i/>
          <w:color w:val="000000"/>
          <w:sz w:val="20"/>
          <w:szCs w:val="20"/>
        </w:rPr>
        <w:t xml:space="preserve">стратегических планов государственных органов </w:t>
      </w:r>
    </w:p>
    <w:p w:rsidR="00B252FD" w:rsidRPr="00C61AA4" w:rsidRDefault="00B252FD" w:rsidP="006346A7">
      <w:pPr>
        <w:pStyle w:val="a4"/>
        <w:spacing w:before="0" w:beforeAutospacing="0" w:after="0" w:afterAutospacing="0"/>
        <w:contextualSpacing/>
        <w:jc w:val="right"/>
        <w:rPr>
          <w:i/>
          <w:color w:val="000000"/>
          <w:sz w:val="20"/>
          <w:szCs w:val="20"/>
        </w:rPr>
      </w:pPr>
      <w:r w:rsidRPr="00C61AA4">
        <w:rPr>
          <w:i/>
          <w:color w:val="000000"/>
          <w:sz w:val="20"/>
          <w:szCs w:val="20"/>
        </w:rPr>
        <w:t>и программ развития территорий</w:t>
      </w:r>
    </w:p>
    <w:p w:rsidR="00B252FD" w:rsidRPr="00C61AA4" w:rsidRDefault="00B252FD" w:rsidP="006346A7">
      <w:pPr>
        <w:pStyle w:val="a4"/>
        <w:spacing w:before="0" w:beforeAutospacing="0" w:after="0" w:afterAutospacing="0"/>
        <w:contextualSpacing/>
        <w:jc w:val="both"/>
        <w:rPr>
          <w:i/>
          <w:color w:val="000000"/>
          <w:sz w:val="20"/>
          <w:szCs w:val="20"/>
        </w:rPr>
      </w:pPr>
    </w:p>
    <w:p w:rsidR="00B252FD" w:rsidRPr="00C61AA4" w:rsidRDefault="00B252FD" w:rsidP="006346A7">
      <w:pPr>
        <w:keepNext/>
        <w:keepLines/>
        <w:tabs>
          <w:tab w:val="left" w:pos="900"/>
          <w:tab w:val="left" w:pos="1080"/>
        </w:tabs>
        <w:spacing w:line="240" w:lineRule="auto"/>
        <w:contextualSpacing/>
        <w:jc w:val="both"/>
        <w:rPr>
          <w:rFonts w:ascii="Times New Roman" w:hAnsi="Times New Roman" w:cs="Times New Roman"/>
          <w:b/>
          <w:bCs/>
          <w:color w:val="000000"/>
          <w:sz w:val="24"/>
          <w:szCs w:val="24"/>
        </w:rPr>
      </w:pPr>
    </w:p>
    <w:p w:rsidR="00B252FD" w:rsidRPr="00C61AA4" w:rsidRDefault="00B252FD" w:rsidP="006346A7">
      <w:pPr>
        <w:keepNext/>
        <w:keepLines/>
        <w:tabs>
          <w:tab w:val="left" w:pos="900"/>
          <w:tab w:val="left" w:pos="1080"/>
        </w:tabs>
        <w:spacing w:line="240" w:lineRule="auto"/>
        <w:contextualSpacing/>
        <w:jc w:val="center"/>
        <w:rPr>
          <w:rFonts w:ascii="Times New Roman" w:hAnsi="Times New Roman" w:cs="Times New Roman"/>
          <w:b/>
          <w:bCs/>
          <w:color w:val="000000"/>
          <w:sz w:val="24"/>
          <w:szCs w:val="24"/>
        </w:rPr>
      </w:pPr>
      <w:r w:rsidRPr="00C61AA4">
        <w:rPr>
          <w:rFonts w:ascii="Times New Roman" w:hAnsi="Times New Roman" w:cs="Times New Roman"/>
          <w:b/>
          <w:bCs/>
          <w:color w:val="000000"/>
          <w:sz w:val="24"/>
          <w:szCs w:val="24"/>
        </w:rPr>
        <w:t>Отчет о реализации стратегического плана</w:t>
      </w:r>
    </w:p>
    <w:p w:rsidR="00B252FD" w:rsidRPr="00C61AA4" w:rsidRDefault="00B252FD" w:rsidP="006346A7">
      <w:pPr>
        <w:keepNext/>
        <w:keepLines/>
        <w:tabs>
          <w:tab w:val="left" w:pos="900"/>
          <w:tab w:val="left" w:pos="1080"/>
        </w:tabs>
        <w:spacing w:line="240" w:lineRule="auto"/>
        <w:contextualSpacing/>
        <w:jc w:val="center"/>
        <w:rPr>
          <w:rFonts w:ascii="Times New Roman" w:hAnsi="Times New Roman" w:cs="Times New Roman"/>
          <w:b/>
          <w:bCs/>
          <w:color w:val="000000"/>
          <w:sz w:val="24"/>
          <w:szCs w:val="24"/>
        </w:rPr>
      </w:pPr>
      <w:r w:rsidRPr="00C61AA4">
        <w:rPr>
          <w:rFonts w:ascii="Times New Roman" w:hAnsi="Times New Roman" w:cs="Times New Roman"/>
          <w:b/>
          <w:bCs/>
          <w:color w:val="000000"/>
          <w:sz w:val="24"/>
          <w:szCs w:val="24"/>
        </w:rPr>
        <w:t>Национального Банка Республики Казахстан</w:t>
      </w:r>
    </w:p>
    <w:p w:rsidR="00B252FD" w:rsidRPr="00C61AA4" w:rsidRDefault="00B252FD" w:rsidP="006346A7">
      <w:pPr>
        <w:keepNext/>
        <w:keepLines/>
        <w:tabs>
          <w:tab w:val="left" w:pos="900"/>
          <w:tab w:val="left" w:pos="1080"/>
        </w:tabs>
        <w:spacing w:line="240" w:lineRule="auto"/>
        <w:contextualSpacing/>
        <w:jc w:val="center"/>
        <w:rPr>
          <w:rFonts w:ascii="Times New Roman" w:hAnsi="Times New Roman" w:cs="Times New Roman"/>
          <w:i/>
          <w:color w:val="000000"/>
          <w:sz w:val="20"/>
          <w:szCs w:val="20"/>
        </w:rPr>
      </w:pPr>
      <w:r w:rsidRPr="00C61AA4">
        <w:rPr>
          <w:rFonts w:ascii="Times New Roman" w:hAnsi="Times New Roman" w:cs="Times New Roman"/>
          <w:b/>
          <w:sz w:val="24"/>
          <w:szCs w:val="24"/>
        </w:rPr>
        <w:t>на 2014-2018 годы,</w:t>
      </w:r>
    </w:p>
    <w:p w:rsidR="00B252FD" w:rsidRPr="00C61AA4" w:rsidRDefault="00B252FD" w:rsidP="006346A7">
      <w:pPr>
        <w:keepNext/>
        <w:keepLines/>
        <w:tabs>
          <w:tab w:val="left" w:pos="900"/>
          <w:tab w:val="left" w:pos="1080"/>
        </w:tabs>
        <w:spacing w:line="240" w:lineRule="auto"/>
        <w:contextualSpacing/>
        <w:jc w:val="center"/>
        <w:rPr>
          <w:rFonts w:ascii="Times New Roman" w:hAnsi="Times New Roman" w:cs="Times New Roman"/>
          <w:b/>
          <w:sz w:val="24"/>
          <w:szCs w:val="24"/>
        </w:rPr>
      </w:pPr>
      <w:r w:rsidRPr="00C61AA4">
        <w:rPr>
          <w:rFonts w:ascii="Times New Roman" w:hAnsi="Times New Roman" w:cs="Times New Roman"/>
          <w:b/>
          <w:sz w:val="24"/>
          <w:szCs w:val="24"/>
        </w:rPr>
        <w:t>утвержденного приказом Председателя Национального Банка</w:t>
      </w:r>
    </w:p>
    <w:p w:rsidR="00B252FD" w:rsidRPr="00C61AA4" w:rsidRDefault="00B252FD" w:rsidP="006346A7">
      <w:pPr>
        <w:keepNext/>
        <w:keepLines/>
        <w:tabs>
          <w:tab w:val="left" w:pos="900"/>
          <w:tab w:val="left" w:pos="1080"/>
        </w:tabs>
        <w:spacing w:line="240" w:lineRule="auto"/>
        <w:contextualSpacing/>
        <w:jc w:val="center"/>
        <w:rPr>
          <w:rFonts w:ascii="Times New Roman" w:hAnsi="Times New Roman" w:cs="Times New Roman"/>
          <w:b/>
          <w:sz w:val="24"/>
          <w:szCs w:val="24"/>
        </w:rPr>
      </w:pPr>
      <w:r w:rsidRPr="00C61AA4">
        <w:rPr>
          <w:rFonts w:ascii="Times New Roman" w:hAnsi="Times New Roman" w:cs="Times New Roman"/>
          <w:b/>
          <w:sz w:val="24"/>
          <w:szCs w:val="24"/>
        </w:rPr>
        <w:t>Республики Казахстан</w:t>
      </w:r>
    </w:p>
    <w:p w:rsidR="00B252FD" w:rsidRPr="00C61AA4" w:rsidRDefault="00B252FD" w:rsidP="006346A7">
      <w:pPr>
        <w:keepNext/>
        <w:keepLines/>
        <w:tabs>
          <w:tab w:val="left" w:pos="900"/>
          <w:tab w:val="left" w:pos="1080"/>
        </w:tabs>
        <w:spacing w:line="240" w:lineRule="auto"/>
        <w:contextualSpacing/>
        <w:jc w:val="center"/>
        <w:rPr>
          <w:rFonts w:ascii="Times New Roman" w:hAnsi="Times New Roman" w:cs="Times New Roman"/>
          <w:i/>
          <w:sz w:val="24"/>
          <w:szCs w:val="24"/>
        </w:rPr>
      </w:pPr>
    </w:p>
    <w:p w:rsidR="00B252FD" w:rsidRPr="00C61AA4" w:rsidRDefault="00B252FD" w:rsidP="006346A7">
      <w:pPr>
        <w:keepNext/>
        <w:keepLines/>
        <w:tabs>
          <w:tab w:val="left" w:pos="900"/>
          <w:tab w:val="left" w:pos="1080"/>
        </w:tabs>
        <w:spacing w:line="240" w:lineRule="auto"/>
        <w:contextualSpacing/>
        <w:jc w:val="center"/>
        <w:rPr>
          <w:rFonts w:ascii="Times New Roman" w:hAnsi="Times New Roman" w:cs="Times New Roman"/>
          <w:b/>
          <w:i/>
          <w:sz w:val="24"/>
          <w:szCs w:val="24"/>
        </w:rPr>
      </w:pPr>
      <w:r w:rsidRPr="00C61AA4">
        <w:rPr>
          <w:rFonts w:ascii="Times New Roman" w:hAnsi="Times New Roman" w:cs="Times New Roman"/>
          <w:b/>
          <w:i/>
          <w:sz w:val="24"/>
          <w:szCs w:val="24"/>
        </w:rPr>
        <w:t>от 26 декабря 2016 года № 467</w:t>
      </w:r>
    </w:p>
    <w:p w:rsidR="00B252FD" w:rsidRPr="00C61AA4" w:rsidRDefault="00B252FD" w:rsidP="006346A7">
      <w:pPr>
        <w:keepNext/>
        <w:keepLines/>
        <w:tabs>
          <w:tab w:val="left" w:pos="900"/>
          <w:tab w:val="left" w:pos="1080"/>
        </w:tabs>
        <w:spacing w:line="240" w:lineRule="auto"/>
        <w:contextualSpacing/>
        <w:jc w:val="center"/>
        <w:rPr>
          <w:rFonts w:ascii="Times New Roman" w:hAnsi="Times New Roman" w:cs="Times New Roman"/>
          <w:i/>
          <w:sz w:val="24"/>
          <w:szCs w:val="24"/>
        </w:rPr>
      </w:pPr>
    </w:p>
    <w:p w:rsidR="00B252FD" w:rsidRPr="00C61AA4" w:rsidRDefault="00B252FD" w:rsidP="006346A7">
      <w:pPr>
        <w:keepNext/>
        <w:keepLines/>
        <w:tabs>
          <w:tab w:val="left" w:pos="900"/>
          <w:tab w:val="left" w:pos="1080"/>
        </w:tabs>
        <w:spacing w:line="240" w:lineRule="auto"/>
        <w:contextualSpacing/>
        <w:jc w:val="center"/>
        <w:rPr>
          <w:rFonts w:ascii="Times New Roman" w:hAnsi="Times New Roman" w:cs="Times New Roman"/>
          <w:b/>
          <w:i/>
          <w:sz w:val="24"/>
          <w:szCs w:val="24"/>
        </w:rPr>
      </w:pPr>
      <w:r w:rsidRPr="00C61AA4">
        <w:rPr>
          <w:rFonts w:ascii="Times New Roman" w:hAnsi="Times New Roman" w:cs="Times New Roman"/>
          <w:i/>
          <w:sz w:val="24"/>
          <w:szCs w:val="24"/>
        </w:rPr>
        <w:t xml:space="preserve">Период отчета: </w:t>
      </w:r>
      <w:r w:rsidRPr="00C61AA4">
        <w:rPr>
          <w:rFonts w:ascii="Times New Roman" w:hAnsi="Times New Roman" w:cs="Times New Roman"/>
          <w:b/>
          <w:i/>
          <w:sz w:val="24"/>
          <w:szCs w:val="24"/>
        </w:rPr>
        <w:t>2016 год</w:t>
      </w:r>
    </w:p>
    <w:p w:rsidR="00B252FD" w:rsidRPr="00C61AA4" w:rsidRDefault="00B252FD" w:rsidP="006346A7">
      <w:pPr>
        <w:keepNext/>
        <w:keepLines/>
        <w:tabs>
          <w:tab w:val="left" w:pos="900"/>
          <w:tab w:val="left" w:pos="1080"/>
        </w:tabs>
        <w:spacing w:line="240" w:lineRule="auto"/>
        <w:contextualSpacing/>
        <w:jc w:val="center"/>
        <w:rPr>
          <w:rFonts w:ascii="Times New Roman" w:hAnsi="Times New Roman" w:cs="Times New Roman"/>
          <w:b/>
          <w:sz w:val="24"/>
          <w:szCs w:val="24"/>
        </w:rPr>
      </w:pPr>
    </w:p>
    <w:p w:rsidR="00B252FD" w:rsidRPr="00C61AA4" w:rsidRDefault="00B252FD" w:rsidP="006346A7">
      <w:pPr>
        <w:keepNext/>
        <w:keepLines/>
        <w:tabs>
          <w:tab w:val="left" w:pos="900"/>
          <w:tab w:val="left" w:pos="1080"/>
        </w:tabs>
        <w:spacing w:after="0" w:line="240" w:lineRule="auto"/>
        <w:contextualSpacing/>
        <w:jc w:val="center"/>
        <w:rPr>
          <w:rFonts w:ascii="Times New Roman" w:hAnsi="Times New Roman" w:cs="Times New Roman"/>
          <w:b/>
          <w:sz w:val="24"/>
          <w:szCs w:val="24"/>
        </w:rPr>
      </w:pPr>
      <w:r w:rsidRPr="00C61AA4">
        <w:rPr>
          <w:rFonts w:ascii="Times New Roman" w:hAnsi="Times New Roman" w:cs="Times New Roman"/>
          <w:b/>
          <w:sz w:val="24"/>
          <w:szCs w:val="24"/>
        </w:rPr>
        <w:t>1. Анализ управления рисками</w:t>
      </w:r>
    </w:p>
    <w:p w:rsidR="00C63385" w:rsidRPr="00C61AA4" w:rsidRDefault="00C63385" w:rsidP="006346A7">
      <w:pPr>
        <w:spacing w:line="240" w:lineRule="auto"/>
        <w:contextualSpacing/>
        <w:jc w:val="both"/>
        <w:rPr>
          <w:rFonts w:ascii="Times New Roman" w:hAnsi="Times New Roman" w:cs="Times New Roman"/>
        </w:rPr>
      </w:pPr>
    </w:p>
    <w:tbl>
      <w:tblPr>
        <w:tblStyle w:val="a7"/>
        <w:tblW w:w="0" w:type="auto"/>
        <w:tblLook w:val="04A0" w:firstRow="1" w:lastRow="0" w:firstColumn="1" w:lastColumn="0" w:noHBand="0" w:noVBand="1"/>
      </w:tblPr>
      <w:tblGrid>
        <w:gridCol w:w="3369"/>
        <w:gridCol w:w="2551"/>
        <w:gridCol w:w="2410"/>
        <w:gridCol w:w="2091"/>
      </w:tblGrid>
      <w:tr w:rsidR="00D56804" w:rsidRPr="00C61AA4" w:rsidTr="00C97C57">
        <w:trPr>
          <w:tblHeader/>
        </w:trPr>
        <w:tc>
          <w:tcPr>
            <w:tcW w:w="3369" w:type="dxa"/>
          </w:tcPr>
          <w:p w:rsidR="00D56804" w:rsidRPr="00C61AA4" w:rsidRDefault="00D56804" w:rsidP="006346A7">
            <w:pPr>
              <w:contextualSpacing/>
              <w:jc w:val="center"/>
              <w:rPr>
                <w:rFonts w:ascii="Times New Roman" w:hAnsi="Times New Roman" w:cs="Times New Roman"/>
                <w:b/>
                <w:i/>
                <w:szCs w:val="28"/>
              </w:rPr>
            </w:pPr>
            <w:r w:rsidRPr="00C61AA4">
              <w:rPr>
                <w:rFonts w:ascii="Times New Roman" w:hAnsi="Times New Roman" w:cs="Times New Roman"/>
                <w:b/>
                <w:i/>
                <w:szCs w:val="28"/>
              </w:rPr>
              <w:t>Наименование возможного риска</w:t>
            </w:r>
          </w:p>
        </w:tc>
        <w:tc>
          <w:tcPr>
            <w:tcW w:w="2551" w:type="dxa"/>
          </w:tcPr>
          <w:p w:rsidR="00D56804" w:rsidRPr="00C61AA4" w:rsidRDefault="00D56804" w:rsidP="006346A7">
            <w:pPr>
              <w:contextualSpacing/>
              <w:jc w:val="center"/>
              <w:rPr>
                <w:rFonts w:ascii="Times New Roman" w:hAnsi="Times New Roman" w:cs="Times New Roman"/>
                <w:b/>
                <w:i/>
                <w:szCs w:val="28"/>
              </w:rPr>
            </w:pPr>
            <w:r w:rsidRPr="00C61AA4">
              <w:rPr>
                <w:rFonts w:ascii="Times New Roman" w:hAnsi="Times New Roman" w:cs="Times New Roman"/>
                <w:b/>
                <w:i/>
                <w:szCs w:val="28"/>
              </w:rPr>
              <w:t>Запланированные</w:t>
            </w:r>
          </w:p>
          <w:p w:rsidR="00D56804" w:rsidRPr="00C61AA4" w:rsidRDefault="00D56804" w:rsidP="006346A7">
            <w:pPr>
              <w:contextualSpacing/>
              <w:jc w:val="center"/>
              <w:rPr>
                <w:rFonts w:ascii="Times New Roman" w:hAnsi="Times New Roman" w:cs="Times New Roman"/>
                <w:b/>
                <w:i/>
                <w:szCs w:val="28"/>
              </w:rPr>
            </w:pPr>
            <w:r w:rsidRPr="00C61AA4">
              <w:rPr>
                <w:rFonts w:ascii="Times New Roman" w:hAnsi="Times New Roman" w:cs="Times New Roman"/>
                <w:b/>
                <w:i/>
                <w:szCs w:val="28"/>
              </w:rPr>
              <w:t>мероприятия по управлению рисками</w:t>
            </w:r>
          </w:p>
        </w:tc>
        <w:tc>
          <w:tcPr>
            <w:tcW w:w="2410" w:type="dxa"/>
          </w:tcPr>
          <w:p w:rsidR="00D56804" w:rsidRPr="00C61AA4" w:rsidRDefault="00D56804" w:rsidP="006346A7">
            <w:pPr>
              <w:contextualSpacing/>
              <w:jc w:val="center"/>
              <w:rPr>
                <w:rFonts w:ascii="Times New Roman" w:hAnsi="Times New Roman" w:cs="Times New Roman"/>
                <w:b/>
                <w:i/>
                <w:szCs w:val="28"/>
              </w:rPr>
            </w:pPr>
            <w:r w:rsidRPr="00C61AA4">
              <w:rPr>
                <w:rFonts w:ascii="Times New Roman" w:hAnsi="Times New Roman" w:cs="Times New Roman"/>
                <w:b/>
                <w:i/>
                <w:szCs w:val="28"/>
              </w:rPr>
              <w:t>Фактическое</w:t>
            </w:r>
          </w:p>
          <w:p w:rsidR="00D56804" w:rsidRPr="00C61AA4" w:rsidRDefault="00D56804" w:rsidP="006346A7">
            <w:pPr>
              <w:contextualSpacing/>
              <w:jc w:val="center"/>
              <w:rPr>
                <w:rFonts w:ascii="Times New Roman" w:hAnsi="Times New Roman" w:cs="Times New Roman"/>
                <w:b/>
                <w:i/>
                <w:szCs w:val="28"/>
              </w:rPr>
            </w:pPr>
            <w:r w:rsidRPr="00C61AA4">
              <w:rPr>
                <w:rFonts w:ascii="Times New Roman" w:hAnsi="Times New Roman" w:cs="Times New Roman"/>
                <w:b/>
                <w:i/>
                <w:szCs w:val="28"/>
              </w:rPr>
              <w:t>исполнение</w:t>
            </w:r>
          </w:p>
          <w:p w:rsidR="00D56804" w:rsidRPr="00C61AA4" w:rsidRDefault="00D56804" w:rsidP="006346A7">
            <w:pPr>
              <w:contextualSpacing/>
              <w:jc w:val="center"/>
              <w:rPr>
                <w:rFonts w:ascii="Times New Roman" w:hAnsi="Times New Roman" w:cs="Times New Roman"/>
                <w:b/>
                <w:i/>
                <w:szCs w:val="28"/>
              </w:rPr>
            </w:pPr>
            <w:r w:rsidRPr="00C61AA4">
              <w:rPr>
                <w:rFonts w:ascii="Times New Roman" w:hAnsi="Times New Roman" w:cs="Times New Roman"/>
                <w:b/>
                <w:i/>
                <w:szCs w:val="28"/>
              </w:rPr>
              <w:t>мероприятий по управлению рисками</w:t>
            </w:r>
          </w:p>
        </w:tc>
        <w:tc>
          <w:tcPr>
            <w:tcW w:w="2091" w:type="dxa"/>
          </w:tcPr>
          <w:p w:rsidR="00D56804" w:rsidRPr="00C61AA4" w:rsidRDefault="00D56804" w:rsidP="006346A7">
            <w:pPr>
              <w:contextualSpacing/>
              <w:jc w:val="center"/>
              <w:rPr>
                <w:rFonts w:ascii="Times New Roman" w:hAnsi="Times New Roman" w:cs="Times New Roman"/>
                <w:b/>
                <w:i/>
                <w:szCs w:val="28"/>
              </w:rPr>
            </w:pPr>
            <w:r w:rsidRPr="00C61AA4">
              <w:rPr>
                <w:rFonts w:ascii="Times New Roman" w:hAnsi="Times New Roman" w:cs="Times New Roman"/>
                <w:b/>
                <w:i/>
                <w:szCs w:val="28"/>
              </w:rPr>
              <w:t>Примечание</w:t>
            </w:r>
          </w:p>
          <w:p w:rsidR="00D56804" w:rsidRPr="00C61AA4" w:rsidRDefault="00D56804" w:rsidP="006346A7">
            <w:pPr>
              <w:contextualSpacing/>
              <w:jc w:val="center"/>
              <w:rPr>
                <w:rFonts w:ascii="Times New Roman" w:hAnsi="Times New Roman" w:cs="Times New Roman"/>
                <w:b/>
                <w:i/>
                <w:szCs w:val="28"/>
              </w:rPr>
            </w:pPr>
            <w:proofErr w:type="gramStart"/>
            <w:r w:rsidRPr="00C61AA4">
              <w:rPr>
                <w:rFonts w:ascii="Times New Roman" w:hAnsi="Times New Roman" w:cs="Times New Roman"/>
                <w:b/>
                <w:i/>
                <w:szCs w:val="28"/>
              </w:rPr>
              <w:t>(информация об исполнении/</w:t>
            </w:r>
            <w:proofErr w:type="gramEnd"/>
          </w:p>
          <w:p w:rsidR="00D56804" w:rsidRPr="00C61AA4" w:rsidRDefault="00D56804" w:rsidP="006346A7">
            <w:pPr>
              <w:contextualSpacing/>
              <w:jc w:val="center"/>
              <w:rPr>
                <w:rFonts w:ascii="Times New Roman" w:hAnsi="Times New Roman" w:cs="Times New Roman"/>
                <w:b/>
                <w:i/>
                <w:szCs w:val="28"/>
              </w:rPr>
            </w:pPr>
            <w:proofErr w:type="gramStart"/>
            <w:r w:rsidRPr="00C61AA4">
              <w:rPr>
                <w:rFonts w:ascii="Times New Roman" w:hAnsi="Times New Roman" w:cs="Times New Roman"/>
                <w:b/>
                <w:i/>
                <w:szCs w:val="28"/>
              </w:rPr>
              <w:t>неисполнении</w:t>
            </w:r>
            <w:proofErr w:type="gramEnd"/>
            <w:r w:rsidRPr="00C61AA4">
              <w:rPr>
                <w:rFonts w:ascii="Times New Roman" w:hAnsi="Times New Roman" w:cs="Times New Roman"/>
                <w:b/>
                <w:i/>
                <w:szCs w:val="28"/>
              </w:rPr>
              <w:t>)</w:t>
            </w:r>
          </w:p>
        </w:tc>
      </w:tr>
      <w:tr w:rsidR="00D56804" w:rsidRPr="00C61AA4" w:rsidTr="00D56804">
        <w:tc>
          <w:tcPr>
            <w:tcW w:w="3369" w:type="dxa"/>
          </w:tcPr>
          <w:p w:rsidR="00D56804" w:rsidRPr="00C61AA4" w:rsidRDefault="00D56804" w:rsidP="006346A7">
            <w:pPr>
              <w:contextualSpacing/>
              <w:jc w:val="both"/>
              <w:rPr>
                <w:rFonts w:ascii="Times New Roman" w:hAnsi="Times New Roman" w:cs="Times New Roman"/>
              </w:rPr>
            </w:pPr>
            <w:r w:rsidRPr="00C61AA4">
              <w:rPr>
                <w:rFonts w:ascii="Times New Roman" w:hAnsi="Times New Roman" w:cs="Times New Roman"/>
              </w:rPr>
              <w:t>1</w:t>
            </w:r>
          </w:p>
        </w:tc>
        <w:tc>
          <w:tcPr>
            <w:tcW w:w="2551" w:type="dxa"/>
          </w:tcPr>
          <w:p w:rsidR="00D56804" w:rsidRPr="00C61AA4" w:rsidRDefault="00D56804" w:rsidP="006346A7">
            <w:pPr>
              <w:contextualSpacing/>
              <w:jc w:val="both"/>
              <w:rPr>
                <w:rFonts w:ascii="Times New Roman" w:hAnsi="Times New Roman" w:cs="Times New Roman"/>
              </w:rPr>
            </w:pPr>
            <w:r w:rsidRPr="00C61AA4">
              <w:rPr>
                <w:rFonts w:ascii="Times New Roman" w:hAnsi="Times New Roman" w:cs="Times New Roman"/>
              </w:rPr>
              <w:t>2</w:t>
            </w:r>
          </w:p>
        </w:tc>
        <w:tc>
          <w:tcPr>
            <w:tcW w:w="2410" w:type="dxa"/>
          </w:tcPr>
          <w:p w:rsidR="00D56804" w:rsidRPr="00C61AA4" w:rsidRDefault="00D56804" w:rsidP="006346A7">
            <w:pPr>
              <w:contextualSpacing/>
              <w:jc w:val="both"/>
              <w:rPr>
                <w:rFonts w:ascii="Times New Roman" w:hAnsi="Times New Roman" w:cs="Times New Roman"/>
              </w:rPr>
            </w:pPr>
            <w:r w:rsidRPr="00C61AA4">
              <w:rPr>
                <w:rFonts w:ascii="Times New Roman" w:hAnsi="Times New Roman" w:cs="Times New Roman"/>
              </w:rPr>
              <w:t>3</w:t>
            </w:r>
          </w:p>
        </w:tc>
        <w:tc>
          <w:tcPr>
            <w:tcW w:w="2091" w:type="dxa"/>
          </w:tcPr>
          <w:p w:rsidR="00D56804" w:rsidRPr="00C61AA4" w:rsidRDefault="00D56804" w:rsidP="006346A7">
            <w:pPr>
              <w:contextualSpacing/>
              <w:jc w:val="both"/>
              <w:rPr>
                <w:rFonts w:ascii="Times New Roman" w:hAnsi="Times New Roman" w:cs="Times New Roman"/>
              </w:rPr>
            </w:pPr>
            <w:r w:rsidRPr="00C61AA4">
              <w:rPr>
                <w:rFonts w:ascii="Times New Roman" w:hAnsi="Times New Roman" w:cs="Times New Roman"/>
              </w:rPr>
              <w:t>4</w:t>
            </w:r>
          </w:p>
        </w:tc>
      </w:tr>
      <w:tr w:rsidR="00D56804" w:rsidRPr="00C61AA4" w:rsidTr="009E2774">
        <w:tc>
          <w:tcPr>
            <w:tcW w:w="10421" w:type="dxa"/>
            <w:gridSpan w:val="4"/>
          </w:tcPr>
          <w:p w:rsidR="00D56804" w:rsidRPr="00C61AA4" w:rsidRDefault="00D56804" w:rsidP="006346A7">
            <w:pPr>
              <w:contextualSpacing/>
              <w:jc w:val="center"/>
              <w:rPr>
                <w:rFonts w:ascii="Times New Roman" w:hAnsi="Times New Roman" w:cs="Times New Roman"/>
              </w:rPr>
            </w:pPr>
            <w:r w:rsidRPr="00C61AA4">
              <w:rPr>
                <w:rFonts w:ascii="Times New Roman" w:hAnsi="Times New Roman"/>
                <w:b/>
                <w:szCs w:val="28"/>
              </w:rPr>
              <w:t xml:space="preserve">Стратегическое направление 1. </w:t>
            </w:r>
            <w:r w:rsidRPr="00C61AA4">
              <w:rPr>
                <w:rFonts w:ascii="Times New Roman" w:hAnsi="Times New Roman"/>
                <w:szCs w:val="28"/>
              </w:rPr>
              <w:t>Обеспечение стабильности цен</w:t>
            </w:r>
          </w:p>
        </w:tc>
      </w:tr>
      <w:tr w:rsidR="00D56804" w:rsidRPr="00C61AA4" w:rsidTr="009E2774">
        <w:tc>
          <w:tcPr>
            <w:tcW w:w="10421" w:type="dxa"/>
            <w:gridSpan w:val="4"/>
          </w:tcPr>
          <w:p w:rsidR="00D56804" w:rsidRPr="00C61AA4" w:rsidRDefault="00D56804" w:rsidP="006346A7">
            <w:pPr>
              <w:contextualSpacing/>
              <w:jc w:val="center"/>
              <w:rPr>
                <w:rFonts w:ascii="Times New Roman" w:hAnsi="Times New Roman" w:cs="Times New Roman"/>
              </w:rPr>
            </w:pPr>
            <w:r w:rsidRPr="00C61AA4">
              <w:rPr>
                <w:rFonts w:ascii="Times New Roman" w:hAnsi="Times New Roman"/>
                <w:b/>
                <w:szCs w:val="28"/>
              </w:rPr>
              <w:t xml:space="preserve">Цель 1.1. </w:t>
            </w:r>
            <w:r w:rsidRPr="00C61AA4">
              <w:rPr>
                <w:rFonts w:ascii="Times New Roman" w:hAnsi="Times New Roman"/>
                <w:szCs w:val="28"/>
              </w:rPr>
              <w:t>Удержание инфляции в целевом коридоре</w:t>
            </w:r>
          </w:p>
        </w:tc>
      </w:tr>
      <w:tr w:rsidR="00D56804" w:rsidRPr="00C61AA4" w:rsidTr="00D56804">
        <w:tc>
          <w:tcPr>
            <w:tcW w:w="3369" w:type="dxa"/>
          </w:tcPr>
          <w:p w:rsidR="00D56804" w:rsidRPr="00C61AA4" w:rsidRDefault="00D56804" w:rsidP="006346A7">
            <w:pPr>
              <w:contextualSpacing/>
              <w:jc w:val="both"/>
              <w:rPr>
                <w:rFonts w:ascii="Times New Roman" w:hAnsi="Times New Roman"/>
                <w:szCs w:val="28"/>
              </w:rPr>
            </w:pPr>
            <w:r w:rsidRPr="00C61AA4">
              <w:rPr>
                <w:rFonts w:ascii="Times New Roman" w:hAnsi="Times New Roman"/>
              </w:rPr>
              <w:t>Снижение цены на нефть на протяжении всего среднесрочного периода может привести к ослаблению тенге и росту инфляции в краткосрочном периоде.</w:t>
            </w:r>
          </w:p>
        </w:tc>
        <w:tc>
          <w:tcPr>
            <w:tcW w:w="2551" w:type="dxa"/>
          </w:tcPr>
          <w:p w:rsidR="00D56804" w:rsidRPr="00C61AA4" w:rsidRDefault="00D56804" w:rsidP="006346A7">
            <w:pPr>
              <w:contextualSpacing/>
              <w:jc w:val="both"/>
              <w:rPr>
                <w:rFonts w:ascii="Times New Roman" w:hAnsi="Times New Roman"/>
                <w:szCs w:val="28"/>
              </w:rPr>
            </w:pPr>
            <w:r w:rsidRPr="00C61AA4">
              <w:rPr>
                <w:rFonts w:ascii="Times New Roman" w:hAnsi="Times New Roman"/>
              </w:rPr>
              <w:t>Проведение сдерживающей денежно-кредитной политики.</w:t>
            </w:r>
          </w:p>
        </w:tc>
        <w:tc>
          <w:tcPr>
            <w:tcW w:w="2410" w:type="dxa"/>
          </w:tcPr>
          <w:p w:rsidR="00D56804" w:rsidRPr="00C61AA4" w:rsidRDefault="00D56804" w:rsidP="006346A7">
            <w:pPr>
              <w:contextualSpacing/>
              <w:jc w:val="both"/>
              <w:rPr>
                <w:rFonts w:ascii="Times New Roman" w:hAnsi="Times New Roman"/>
                <w:szCs w:val="28"/>
              </w:rPr>
            </w:pPr>
            <w:r w:rsidRPr="00C61AA4">
              <w:rPr>
                <w:rFonts w:ascii="Times New Roman" w:hAnsi="Times New Roman"/>
              </w:rPr>
              <w:t>Меры оперативного реагирования не были востребованы (риск не наступил).</w:t>
            </w:r>
          </w:p>
        </w:tc>
        <w:tc>
          <w:tcPr>
            <w:tcW w:w="2091" w:type="dxa"/>
          </w:tcPr>
          <w:p w:rsidR="00D56804" w:rsidRPr="00C61AA4" w:rsidRDefault="00D56804" w:rsidP="006346A7">
            <w:pPr>
              <w:contextualSpacing/>
              <w:jc w:val="both"/>
              <w:rPr>
                <w:rFonts w:ascii="Times New Roman" w:hAnsi="Times New Roman" w:cs="Times New Roman"/>
              </w:rPr>
            </w:pPr>
          </w:p>
        </w:tc>
      </w:tr>
      <w:tr w:rsidR="00D56804" w:rsidRPr="00C61AA4" w:rsidTr="00D56804">
        <w:tc>
          <w:tcPr>
            <w:tcW w:w="3369" w:type="dxa"/>
          </w:tcPr>
          <w:p w:rsidR="00D56804" w:rsidRPr="00C61AA4" w:rsidRDefault="00D56804" w:rsidP="006346A7">
            <w:pPr>
              <w:contextualSpacing/>
              <w:jc w:val="both"/>
              <w:rPr>
                <w:rFonts w:ascii="Times New Roman" w:hAnsi="Times New Roman"/>
              </w:rPr>
            </w:pPr>
            <w:r w:rsidRPr="00C61AA4">
              <w:rPr>
                <w:rFonts w:ascii="Times New Roman" w:hAnsi="Times New Roman"/>
              </w:rPr>
              <w:t>Более медленное восстановление казахстанской экономики, в том числе за счет медленного восстановления внутреннего спроса при условии стабилизации цен на нефть, может привести к снижению инфляции.</w:t>
            </w:r>
          </w:p>
        </w:tc>
        <w:tc>
          <w:tcPr>
            <w:tcW w:w="2551" w:type="dxa"/>
          </w:tcPr>
          <w:p w:rsidR="00D56804" w:rsidRPr="00C61AA4" w:rsidRDefault="00D56804" w:rsidP="006346A7">
            <w:pPr>
              <w:contextualSpacing/>
              <w:jc w:val="both"/>
              <w:rPr>
                <w:rFonts w:ascii="Times New Roman" w:hAnsi="Times New Roman"/>
              </w:rPr>
            </w:pPr>
            <w:r w:rsidRPr="00C61AA4">
              <w:rPr>
                <w:rFonts w:ascii="Times New Roman" w:hAnsi="Times New Roman"/>
              </w:rPr>
              <w:t>Проведение стимулирующей денежно-кредитной политики.</w:t>
            </w:r>
          </w:p>
        </w:tc>
        <w:tc>
          <w:tcPr>
            <w:tcW w:w="2410" w:type="dxa"/>
          </w:tcPr>
          <w:p w:rsidR="00D56804" w:rsidRPr="00C61AA4" w:rsidRDefault="00D56804" w:rsidP="006346A7">
            <w:pPr>
              <w:contextualSpacing/>
              <w:jc w:val="both"/>
              <w:rPr>
                <w:rFonts w:ascii="Times New Roman" w:hAnsi="Times New Roman"/>
              </w:rPr>
            </w:pPr>
            <w:r w:rsidRPr="00C61AA4">
              <w:rPr>
                <w:rFonts w:ascii="Times New Roman" w:hAnsi="Times New Roman"/>
              </w:rPr>
              <w:t>Меры оперативного реагирования не были востребованы (риск не наступил).</w:t>
            </w:r>
          </w:p>
        </w:tc>
        <w:tc>
          <w:tcPr>
            <w:tcW w:w="2091" w:type="dxa"/>
          </w:tcPr>
          <w:p w:rsidR="00D56804" w:rsidRPr="00C61AA4" w:rsidRDefault="00D56804" w:rsidP="006346A7">
            <w:pPr>
              <w:contextualSpacing/>
              <w:jc w:val="both"/>
              <w:rPr>
                <w:rFonts w:ascii="Times New Roman" w:hAnsi="Times New Roman" w:cs="Times New Roman"/>
              </w:rPr>
            </w:pPr>
          </w:p>
        </w:tc>
      </w:tr>
      <w:tr w:rsidR="00D56804" w:rsidRPr="00C61AA4" w:rsidTr="009E2774">
        <w:tc>
          <w:tcPr>
            <w:tcW w:w="10421" w:type="dxa"/>
            <w:gridSpan w:val="4"/>
          </w:tcPr>
          <w:p w:rsidR="00D56804" w:rsidRPr="00C61AA4" w:rsidRDefault="00D56804" w:rsidP="006346A7">
            <w:pPr>
              <w:contextualSpacing/>
              <w:jc w:val="center"/>
              <w:rPr>
                <w:rFonts w:ascii="Times New Roman" w:hAnsi="Times New Roman" w:cs="Times New Roman"/>
              </w:rPr>
            </w:pPr>
            <w:r w:rsidRPr="00C61AA4">
              <w:rPr>
                <w:rFonts w:ascii="Times New Roman" w:hAnsi="Times New Roman"/>
                <w:b/>
                <w:szCs w:val="28"/>
              </w:rPr>
              <w:t xml:space="preserve">Стратегическое направление 2. </w:t>
            </w:r>
            <w:r w:rsidRPr="00C61AA4">
              <w:rPr>
                <w:rFonts w:ascii="Times New Roman" w:hAnsi="Times New Roman"/>
                <w:szCs w:val="28"/>
              </w:rPr>
              <w:t>Обеспечение финансовой стабильности</w:t>
            </w:r>
          </w:p>
        </w:tc>
      </w:tr>
      <w:tr w:rsidR="00D56804" w:rsidRPr="00C61AA4" w:rsidTr="009E2774">
        <w:tc>
          <w:tcPr>
            <w:tcW w:w="10421" w:type="dxa"/>
            <w:gridSpan w:val="4"/>
          </w:tcPr>
          <w:p w:rsidR="00D56804" w:rsidRPr="00C61AA4" w:rsidRDefault="00D56804" w:rsidP="006346A7">
            <w:pPr>
              <w:contextualSpacing/>
              <w:jc w:val="center"/>
              <w:rPr>
                <w:rFonts w:ascii="Times New Roman" w:hAnsi="Times New Roman" w:cs="Times New Roman"/>
              </w:rPr>
            </w:pPr>
            <w:r w:rsidRPr="00C61AA4">
              <w:rPr>
                <w:rFonts w:ascii="Times New Roman" w:hAnsi="Times New Roman"/>
                <w:b/>
                <w:szCs w:val="28"/>
              </w:rPr>
              <w:t xml:space="preserve">Цель 2.1. </w:t>
            </w:r>
            <w:r w:rsidRPr="00C61AA4">
              <w:rPr>
                <w:rFonts w:ascii="Times New Roman" w:hAnsi="Times New Roman"/>
                <w:szCs w:val="28"/>
              </w:rPr>
              <w:t>Повышение финансовой устойчивости и конкурентоспособности банковского сектора</w:t>
            </w:r>
          </w:p>
        </w:tc>
      </w:tr>
      <w:tr w:rsidR="00D56804" w:rsidRPr="00C61AA4" w:rsidTr="00D56804">
        <w:tc>
          <w:tcPr>
            <w:tcW w:w="3369" w:type="dxa"/>
            <w:vMerge w:val="restart"/>
          </w:tcPr>
          <w:p w:rsidR="00D56804" w:rsidRPr="00C61AA4" w:rsidRDefault="00D56804" w:rsidP="006346A7">
            <w:pPr>
              <w:contextualSpacing/>
              <w:jc w:val="both"/>
              <w:rPr>
                <w:rFonts w:ascii="Times New Roman" w:hAnsi="Times New Roman" w:cs="Times New Roman"/>
              </w:rPr>
            </w:pPr>
            <w:r w:rsidRPr="00C61AA4">
              <w:rPr>
                <w:rFonts w:ascii="Times New Roman" w:hAnsi="Times New Roman"/>
              </w:rPr>
              <w:t>Нестабильная ценовая ситуация на мировых товарных рынках.</w:t>
            </w:r>
          </w:p>
        </w:tc>
        <w:tc>
          <w:tcPr>
            <w:tcW w:w="2551" w:type="dxa"/>
          </w:tcPr>
          <w:p w:rsidR="00D56804" w:rsidRPr="00C61AA4" w:rsidRDefault="00D56804" w:rsidP="006346A7">
            <w:pPr>
              <w:pStyle w:val="a4"/>
              <w:keepNext/>
              <w:keepLines/>
              <w:tabs>
                <w:tab w:val="left" w:pos="0"/>
              </w:tabs>
              <w:spacing w:before="0" w:beforeAutospacing="0" w:after="0" w:afterAutospacing="0"/>
              <w:contextualSpacing/>
              <w:jc w:val="both"/>
              <w:rPr>
                <w:sz w:val="22"/>
                <w:szCs w:val="22"/>
              </w:rPr>
            </w:pPr>
            <w:r w:rsidRPr="00C61AA4">
              <w:rPr>
                <w:sz w:val="22"/>
                <w:szCs w:val="22"/>
              </w:rPr>
              <w:t xml:space="preserve">Проведение </w:t>
            </w:r>
            <w:proofErr w:type="gramStart"/>
            <w:r w:rsidRPr="00C61AA4">
              <w:rPr>
                <w:sz w:val="22"/>
                <w:szCs w:val="22"/>
              </w:rPr>
              <w:t>стресс-тестирования</w:t>
            </w:r>
            <w:proofErr w:type="gramEnd"/>
            <w:r w:rsidRPr="00C61AA4">
              <w:rPr>
                <w:sz w:val="22"/>
                <w:szCs w:val="22"/>
              </w:rPr>
              <w:t xml:space="preserve"> субъектов банковского сектора в целях выявления и оценки рисков банковского сектора, принятие соответствующих надзорных мер по результатам стресс-тестирования.</w:t>
            </w:r>
          </w:p>
        </w:tc>
        <w:tc>
          <w:tcPr>
            <w:tcW w:w="2410" w:type="dxa"/>
          </w:tcPr>
          <w:p w:rsidR="00D56804" w:rsidRPr="00C61AA4" w:rsidRDefault="00D56804" w:rsidP="006346A7">
            <w:pPr>
              <w:contextualSpacing/>
              <w:jc w:val="both"/>
              <w:rPr>
                <w:rFonts w:ascii="Times New Roman" w:hAnsi="Times New Roman"/>
              </w:rPr>
            </w:pPr>
            <w:r w:rsidRPr="00C61AA4">
              <w:rPr>
                <w:rFonts w:ascii="Times New Roman" w:hAnsi="Times New Roman"/>
                <w:i/>
              </w:rPr>
              <w:t>См. аналитическую записку</w:t>
            </w:r>
          </w:p>
        </w:tc>
        <w:tc>
          <w:tcPr>
            <w:tcW w:w="2091" w:type="dxa"/>
          </w:tcPr>
          <w:p w:rsidR="00D56804" w:rsidRPr="00C61AA4" w:rsidRDefault="00D56804" w:rsidP="006346A7">
            <w:pPr>
              <w:contextualSpacing/>
              <w:jc w:val="both"/>
              <w:rPr>
                <w:rFonts w:ascii="Times New Roman" w:hAnsi="Times New Roman" w:cs="Times New Roman"/>
              </w:rPr>
            </w:pPr>
          </w:p>
        </w:tc>
      </w:tr>
      <w:tr w:rsidR="00D56804" w:rsidRPr="00C61AA4" w:rsidTr="00D56804">
        <w:tc>
          <w:tcPr>
            <w:tcW w:w="3369" w:type="dxa"/>
            <w:vMerge/>
          </w:tcPr>
          <w:p w:rsidR="00D56804" w:rsidRPr="00C61AA4" w:rsidRDefault="00D56804" w:rsidP="006346A7">
            <w:pPr>
              <w:contextualSpacing/>
              <w:jc w:val="both"/>
              <w:rPr>
                <w:rFonts w:ascii="Times New Roman" w:hAnsi="Times New Roman" w:cs="Times New Roman"/>
              </w:rPr>
            </w:pPr>
          </w:p>
        </w:tc>
        <w:tc>
          <w:tcPr>
            <w:tcW w:w="2551" w:type="dxa"/>
          </w:tcPr>
          <w:p w:rsidR="00D56804" w:rsidRPr="00C61AA4" w:rsidRDefault="00D56804" w:rsidP="006346A7">
            <w:pPr>
              <w:pStyle w:val="a4"/>
              <w:keepNext/>
              <w:keepLines/>
              <w:tabs>
                <w:tab w:val="left" w:pos="0"/>
              </w:tabs>
              <w:spacing w:before="0" w:beforeAutospacing="0" w:after="0" w:afterAutospacing="0"/>
              <w:contextualSpacing/>
              <w:jc w:val="both"/>
              <w:rPr>
                <w:sz w:val="22"/>
                <w:szCs w:val="22"/>
              </w:rPr>
            </w:pPr>
            <w:r w:rsidRPr="00C61AA4">
              <w:rPr>
                <w:sz w:val="22"/>
                <w:szCs w:val="22"/>
              </w:rPr>
              <w:t xml:space="preserve">Совершенствование </w:t>
            </w:r>
            <w:proofErr w:type="gramStart"/>
            <w:r w:rsidRPr="00C61AA4">
              <w:rPr>
                <w:sz w:val="22"/>
                <w:szCs w:val="22"/>
              </w:rPr>
              <w:t>риск-ориентированного</w:t>
            </w:r>
            <w:proofErr w:type="gramEnd"/>
            <w:r w:rsidRPr="00C61AA4">
              <w:rPr>
                <w:sz w:val="22"/>
                <w:szCs w:val="22"/>
              </w:rPr>
              <w:t xml:space="preserve"> надзора и </w:t>
            </w:r>
            <w:proofErr w:type="spellStart"/>
            <w:r w:rsidRPr="00C61AA4">
              <w:rPr>
                <w:sz w:val="22"/>
                <w:szCs w:val="22"/>
              </w:rPr>
              <w:t>пруденциального</w:t>
            </w:r>
            <w:proofErr w:type="spellEnd"/>
            <w:r w:rsidRPr="00C61AA4">
              <w:rPr>
                <w:sz w:val="22"/>
                <w:szCs w:val="22"/>
              </w:rPr>
              <w:t xml:space="preserve"> регулирования банков второго уровня в целях минимизации рисков </w:t>
            </w:r>
            <w:r w:rsidRPr="00C61AA4">
              <w:rPr>
                <w:sz w:val="22"/>
                <w:szCs w:val="22"/>
              </w:rPr>
              <w:lastRenderedPageBreak/>
              <w:t>банковского сектора и повышения устойчивости  банков второго уровня.</w:t>
            </w:r>
          </w:p>
        </w:tc>
        <w:tc>
          <w:tcPr>
            <w:tcW w:w="2410" w:type="dxa"/>
          </w:tcPr>
          <w:p w:rsidR="00D56804" w:rsidRPr="00C61AA4" w:rsidRDefault="00D56804" w:rsidP="006346A7">
            <w:pPr>
              <w:contextualSpacing/>
              <w:jc w:val="both"/>
              <w:rPr>
                <w:rFonts w:ascii="Times New Roman" w:hAnsi="Times New Roman"/>
              </w:rPr>
            </w:pPr>
            <w:r w:rsidRPr="00C61AA4">
              <w:rPr>
                <w:rFonts w:ascii="Times New Roman" w:hAnsi="Times New Roman"/>
                <w:i/>
              </w:rPr>
              <w:lastRenderedPageBreak/>
              <w:t>См. аналитическую записку</w:t>
            </w:r>
          </w:p>
        </w:tc>
        <w:tc>
          <w:tcPr>
            <w:tcW w:w="2091" w:type="dxa"/>
          </w:tcPr>
          <w:p w:rsidR="00D56804" w:rsidRPr="00C61AA4" w:rsidRDefault="00D56804" w:rsidP="006346A7">
            <w:pPr>
              <w:contextualSpacing/>
              <w:jc w:val="both"/>
              <w:rPr>
                <w:rFonts w:ascii="Times New Roman" w:hAnsi="Times New Roman" w:cs="Times New Roman"/>
              </w:rPr>
            </w:pPr>
          </w:p>
        </w:tc>
      </w:tr>
      <w:tr w:rsidR="00D56804" w:rsidRPr="00C61AA4" w:rsidTr="00D56804">
        <w:tc>
          <w:tcPr>
            <w:tcW w:w="3369" w:type="dxa"/>
            <w:vMerge w:val="restart"/>
          </w:tcPr>
          <w:p w:rsidR="00D56804" w:rsidRPr="00C61AA4" w:rsidRDefault="00D56804" w:rsidP="006346A7">
            <w:pPr>
              <w:contextualSpacing/>
              <w:jc w:val="both"/>
              <w:rPr>
                <w:rFonts w:ascii="Times New Roman" w:hAnsi="Times New Roman" w:cs="Times New Roman"/>
              </w:rPr>
            </w:pPr>
            <w:r w:rsidRPr="00C61AA4">
              <w:rPr>
                <w:rFonts w:ascii="Times New Roman" w:hAnsi="Times New Roman"/>
              </w:rPr>
              <w:lastRenderedPageBreak/>
              <w:t>Вытеснение казахстанских участников с отечественного финансового рынка иностранными финансовыми институтами в связи со вступлением в ВТО.</w:t>
            </w:r>
          </w:p>
        </w:tc>
        <w:tc>
          <w:tcPr>
            <w:tcW w:w="2551" w:type="dxa"/>
          </w:tcPr>
          <w:p w:rsidR="00D56804" w:rsidRPr="00C61AA4" w:rsidRDefault="00D56804" w:rsidP="006346A7">
            <w:pPr>
              <w:pStyle w:val="a4"/>
              <w:keepNext/>
              <w:keepLines/>
              <w:tabs>
                <w:tab w:val="left" w:pos="0"/>
              </w:tabs>
              <w:spacing w:before="0" w:beforeAutospacing="0" w:after="0" w:afterAutospacing="0"/>
              <w:contextualSpacing/>
              <w:jc w:val="both"/>
              <w:rPr>
                <w:sz w:val="22"/>
                <w:szCs w:val="22"/>
              </w:rPr>
            </w:pPr>
            <w:r w:rsidRPr="00C61AA4">
              <w:rPr>
                <w:sz w:val="22"/>
                <w:szCs w:val="22"/>
              </w:rPr>
              <w:t>Создание симметричной и адекватной рискам регуляторной среды в рамках либерализации доступа на финансовый рынок.</w:t>
            </w:r>
          </w:p>
        </w:tc>
        <w:tc>
          <w:tcPr>
            <w:tcW w:w="2410" w:type="dxa"/>
          </w:tcPr>
          <w:p w:rsidR="00D56804" w:rsidRPr="00C61AA4" w:rsidRDefault="00D56804" w:rsidP="006346A7">
            <w:pPr>
              <w:pStyle w:val="a4"/>
              <w:keepNext/>
              <w:keepLines/>
              <w:tabs>
                <w:tab w:val="left" w:pos="0"/>
              </w:tabs>
              <w:spacing w:before="0" w:beforeAutospacing="0" w:after="0" w:afterAutospacing="0"/>
              <w:contextualSpacing/>
              <w:jc w:val="both"/>
              <w:rPr>
                <w:sz w:val="22"/>
                <w:szCs w:val="22"/>
              </w:rPr>
            </w:pPr>
            <w:r w:rsidRPr="00C61AA4">
              <w:rPr>
                <w:sz w:val="22"/>
                <w:szCs w:val="22"/>
              </w:rPr>
              <w:t>Меры оперативного реагирования не были востребованы (риск не наступил).</w:t>
            </w:r>
          </w:p>
        </w:tc>
        <w:tc>
          <w:tcPr>
            <w:tcW w:w="2091" w:type="dxa"/>
          </w:tcPr>
          <w:p w:rsidR="00D56804" w:rsidRPr="00C61AA4" w:rsidRDefault="00D56804" w:rsidP="006346A7">
            <w:pPr>
              <w:contextualSpacing/>
              <w:jc w:val="both"/>
              <w:rPr>
                <w:rFonts w:ascii="Times New Roman" w:hAnsi="Times New Roman" w:cs="Times New Roman"/>
              </w:rPr>
            </w:pPr>
          </w:p>
        </w:tc>
      </w:tr>
      <w:tr w:rsidR="00D56804" w:rsidRPr="00C61AA4" w:rsidTr="00D56804">
        <w:tc>
          <w:tcPr>
            <w:tcW w:w="3369" w:type="dxa"/>
            <w:vMerge/>
          </w:tcPr>
          <w:p w:rsidR="00D56804" w:rsidRPr="00C61AA4" w:rsidRDefault="00D56804" w:rsidP="006346A7">
            <w:pPr>
              <w:contextualSpacing/>
              <w:jc w:val="both"/>
              <w:rPr>
                <w:rFonts w:ascii="Times New Roman" w:hAnsi="Times New Roman" w:cs="Times New Roman"/>
              </w:rPr>
            </w:pPr>
          </w:p>
        </w:tc>
        <w:tc>
          <w:tcPr>
            <w:tcW w:w="2551" w:type="dxa"/>
          </w:tcPr>
          <w:p w:rsidR="00D56804" w:rsidRPr="00C61AA4" w:rsidRDefault="00D56804" w:rsidP="006346A7">
            <w:pPr>
              <w:pStyle w:val="a4"/>
              <w:keepNext/>
              <w:keepLines/>
              <w:tabs>
                <w:tab w:val="left" w:pos="0"/>
              </w:tabs>
              <w:spacing w:before="0" w:beforeAutospacing="0" w:after="0" w:afterAutospacing="0"/>
              <w:contextualSpacing/>
              <w:jc w:val="both"/>
              <w:rPr>
                <w:sz w:val="22"/>
                <w:szCs w:val="22"/>
              </w:rPr>
            </w:pPr>
            <w:r w:rsidRPr="00C61AA4">
              <w:rPr>
                <w:sz w:val="22"/>
                <w:szCs w:val="22"/>
              </w:rPr>
              <w:t>Повышение конкурентоспособности банковского сектора через дальнейшее институциональное развитие: повышение акцента на развитии «группы средних банков», а также «банков-чемпионов» на основе системообразующих банков.</w:t>
            </w:r>
          </w:p>
        </w:tc>
        <w:tc>
          <w:tcPr>
            <w:tcW w:w="2410" w:type="dxa"/>
          </w:tcPr>
          <w:p w:rsidR="00D56804" w:rsidRPr="00C61AA4" w:rsidRDefault="00D56804" w:rsidP="006346A7">
            <w:pPr>
              <w:pStyle w:val="a4"/>
              <w:keepNext/>
              <w:keepLines/>
              <w:tabs>
                <w:tab w:val="left" w:pos="0"/>
              </w:tabs>
              <w:spacing w:before="0" w:beforeAutospacing="0" w:after="0" w:afterAutospacing="0"/>
              <w:contextualSpacing/>
              <w:jc w:val="both"/>
              <w:rPr>
                <w:sz w:val="22"/>
                <w:szCs w:val="22"/>
              </w:rPr>
            </w:pPr>
            <w:r w:rsidRPr="00C61AA4">
              <w:rPr>
                <w:sz w:val="22"/>
                <w:szCs w:val="22"/>
              </w:rPr>
              <w:t>Меры оперативного реагирования не были востребованы (риск не наступил).</w:t>
            </w:r>
          </w:p>
        </w:tc>
        <w:tc>
          <w:tcPr>
            <w:tcW w:w="2091" w:type="dxa"/>
          </w:tcPr>
          <w:p w:rsidR="00D56804" w:rsidRPr="00C61AA4" w:rsidRDefault="00D56804" w:rsidP="006346A7">
            <w:pPr>
              <w:contextualSpacing/>
              <w:jc w:val="both"/>
              <w:rPr>
                <w:rFonts w:ascii="Times New Roman" w:hAnsi="Times New Roman" w:cs="Times New Roman"/>
              </w:rPr>
            </w:pPr>
          </w:p>
        </w:tc>
      </w:tr>
      <w:tr w:rsidR="00D56804" w:rsidRPr="00C61AA4" w:rsidTr="00D56804">
        <w:tc>
          <w:tcPr>
            <w:tcW w:w="3369" w:type="dxa"/>
            <w:vMerge w:val="restart"/>
          </w:tcPr>
          <w:p w:rsidR="00D56804" w:rsidRPr="00C61AA4" w:rsidRDefault="00D56804" w:rsidP="006346A7">
            <w:pPr>
              <w:contextualSpacing/>
              <w:jc w:val="both"/>
              <w:rPr>
                <w:rFonts w:ascii="Times New Roman" w:hAnsi="Times New Roman"/>
              </w:rPr>
            </w:pPr>
            <w:r w:rsidRPr="00C61AA4">
              <w:rPr>
                <w:rFonts w:ascii="Times New Roman" w:hAnsi="Times New Roman"/>
              </w:rPr>
              <w:t xml:space="preserve">Высокий уровень </w:t>
            </w:r>
            <w:proofErr w:type="spellStart"/>
            <w:r w:rsidRPr="00C61AA4">
              <w:rPr>
                <w:rFonts w:ascii="Times New Roman" w:hAnsi="Times New Roman"/>
              </w:rPr>
              <w:t>долларизации</w:t>
            </w:r>
            <w:proofErr w:type="spellEnd"/>
            <w:r w:rsidRPr="00C61AA4">
              <w:rPr>
                <w:rFonts w:ascii="Times New Roman" w:hAnsi="Times New Roman"/>
              </w:rPr>
              <w:t>.</w:t>
            </w:r>
          </w:p>
        </w:tc>
        <w:tc>
          <w:tcPr>
            <w:tcW w:w="2551" w:type="dxa"/>
          </w:tcPr>
          <w:p w:rsidR="00D56804" w:rsidRPr="00C61AA4" w:rsidRDefault="00D56804" w:rsidP="006346A7">
            <w:pPr>
              <w:pStyle w:val="a4"/>
              <w:keepNext/>
              <w:keepLines/>
              <w:tabs>
                <w:tab w:val="left" w:pos="0"/>
              </w:tabs>
              <w:spacing w:before="0" w:beforeAutospacing="0" w:after="0" w:afterAutospacing="0"/>
              <w:contextualSpacing/>
              <w:jc w:val="both"/>
              <w:rPr>
                <w:sz w:val="22"/>
                <w:szCs w:val="22"/>
              </w:rPr>
            </w:pPr>
            <w:r w:rsidRPr="00C61AA4">
              <w:rPr>
                <w:sz w:val="22"/>
                <w:szCs w:val="22"/>
              </w:rPr>
              <w:t xml:space="preserve">Принятие мер по повышению привлекательности </w:t>
            </w:r>
            <w:proofErr w:type="spellStart"/>
            <w:r w:rsidRPr="00C61AA4">
              <w:rPr>
                <w:sz w:val="22"/>
                <w:szCs w:val="22"/>
              </w:rPr>
              <w:t>тенговых</w:t>
            </w:r>
            <w:proofErr w:type="spellEnd"/>
            <w:r w:rsidRPr="00C61AA4">
              <w:rPr>
                <w:sz w:val="22"/>
                <w:szCs w:val="22"/>
              </w:rPr>
              <w:t xml:space="preserve"> инструментов: развитие рынка корпоративных ценных бумаг, расширение возможностей институциональных инвесторов, стимулирование биржевой торговли финансовыми инструментами в тенге.</w:t>
            </w:r>
          </w:p>
        </w:tc>
        <w:tc>
          <w:tcPr>
            <w:tcW w:w="2410" w:type="dxa"/>
          </w:tcPr>
          <w:p w:rsidR="00D56804" w:rsidRPr="00C61AA4" w:rsidRDefault="006B1E43" w:rsidP="006B1E43">
            <w:pPr>
              <w:contextualSpacing/>
              <w:jc w:val="both"/>
            </w:pPr>
            <w:r w:rsidRPr="00C61AA4">
              <w:rPr>
                <w:rFonts w:ascii="Times New Roman" w:hAnsi="Times New Roman"/>
                <w:i/>
              </w:rPr>
              <w:t>См. аналитическую записку</w:t>
            </w:r>
          </w:p>
        </w:tc>
        <w:tc>
          <w:tcPr>
            <w:tcW w:w="2091" w:type="dxa"/>
          </w:tcPr>
          <w:p w:rsidR="00D56804" w:rsidRPr="00C61AA4" w:rsidRDefault="00D56804" w:rsidP="006346A7">
            <w:pPr>
              <w:contextualSpacing/>
              <w:jc w:val="both"/>
              <w:rPr>
                <w:rFonts w:ascii="Times New Roman" w:hAnsi="Times New Roman" w:cs="Times New Roman"/>
              </w:rPr>
            </w:pPr>
          </w:p>
        </w:tc>
      </w:tr>
      <w:tr w:rsidR="00D56804" w:rsidRPr="00C61AA4" w:rsidTr="00D56804">
        <w:tc>
          <w:tcPr>
            <w:tcW w:w="3369" w:type="dxa"/>
            <w:vMerge/>
          </w:tcPr>
          <w:p w:rsidR="00D56804" w:rsidRPr="00C61AA4" w:rsidRDefault="00D56804" w:rsidP="006346A7">
            <w:pPr>
              <w:contextualSpacing/>
              <w:jc w:val="both"/>
              <w:rPr>
                <w:rFonts w:ascii="Times New Roman" w:hAnsi="Times New Roman" w:cs="Times New Roman"/>
              </w:rPr>
            </w:pPr>
          </w:p>
        </w:tc>
        <w:tc>
          <w:tcPr>
            <w:tcW w:w="2551" w:type="dxa"/>
          </w:tcPr>
          <w:p w:rsidR="00D56804" w:rsidRPr="00C61AA4" w:rsidRDefault="00D56804" w:rsidP="006346A7">
            <w:pPr>
              <w:pStyle w:val="a4"/>
              <w:keepNext/>
              <w:keepLines/>
              <w:tabs>
                <w:tab w:val="left" w:pos="0"/>
              </w:tabs>
              <w:spacing w:before="0" w:beforeAutospacing="0" w:after="0" w:afterAutospacing="0"/>
              <w:contextualSpacing/>
              <w:jc w:val="both"/>
              <w:rPr>
                <w:sz w:val="22"/>
                <w:szCs w:val="22"/>
              </w:rPr>
            </w:pPr>
            <w:r w:rsidRPr="00C61AA4">
              <w:rPr>
                <w:sz w:val="22"/>
                <w:szCs w:val="22"/>
              </w:rPr>
              <w:t xml:space="preserve">Рассмотрение вопроса по расширению дифференциала рекомендуемых Казахстанским фондом гарантирования депозитов ставок по депозитам в тенге и иностранной валюте с целью снижения </w:t>
            </w:r>
            <w:proofErr w:type="spellStart"/>
            <w:r w:rsidRPr="00C61AA4">
              <w:rPr>
                <w:sz w:val="22"/>
                <w:szCs w:val="22"/>
              </w:rPr>
              <w:t>долларизации</w:t>
            </w:r>
            <w:proofErr w:type="spellEnd"/>
            <w:r w:rsidRPr="00C61AA4">
              <w:rPr>
                <w:sz w:val="22"/>
                <w:szCs w:val="22"/>
              </w:rPr>
              <w:t xml:space="preserve"> экономики и укрепления доверия к национальной валюте.</w:t>
            </w:r>
          </w:p>
        </w:tc>
        <w:tc>
          <w:tcPr>
            <w:tcW w:w="2410" w:type="dxa"/>
          </w:tcPr>
          <w:p w:rsidR="00D56804" w:rsidRPr="00C61AA4" w:rsidRDefault="00D56804" w:rsidP="006346A7">
            <w:pPr>
              <w:contextualSpacing/>
              <w:jc w:val="both"/>
              <w:rPr>
                <w:rFonts w:ascii="Times New Roman" w:hAnsi="Times New Roman"/>
                <w:i/>
              </w:rPr>
            </w:pPr>
            <w:r w:rsidRPr="00C61AA4">
              <w:rPr>
                <w:rFonts w:ascii="Times New Roman" w:hAnsi="Times New Roman"/>
                <w:i/>
              </w:rPr>
              <w:t>См. аналитическую записку</w:t>
            </w:r>
          </w:p>
        </w:tc>
        <w:tc>
          <w:tcPr>
            <w:tcW w:w="2091" w:type="dxa"/>
          </w:tcPr>
          <w:p w:rsidR="00D56804" w:rsidRPr="00C61AA4" w:rsidRDefault="00D56804" w:rsidP="006346A7">
            <w:pPr>
              <w:contextualSpacing/>
              <w:jc w:val="both"/>
              <w:rPr>
                <w:rFonts w:ascii="Times New Roman" w:hAnsi="Times New Roman" w:cs="Times New Roman"/>
              </w:rPr>
            </w:pPr>
          </w:p>
        </w:tc>
      </w:tr>
      <w:tr w:rsidR="00D56804" w:rsidRPr="00C61AA4" w:rsidTr="00D56804">
        <w:tc>
          <w:tcPr>
            <w:tcW w:w="3369" w:type="dxa"/>
            <w:vMerge w:val="restart"/>
          </w:tcPr>
          <w:p w:rsidR="00D56804" w:rsidRPr="00C61AA4" w:rsidRDefault="00D56804" w:rsidP="006346A7">
            <w:pPr>
              <w:contextualSpacing/>
              <w:jc w:val="both"/>
              <w:rPr>
                <w:rFonts w:ascii="Times New Roman" w:hAnsi="Times New Roman" w:cs="Times New Roman"/>
              </w:rPr>
            </w:pPr>
            <w:r w:rsidRPr="00C61AA4">
              <w:rPr>
                <w:rFonts w:ascii="Times New Roman" w:hAnsi="Times New Roman"/>
              </w:rPr>
              <w:t xml:space="preserve">Дефицит </w:t>
            </w:r>
            <w:proofErr w:type="spellStart"/>
            <w:r w:rsidRPr="00C61AA4">
              <w:rPr>
                <w:rFonts w:ascii="Times New Roman" w:hAnsi="Times New Roman"/>
              </w:rPr>
              <w:t>тенговой</w:t>
            </w:r>
            <w:proofErr w:type="spellEnd"/>
            <w:r w:rsidRPr="00C61AA4">
              <w:rPr>
                <w:rFonts w:ascii="Times New Roman" w:hAnsi="Times New Roman"/>
              </w:rPr>
              <w:t xml:space="preserve"> ликвидности.</w:t>
            </w:r>
          </w:p>
        </w:tc>
        <w:tc>
          <w:tcPr>
            <w:tcW w:w="2551" w:type="dxa"/>
          </w:tcPr>
          <w:p w:rsidR="00D56804" w:rsidRPr="00C61AA4" w:rsidRDefault="00D56804" w:rsidP="006346A7">
            <w:pPr>
              <w:pStyle w:val="a4"/>
              <w:keepNext/>
              <w:keepLines/>
              <w:tabs>
                <w:tab w:val="left" w:pos="0"/>
              </w:tabs>
              <w:spacing w:before="0" w:beforeAutospacing="0" w:after="0" w:afterAutospacing="0"/>
              <w:contextualSpacing/>
              <w:jc w:val="both"/>
              <w:rPr>
                <w:sz w:val="22"/>
                <w:szCs w:val="22"/>
              </w:rPr>
            </w:pPr>
            <w:r w:rsidRPr="00C61AA4">
              <w:rPr>
                <w:sz w:val="22"/>
                <w:szCs w:val="22"/>
              </w:rPr>
              <w:t xml:space="preserve">Повышение эффективности операций денежно-кредитной политики </w:t>
            </w:r>
            <w:r w:rsidRPr="00C61AA4">
              <w:rPr>
                <w:sz w:val="22"/>
                <w:szCs w:val="22"/>
              </w:rPr>
              <w:lastRenderedPageBreak/>
              <w:t>Национального Банка.</w:t>
            </w:r>
          </w:p>
        </w:tc>
        <w:tc>
          <w:tcPr>
            <w:tcW w:w="2410" w:type="dxa"/>
          </w:tcPr>
          <w:p w:rsidR="00D56804" w:rsidRPr="00C61AA4" w:rsidRDefault="00D56804" w:rsidP="006346A7">
            <w:pPr>
              <w:contextualSpacing/>
              <w:jc w:val="both"/>
              <w:rPr>
                <w:rFonts w:ascii="Times New Roman" w:hAnsi="Times New Roman"/>
              </w:rPr>
            </w:pPr>
            <w:r w:rsidRPr="00C61AA4">
              <w:rPr>
                <w:rFonts w:ascii="Times New Roman" w:hAnsi="Times New Roman"/>
              </w:rPr>
              <w:lastRenderedPageBreak/>
              <w:t>Меры оперативного реагирования не были востребованы (риск не наступил).</w:t>
            </w:r>
          </w:p>
        </w:tc>
        <w:tc>
          <w:tcPr>
            <w:tcW w:w="2091" w:type="dxa"/>
          </w:tcPr>
          <w:p w:rsidR="00D56804" w:rsidRPr="00C61AA4" w:rsidRDefault="00D56804" w:rsidP="006346A7">
            <w:pPr>
              <w:contextualSpacing/>
              <w:jc w:val="both"/>
              <w:rPr>
                <w:rFonts w:ascii="Times New Roman" w:hAnsi="Times New Roman" w:cs="Times New Roman"/>
              </w:rPr>
            </w:pPr>
          </w:p>
        </w:tc>
      </w:tr>
      <w:tr w:rsidR="00D56804" w:rsidRPr="00C61AA4" w:rsidTr="00D56804">
        <w:tc>
          <w:tcPr>
            <w:tcW w:w="3369" w:type="dxa"/>
            <w:vMerge/>
          </w:tcPr>
          <w:p w:rsidR="00D56804" w:rsidRPr="00C61AA4" w:rsidRDefault="00D56804" w:rsidP="006346A7">
            <w:pPr>
              <w:contextualSpacing/>
              <w:jc w:val="both"/>
              <w:rPr>
                <w:rFonts w:ascii="Times New Roman" w:hAnsi="Times New Roman" w:cs="Times New Roman"/>
              </w:rPr>
            </w:pPr>
          </w:p>
        </w:tc>
        <w:tc>
          <w:tcPr>
            <w:tcW w:w="2551" w:type="dxa"/>
          </w:tcPr>
          <w:p w:rsidR="00D56804" w:rsidRPr="00C61AA4" w:rsidRDefault="00D56804" w:rsidP="006346A7">
            <w:pPr>
              <w:pStyle w:val="a4"/>
              <w:keepNext/>
              <w:keepLines/>
              <w:tabs>
                <w:tab w:val="left" w:pos="0"/>
              </w:tabs>
              <w:spacing w:before="0" w:beforeAutospacing="0" w:after="0" w:afterAutospacing="0"/>
              <w:contextualSpacing/>
              <w:jc w:val="both"/>
              <w:rPr>
                <w:sz w:val="22"/>
                <w:szCs w:val="22"/>
              </w:rPr>
            </w:pPr>
            <w:r w:rsidRPr="00C61AA4">
              <w:rPr>
                <w:sz w:val="22"/>
                <w:szCs w:val="22"/>
              </w:rPr>
              <w:t xml:space="preserve">Расширение перечня залогового обеспечения при представлении банкам </w:t>
            </w:r>
            <w:proofErr w:type="spellStart"/>
            <w:r w:rsidRPr="00C61AA4">
              <w:rPr>
                <w:sz w:val="22"/>
                <w:szCs w:val="22"/>
              </w:rPr>
              <w:t>тенговой</w:t>
            </w:r>
            <w:proofErr w:type="spellEnd"/>
            <w:r w:rsidRPr="00C61AA4">
              <w:rPr>
                <w:sz w:val="22"/>
                <w:szCs w:val="22"/>
              </w:rPr>
              <w:t xml:space="preserve"> ликвидности.</w:t>
            </w:r>
          </w:p>
        </w:tc>
        <w:tc>
          <w:tcPr>
            <w:tcW w:w="2410" w:type="dxa"/>
          </w:tcPr>
          <w:p w:rsidR="00D56804" w:rsidRPr="00C61AA4" w:rsidRDefault="00D56804" w:rsidP="006346A7">
            <w:pPr>
              <w:contextualSpacing/>
              <w:jc w:val="both"/>
              <w:rPr>
                <w:rFonts w:ascii="Times New Roman" w:hAnsi="Times New Roman"/>
              </w:rPr>
            </w:pPr>
            <w:r w:rsidRPr="00C61AA4">
              <w:rPr>
                <w:rFonts w:ascii="Times New Roman" w:hAnsi="Times New Roman"/>
              </w:rPr>
              <w:t>Меры оперативного реагирования не были востребованы (риск не наступил).</w:t>
            </w:r>
          </w:p>
        </w:tc>
        <w:tc>
          <w:tcPr>
            <w:tcW w:w="2091" w:type="dxa"/>
          </w:tcPr>
          <w:p w:rsidR="00D56804" w:rsidRPr="00C61AA4" w:rsidRDefault="00D56804" w:rsidP="006346A7">
            <w:pPr>
              <w:contextualSpacing/>
              <w:jc w:val="both"/>
              <w:rPr>
                <w:rFonts w:ascii="Times New Roman" w:hAnsi="Times New Roman" w:cs="Times New Roman"/>
              </w:rPr>
            </w:pPr>
          </w:p>
        </w:tc>
      </w:tr>
      <w:tr w:rsidR="00D56804" w:rsidRPr="00C61AA4" w:rsidTr="00D56804">
        <w:tc>
          <w:tcPr>
            <w:tcW w:w="3369" w:type="dxa"/>
            <w:vMerge w:val="restart"/>
          </w:tcPr>
          <w:p w:rsidR="00D56804" w:rsidRPr="00C61AA4" w:rsidRDefault="00D56804" w:rsidP="006346A7">
            <w:pPr>
              <w:contextualSpacing/>
              <w:jc w:val="both"/>
              <w:rPr>
                <w:rFonts w:ascii="Times New Roman" w:hAnsi="Times New Roman" w:cs="Times New Roman"/>
              </w:rPr>
            </w:pPr>
            <w:r w:rsidRPr="00C61AA4">
              <w:rPr>
                <w:rFonts w:ascii="Times New Roman" w:hAnsi="Times New Roman"/>
              </w:rPr>
              <w:t>Ухудшение финансовой устойчивости банков.</w:t>
            </w:r>
          </w:p>
        </w:tc>
        <w:tc>
          <w:tcPr>
            <w:tcW w:w="2551" w:type="dxa"/>
          </w:tcPr>
          <w:p w:rsidR="00D56804" w:rsidRPr="00C61AA4" w:rsidRDefault="00D56804" w:rsidP="006346A7">
            <w:pPr>
              <w:pStyle w:val="a4"/>
              <w:keepNext/>
              <w:keepLines/>
              <w:tabs>
                <w:tab w:val="left" w:pos="0"/>
              </w:tabs>
              <w:spacing w:before="0" w:beforeAutospacing="0" w:after="0" w:afterAutospacing="0"/>
              <w:contextualSpacing/>
              <w:jc w:val="both"/>
              <w:rPr>
                <w:sz w:val="22"/>
                <w:szCs w:val="22"/>
              </w:rPr>
            </w:pPr>
            <w:r w:rsidRPr="00C61AA4">
              <w:rPr>
                <w:sz w:val="22"/>
                <w:szCs w:val="22"/>
              </w:rPr>
              <w:t xml:space="preserve">Совершенствование </w:t>
            </w:r>
            <w:proofErr w:type="spellStart"/>
            <w:r w:rsidRPr="00C61AA4">
              <w:rPr>
                <w:sz w:val="22"/>
                <w:szCs w:val="22"/>
              </w:rPr>
              <w:t>пруденциального</w:t>
            </w:r>
            <w:proofErr w:type="spellEnd"/>
            <w:r w:rsidRPr="00C61AA4">
              <w:rPr>
                <w:sz w:val="22"/>
                <w:szCs w:val="22"/>
              </w:rPr>
              <w:t xml:space="preserve"> регулирования банков.</w:t>
            </w:r>
          </w:p>
        </w:tc>
        <w:tc>
          <w:tcPr>
            <w:tcW w:w="2410" w:type="dxa"/>
          </w:tcPr>
          <w:p w:rsidR="00D56804" w:rsidRPr="00C61AA4" w:rsidRDefault="00D56804" w:rsidP="006346A7">
            <w:pPr>
              <w:contextualSpacing/>
              <w:jc w:val="both"/>
              <w:rPr>
                <w:rFonts w:ascii="Times New Roman" w:hAnsi="Times New Roman"/>
                <w:i/>
              </w:rPr>
            </w:pPr>
            <w:r w:rsidRPr="00C61AA4">
              <w:rPr>
                <w:rFonts w:ascii="Times New Roman" w:hAnsi="Times New Roman"/>
                <w:i/>
              </w:rPr>
              <w:t>См. аналитическую записку</w:t>
            </w:r>
          </w:p>
        </w:tc>
        <w:tc>
          <w:tcPr>
            <w:tcW w:w="2091" w:type="dxa"/>
          </w:tcPr>
          <w:p w:rsidR="00D56804" w:rsidRPr="00C61AA4" w:rsidRDefault="00D56804" w:rsidP="006346A7">
            <w:pPr>
              <w:contextualSpacing/>
              <w:jc w:val="both"/>
              <w:rPr>
                <w:rFonts w:ascii="Times New Roman" w:hAnsi="Times New Roman" w:cs="Times New Roman"/>
              </w:rPr>
            </w:pPr>
          </w:p>
        </w:tc>
      </w:tr>
      <w:tr w:rsidR="00D56804" w:rsidRPr="00C61AA4" w:rsidTr="00D56804">
        <w:tc>
          <w:tcPr>
            <w:tcW w:w="3369" w:type="dxa"/>
            <w:vMerge/>
          </w:tcPr>
          <w:p w:rsidR="00D56804" w:rsidRPr="00C61AA4" w:rsidRDefault="00D56804" w:rsidP="006346A7">
            <w:pPr>
              <w:contextualSpacing/>
              <w:jc w:val="both"/>
              <w:rPr>
                <w:rFonts w:ascii="Times New Roman" w:hAnsi="Times New Roman" w:cs="Times New Roman"/>
              </w:rPr>
            </w:pPr>
          </w:p>
        </w:tc>
        <w:tc>
          <w:tcPr>
            <w:tcW w:w="2551" w:type="dxa"/>
          </w:tcPr>
          <w:p w:rsidR="00D56804" w:rsidRPr="00C61AA4" w:rsidRDefault="00D56804" w:rsidP="006346A7">
            <w:pPr>
              <w:pStyle w:val="a4"/>
              <w:keepNext/>
              <w:keepLines/>
              <w:tabs>
                <w:tab w:val="left" w:pos="0"/>
              </w:tabs>
              <w:spacing w:before="0" w:beforeAutospacing="0" w:after="0" w:afterAutospacing="0"/>
              <w:contextualSpacing/>
              <w:jc w:val="both"/>
              <w:rPr>
                <w:sz w:val="22"/>
                <w:szCs w:val="22"/>
              </w:rPr>
            </w:pPr>
            <w:r w:rsidRPr="00C61AA4">
              <w:rPr>
                <w:sz w:val="22"/>
                <w:szCs w:val="22"/>
              </w:rPr>
              <w:t>Реализация процедур надзора в целях обеспечения банками требований законодательства.</w:t>
            </w:r>
          </w:p>
        </w:tc>
        <w:tc>
          <w:tcPr>
            <w:tcW w:w="2410" w:type="dxa"/>
          </w:tcPr>
          <w:p w:rsidR="00D56804" w:rsidRPr="00C61AA4" w:rsidRDefault="00D56804" w:rsidP="006346A7">
            <w:pPr>
              <w:contextualSpacing/>
              <w:jc w:val="both"/>
              <w:rPr>
                <w:rFonts w:ascii="Times New Roman" w:hAnsi="Times New Roman"/>
              </w:rPr>
            </w:pPr>
            <w:r w:rsidRPr="00C61AA4">
              <w:rPr>
                <w:rFonts w:ascii="Times New Roman" w:hAnsi="Times New Roman"/>
                <w:i/>
              </w:rPr>
              <w:t>См. аналитическую записку</w:t>
            </w:r>
          </w:p>
        </w:tc>
        <w:tc>
          <w:tcPr>
            <w:tcW w:w="2091" w:type="dxa"/>
          </w:tcPr>
          <w:p w:rsidR="00D56804" w:rsidRPr="00C61AA4" w:rsidRDefault="00D56804" w:rsidP="006346A7">
            <w:pPr>
              <w:contextualSpacing/>
              <w:jc w:val="both"/>
              <w:rPr>
                <w:rFonts w:ascii="Times New Roman" w:hAnsi="Times New Roman" w:cs="Times New Roman"/>
              </w:rPr>
            </w:pPr>
          </w:p>
        </w:tc>
      </w:tr>
      <w:tr w:rsidR="00D56804" w:rsidRPr="00C61AA4" w:rsidTr="00D56804">
        <w:tc>
          <w:tcPr>
            <w:tcW w:w="3369" w:type="dxa"/>
            <w:vMerge/>
          </w:tcPr>
          <w:p w:rsidR="00D56804" w:rsidRPr="00C61AA4" w:rsidRDefault="00D56804" w:rsidP="006346A7">
            <w:pPr>
              <w:contextualSpacing/>
              <w:jc w:val="both"/>
              <w:rPr>
                <w:rFonts w:ascii="Times New Roman" w:hAnsi="Times New Roman" w:cs="Times New Roman"/>
              </w:rPr>
            </w:pPr>
          </w:p>
        </w:tc>
        <w:tc>
          <w:tcPr>
            <w:tcW w:w="2551" w:type="dxa"/>
          </w:tcPr>
          <w:p w:rsidR="00D56804" w:rsidRPr="00C61AA4" w:rsidRDefault="00D56804" w:rsidP="006346A7">
            <w:pPr>
              <w:pStyle w:val="a4"/>
              <w:keepNext/>
              <w:keepLines/>
              <w:tabs>
                <w:tab w:val="left" w:pos="0"/>
              </w:tabs>
              <w:spacing w:before="0" w:beforeAutospacing="0" w:after="0" w:afterAutospacing="0"/>
              <w:contextualSpacing/>
              <w:jc w:val="both"/>
              <w:rPr>
                <w:sz w:val="22"/>
                <w:szCs w:val="22"/>
              </w:rPr>
            </w:pPr>
            <w:r w:rsidRPr="00C61AA4">
              <w:rPr>
                <w:sz w:val="22"/>
                <w:szCs w:val="22"/>
              </w:rPr>
              <w:t>Реализация мер по стимулированию снижения неработающих займов.</w:t>
            </w:r>
          </w:p>
        </w:tc>
        <w:tc>
          <w:tcPr>
            <w:tcW w:w="2410" w:type="dxa"/>
          </w:tcPr>
          <w:p w:rsidR="00D56804" w:rsidRPr="00C61AA4" w:rsidRDefault="00D56804" w:rsidP="006346A7">
            <w:pPr>
              <w:contextualSpacing/>
              <w:jc w:val="both"/>
              <w:rPr>
                <w:rFonts w:ascii="Times New Roman" w:hAnsi="Times New Roman"/>
              </w:rPr>
            </w:pPr>
            <w:r w:rsidRPr="00C61AA4">
              <w:rPr>
                <w:rFonts w:ascii="Times New Roman" w:hAnsi="Times New Roman"/>
                <w:i/>
              </w:rPr>
              <w:t>См. аналитическую записку</w:t>
            </w:r>
          </w:p>
        </w:tc>
        <w:tc>
          <w:tcPr>
            <w:tcW w:w="2091" w:type="dxa"/>
          </w:tcPr>
          <w:p w:rsidR="00D56804" w:rsidRPr="00C61AA4" w:rsidRDefault="00D56804" w:rsidP="006346A7">
            <w:pPr>
              <w:contextualSpacing/>
              <w:jc w:val="both"/>
              <w:rPr>
                <w:rFonts w:ascii="Times New Roman" w:hAnsi="Times New Roman" w:cs="Times New Roman"/>
              </w:rPr>
            </w:pPr>
          </w:p>
        </w:tc>
      </w:tr>
      <w:tr w:rsidR="00250274" w:rsidRPr="00C61AA4" w:rsidTr="00D56804">
        <w:tc>
          <w:tcPr>
            <w:tcW w:w="3369" w:type="dxa"/>
          </w:tcPr>
          <w:p w:rsidR="00250274" w:rsidRPr="00C61AA4" w:rsidRDefault="00250274" w:rsidP="006346A7">
            <w:pPr>
              <w:contextualSpacing/>
              <w:jc w:val="both"/>
              <w:rPr>
                <w:rFonts w:ascii="Times New Roman" w:hAnsi="Times New Roman"/>
              </w:rPr>
            </w:pPr>
            <w:r w:rsidRPr="00C61AA4">
              <w:rPr>
                <w:rFonts w:ascii="Times New Roman" w:hAnsi="Times New Roman"/>
              </w:rPr>
              <w:t>Валютный риск. Влияние высокой концентрации активов в иностранной валюте на уровень неработающих кредитов.</w:t>
            </w:r>
          </w:p>
        </w:tc>
        <w:tc>
          <w:tcPr>
            <w:tcW w:w="2551" w:type="dxa"/>
          </w:tcPr>
          <w:p w:rsidR="00250274" w:rsidRPr="00C61AA4" w:rsidRDefault="00250274" w:rsidP="006346A7">
            <w:pPr>
              <w:contextualSpacing/>
              <w:jc w:val="both"/>
              <w:rPr>
                <w:rFonts w:ascii="Times New Roman" w:hAnsi="Times New Roman"/>
              </w:rPr>
            </w:pPr>
            <w:r w:rsidRPr="00C61AA4">
              <w:rPr>
                <w:rFonts w:ascii="Times New Roman" w:hAnsi="Times New Roman"/>
              </w:rPr>
              <w:t xml:space="preserve">В целях </w:t>
            </w:r>
            <w:proofErr w:type="spellStart"/>
            <w:r w:rsidRPr="00C61AA4">
              <w:rPr>
                <w:rFonts w:ascii="Times New Roman" w:hAnsi="Times New Roman"/>
              </w:rPr>
              <w:t>дестимулирования</w:t>
            </w:r>
            <w:proofErr w:type="spellEnd"/>
            <w:r w:rsidRPr="00C61AA4">
              <w:rPr>
                <w:rFonts w:ascii="Times New Roman" w:hAnsi="Times New Roman"/>
              </w:rPr>
              <w:t xml:space="preserve"> выдачи займов в иностранной валюте установление повышенных требований к собственному капиталу по займам в иностранной валюте заемщикам, не имеющим соответствующей валютной выручки.</w:t>
            </w:r>
          </w:p>
        </w:tc>
        <w:tc>
          <w:tcPr>
            <w:tcW w:w="2410" w:type="dxa"/>
          </w:tcPr>
          <w:p w:rsidR="00250274" w:rsidRPr="00C61AA4" w:rsidRDefault="00250274" w:rsidP="006346A7">
            <w:pPr>
              <w:contextualSpacing/>
              <w:jc w:val="both"/>
              <w:rPr>
                <w:rFonts w:ascii="Times New Roman" w:hAnsi="Times New Roman"/>
                <w:i/>
              </w:rPr>
            </w:pPr>
            <w:r w:rsidRPr="00C61AA4">
              <w:rPr>
                <w:rFonts w:ascii="Times New Roman" w:hAnsi="Times New Roman"/>
                <w:i/>
              </w:rPr>
              <w:t>См. аналитическую записку</w:t>
            </w:r>
          </w:p>
        </w:tc>
        <w:tc>
          <w:tcPr>
            <w:tcW w:w="2091" w:type="dxa"/>
          </w:tcPr>
          <w:p w:rsidR="00250274" w:rsidRPr="00C61AA4" w:rsidRDefault="00250274" w:rsidP="006346A7">
            <w:pPr>
              <w:contextualSpacing/>
              <w:jc w:val="both"/>
              <w:rPr>
                <w:rFonts w:ascii="Times New Roman" w:hAnsi="Times New Roman" w:cs="Times New Roman"/>
              </w:rPr>
            </w:pPr>
          </w:p>
        </w:tc>
      </w:tr>
      <w:tr w:rsidR="00250274" w:rsidRPr="00C61AA4" w:rsidTr="009E2774">
        <w:tc>
          <w:tcPr>
            <w:tcW w:w="10421" w:type="dxa"/>
            <w:gridSpan w:val="4"/>
          </w:tcPr>
          <w:p w:rsidR="00250274" w:rsidRPr="00C61AA4" w:rsidRDefault="00250274" w:rsidP="006346A7">
            <w:pPr>
              <w:contextualSpacing/>
              <w:jc w:val="center"/>
              <w:rPr>
                <w:rFonts w:ascii="Times New Roman" w:hAnsi="Times New Roman" w:cs="Times New Roman"/>
              </w:rPr>
            </w:pPr>
            <w:r w:rsidRPr="00C61AA4">
              <w:rPr>
                <w:rFonts w:ascii="Times New Roman" w:hAnsi="Times New Roman"/>
                <w:b/>
                <w:szCs w:val="28"/>
              </w:rPr>
              <w:t xml:space="preserve">Цель 2.2. </w:t>
            </w:r>
            <w:r w:rsidRPr="00C61AA4">
              <w:rPr>
                <w:rFonts w:ascii="Times New Roman" w:hAnsi="Times New Roman"/>
                <w:szCs w:val="28"/>
              </w:rPr>
              <w:t>Повышение финансовой устойчивости и создание необходимых условий для дальнейшего развития страхового рынка</w:t>
            </w:r>
          </w:p>
        </w:tc>
      </w:tr>
      <w:tr w:rsidR="00250274" w:rsidRPr="00C61AA4" w:rsidTr="00D56804">
        <w:tc>
          <w:tcPr>
            <w:tcW w:w="3369" w:type="dxa"/>
          </w:tcPr>
          <w:p w:rsidR="00250274" w:rsidRPr="00C61AA4" w:rsidRDefault="00250274" w:rsidP="006346A7">
            <w:pPr>
              <w:contextualSpacing/>
              <w:jc w:val="both"/>
              <w:rPr>
                <w:rFonts w:ascii="Times New Roman" w:hAnsi="Times New Roman"/>
              </w:rPr>
            </w:pPr>
            <w:r w:rsidRPr="00C61AA4">
              <w:rPr>
                <w:rFonts w:ascii="Times New Roman" w:hAnsi="Times New Roman"/>
              </w:rPr>
              <w:t>Ухудшение качества перестраховочной деятельности.</w:t>
            </w:r>
          </w:p>
        </w:tc>
        <w:tc>
          <w:tcPr>
            <w:tcW w:w="2551" w:type="dxa"/>
          </w:tcPr>
          <w:p w:rsidR="00250274" w:rsidRPr="00C61AA4" w:rsidRDefault="00250274" w:rsidP="006346A7">
            <w:pPr>
              <w:contextualSpacing/>
              <w:jc w:val="both"/>
              <w:rPr>
                <w:rFonts w:ascii="Times New Roman" w:hAnsi="Times New Roman"/>
              </w:rPr>
            </w:pPr>
            <w:r w:rsidRPr="00C61AA4">
              <w:rPr>
                <w:rFonts w:ascii="Times New Roman" w:hAnsi="Times New Roman"/>
              </w:rPr>
              <w:t>Изменение требований собственного удержания страховых премий в индивидуальном и агрегированном уровне и введение отдельных требований к деятельности страховых брокеров-резидентов и нерезидентов.</w:t>
            </w:r>
          </w:p>
        </w:tc>
        <w:tc>
          <w:tcPr>
            <w:tcW w:w="2410" w:type="dxa"/>
          </w:tcPr>
          <w:p w:rsidR="00250274" w:rsidRPr="00C61AA4" w:rsidRDefault="00250274" w:rsidP="006346A7">
            <w:pPr>
              <w:contextualSpacing/>
              <w:jc w:val="both"/>
              <w:rPr>
                <w:rFonts w:ascii="Times New Roman" w:hAnsi="Times New Roman"/>
              </w:rPr>
            </w:pPr>
            <w:r w:rsidRPr="00C61AA4">
              <w:rPr>
                <w:rFonts w:ascii="Times New Roman" w:hAnsi="Times New Roman"/>
              </w:rPr>
              <w:t>Изменены требования к размеру собственного удержания страховых организаций (принято постановлением Прав</w:t>
            </w:r>
            <w:r w:rsidR="00397C03" w:rsidRPr="00C61AA4">
              <w:rPr>
                <w:rFonts w:ascii="Times New Roman" w:hAnsi="Times New Roman"/>
              </w:rPr>
              <w:t>ления НБРК от 26.12.2016г. №304</w:t>
            </w:r>
            <w:r w:rsidRPr="00C61AA4">
              <w:rPr>
                <w:rFonts w:ascii="Times New Roman" w:hAnsi="Times New Roman"/>
              </w:rPr>
              <w:t>).</w:t>
            </w:r>
          </w:p>
          <w:p w:rsidR="00250274" w:rsidRPr="00C61AA4" w:rsidRDefault="00250274" w:rsidP="006346A7">
            <w:pPr>
              <w:contextualSpacing/>
              <w:jc w:val="both"/>
              <w:rPr>
                <w:rFonts w:ascii="Times New Roman" w:hAnsi="Times New Roman"/>
              </w:rPr>
            </w:pPr>
            <w:r w:rsidRPr="00C61AA4">
              <w:rPr>
                <w:rFonts w:ascii="Times New Roman" w:hAnsi="Times New Roman"/>
              </w:rPr>
              <w:t xml:space="preserve">Подготовлен проект закона РК «О внесении изменений и дополнений в некоторые законодательные акты Республики Казахстан по вопросам страхования и страховой деятельности», который включен в </w:t>
            </w:r>
            <w:r w:rsidRPr="00C61AA4">
              <w:rPr>
                <w:rFonts w:ascii="Times New Roman" w:hAnsi="Times New Roman"/>
              </w:rPr>
              <w:lastRenderedPageBreak/>
              <w:t>план законопроектных работ Правительства РК на 2017 год.</w:t>
            </w:r>
          </w:p>
        </w:tc>
        <w:tc>
          <w:tcPr>
            <w:tcW w:w="2091" w:type="dxa"/>
          </w:tcPr>
          <w:p w:rsidR="00250274" w:rsidRPr="00C61AA4" w:rsidRDefault="00250274" w:rsidP="006346A7">
            <w:pPr>
              <w:contextualSpacing/>
              <w:jc w:val="both"/>
              <w:rPr>
                <w:rFonts w:ascii="Times New Roman" w:hAnsi="Times New Roman" w:cs="Times New Roman"/>
              </w:rPr>
            </w:pPr>
          </w:p>
        </w:tc>
      </w:tr>
      <w:tr w:rsidR="00250274" w:rsidRPr="00C61AA4" w:rsidTr="00D56804">
        <w:tc>
          <w:tcPr>
            <w:tcW w:w="3369" w:type="dxa"/>
          </w:tcPr>
          <w:p w:rsidR="00250274" w:rsidRPr="00C61AA4" w:rsidRDefault="00250274" w:rsidP="006346A7">
            <w:pPr>
              <w:contextualSpacing/>
              <w:jc w:val="both"/>
              <w:rPr>
                <w:rFonts w:ascii="Times New Roman" w:hAnsi="Times New Roman"/>
              </w:rPr>
            </w:pPr>
            <w:r w:rsidRPr="00C61AA4">
              <w:rPr>
                <w:rFonts w:ascii="Times New Roman" w:hAnsi="Times New Roman"/>
              </w:rPr>
              <w:lastRenderedPageBreak/>
              <w:t>Увеличение расходов страховых организаций.</w:t>
            </w:r>
          </w:p>
        </w:tc>
        <w:tc>
          <w:tcPr>
            <w:tcW w:w="2551" w:type="dxa"/>
          </w:tcPr>
          <w:p w:rsidR="00250274" w:rsidRPr="00C61AA4" w:rsidRDefault="00250274" w:rsidP="006346A7">
            <w:pPr>
              <w:contextualSpacing/>
              <w:jc w:val="both"/>
              <w:rPr>
                <w:rFonts w:ascii="Times New Roman" w:hAnsi="Times New Roman"/>
              </w:rPr>
            </w:pPr>
            <w:r w:rsidRPr="00C61AA4">
              <w:rPr>
                <w:rFonts w:ascii="Times New Roman" w:hAnsi="Times New Roman"/>
              </w:rPr>
              <w:t>Введение электронных страховых полисов. Развитие онлайн-страхования в Республике Казахстан упростит процедуру  заключения договора страхования страхователями без обращения к страховым посредникам, а также снизит расходы страховых организаций (расходы на хранение, изготовление страховых полисов).</w:t>
            </w:r>
          </w:p>
        </w:tc>
        <w:tc>
          <w:tcPr>
            <w:tcW w:w="2410" w:type="dxa"/>
          </w:tcPr>
          <w:p w:rsidR="00250274" w:rsidRPr="00C61AA4" w:rsidRDefault="00250274" w:rsidP="006346A7">
            <w:pPr>
              <w:contextualSpacing/>
              <w:jc w:val="both"/>
              <w:rPr>
                <w:rFonts w:ascii="Times New Roman" w:hAnsi="Times New Roman"/>
              </w:rPr>
            </w:pPr>
            <w:r w:rsidRPr="00C61AA4">
              <w:rPr>
                <w:rFonts w:ascii="Times New Roman" w:hAnsi="Times New Roman"/>
              </w:rPr>
              <w:t>Подготовлен проект закона РК «О внесении изменений и дополнений в некоторые законодательные акты Республики Казахстан по вопросам страхования и страховой деятельности», который включен в план законопроектных работ Правительства РК на 2017 год.</w:t>
            </w:r>
          </w:p>
        </w:tc>
        <w:tc>
          <w:tcPr>
            <w:tcW w:w="2091" w:type="dxa"/>
          </w:tcPr>
          <w:p w:rsidR="00250274" w:rsidRPr="00C61AA4" w:rsidRDefault="00250274" w:rsidP="006346A7">
            <w:pPr>
              <w:contextualSpacing/>
              <w:jc w:val="both"/>
              <w:rPr>
                <w:rFonts w:ascii="Times New Roman" w:hAnsi="Times New Roman" w:cs="Times New Roman"/>
              </w:rPr>
            </w:pPr>
          </w:p>
        </w:tc>
      </w:tr>
      <w:tr w:rsidR="00250274" w:rsidRPr="00C61AA4" w:rsidTr="00D56804">
        <w:tc>
          <w:tcPr>
            <w:tcW w:w="3369" w:type="dxa"/>
          </w:tcPr>
          <w:p w:rsidR="00250274" w:rsidRPr="00C61AA4" w:rsidRDefault="00250274" w:rsidP="006346A7">
            <w:pPr>
              <w:contextualSpacing/>
              <w:jc w:val="both"/>
              <w:rPr>
                <w:rFonts w:ascii="Times New Roman" w:hAnsi="Times New Roman"/>
              </w:rPr>
            </w:pPr>
            <w:r w:rsidRPr="00C61AA4">
              <w:rPr>
                <w:rFonts w:ascii="Times New Roman" w:hAnsi="Times New Roman"/>
              </w:rPr>
              <w:t>Ухудшение финансовой устойчивости страховых организаций.</w:t>
            </w:r>
          </w:p>
        </w:tc>
        <w:tc>
          <w:tcPr>
            <w:tcW w:w="2551" w:type="dxa"/>
          </w:tcPr>
          <w:p w:rsidR="00250274" w:rsidRPr="00C61AA4" w:rsidRDefault="00250274" w:rsidP="006346A7">
            <w:pPr>
              <w:contextualSpacing/>
              <w:jc w:val="both"/>
              <w:rPr>
                <w:rFonts w:ascii="Times New Roman" w:hAnsi="Times New Roman"/>
              </w:rPr>
            </w:pPr>
            <w:r w:rsidRPr="00C61AA4">
              <w:rPr>
                <w:rFonts w:ascii="Times New Roman" w:hAnsi="Times New Roman"/>
              </w:rPr>
              <w:t xml:space="preserve">Выработка предложений по внедрению нового стандарта  достаточности собственного капитала страховых (перестраховочных) организаций в соответствии с </w:t>
            </w:r>
            <w:r w:rsidRPr="00C61AA4">
              <w:rPr>
                <w:rFonts w:ascii="Times New Roman" w:hAnsi="Times New Roman"/>
                <w:lang w:val="en-US"/>
              </w:rPr>
              <w:t>Solvency</w:t>
            </w:r>
            <w:r w:rsidRPr="00C61AA4">
              <w:rPr>
                <w:rFonts w:ascii="Times New Roman" w:hAnsi="Times New Roman"/>
              </w:rPr>
              <w:t xml:space="preserve"> </w:t>
            </w:r>
            <w:r w:rsidRPr="00C61AA4">
              <w:rPr>
                <w:rFonts w:ascii="Times New Roman" w:hAnsi="Times New Roman"/>
                <w:lang w:val="en-US"/>
              </w:rPr>
              <w:t>II</w:t>
            </w:r>
            <w:r w:rsidRPr="00C61AA4">
              <w:rPr>
                <w:rFonts w:ascii="Times New Roman" w:hAnsi="Times New Roman"/>
              </w:rPr>
              <w:t>.</w:t>
            </w:r>
          </w:p>
        </w:tc>
        <w:tc>
          <w:tcPr>
            <w:tcW w:w="2410" w:type="dxa"/>
          </w:tcPr>
          <w:p w:rsidR="00250274" w:rsidRPr="00C61AA4" w:rsidRDefault="00250274" w:rsidP="006346A7">
            <w:pPr>
              <w:contextualSpacing/>
              <w:jc w:val="both"/>
              <w:rPr>
                <w:rFonts w:ascii="Times New Roman" w:hAnsi="Times New Roman"/>
              </w:rPr>
            </w:pPr>
            <w:r w:rsidRPr="00C61AA4">
              <w:rPr>
                <w:rFonts w:ascii="Times New Roman" w:hAnsi="Times New Roman"/>
              </w:rPr>
              <w:t>Меры оперативного реагирования не были востребованы (риск не наступил)</w:t>
            </w:r>
          </w:p>
        </w:tc>
        <w:tc>
          <w:tcPr>
            <w:tcW w:w="2091" w:type="dxa"/>
          </w:tcPr>
          <w:p w:rsidR="00250274" w:rsidRPr="00C61AA4" w:rsidRDefault="00250274" w:rsidP="006346A7">
            <w:pPr>
              <w:contextualSpacing/>
              <w:jc w:val="both"/>
              <w:rPr>
                <w:rFonts w:ascii="Times New Roman" w:hAnsi="Times New Roman" w:cs="Times New Roman"/>
              </w:rPr>
            </w:pPr>
          </w:p>
        </w:tc>
      </w:tr>
      <w:tr w:rsidR="00C97C57" w:rsidRPr="00C61AA4" w:rsidTr="006A312D">
        <w:tc>
          <w:tcPr>
            <w:tcW w:w="10421" w:type="dxa"/>
            <w:gridSpan w:val="4"/>
          </w:tcPr>
          <w:p w:rsidR="00C97C57" w:rsidRPr="00C61AA4" w:rsidRDefault="00C97C57" w:rsidP="00C97C57">
            <w:pPr>
              <w:contextualSpacing/>
              <w:jc w:val="center"/>
              <w:rPr>
                <w:rFonts w:ascii="Times New Roman" w:hAnsi="Times New Roman" w:cs="Times New Roman"/>
              </w:rPr>
            </w:pPr>
            <w:r w:rsidRPr="00C61AA4">
              <w:rPr>
                <w:rFonts w:ascii="Times New Roman" w:hAnsi="Times New Roman" w:cs="Times New Roman"/>
                <w:b/>
              </w:rPr>
              <w:t>Цель 2.3.</w:t>
            </w:r>
            <w:r w:rsidRPr="00C61AA4">
              <w:rPr>
                <w:rFonts w:ascii="Times New Roman" w:hAnsi="Times New Roman" w:cs="Times New Roman"/>
              </w:rPr>
              <w:t xml:space="preserve"> </w:t>
            </w:r>
            <w:r w:rsidRPr="00C61AA4">
              <w:rPr>
                <w:rFonts w:ascii="Times New Roman" w:hAnsi="Times New Roman"/>
              </w:rPr>
              <w:t>Создание необходимых условий для дальнейшего развития рынка ценных бумаг</w:t>
            </w:r>
          </w:p>
        </w:tc>
      </w:tr>
      <w:tr w:rsidR="00C97C57" w:rsidRPr="00C61AA4" w:rsidTr="00D56804">
        <w:tc>
          <w:tcPr>
            <w:tcW w:w="3369" w:type="dxa"/>
          </w:tcPr>
          <w:p w:rsidR="00C97C57" w:rsidRPr="00C61AA4" w:rsidRDefault="00C97C57" w:rsidP="006346A7">
            <w:pPr>
              <w:contextualSpacing/>
              <w:jc w:val="both"/>
              <w:rPr>
                <w:rFonts w:ascii="Times New Roman" w:hAnsi="Times New Roman" w:cs="Times New Roman"/>
              </w:rPr>
            </w:pPr>
            <w:r w:rsidRPr="00C61AA4">
              <w:rPr>
                <w:rFonts w:ascii="Times New Roman" w:hAnsi="Times New Roman" w:cs="Times New Roman"/>
              </w:rPr>
              <w:t>Рост проникновения финансовых услуг, оказываемых филиалами финансовых организаций нерезидентов после проведения гармонизации законодательства и снятия ограничений, предусмотренных Договором о ЕАЭС и вступлением Казахстана в ВТО.</w:t>
            </w:r>
          </w:p>
        </w:tc>
        <w:tc>
          <w:tcPr>
            <w:tcW w:w="2551" w:type="dxa"/>
          </w:tcPr>
          <w:p w:rsidR="00C97C57" w:rsidRPr="00C61AA4" w:rsidRDefault="00C97C57" w:rsidP="006346A7">
            <w:pPr>
              <w:contextualSpacing/>
              <w:jc w:val="both"/>
              <w:rPr>
                <w:rFonts w:ascii="Times New Roman" w:hAnsi="Times New Roman" w:cs="Times New Roman"/>
              </w:rPr>
            </w:pPr>
            <w:r w:rsidRPr="00C61AA4">
              <w:rPr>
                <w:rFonts w:ascii="Times New Roman" w:hAnsi="Times New Roman" w:cs="Times New Roman"/>
              </w:rPr>
              <w:t>Создание равноправных условий для участников финансового рынка путем введения регулирования для прямых филиалов иностранных банков, страховых (перестраховочных) организаций и страховых брокеров – нерезидентов Республики Казахстан.</w:t>
            </w:r>
          </w:p>
        </w:tc>
        <w:tc>
          <w:tcPr>
            <w:tcW w:w="2410" w:type="dxa"/>
          </w:tcPr>
          <w:p w:rsidR="00C97C57" w:rsidRPr="00C61AA4" w:rsidRDefault="00C97C57" w:rsidP="006346A7">
            <w:pPr>
              <w:contextualSpacing/>
              <w:jc w:val="both"/>
              <w:rPr>
                <w:rFonts w:ascii="Times New Roman" w:hAnsi="Times New Roman" w:cs="Times New Roman"/>
              </w:rPr>
            </w:pPr>
            <w:r w:rsidRPr="00C61AA4">
              <w:rPr>
                <w:rFonts w:ascii="Times New Roman" w:hAnsi="Times New Roman" w:cs="Times New Roman"/>
              </w:rPr>
              <w:t>Меры оперативного реагирования не были востребованы (риск не наступил)</w:t>
            </w:r>
          </w:p>
        </w:tc>
        <w:tc>
          <w:tcPr>
            <w:tcW w:w="2091" w:type="dxa"/>
          </w:tcPr>
          <w:p w:rsidR="00C97C57" w:rsidRPr="00C61AA4" w:rsidRDefault="00C97C57" w:rsidP="006346A7">
            <w:pPr>
              <w:contextualSpacing/>
              <w:jc w:val="both"/>
              <w:rPr>
                <w:rFonts w:ascii="Times New Roman" w:hAnsi="Times New Roman" w:cs="Times New Roman"/>
              </w:rPr>
            </w:pPr>
          </w:p>
        </w:tc>
      </w:tr>
      <w:tr w:rsidR="00C97C57" w:rsidRPr="00C61AA4" w:rsidTr="00D56804">
        <w:tc>
          <w:tcPr>
            <w:tcW w:w="3369" w:type="dxa"/>
          </w:tcPr>
          <w:p w:rsidR="00C97C57" w:rsidRPr="00C61AA4" w:rsidRDefault="00C97C57" w:rsidP="006346A7">
            <w:pPr>
              <w:contextualSpacing/>
              <w:jc w:val="both"/>
              <w:rPr>
                <w:rFonts w:ascii="Times New Roman" w:hAnsi="Times New Roman" w:cs="Times New Roman"/>
              </w:rPr>
            </w:pPr>
            <w:r w:rsidRPr="00C61AA4">
              <w:rPr>
                <w:rFonts w:ascii="Times New Roman" w:hAnsi="Times New Roman" w:cs="Times New Roman"/>
              </w:rPr>
              <w:t>Отток отечественных эмитентов на международные торговые площадки, в том числе стран - участниц ЕАЭС.</w:t>
            </w:r>
          </w:p>
        </w:tc>
        <w:tc>
          <w:tcPr>
            <w:tcW w:w="2551" w:type="dxa"/>
          </w:tcPr>
          <w:p w:rsidR="00C97C57" w:rsidRPr="00C61AA4" w:rsidRDefault="00C97C57" w:rsidP="006346A7">
            <w:pPr>
              <w:contextualSpacing/>
              <w:jc w:val="both"/>
              <w:rPr>
                <w:rFonts w:ascii="Times New Roman" w:hAnsi="Times New Roman" w:cs="Times New Roman"/>
              </w:rPr>
            </w:pPr>
            <w:r w:rsidRPr="00C61AA4">
              <w:rPr>
                <w:rFonts w:ascii="Times New Roman" w:hAnsi="Times New Roman" w:cs="Times New Roman"/>
              </w:rPr>
              <w:t>Снижение барьеров для выхода на рынок путем повышения привлекательности привлечения финансирования на рынке капитала.</w:t>
            </w:r>
          </w:p>
        </w:tc>
        <w:tc>
          <w:tcPr>
            <w:tcW w:w="2410" w:type="dxa"/>
          </w:tcPr>
          <w:p w:rsidR="00C97C57" w:rsidRPr="00C61AA4" w:rsidRDefault="00C97C57" w:rsidP="006346A7">
            <w:pPr>
              <w:contextualSpacing/>
              <w:jc w:val="both"/>
              <w:rPr>
                <w:rFonts w:ascii="Times New Roman" w:hAnsi="Times New Roman" w:cs="Times New Roman"/>
              </w:rPr>
            </w:pPr>
            <w:r w:rsidRPr="00C61AA4">
              <w:rPr>
                <w:rFonts w:ascii="Times New Roman" w:hAnsi="Times New Roman" w:cs="Times New Roman"/>
                <w:i/>
              </w:rPr>
              <w:t>См. аналитическую записку</w:t>
            </w:r>
          </w:p>
        </w:tc>
        <w:tc>
          <w:tcPr>
            <w:tcW w:w="2091" w:type="dxa"/>
          </w:tcPr>
          <w:p w:rsidR="00C97C57" w:rsidRPr="00C61AA4" w:rsidRDefault="00C97C57" w:rsidP="006346A7">
            <w:pPr>
              <w:contextualSpacing/>
              <w:jc w:val="both"/>
              <w:rPr>
                <w:rFonts w:ascii="Times New Roman" w:hAnsi="Times New Roman" w:cs="Times New Roman"/>
              </w:rPr>
            </w:pPr>
          </w:p>
        </w:tc>
      </w:tr>
      <w:tr w:rsidR="00C97C57" w:rsidRPr="00C61AA4" w:rsidTr="00D56804">
        <w:tc>
          <w:tcPr>
            <w:tcW w:w="3369" w:type="dxa"/>
          </w:tcPr>
          <w:p w:rsidR="00C97C57" w:rsidRPr="00C61AA4" w:rsidRDefault="00C97C57" w:rsidP="006A312D">
            <w:pPr>
              <w:pStyle w:val="a4"/>
              <w:keepNext/>
              <w:keepLines/>
              <w:tabs>
                <w:tab w:val="left" w:pos="0"/>
              </w:tabs>
              <w:spacing w:before="0" w:beforeAutospacing="0" w:after="0" w:afterAutospacing="0"/>
              <w:contextualSpacing/>
              <w:jc w:val="both"/>
              <w:rPr>
                <w:sz w:val="22"/>
                <w:szCs w:val="22"/>
              </w:rPr>
            </w:pPr>
            <w:r w:rsidRPr="00C61AA4">
              <w:rPr>
                <w:sz w:val="22"/>
                <w:szCs w:val="22"/>
              </w:rPr>
              <w:lastRenderedPageBreak/>
              <w:t>Недостаточный интерес эмитентов к привлечению средств посредством размещения ценных бумаг на организованном рынке ценных бумаг.</w:t>
            </w:r>
          </w:p>
        </w:tc>
        <w:tc>
          <w:tcPr>
            <w:tcW w:w="2551" w:type="dxa"/>
          </w:tcPr>
          <w:p w:rsidR="00C97C57" w:rsidRPr="00C61AA4" w:rsidRDefault="00C97C57" w:rsidP="006A312D">
            <w:pPr>
              <w:pStyle w:val="a4"/>
              <w:keepNext/>
              <w:keepLines/>
              <w:tabs>
                <w:tab w:val="left" w:pos="0"/>
              </w:tabs>
              <w:spacing w:before="0" w:beforeAutospacing="0" w:after="0" w:afterAutospacing="0"/>
              <w:contextualSpacing/>
              <w:jc w:val="both"/>
              <w:rPr>
                <w:sz w:val="22"/>
                <w:szCs w:val="22"/>
              </w:rPr>
            </w:pPr>
            <w:r w:rsidRPr="00C61AA4">
              <w:rPr>
                <w:sz w:val="22"/>
                <w:szCs w:val="22"/>
              </w:rPr>
              <w:t>Снижение барьеров для выхода на рынок путем повышения привлекательности привлечения финансирования на рынке капитала.</w:t>
            </w:r>
          </w:p>
        </w:tc>
        <w:tc>
          <w:tcPr>
            <w:tcW w:w="2410" w:type="dxa"/>
          </w:tcPr>
          <w:p w:rsidR="00C97C57" w:rsidRPr="00C61AA4" w:rsidRDefault="00C97C57" w:rsidP="006A312D">
            <w:pPr>
              <w:pStyle w:val="a4"/>
              <w:keepNext/>
              <w:keepLines/>
              <w:tabs>
                <w:tab w:val="left" w:pos="0"/>
              </w:tabs>
              <w:spacing w:before="0" w:beforeAutospacing="0" w:after="0" w:afterAutospacing="0"/>
              <w:contextualSpacing/>
              <w:jc w:val="both"/>
              <w:rPr>
                <w:sz w:val="22"/>
                <w:szCs w:val="22"/>
              </w:rPr>
            </w:pPr>
            <w:r w:rsidRPr="00C61AA4">
              <w:rPr>
                <w:i/>
                <w:sz w:val="22"/>
                <w:szCs w:val="22"/>
              </w:rPr>
              <w:t>См. аналитическую записку</w:t>
            </w:r>
          </w:p>
        </w:tc>
        <w:tc>
          <w:tcPr>
            <w:tcW w:w="2091" w:type="dxa"/>
          </w:tcPr>
          <w:p w:rsidR="00C97C57" w:rsidRPr="00C61AA4" w:rsidRDefault="00C97C57" w:rsidP="006346A7">
            <w:pPr>
              <w:contextualSpacing/>
              <w:jc w:val="both"/>
              <w:rPr>
                <w:rFonts w:ascii="Times New Roman" w:hAnsi="Times New Roman" w:cs="Times New Roman"/>
              </w:rPr>
            </w:pPr>
          </w:p>
        </w:tc>
      </w:tr>
      <w:tr w:rsidR="00250274" w:rsidRPr="00C61AA4" w:rsidTr="00D56804">
        <w:tc>
          <w:tcPr>
            <w:tcW w:w="3369" w:type="dxa"/>
          </w:tcPr>
          <w:p w:rsidR="00250274" w:rsidRPr="00C61AA4" w:rsidRDefault="00250274" w:rsidP="006346A7">
            <w:pPr>
              <w:pStyle w:val="a4"/>
              <w:keepNext/>
              <w:keepLines/>
              <w:tabs>
                <w:tab w:val="left" w:pos="0"/>
              </w:tabs>
              <w:spacing w:before="0" w:beforeAutospacing="0" w:after="0" w:afterAutospacing="0"/>
              <w:contextualSpacing/>
              <w:jc w:val="both"/>
              <w:rPr>
                <w:sz w:val="22"/>
                <w:szCs w:val="22"/>
              </w:rPr>
            </w:pPr>
            <w:r w:rsidRPr="00C61AA4">
              <w:rPr>
                <w:sz w:val="22"/>
                <w:szCs w:val="22"/>
              </w:rPr>
              <w:t>Чрезмерно жесткое регулирование профессиональных участников рынка ценных бумаг.</w:t>
            </w:r>
          </w:p>
        </w:tc>
        <w:tc>
          <w:tcPr>
            <w:tcW w:w="2551" w:type="dxa"/>
          </w:tcPr>
          <w:p w:rsidR="00250274" w:rsidRPr="00C61AA4" w:rsidRDefault="00250274" w:rsidP="006346A7">
            <w:pPr>
              <w:pStyle w:val="a4"/>
              <w:keepNext/>
              <w:keepLines/>
              <w:tabs>
                <w:tab w:val="left" w:pos="0"/>
              </w:tabs>
              <w:spacing w:before="0" w:beforeAutospacing="0" w:after="0" w:afterAutospacing="0"/>
              <w:contextualSpacing/>
              <w:jc w:val="both"/>
              <w:rPr>
                <w:sz w:val="22"/>
                <w:szCs w:val="22"/>
              </w:rPr>
            </w:pPr>
            <w:r w:rsidRPr="00C61AA4">
              <w:rPr>
                <w:sz w:val="22"/>
                <w:szCs w:val="22"/>
              </w:rPr>
              <w:t>Либерализация регулирования профессиональных участников рынка ценных бумаг.</w:t>
            </w:r>
          </w:p>
        </w:tc>
        <w:tc>
          <w:tcPr>
            <w:tcW w:w="2410" w:type="dxa"/>
          </w:tcPr>
          <w:p w:rsidR="00250274" w:rsidRPr="00C61AA4" w:rsidRDefault="00250274" w:rsidP="006346A7">
            <w:pPr>
              <w:pStyle w:val="a4"/>
              <w:keepNext/>
              <w:keepLines/>
              <w:tabs>
                <w:tab w:val="left" w:pos="0"/>
              </w:tabs>
              <w:spacing w:before="0" w:beforeAutospacing="0" w:after="0" w:afterAutospacing="0"/>
              <w:contextualSpacing/>
              <w:jc w:val="both"/>
              <w:rPr>
                <w:sz w:val="22"/>
                <w:szCs w:val="22"/>
              </w:rPr>
            </w:pPr>
            <w:r w:rsidRPr="00C61AA4">
              <w:rPr>
                <w:i/>
                <w:sz w:val="22"/>
                <w:szCs w:val="22"/>
              </w:rPr>
              <w:t>См. аналитическую записку</w:t>
            </w:r>
          </w:p>
        </w:tc>
        <w:tc>
          <w:tcPr>
            <w:tcW w:w="2091" w:type="dxa"/>
          </w:tcPr>
          <w:p w:rsidR="00250274" w:rsidRPr="00C61AA4" w:rsidRDefault="00250274" w:rsidP="006346A7">
            <w:pPr>
              <w:contextualSpacing/>
              <w:jc w:val="both"/>
              <w:rPr>
                <w:rFonts w:ascii="Times New Roman" w:hAnsi="Times New Roman" w:cs="Times New Roman"/>
              </w:rPr>
            </w:pPr>
          </w:p>
        </w:tc>
      </w:tr>
      <w:tr w:rsidR="00D56804" w:rsidRPr="00C61AA4" w:rsidTr="00D56804">
        <w:tc>
          <w:tcPr>
            <w:tcW w:w="3369" w:type="dxa"/>
          </w:tcPr>
          <w:p w:rsidR="00D56804" w:rsidRPr="00C61AA4" w:rsidRDefault="00250274" w:rsidP="006346A7">
            <w:pPr>
              <w:contextualSpacing/>
              <w:jc w:val="both"/>
              <w:rPr>
                <w:rFonts w:ascii="Times New Roman" w:hAnsi="Times New Roman" w:cs="Times New Roman"/>
              </w:rPr>
            </w:pPr>
            <w:r w:rsidRPr="00C61AA4">
              <w:rPr>
                <w:rFonts w:ascii="Times New Roman" w:hAnsi="Times New Roman" w:cs="Times New Roman"/>
              </w:rPr>
              <w:t>Ограниченность инвесторской базы и низкая степень вовлеченности населения в фондовый рынок.</w:t>
            </w:r>
          </w:p>
        </w:tc>
        <w:tc>
          <w:tcPr>
            <w:tcW w:w="2551" w:type="dxa"/>
          </w:tcPr>
          <w:p w:rsidR="00D56804" w:rsidRPr="00C61AA4" w:rsidRDefault="00250274" w:rsidP="006346A7">
            <w:pPr>
              <w:contextualSpacing/>
              <w:jc w:val="both"/>
              <w:rPr>
                <w:rFonts w:ascii="Times New Roman" w:hAnsi="Times New Roman" w:cs="Times New Roman"/>
              </w:rPr>
            </w:pPr>
            <w:r w:rsidRPr="00C61AA4">
              <w:rPr>
                <w:rFonts w:ascii="Times New Roman" w:hAnsi="Times New Roman" w:cs="Times New Roman"/>
              </w:rPr>
              <w:t xml:space="preserve">Расширение местной инвесторской </w:t>
            </w:r>
            <w:proofErr w:type="gramStart"/>
            <w:r w:rsidRPr="00C61AA4">
              <w:rPr>
                <w:rFonts w:ascii="Times New Roman" w:hAnsi="Times New Roman" w:cs="Times New Roman"/>
              </w:rPr>
              <w:t>базы за счет повышения степени вовлеченности сбережений населения</w:t>
            </w:r>
            <w:proofErr w:type="gramEnd"/>
            <w:r w:rsidRPr="00C61AA4">
              <w:rPr>
                <w:rFonts w:ascii="Times New Roman" w:hAnsi="Times New Roman" w:cs="Times New Roman"/>
              </w:rPr>
              <w:t xml:space="preserve"> в инвестиционный процесс на фондовом рынке.</w:t>
            </w:r>
          </w:p>
        </w:tc>
        <w:tc>
          <w:tcPr>
            <w:tcW w:w="2410" w:type="dxa"/>
          </w:tcPr>
          <w:p w:rsidR="00D56804" w:rsidRPr="00C61AA4" w:rsidRDefault="00250274" w:rsidP="006346A7">
            <w:pPr>
              <w:contextualSpacing/>
              <w:jc w:val="both"/>
              <w:rPr>
                <w:rFonts w:ascii="Times New Roman" w:hAnsi="Times New Roman" w:cs="Times New Roman"/>
              </w:rPr>
            </w:pPr>
            <w:r w:rsidRPr="00C61AA4">
              <w:rPr>
                <w:rFonts w:ascii="Times New Roman" w:hAnsi="Times New Roman" w:cs="Times New Roman"/>
                <w:i/>
              </w:rPr>
              <w:t>См. аналитическую записку</w:t>
            </w:r>
          </w:p>
        </w:tc>
        <w:tc>
          <w:tcPr>
            <w:tcW w:w="2091" w:type="dxa"/>
          </w:tcPr>
          <w:p w:rsidR="00D56804" w:rsidRPr="00C61AA4" w:rsidRDefault="00D56804" w:rsidP="006346A7">
            <w:pPr>
              <w:contextualSpacing/>
              <w:jc w:val="both"/>
              <w:rPr>
                <w:rFonts w:ascii="Times New Roman" w:hAnsi="Times New Roman" w:cs="Times New Roman"/>
              </w:rPr>
            </w:pPr>
          </w:p>
        </w:tc>
      </w:tr>
      <w:tr w:rsidR="00D56804" w:rsidRPr="00C61AA4" w:rsidTr="00D56804">
        <w:tc>
          <w:tcPr>
            <w:tcW w:w="3369" w:type="dxa"/>
          </w:tcPr>
          <w:p w:rsidR="00D56804" w:rsidRPr="00C61AA4" w:rsidRDefault="00250274" w:rsidP="006346A7">
            <w:pPr>
              <w:contextualSpacing/>
              <w:jc w:val="both"/>
              <w:rPr>
                <w:rFonts w:ascii="Times New Roman" w:hAnsi="Times New Roman" w:cs="Times New Roman"/>
              </w:rPr>
            </w:pPr>
            <w:r w:rsidRPr="00C61AA4">
              <w:rPr>
                <w:rFonts w:ascii="Times New Roman" w:hAnsi="Times New Roman" w:cs="Times New Roman"/>
              </w:rPr>
              <w:t>Ограничения инвестиционной политики банковских и страховых (финансовых) холдингов.</w:t>
            </w:r>
          </w:p>
        </w:tc>
        <w:tc>
          <w:tcPr>
            <w:tcW w:w="2551" w:type="dxa"/>
          </w:tcPr>
          <w:p w:rsidR="00D56804" w:rsidRPr="00C61AA4" w:rsidRDefault="00250274" w:rsidP="006346A7">
            <w:pPr>
              <w:contextualSpacing/>
              <w:jc w:val="both"/>
              <w:rPr>
                <w:rFonts w:ascii="Times New Roman" w:hAnsi="Times New Roman" w:cs="Times New Roman"/>
              </w:rPr>
            </w:pPr>
            <w:r w:rsidRPr="00C61AA4">
              <w:rPr>
                <w:rFonts w:ascii="Times New Roman" w:hAnsi="Times New Roman" w:cs="Times New Roman"/>
              </w:rPr>
              <w:t>Расширение перечня разрешенных к приобретению финансовых инструментов, а также долей в товариществах с ограниченной ответственностью в рамках приватизации.</w:t>
            </w:r>
          </w:p>
        </w:tc>
        <w:tc>
          <w:tcPr>
            <w:tcW w:w="2410" w:type="dxa"/>
          </w:tcPr>
          <w:p w:rsidR="00D56804" w:rsidRPr="00C61AA4" w:rsidRDefault="0031137F" w:rsidP="006346A7">
            <w:pPr>
              <w:contextualSpacing/>
              <w:jc w:val="both"/>
              <w:rPr>
                <w:rFonts w:ascii="Times New Roman" w:hAnsi="Times New Roman" w:cs="Times New Roman"/>
              </w:rPr>
            </w:pPr>
            <w:r w:rsidRPr="00C61AA4">
              <w:rPr>
                <w:rFonts w:ascii="Times New Roman" w:hAnsi="Times New Roman"/>
                <w:i/>
              </w:rPr>
              <w:t>См. аналитическую записку</w:t>
            </w:r>
          </w:p>
        </w:tc>
        <w:tc>
          <w:tcPr>
            <w:tcW w:w="2091" w:type="dxa"/>
          </w:tcPr>
          <w:p w:rsidR="00D56804" w:rsidRPr="00C61AA4" w:rsidRDefault="00D56804" w:rsidP="006346A7">
            <w:pPr>
              <w:contextualSpacing/>
              <w:jc w:val="both"/>
              <w:rPr>
                <w:rFonts w:ascii="Times New Roman" w:hAnsi="Times New Roman" w:cs="Times New Roman"/>
              </w:rPr>
            </w:pPr>
          </w:p>
        </w:tc>
      </w:tr>
      <w:tr w:rsidR="00A4247F" w:rsidRPr="00C61AA4" w:rsidTr="00D56804">
        <w:tc>
          <w:tcPr>
            <w:tcW w:w="3369" w:type="dxa"/>
          </w:tcPr>
          <w:p w:rsidR="00A4247F" w:rsidRPr="00C61AA4" w:rsidRDefault="00A4247F" w:rsidP="006346A7">
            <w:pPr>
              <w:contextualSpacing/>
              <w:jc w:val="both"/>
              <w:rPr>
                <w:rFonts w:ascii="Times New Roman" w:hAnsi="Times New Roman" w:cs="Times New Roman"/>
              </w:rPr>
            </w:pPr>
            <w:r w:rsidRPr="00C61AA4">
              <w:rPr>
                <w:rFonts w:ascii="Times New Roman" w:hAnsi="Times New Roman" w:cs="Times New Roman"/>
              </w:rPr>
              <w:t>Сохранение низкой ликвидности отечественного фондового рынка.</w:t>
            </w:r>
          </w:p>
        </w:tc>
        <w:tc>
          <w:tcPr>
            <w:tcW w:w="2551" w:type="dxa"/>
          </w:tcPr>
          <w:p w:rsidR="00A4247F" w:rsidRPr="00C61AA4" w:rsidRDefault="00A4247F" w:rsidP="006346A7">
            <w:pPr>
              <w:contextualSpacing/>
              <w:jc w:val="both"/>
              <w:rPr>
                <w:rFonts w:ascii="Times New Roman" w:hAnsi="Times New Roman" w:cs="Times New Roman"/>
              </w:rPr>
            </w:pPr>
            <w:r w:rsidRPr="00C61AA4">
              <w:rPr>
                <w:rFonts w:ascii="Times New Roman" w:hAnsi="Times New Roman" w:cs="Times New Roman"/>
              </w:rPr>
              <w:t>Обеспечение условий для вывода на рынок новых инструментов, интересных для местных инвесторов, с целью их активации и повышения объемов торгов.</w:t>
            </w:r>
          </w:p>
        </w:tc>
        <w:tc>
          <w:tcPr>
            <w:tcW w:w="2410" w:type="dxa"/>
          </w:tcPr>
          <w:p w:rsidR="00A4247F" w:rsidRPr="00C61AA4" w:rsidRDefault="00A4247F" w:rsidP="006346A7">
            <w:pPr>
              <w:contextualSpacing/>
              <w:jc w:val="both"/>
              <w:rPr>
                <w:rFonts w:ascii="Times New Roman" w:hAnsi="Times New Roman" w:cs="Times New Roman"/>
              </w:rPr>
            </w:pPr>
            <w:r w:rsidRPr="00C61AA4">
              <w:rPr>
                <w:rFonts w:ascii="Times New Roman" w:hAnsi="Times New Roman" w:cs="Times New Roman"/>
                <w:i/>
              </w:rPr>
              <w:t>См. аналитическую записку</w:t>
            </w:r>
          </w:p>
        </w:tc>
        <w:tc>
          <w:tcPr>
            <w:tcW w:w="2091" w:type="dxa"/>
          </w:tcPr>
          <w:p w:rsidR="00A4247F" w:rsidRPr="00C61AA4" w:rsidRDefault="00A4247F" w:rsidP="006346A7">
            <w:pPr>
              <w:contextualSpacing/>
              <w:jc w:val="both"/>
              <w:rPr>
                <w:rFonts w:ascii="Times New Roman" w:hAnsi="Times New Roman" w:cs="Times New Roman"/>
              </w:rPr>
            </w:pPr>
          </w:p>
        </w:tc>
      </w:tr>
      <w:tr w:rsidR="00D56804" w:rsidRPr="00C61AA4" w:rsidTr="00D56804">
        <w:tc>
          <w:tcPr>
            <w:tcW w:w="3369" w:type="dxa"/>
          </w:tcPr>
          <w:p w:rsidR="00250274" w:rsidRPr="00C61AA4" w:rsidRDefault="00250274" w:rsidP="006346A7">
            <w:pPr>
              <w:contextualSpacing/>
              <w:jc w:val="both"/>
              <w:rPr>
                <w:rFonts w:ascii="Times New Roman" w:hAnsi="Times New Roman"/>
              </w:rPr>
            </w:pPr>
            <w:r w:rsidRPr="00C61AA4">
              <w:rPr>
                <w:rFonts w:ascii="Times New Roman" w:hAnsi="Times New Roman"/>
              </w:rPr>
              <w:t xml:space="preserve">Неполное выполнение запанированных целей и задач по стимулированию развития рынка ценных бумаг, установленных Концепцией по развитию финансового сектора Республики </w:t>
            </w:r>
          </w:p>
          <w:p w:rsidR="00D56804" w:rsidRPr="00C61AA4" w:rsidRDefault="00250274" w:rsidP="006346A7">
            <w:pPr>
              <w:contextualSpacing/>
              <w:jc w:val="both"/>
              <w:rPr>
                <w:rFonts w:ascii="Times New Roman" w:hAnsi="Times New Roman" w:cs="Times New Roman"/>
              </w:rPr>
            </w:pPr>
            <w:r w:rsidRPr="00C61AA4">
              <w:rPr>
                <w:rFonts w:ascii="Times New Roman" w:hAnsi="Times New Roman"/>
              </w:rPr>
              <w:t>Казахстан до 2030 года.</w:t>
            </w:r>
          </w:p>
        </w:tc>
        <w:tc>
          <w:tcPr>
            <w:tcW w:w="2551" w:type="dxa"/>
          </w:tcPr>
          <w:p w:rsidR="00D56804" w:rsidRPr="00C61AA4" w:rsidRDefault="00250274" w:rsidP="006346A7">
            <w:pPr>
              <w:contextualSpacing/>
              <w:jc w:val="both"/>
              <w:rPr>
                <w:rFonts w:ascii="Times New Roman" w:hAnsi="Times New Roman" w:cs="Times New Roman"/>
              </w:rPr>
            </w:pPr>
            <w:r w:rsidRPr="00C61AA4">
              <w:rPr>
                <w:rFonts w:ascii="Times New Roman" w:hAnsi="Times New Roman"/>
              </w:rPr>
              <w:t>Более тщательная проработка вопросов и мероприятий, исполнение которых зависит не только от Национального Банка, но и от других государственных органов.</w:t>
            </w:r>
          </w:p>
        </w:tc>
        <w:tc>
          <w:tcPr>
            <w:tcW w:w="2410" w:type="dxa"/>
          </w:tcPr>
          <w:p w:rsidR="00D56804" w:rsidRPr="00C61AA4" w:rsidRDefault="00250274" w:rsidP="006346A7">
            <w:pPr>
              <w:contextualSpacing/>
              <w:jc w:val="both"/>
              <w:rPr>
                <w:rFonts w:ascii="Times New Roman" w:hAnsi="Times New Roman" w:cs="Times New Roman"/>
              </w:rPr>
            </w:pPr>
            <w:r w:rsidRPr="00C61AA4">
              <w:rPr>
                <w:rFonts w:ascii="Times New Roman" w:hAnsi="Times New Roman"/>
                <w:i/>
              </w:rPr>
              <w:t>См. аналитическую</w:t>
            </w:r>
            <w:r w:rsidR="00A52E53" w:rsidRPr="00C61AA4">
              <w:rPr>
                <w:rFonts w:ascii="Times New Roman" w:hAnsi="Times New Roman"/>
                <w:i/>
              </w:rPr>
              <w:t xml:space="preserve"> </w:t>
            </w:r>
            <w:r w:rsidRPr="00C61AA4">
              <w:rPr>
                <w:rFonts w:ascii="Times New Roman" w:hAnsi="Times New Roman"/>
                <w:i/>
              </w:rPr>
              <w:t>записку</w:t>
            </w:r>
          </w:p>
        </w:tc>
        <w:tc>
          <w:tcPr>
            <w:tcW w:w="2091" w:type="dxa"/>
          </w:tcPr>
          <w:p w:rsidR="00D56804" w:rsidRPr="00C61AA4" w:rsidRDefault="00D56804" w:rsidP="006346A7">
            <w:pPr>
              <w:contextualSpacing/>
              <w:jc w:val="both"/>
              <w:rPr>
                <w:rFonts w:ascii="Times New Roman" w:hAnsi="Times New Roman" w:cs="Times New Roman"/>
              </w:rPr>
            </w:pPr>
          </w:p>
        </w:tc>
      </w:tr>
      <w:tr w:rsidR="00C97C57" w:rsidRPr="00C61AA4" w:rsidTr="006A312D">
        <w:tc>
          <w:tcPr>
            <w:tcW w:w="10421" w:type="dxa"/>
            <w:gridSpan w:val="4"/>
          </w:tcPr>
          <w:p w:rsidR="00C97C57" w:rsidRPr="00C61AA4" w:rsidRDefault="00C97C57" w:rsidP="00C97C57">
            <w:pPr>
              <w:contextualSpacing/>
              <w:jc w:val="center"/>
              <w:rPr>
                <w:rFonts w:ascii="Times New Roman" w:hAnsi="Times New Roman" w:cs="Times New Roman"/>
              </w:rPr>
            </w:pPr>
            <w:r w:rsidRPr="00C61AA4">
              <w:rPr>
                <w:rFonts w:ascii="Times New Roman" w:hAnsi="Times New Roman" w:cs="Times New Roman"/>
                <w:b/>
              </w:rPr>
              <w:t>Цель 2.4.</w:t>
            </w:r>
            <w:r w:rsidRPr="00C61AA4">
              <w:rPr>
                <w:rFonts w:ascii="Times New Roman" w:hAnsi="Times New Roman" w:cs="Times New Roman"/>
              </w:rPr>
              <w:t xml:space="preserve"> </w:t>
            </w:r>
            <w:r w:rsidRPr="00C61AA4">
              <w:rPr>
                <w:rFonts w:ascii="Times New Roman" w:hAnsi="Times New Roman"/>
              </w:rPr>
              <w:t>Осуществление эффективного валютного регулирования и валютного контроля</w:t>
            </w:r>
          </w:p>
        </w:tc>
      </w:tr>
      <w:tr w:rsidR="00C97C57" w:rsidRPr="00C61AA4" w:rsidTr="00D56804">
        <w:tc>
          <w:tcPr>
            <w:tcW w:w="3369" w:type="dxa"/>
          </w:tcPr>
          <w:p w:rsidR="00C97C57" w:rsidRPr="00C61AA4" w:rsidRDefault="00C97C57" w:rsidP="006346A7">
            <w:pPr>
              <w:contextualSpacing/>
              <w:jc w:val="both"/>
              <w:rPr>
                <w:rFonts w:ascii="Times New Roman" w:hAnsi="Times New Roman" w:cs="Times New Roman"/>
              </w:rPr>
            </w:pPr>
            <w:r w:rsidRPr="00C61AA4">
              <w:rPr>
                <w:rFonts w:ascii="Times New Roman" w:hAnsi="Times New Roman" w:cs="Times New Roman"/>
              </w:rPr>
              <w:t>Ухудшение внешних факторов, создающих угрозы экономической безопасности страны (дестабилизация валютного рынка, риск истощения золотовалютных резервов).</w:t>
            </w:r>
          </w:p>
        </w:tc>
        <w:tc>
          <w:tcPr>
            <w:tcW w:w="2551" w:type="dxa"/>
          </w:tcPr>
          <w:p w:rsidR="00C97C57" w:rsidRPr="00C61AA4" w:rsidRDefault="00C97C57" w:rsidP="006346A7">
            <w:pPr>
              <w:contextualSpacing/>
              <w:jc w:val="both"/>
              <w:rPr>
                <w:rFonts w:ascii="Times New Roman" w:hAnsi="Times New Roman" w:cs="Times New Roman"/>
              </w:rPr>
            </w:pPr>
            <w:r w:rsidRPr="00C61AA4">
              <w:rPr>
                <w:rFonts w:ascii="Times New Roman" w:hAnsi="Times New Roman" w:cs="Times New Roman"/>
              </w:rPr>
              <w:t xml:space="preserve">Реализация мер оперативного реагирования, предусмотренных статьей 32 Закона Республики Казахстан «О валютном </w:t>
            </w:r>
            <w:r w:rsidRPr="00C61AA4">
              <w:rPr>
                <w:rFonts w:ascii="Times New Roman" w:hAnsi="Times New Roman" w:cs="Times New Roman"/>
              </w:rPr>
              <w:lastRenderedPageBreak/>
              <w:t>регулировании и валютном контроле».</w:t>
            </w:r>
          </w:p>
        </w:tc>
        <w:tc>
          <w:tcPr>
            <w:tcW w:w="2410" w:type="dxa"/>
          </w:tcPr>
          <w:p w:rsidR="00C97C57" w:rsidRPr="00C61AA4" w:rsidRDefault="00C97C57" w:rsidP="006346A7">
            <w:pPr>
              <w:contextualSpacing/>
              <w:jc w:val="both"/>
              <w:rPr>
                <w:rFonts w:ascii="Times New Roman" w:hAnsi="Times New Roman" w:cs="Times New Roman"/>
                <w:i/>
              </w:rPr>
            </w:pPr>
            <w:r w:rsidRPr="00C61AA4">
              <w:rPr>
                <w:rFonts w:ascii="Times New Roman" w:hAnsi="Times New Roman" w:cs="Times New Roman"/>
              </w:rPr>
              <w:lastRenderedPageBreak/>
              <w:t>Меры оперативного реагирования не были востребованы (риск не наступил)</w:t>
            </w:r>
          </w:p>
        </w:tc>
        <w:tc>
          <w:tcPr>
            <w:tcW w:w="2091" w:type="dxa"/>
          </w:tcPr>
          <w:p w:rsidR="00C97C57" w:rsidRPr="00C61AA4" w:rsidRDefault="00C97C57" w:rsidP="006346A7">
            <w:pPr>
              <w:contextualSpacing/>
              <w:jc w:val="both"/>
              <w:rPr>
                <w:rFonts w:ascii="Times New Roman" w:hAnsi="Times New Roman" w:cs="Times New Roman"/>
              </w:rPr>
            </w:pPr>
          </w:p>
        </w:tc>
      </w:tr>
      <w:tr w:rsidR="00C97C57" w:rsidRPr="00C61AA4" w:rsidTr="00D56804">
        <w:tc>
          <w:tcPr>
            <w:tcW w:w="3369" w:type="dxa"/>
          </w:tcPr>
          <w:p w:rsidR="00C97C57" w:rsidRPr="00C61AA4" w:rsidRDefault="00C97C57" w:rsidP="006346A7">
            <w:pPr>
              <w:contextualSpacing/>
              <w:jc w:val="both"/>
              <w:rPr>
                <w:rFonts w:ascii="Times New Roman" w:hAnsi="Times New Roman" w:cs="Times New Roman"/>
              </w:rPr>
            </w:pPr>
            <w:r w:rsidRPr="00C61AA4">
              <w:rPr>
                <w:rFonts w:ascii="Times New Roman" w:hAnsi="Times New Roman" w:cs="Times New Roman"/>
              </w:rPr>
              <w:lastRenderedPageBreak/>
              <w:t xml:space="preserve">Макроэкономическая и политическая нестабильность в государствах – участниках ЕАЭС. Риск регуляторного арбитража, создающего условия для </w:t>
            </w:r>
            <w:proofErr w:type="spellStart"/>
            <w:r w:rsidRPr="00C61AA4">
              <w:rPr>
                <w:rFonts w:ascii="Times New Roman" w:hAnsi="Times New Roman" w:cs="Times New Roman"/>
              </w:rPr>
              <w:t>перетоков</w:t>
            </w:r>
            <w:proofErr w:type="spellEnd"/>
            <w:r w:rsidRPr="00C61AA4">
              <w:rPr>
                <w:rFonts w:ascii="Times New Roman" w:hAnsi="Times New Roman" w:cs="Times New Roman"/>
              </w:rPr>
              <w:t xml:space="preserve"> капитала в случае нескоординированного принятия мер валютного регулирования государствами – участниками ЕАЭС.</w:t>
            </w:r>
          </w:p>
        </w:tc>
        <w:tc>
          <w:tcPr>
            <w:tcW w:w="2551" w:type="dxa"/>
          </w:tcPr>
          <w:p w:rsidR="00C97C57" w:rsidRPr="00C61AA4" w:rsidRDefault="00C97C57" w:rsidP="00C97C57">
            <w:pPr>
              <w:pStyle w:val="a4"/>
              <w:keepNext/>
              <w:keepLines/>
              <w:tabs>
                <w:tab w:val="left" w:pos="0"/>
              </w:tabs>
              <w:spacing w:before="0" w:beforeAutospacing="0" w:after="0" w:afterAutospacing="0"/>
              <w:contextualSpacing/>
              <w:jc w:val="both"/>
              <w:rPr>
                <w:sz w:val="22"/>
                <w:szCs w:val="22"/>
              </w:rPr>
            </w:pPr>
            <w:r w:rsidRPr="00C61AA4">
              <w:rPr>
                <w:sz w:val="22"/>
              </w:rPr>
              <w:t>Р</w:t>
            </w:r>
            <w:r w:rsidRPr="00C61AA4">
              <w:rPr>
                <w:sz w:val="22"/>
                <w:szCs w:val="22"/>
              </w:rPr>
              <w:t>еализация принципов согласования подходов в сфере валютного регулирования путем участия в разработке нормативно-правовой базы ЕЭК.</w:t>
            </w:r>
          </w:p>
          <w:p w:rsidR="00C97C57" w:rsidRPr="00C61AA4" w:rsidRDefault="00C97C57" w:rsidP="00C97C57">
            <w:pPr>
              <w:contextualSpacing/>
              <w:jc w:val="both"/>
              <w:rPr>
                <w:rFonts w:ascii="Times New Roman" w:hAnsi="Times New Roman" w:cs="Times New Roman"/>
              </w:rPr>
            </w:pPr>
            <w:r w:rsidRPr="00C61AA4">
              <w:rPr>
                <w:rFonts w:ascii="Times New Roman" w:hAnsi="Times New Roman" w:cs="Times New Roman"/>
              </w:rPr>
              <w:t>Реализация мер оперативного реагирования, предусмотренных статьей 32 Закона Республики Казахстан «О валютном регулировании и валютном контроле».</w:t>
            </w:r>
          </w:p>
        </w:tc>
        <w:tc>
          <w:tcPr>
            <w:tcW w:w="2410" w:type="dxa"/>
          </w:tcPr>
          <w:p w:rsidR="00C97C57" w:rsidRPr="00C61AA4" w:rsidRDefault="00C97C57" w:rsidP="00C97C57">
            <w:pPr>
              <w:pStyle w:val="a4"/>
              <w:keepNext/>
              <w:keepLines/>
              <w:tabs>
                <w:tab w:val="left" w:pos="0"/>
              </w:tabs>
              <w:spacing w:before="0" w:beforeAutospacing="0" w:after="0" w:afterAutospacing="0"/>
              <w:contextualSpacing/>
              <w:jc w:val="both"/>
              <w:rPr>
                <w:sz w:val="22"/>
                <w:szCs w:val="22"/>
              </w:rPr>
            </w:pPr>
            <w:r w:rsidRPr="00C61AA4">
              <w:rPr>
                <w:sz w:val="22"/>
                <w:szCs w:val="22"/>
              </w:rPr>
              <w:t>Меры оперативного реагирования не были востребованы.</w:t>
            </w:r>
          </w:p>
          <w:p w:rsidR="00C97C57" w:rsidRPr="00C61AA4" w:rsidRDefault="00C97C57" w:rsidP="00C97C57">
            <w:pPr>
              <w:contextualSpacing/>
              <w:jc w:val="both"/>
              <w:rPr>
                <w:rFonts w:ascii="Times New Roman" w:hAnsi="Times New Roman" w:cs="Times New Roman"/>
                <w:i/>
              </w:rPr>
            </w:pPr>
            <w:r w:rsidRPr="00C61AA4">
              <w:rPr>
                <w:rFonts w:ascii="Times New Roman" w:hAnsi="Times New Roman" w:cs="Times New Roman"/>
              </w:rPr>
              <w:t>В то же время в рамках обеспечения согласованности подходов в сфере валютного регулирования и валютного контроля принято участие в заседаниях Рабочей группы при Консультативном комитете по финансовым рынкам по вопросам  валютного регулирования и валютного контроля на территории ЕАЭС</w:t>
            </w:r>
          </w:p>
        </w:tc>
        <w:tc>
          <w:tcPr>
            <w:tcW w:w="2091" w:type="dxa"/>
          </w:tcPr>
          <w:p w:rsidR="00C97C57" w:rsidRPr="00C61AA4" w:rsidRDefault="00C97C57" w:rsidP="006346A7">
            <w:pPr>
              <w:contextualSpacing/>
              <w:jc w:val="both"/>
              <w:rPr>
                <w:rFonts w:ascii="Times New Roman" w:hAnsi="Times New Roman" w:cs="Times New Roman"/>
              </w:rPr>
            </w:pPr>
          </w:p>
        </w:tc>
      </w:tr>
      <w:tr w:rsidR="0059069B" w:rsidRPr="00C61AA4" w:rsidTr="00D56804">
        <w:tc>
          <w:tcPr>
            <w:tcW w:w="3369" w:type="dxa"/>
          </w:tcPr>
          <w:p w:rsidR="0059069B" w:rsidRPr="00C61AA4" w:rsidRDefault="0059069B" w:rsidP="006346A7">
            <w:pPr>
              <w:contextualSpacing/>
              <w:jc w:val="both"/>
              <w:rPr>
                <w:rFonts w:ascii="Times New Roman" w:hAnsi="Times New Roman" w:cs="Times New Roman"/>
              </w:rPr>
            </w:pPr>
            <w:proofErr w:type="spellStart"/>
            <w:r w:rsidRPr="00C61AA4">
              <w:rPr>
                <w:rFonts w:ascii="Times New Roman" w:hAnsi="Times New Roman" w:cs="Times New Roman"/>
              </w:rPr>
              <w:t>Нескоординированность</w:t>
            </w:r>
            <w:proofErr w:type="spellEnd"/>
            <w:r w:rsidRPr="00C61AA4">
              <w:rPr>
                <w:rFonts w:ascii="Times New Roman" w:hAnsi="Times New Roman" w:cs="Times New Roman"/>
              </w:rPr>
              <w:t xml:space="preserve"> действий государственных органов в части мер, влияющих на мобильность капитала.</w:t>
            </w:r>
          </w:p>
        </w:tc>
        <w:tc>
          <w:tcPr>
            <w:tcW w:w="2551" w:type="dxa"/>
          </w:tcPr>
          <w:p w:rsidR="0059069B" w:rsidRPr="00C61AA4" w:rsidRDefault="0059069B" w:rsidP="006346A7">
            <w:pPr>
              <w:contextualSpacing/>
              <w:jc w:val="both"/>
              <w:rPr>
                <w:rFonts w:ascii="Times New Roman" w:hAnsi="Times New Roman" w:cs="Times New Roman"/>
              </w:rPr>
            </w:pPr>
            <w:r w:rsidRPr="00C61AA4">
              <w:rPr>
                <w:rFonts w:ascii="Times New Roman" w:hAnsi="Times New Roman" w:cs="Times New Roman"/>
              </w:rPr>
              <w:t>Усиление межведомственной координации при разработке нормативной базы, принятие согласованных решений по мерам, влияющим на мобильность капитала.</w:t>
            </w:r>
          </w:p>
        </w:tc>
        <w:tc>
          <w:tcPr>
            <w:tcW w:w="2410" w:type="dxa"/>
          </w:tcPr>
          <w:p w:rsidR="0059069B" w:rsidRPr="00C61AA4" w:rsidRDefault="0059069B" w:rsidP="006346A7">
            <w:pPr>
              <w:contextualSpacing/>
              <w:jc w:val="both"/>
              <w:rPr>
                <w:rFonts w:ascii="Times New Roman" w:hAnsi="Times New Roman" w:cs="Times New Roman"/>
                <w:i/>
              </w:rPr>
            </w:pPr>
            <w:r w:rsidRPr="00C61AA4">
              <w:rPr>
                <w:rFonts w:ascii="Times New Roman" w:hAnsi="Times New Roman" w:cs="Times New Roman"/>
                <w:i/>
              </w:rPr>
              <w:t>См. аналитическую записку</w:t>
            </w:r>
          </w:p>
        </w:tc>
        <w:tc>
          <w:tcPr>
            <w:tcW w:w="2091" w:type="dxa"/>
          </w:tcPr>
          <w:p w:rsidR="0059069B" w:rsidRPr="00C61AA4" w:rsidRDefault="0059069B" w:rsidP="006346A7">
            <w:pPr>
              <w:contextualSpacing/>
              <w:jc w:val="both"/>
              <w:rPr>
                <w:rFonts w:ascii="Times New Roman" w:hAnsi="Times New Roman" w:cs="Times New Roman"/>
              </w:rPr>
            </w:pPr>
          </w:p>
        </w:tc>
      </w:tr>
      <w:tr w:rsidR="00D954F6" w:rsidRPr="00C61AA4" w:rsidTr="00565036">
        <w:tc>
          <w:tcPr>
            <w:tcW w:w="10421" w:type="dxa"/>
            <w:gridSpan w:val="4"/>
          </w:tcPr>
          <w:p w:rsidR="00D954F6" w:rsidRPr="00C61AA4" w:rsidRDefault="00D954F6" w:rsidP="00D954F6">
            <w:pPr>
              <w:contextualSpacing/>
              <w:jc w:val="center"/>
              <w:rPr>
                <w:rFonts w:ascii="Times New Roman" w:hAnsi="Times New Roman" w:cs="Times New Roman"/>
              </w:rPr>
            </w:pPr>
            <w:r w:rsidRPr="00C61AA4">
              <w:rPr>
                <w:rFonts w:ascii="Times New Roman" w:hAnsi="Times New Roman"/>
                <w:b/>
                <w:szCs w:val="28"/>
              </w:rPr>
              <w:t xml:space="preserve">Цель 2.5. </w:t>
            </w:r>
            <w:r w:rsidRPr="00C61AA4">
              <w:rPr>
                <w:rFonts w:ascii="Times New Roman" w:hAnsi="Times New Roman"/>
                <w:szCs w:val="28"/>
              </w:rPr>
              <w:t xml:space="preserve">Усиление </w:t>
            </w:r>
            <w:proofErr w:type="gramStart"/>
            <w:r w:rsidRPr="00C61AA4">
              <w:rPr>
                <w:rFonts w:ascii="Times New Roman" w:hAnsi="Times New Roman"/>
                <w:szCs w:val="28"/>
              </w:rPr>
              <w:t>системы защиты прав потребителей финансовых услуг</w:t>
            </w:r>
            <w:proofErr w:type="gramEnd"/>
          </w:p>
        </w:tc>
      </w:tr>
      <w:tr w:rsidR="00D954F6" w:rsidRPr="00C61AA4" w:rsidTr="00D56804">
        <w:tc>
          <w:tcPr>
            <w:tcW w:w="3369" w:type="dxa"/>
          </w:tcPr>
          <w:p w:rsidR="00D954F6" w:rsidRPr="00C61AA4" w:rsidRDefault="00D954F6" w:rsidP="006346A7">
            <w:pPr>
              <w:contextualSpacing/>
              <w:jc w:val="both"/>
              <w:rPr>
                <w:rFonts w:ascii="Times New Roman" w:hAnsi="Times New Roman" w:cs="Times New Roman"/>
              </w:rPr>
            </w:pPr>
            <w:r w:rsidRPr="00C61AA4">
              <w:rPr>
                <w:rFonts w:ascii="Times New Roman" w:hAnsi="Times New Roman" w:cs="Times New Roman"/>
              </w:rPr>
              <w:t>Нестабильная ценовая ситуация на мировых рынках нефти,  обесценение национальной валюты может привести к дальнейшему  усугублению положения валютных заемщиков, снижению  их возможности обслуживать и погашать займы.</w:t>
            </w:r>
          </w:p>
        </w:tc>
        <w:tc>
          <w:tcPr>
            <w:tcW w:w="2551" w:type="dxa"/>
          </w:tcPr>
          <w:p w:rsidR="00D954F6" w:rsidRPr="00C61AA4" w:rsidRDefault="00D954F6" w:rsidP="00D954F6">
            <w:pPr>
              <w:contextualSpacing/>
              <w:jc w:val="both"/>
              <w:rPr>
                <w:rFonts w:ascii="Times New Roman" w:eastAsia="Calibri" w:hAnsi="Times New Roman" w:cs="Times New Roman"/>
                <w:lang w:eastAsia="ru-RU"/>
              </w:rPr>
            </w:pPr>
            <w:r w:rsidRPr="00C61AA4">
              <w:rPr>
                <w:rFonts w:ascii="Times New Roman" w:eastAsia="Calibri" w:hAnsi="Times New Roman" w:cs="Times New Roman"/>
                <w:lang w:eastAsia="ru-RU"/>
              </w:rPr>
              <w:t>Осуществление работы по реализации Программы рефинансирования ипотечных жилищных займов/ипотечных займов, утвержденной постановлением Правления Национального Банка от 24 апреля 2015 года №69.</w:t>
            </w:r>
          </w:p>
          <w:p w:rsidR="00D954F6" w:rsidRPr="00C61AA4" w:rsidRDefault="00D954F6" w:rsidP="00D954F6">
            <w:pPr>
              <w:contextualSpacing/>
              <w:jc w:val="both"/>
              <w:rPr>
                <w:rFonts w:ascii="Times New Roman" w:hAnsi="Times New Roman" w:cs="Times New Roman"/>
              </w:rPr>
            </w:pPr>
            <w:r w:rsidRPr="00C61AA4">
              <w:rPr>
                <w:rFonts w:ascii="Times New Roman" w:hAnsi="Times New Roman" w:cs="Times New Roman"/>
              </w:rPr>
              <w:t>Осуществление комплекса мероприятий по решению проблем ипотечных заемщиков, а также заемщиков, получивших потребительские займы.</w:t>
            </w:r>
          </w:p>
        </w:tc>
        <w:tc>
          <w:tcPr>
            <w:tcW w:w="2410" w:type="dxa"/>
          </w:tcPr>
          <w:p w:rsidR="00D954F6" w:rsidRPr="00C61AA4" w:rsidRDefault="00D954F6" w:rsidP="006346A7">
            <w:pPr>
              <w:contextualSpacing/>
              <w:jc w:val="both"/>
              <w:rPr>
                <w:rFonts w:ascii="Times New Roman" w:hAnsi="Times New Roman" w:cs="Times New Roman"/>
                <w:i/>
              </w:rPr>
            </w:pPr>
            <w:r w:rsidRPr="00C61AA4">
              <w:rPr>
                <w:rFonts w:ascii="Times New Roman" w:hAnsi="Times New Roman" w:cs="Times New Roman"/>
              </w:rPr>
              <w:t>Меры оперативного реагирования не были востребованы (риск не наступил).</w:t>
            </w:r>
          </w:p>
        </w:tc>
        <w:tc>
          <w:tcPr>
            <w:tcW w:w="2091" w:type="dxa"/>
          </w:tcPr>
          <w:p w:rsidR="00D954F6" w:rsidRPr="00C61AA4" w:rsidRDefault="00D954F6" w:rsidP="006346A7">
            <w:pPr>
              <w:contextualSpacing/>
              <w:jc w:val="both"/>
              <w:rPr>
                <w:rFonts w:ascii="Times New Roman" w:hAnsi="Times New Roman" w:cs="Times New Roman"/>
              </w:rPr>
            </w:pPr>
            <w:r w:rsidRPr="00C61AA4">
              <w:rPr>
                <w:rFonts w:ascii="Times New Roman" w:hAnsi="Times New Roman" w:cs="Times New Roman"/>
                <w:i/>
              </w:rPr>
              <w:t>См. аналитическую записку</w:t>
            </w:r>
          </w:p>
        </w:tc>
      </w:tr>
      <w:tr w:rsidR="00D954F6" w:rsidRPr="00C61AA4" w:rsidTr="00D56804">
        <w:tc>
          <w:tcPr>
            <w:tcW w:w="3369" w:type="dxa"/>
          </w:tcPr>
          <w:p w:rsidR="00D954F6" w:rsidRPr="00C61AA4" w:rsidRDefault="00D954F6" w:rsidP="00565036">
            <w:pPr>
              <w:pStyle w:val="a4"/>
              <w:keepNext/>
              <w:keepLines/>
              <w:tabs>
                <w:tab w:val="left" w:pos="0"/>
              </w:tabs>
              <w:spacing w:before="0" w:beforeAutospacing="0" w:after="0" w:afterAutospacing="0"/>
              <w:contextualSpacing/>
              <w:jc w:val="both"/>
              <w:rPr>
                <w:sz w:val="22"/>
                <w:szCs w:val="22"/>
              </w:rPr>
            </w:pPr>
            <w:r w:rsidRPr="00C61AA4">
              <w:rPr>
                <w:sz w:val="22"/>
                <w:szCs w:val="22"/>
              </w:rPr>
              <w:lastRenderedPageBreak/>
              <w:t>Снижение доверия населения к финансовой системе.</w:t>
            </w:r>
          </w:p>
        </w:tc>
        <w:tc>
          <w:tcPr>
            <w:tcW w:w="2551" w:type="dxa"/>
          </w:tcPr>
          <w:p w:rsidR="00D954F6" w:rsidRPr="00C61AA4" w:rsidRDefault="00D954F6" w:rsidP="00565036">
            <w:pPr>
              <w:pStyle w:val="a4"/>
              <w:keepNext/>
              <w:keepLines/>
              <w:tabs>
                <w:tab w:val="left" w:pos="0"/>
              </w:tabs>
              <w:spacing w:before="0" w:beforeAutospacing="0" w:after="0" w:afterAutospacing="0"/>
              <w:contextualSpacing/>
              <w:jc w:val="both"/>
              <w:rPr>
                <w:sz w:val="22"/>
                <w:szCs w:val="22"/>
              </w:rPr>
            </w:pPr>
            <w:r w:rsidRPr="00C61AA4">
              <w:rPr>
                <w:sz w:val="22"/>
                <w:szCs w:val="22"/>
              </w:rPr>
              <w:t>Проведение мероприятий по повышению финансовой грамотности населения.</w:t>
            </w:r>
          </w:p>
        </w:tc>
        <w:tc>
          <w:tcPr>
            <w:tcW w:w="2410" w:type="dxa"/>
          </w:tcPr>
          <w:p w:rsidR="00D954F6" w:rsidRPr="00C61AA4" w:rsidRDefault="00D954F6" w:rsidP="00565036">
            <w:pPr>
              <w:pStyle w:val="a4"/>
              <w:keepNext/>
              <w:keepLines/>
              <w:tabs>
                <w:tab w:val="left" w:pos="0"/>
              </w:tabs>
              <w:spacing w:before="0" w:beforeAutospacing="0" w:after="0" w:afterAutospacing="0"/>
              <w:contextualSpacing/>
              <w:jc w:val="both"/>
              <w:rPr>
                <w:sz w:val="22"/>
                <w:szCs w:val="22"/>
              </w:rPr>
            </w:pPr>
            <w:r w:rsidRPr="00C61AA4">
              <w:rPr>
                <w:sz w:val="22"/>
                <w:szCs w:val="22"/>
              </w:rPr>
              <w:t>Меры оперативного реагирования не были востребованы (риск не наступил).</w:t>
            </w:r>
          </w:p>
        </w:tc>
        <w:tc>
          <w:tcPr>
            <w:tcW w:w="2091" w:type="dxa"/>
          </w:tcPr>
          <w:p w:rsidR="00D954F6" w:rsidRPr="00C61AA4" w:rsidRDefault="00D954F6" w:rsidP="00565036">
            <w:pPr>
              <w:pStyle w:val="a4"/>
              <w:keepNext/>
              <w:keepLines/>
              <w:tabs>
                <w:tab w:val="left" w:pos="0"/>
              </w:tabs>
              <w:spacing w:before="0" w:beforeAutospacing="0" w:after="0" w:afterAutospacing="0"/>
              <w:contextualSpacing/>
              <w:jc w:val="both"/>
              <w:rPr>
                <w:szCs w:val="28"/>
              </w:rPr>
            </w:pPr>
            <w:r w:rsidRPr="00C61AA4">
              <w:rPr>
                <w:i/>
                <w:sz w:val="22"/>
                <w:szCs w:val="22"/>
              </w:rPr>
              <w:t>См. аналитическую записку</w:t>
            </w:r>
          </w:p>
        </w:tc>
      </w:tr>
      <w:tr w:rsidR="00250274" w:rsidRPr="00C61AA4" w:rsidTr="009E2774">
        <w:tc>
          <w:tcPr>
            <w:tcW w:w="10421" w:type="dxa"/>
            <w:gridSpan w:val="4"/>
          </w:tcPr>
          <w:p w:rsidR="00250274" w:rsidRPr="00C61AA4" w:rsidRDefault="00250274" w:rsidP="006346A7">
            <w:pPr>
              <w:contextualSpacing/>
              <w:jc w:val="center"/>
              <w:rPr>
                <w:rFonts w:ascii="Times New Roman" w:hAnsi="Times New Roman" w:cs="Times New Roman"/>
              </w:rPr>
            </w:pPr>
            <w:r w:rsidRPr="00C61AA4">
              <w:rPr>
                <w:rFonts w:ascii="Times New Roman" w:hAnsi="Times New Roman"/>
                <w:b/>
                <w:szCs w:val="28"/>
              </w:rPr>
              <w:t xml:space="preserve">Цель 2.6. </w:t>
            </w:r>
            <w:r w:rsidRPr="00C61AA4">
              <w:rPr>
                <w:rFonts w:ascii="Times New Roman" w:hAnsi="Times New Roman"/>
                <w:szCs w:val="28"/>
              </w:rPr>
              <w:t>Обеспечение эффективности и безопасности функционирования платежных систем</w:t>
            </w:r>
          </w:p>
        </w:tc>
      </w:tr>
      <w:tr w:rsidR="00250274" w:rsidRPr="00C61AA4" w:rsidTr="00D56804">
        <w:tc>
          <w:tcPr>
            <w:tcW w:w="3369" w:type="dxa"/>
          </w:tcPr>
          <w:p w:rsidR="00250274" w:rsidRPr="00C61AA4" w:rsidRDefault="00250274" w:rsidP="006346A7">
            <w:pPr>
              <w:contextualSpacing/>
              <w:jc w:val="both"/>
            </w:pPr>
            <w:r w:rsidRPr="00C61AA4">
              <w:rPr>
                <w:rFonts w:ascii="Times New Roman" w:hAnsi="Times New Roman"/>
                <w:szCs w:val="24"/>
              </w:rPr>
              <w:t>Возникновение чрезвычайных ситуаций, в том числе, природные катаклизмы, нарушение работоспособности третьих лиц, оказывающих услуги для функционирования платежной системы (к примеру, услуги энергоснабжения и связи).</w:t>
            </w:r>
          </w:p>
        </w:tc>
        <w:tc>
          <w:tcPr>
            <w:tcW w:w="2551" w:type="dxa"/>
          </w:tcPr>
          <w:p w:rsidR="00250274" w:rsidRPr="00C61AA4" w:rsidRDefault="00250274" w:rsidP="006346A7">
            <w:pPr>
              <w:contextualSpacing/>
              <w:jc w:val="both"/>
              <w:rPr>
                <w:rFonts w:ascii="Times New Roman" w:hAnsi="Times New Roman"/>
                <w:szCs w:val="24"/>
              </w:rPr>
            </w:pPr>
            <w:r w:rsidRPr="00C61AA4">
              <w:rPr>
                <w:rFonts w:ascii="Times New Roman" w:hAnsi="Times New Roman"/>
                <w:szCs w:val="24"/>
              </w:rPr>
              <w:t>Поддержание работы резервного центра платежных систем, на серверы которого может быть переведена работа систем в случае возникновения чрезвычайных ситуаций в целях управления данными рисками в «горячем» режиме.</w:t>
            </w:r>
          </w:p>
          <w:p w:rsidR="00250274" w:rsidRPr="00C61AA4" w:rsidRDefault="00250274" w:rsidP="006346A7">
            <w:pPr>
              <w:pStyle w:val="a4"/>
              <w:keepNext/>
              <w:keepLines/>
              <w:tabs>
                <w:tab w:val="left" w:pos="0"/>
              </w:tabs>
              <w:spacing w:before="0" w:beforeAutospacing="0" w:after="0" w:afterAutospacing="0"/>
              <w:contextualSpacing/>
              <w:jc w:val="both"/>
              <w:rPr>
                <w:sz w:val="22"/>
                <w:szCs w:val="22"/>
              </w:rPr>
            </w:pPr>
          </w:p>
        </w:tc>
        <w:tc>
          <w:tcPr>
            <w:tcW w:w="2410" w:type="dxa"/>
          </w:tcPr>
          <w:p w:rsidR="00250274" w:rsidRPr="00C61AA4" w:rsidRDefault="00250274" w:rsidP="006346A7">
            <w:pPr>
              <w:pStyle w:val="a4"/>
              <w:keepNext/>
              <w:keepLines/>
              <w:tabs>
                <w:tab w:val="left" w:pos="0"/>
              </w:tabs>
              <w:spacing w:before="0" w:beforeAutospacing="0" w:after="0" w:afterAutospacing="0"/>
              <w:contextualSpacing/>
              <w:jc w:val="both"/>
              <w:rPr>
                <w:sz w:val="22"/>
                <w:szCs w:val="22"/>
              </w:rPr>
            </w:pPr>
            <w:r w:rsidRPr="00C61AA4">
              <w:rPr>
                <w:sz w:val="22"/>
                <w:szCs w:val="22"/>
              </w:rPr>
              <w:t>Чрезвычайных ситуаций, в том числе катаклизмов природного характера не наблюдалось. В связи с чем, в плановом порядке дважды был осуществлен перевод работы платежных систем на программно-технический комплекс резервного центра.</w:t>
            </w:r>
          </w:p>
        </w:tc>
        <w:tc>
          <w:tcPr>
            <w:tcW w:w="2091" w:type="dxa"/>
          </w:tcPr>
          <w:p w:rsidR="00250274" w:rsidRPr="00C61AA4" w:rsidRDefault="00250274" w:rsidP="006346A7">
            <w:pPr>
              <w:pStyle w:val="a4"/>
              <w:keepNext/>
              <w:keepLines/>
              <w:tabs>
                <w:tab w:val="left" w:pos="0"/>
              </w:tabs>
              <w:spacing w:before="0" w:beforeAutospacing="0" w:after="0" w:afterAutospacing="0"/>
              <w:contextualSpacing/>
              <w:jc w:val="both"/>
              <w:rPr>
                <w:sz w:val="22"/>
                <w:szCs w:val="22"/>
              </w:rPr>
            </w:pPr>
            <w:r w:rsidRPr="00C61AA4">
              <w:rPr>
                <w:sz w:val="22"/>
                <w:szCs w:val="22"/>
              </w:rPr>
              <w:t>Поскольку риск не реализовался, необходимость в принятии мер в 2016 году отсутствовала.</w:t>
            </w:r>
          </w:p>
        </w:tc>
      </w:tr>
      <w:tr w:rsidR="00250274" w:rsidRPr="00C61AA4" w:rsidTr="00D56804">
        <w:tc>
          <w:tcPr>
            <w:tcW w:w="3369" w:type="dxa"/>
          </w:tcPr>
          <w:p w:rsidR="00250274" w:rsidRPr="00C61AA4" w:rsidRDefault="00250274" w:rsidP="006346A7">
            <w:pPr>
              <w:contextualSpacing/>
              <w:jc w:val="both"/>
            </w:pPr>
            <w:r w:rsidRPr="00C61AA4">
              <w:rPr>
                <w:rFonts w:ascii="Times New Roman" w:hAnsi="Times New Roman"/>
                <w:szCs w:val="24"/>
              </w:rPr>
              <w:t>Операционные риски (сбой оборудования, ошибки персонала, нарушение физической и информационной безопасности).</w:t>
            </w:r>
          </w:p>
        </w:tc>
        <w:tc>
          <w:tcPr>
            <w:tcW w:w="2551" w:type="dxa"/>
          </w:tcPr>
          <w:p w:rsidR="00250274" w:rsidRPr="00C61AA4" w:rsidRDefault="00250274" w:rsidP="006346A7">
            <w:pPr>
              <w:pStyle w:val="a4"/>
              <w:keepNext/>
              <w:keepLines/>
              <w:tabs>
                <w:tab w:val="left" w:pos="0"/>
              </w:tabs>
              <w:spacing w:before="0" w:beforeAutospacing="0" w:after="0" w:afterAutospacing="0"/>
              <w:contextualSpacing/>
              <w:jc w:val="both"/>
              <w:rPr>
                <w:i/>
                <w:sz w:val="22"/>
                <w:szCs w:val="22"/>
              </w:rPr>
            </w:pPr>
            <w:proofErr w:type="gramStart"/>
            <w:r w:rsidRPr="00C61AA4">
              <w:rPr>
                <w:sz w:val="22"/>
              </w:rPr>
              <w:t>Применение комплекса мер (в том числе, действуют внутренние документы по управлению рисками), предусматривающих проведение плановых (тестовых) мероприятий по переводу платежных систем на программно-технический комплекс резервного центра; постоянный мониторинг работоспособности оборудования; обеспечение необходимого уровня квалификации персонала, его обучение; защита от несанкционированного доступа; обеспечение информационной безопасности посредством ряда установленных мероприятий; управление физическим доступом посредства ряда мер и иные меры.</w:t>
            </w:r>
            <w:r w:rsidRPr="00C61AA4">
              <w:rPr>
                <w:i/>
                <w:sz w:val="22"/>
                <w:szCs w:val="22"/>
              </w:rPr>
              <w:t> </w:t>
            </w:r>
            <w:proofErr w:type="gramEnd"/>
          </w:p>
        </w:tc>
        <w:tc>
          <w:tcPr>
            <w:tcW w:w="2410" w:type="dxa"/>
          </w:tcPr>
          <w:p w:rsidR="00250274" w:rsidRPr="00C61AA4" w:rsidRDefault="00250274" w:rsidP="00E20F8F">
            <w:pPr>
              <w:pStyle w:val="a4"/>
              <w:keepNext/>
              <w:keepLines/>
              <w:tabs>
                <w:tab w:val="left" w:pos="0"/>
              </w:tabs>
              <w:spacing w:before="0" w:beforeAutospacing="0" w:after="0" w:afterAutospacing="0"/>
              <w:contextualSpacing/>
              <w:jc w:val="both"/>
              <w:rPr>
                <w:i/>
                <w:sz w:val="22"/>
                <w:szCs w:val="22"/>
              </w:rPr>
            </w:pPr>
            <w:r w:rsidRPr="00C61AA4">
              <w:rPr>
                <w:sz w:val="22"/>
                <w:szCs w:val="22"/>
              </w:rPr>
              <w:t xml:space="preserve">В целях обеспечения беспрерывного функционирования платежных систем и поддержания резервного центра в постоянной готовности </w:t>
            </w:r>
            <w:r w:rsidR="00E20F8F" w:rsidRPr="00C61AA4">
              <w:rPr>
                <w:sz w:val="22"/>
                <w:szCs w:val="22"/>
              </w:rPr>
              <w:t>КЦМР</w:t>
            </w:r>
            <w:r w:rsidRPr="00C61AA4">
              <w:rPr>
                <w:sz w:val="22"/>
                <w:szCs w:val="22"/>
              </w:rPr>
              <w:t xml:space="preserve"> за 2016 год дважды был осуществлен плановый перевод работы платежных систем на программно-технический комплекс резервного центра.</w:t>
            </w:r>
            <w:r w:rsidRPr="00C61AA4">
              <w:rPr>
                <w:i/>
                <w:sz w:val="22"/>
                <w:szCs w:val="22"/>
              </w:rPr>
              <w:t> </w:t>
            </w:r>
          </w:p>
        </w:tc>
        <w:tc>
          <w:tcPr>
            <w:tcW w:w="2091" w:type="dxa"/>
          </w:tcPr>
          <w:p w:rsidR="00250274" w:rsidRPr="00C61AA4" w:rsidRDefault="00250274" w:rsidP="006346A7">
            <w:pPr>
              <w:contextualSpacing/>
              <w:jc w:val="both"/>
              <w:rPr>
                <w:rFonts w:ascii="Times New Roman" w:hAnsi="Times New Roman"/>
                <w:i/>
                <w:szCs w:val="28"/>
              </w:rPr>
            </w:pPr>
            <w:r w:rsidRPr="00C61AA4">
              <w:rPr>
                <w:rFonts w:ascii="Times New Roman" w:hAnsi="Times New Roman"/>
                <w:i/>
                <w:szCs w:val="28"/>
              </w:rPr>
              <w:t>См. аналитическую записку</w:t>
            </w:r>
          </w:p>
        </w:tc>
      </w:tr>
    </w:tbl>
    <w:p w:rsidR="00250274" w:rsidRPr="00C61AA4" w:rsidRDefault="00250274" w:rsidP="006346A7">
      <w:pPr>
        <w:spacing w:line="240" w:lineRule="auto"/>
        <w:contextualSpacing/>
        <w:jc w:val="both"/>
        <w:rPr>
          <w:rFonts w:ascii="Times New Roman" w:hAnsi="Times New Roman" w:cs="Times New Roman"/>
          <w:b/>
          <w:sz w:val="24"/>
          <w:szCs w:val="24"/>
        </w:rPr>
      </w:pPr>
    </w:p>
    <w:p w:rsidR="00D954F6" w:rsidRPr="00C61AA4" w:rsidRDefault="00D954F6" w:rsidP="006346A7">
      <w:pPr>
        <w:spacing w:line="240" w:lineRule="auto"/>
        <w:contextualSpacing/>
        <w:jc w:val="both"/>
        <w:rPr>
          <w:rFonts w:ascii="Times New Roman" w:hAnsi="Times New Roman" w:cs="Times New Roman"/>
          <w:b/>
          <w:sz w:val="24"/>
          <w:szCs w:val="24"/>
        </w:rPr>
      </w:pPr>
    </w:p>
    <w:p w:rsidR="00D954F6" w:rsidRPr="00C61AA4" w:rsidRDefault="00D954F6" w:rsidP="006346A7">
      <w:pPr>
        <w:spacing w:line="240" w:lineRule="auto"/>
        <w:contextualSpacing/>
        <w:jc w:val="both"/>
        <w:rPr>
          <w:rFonts w:ascii="Times New Roman" w:hAnsi="Times New Roman" w:cs="Times New Roman"/>
          <w:b/>
          <w:sz w:val="24"/>
          <w:szCs w:val="24"/>
        </w:rPr>
      </w:pPr>
    </w:p>
    <w:p w:rsidR="00D954F6" w:rsidRPr="00C61AA4" w:rsidRDefault="00D954F6" w:rsidP="006346A7">
      <w:pPr>
        <w:spacing w:line="240" w:lineRule="auto"/>
        <w:contextualSpacing/>
        <w:jc w:val="both"/>
        <w:rPr>
          <w:rFonts w:ascii="Times New Roman" w:hAnsi="Times New Roman" w:cs="Times New Roman"/>
          <w:b/>
          <w:sz w:val="24"/>
          <w:szCs w:val="24"/>
        </w:rPr>
      </w:pPr>
    </w:p>
    <w:p w:rsidR="00D954F6" w:rsidRPr="00C61AA4" w:rsidRDefault="00D954F6" w:rsidP="006346A7">
      <w:pPr>
        <w:spacing w:line="240" w:lineRule="auto"/>
        <w:contextualSpacing/>
        <w:jc w:val="both"/>
        <w:rPr>
          <w:rFonts w:ascii="Times New Roman" w:hAnsi="Times New Roman" w:cs="Times New Roman"/>
          <w:b/>
          <w:sz w:val="24"/>
          <w:szCs w:val="24"/>
        </w:rPr>
      </w:pPr>
    </w:p>
    <w:p w:rsidR="00D954F6" w:rsidRPr="00C61AA4" w:rsidRDefault="00D954F6" w:rsidP="006346A7">
      <w:pPr>
        <w:spacing w:line="240" w:lineRule="auto"/>
        <w:contextualSpacing/>
        <w:jc w:val="both"/>
        <w:rPr>
          <w:rFonts w:ascii="Times New Roman" w:hAnsi="Times New Roman" w:cs="Times New Roman"/>
          <w:b/>
          <w:sz w:val="24"/>
          <w:szCs w:val="24"/>
        </w:rPr>
      </w:pPr>
    </w:p>
    <w:p w:rsidR="00250274" w:rsidRPr="00C61AA4" w:rsidRDefault="00250274" w:rsidP="006346A7">
      <w:pPr>
        <w:spacing w:line="240" w:lineRule="auto"/>
        <w:contextualSpacing/>
        <w:jc w:val="center"/>
        <w:rPr>
          <w:rFonts w:ascii="Times New Roman" w:hAnsi="Times New Roman" w:cs="Times New Roman"/>
          <w:b/>
          <w:bCs/>
          <w:sz w:val="24"/>
          <w:szCs w:val="24"/>
        </w:rPr>
      </w:pPr>
      <w:r w:rsidRPr="00C61AA4">
        <w:rPr>
          <w:rFonts w:ascii="Times New Roman" w:hAnsi="Times New Roman" w:cs="Times New Roman"/>
          <w:b/>
          <w:sz w:val="24"/>
          <w:szCs w:val="24"/>
        </w:rPr>
        <w:lastRenderedPageBreak/>
        <w:t>2.</w:t>
      </w:r>
      <w:r w:rsidRPr="00C61AA4">
        <w:rPr>
          <w:rFonts w:ascii="Times New Roman" w:hAnsi="Times New Roman" w:cs="Times New Roman"/>
          <w:b/>
          <w:bCs/>
          <w:sz w:val="24"/>
          <w:szCs w:val="24"/>
        </w:rPr>
        <w:t xml:space="preserve"> Достижение целей и целевых индикаторов</w:t>
      </w:r>
    </w:p>
    <w:p w:rsidR="00250274" w:rsidRPr="00C61AA4" w:rsidRDefault="00250274" w:rsidP="006346A7">
      <w:pPr>
        <w:spacing w:line="240" w:lineRule="auto"/>
        <w:contextualSpacing/>
        <w:jc w:val="both"/>
        <w:rPr>
          <w:rFonts w:ascii="Times New Roman" w:hAnsi="Times New Roman" w:cs="Times New Roman"/>
          <w:b/>
          <w:sz w:val="24"/>
          <w:szCs w:val="24"/>
        </w:rPr>
      </w:pPr>
    </w:p>
    <w:tbl>
      <w:tblPr>
        <w:tblStyle w:val="a7"/>
        <w:tblW w:w="0" w:type="auto"/>
        <w:tblLook w:val="04A0" w:firstRow="1" w:lastRow="0" w:firstColumn="1" w:lastColumn="0" w:noHBand="0" w:noVBand="1"/>
      </w:tblPr>
      <w:tblGrid>
        <w:gridCol w:w="3069"/>
        <w:gridCol w:w="1846"/>
        <w:gridCol w:w="1478"/>
        <w:gridCol w:w="850"/>
        <w:gridCol w:w="1156"/>
        <w:gridCol w:w="2022"/>
      </w:tblGrid>
      <w:tr w:rsidR="008D71F9" w:rsidRPr="00C61AA4" w:rsidTr="00C97C57">
        <w:trPr>
          <w:tblHeader/>
        </w:trPr>
        <w:tc>
          <w:tcPr>
            <w:tcW w:w="3069" w:type="dxa"/>
            <w:vMerge w:val="restart"/>
          </w:tcPr>
          <w:p w:rsidR="008D71F9" w:rsidRPr="00C61AA4" w:rsidRDefault="008D71F9" w:rsidP="006346A7">
            <w:pPr>
              <w:contextualSpacing/>
              <w:jc w:val="center"/>
              <w:rPr>
                <w:rFonts w:ascii="Times New Roman" w:hAnsi="Times New Roman" w:cs="Times New Roman"/>
                <w:b/>
                <w:sz w:val="24"/>
                <w:szCs w:val="24"/>
              </w:rPr>
            </w:pPr>
            <w:r w:rsidRPr="00C61AA4">
              <w:rPr>
                <w:rFonts w:ascii="Times New Roman" w:hAnsi="Times New Roman"/>
                <w:b/>
                <w:i/>
              </w:rPr>
              <w:t>Наименование целевого индикатора</w:t>
            </w:r>
          </w:p>
        </w:tc>
        <w:tc>
          <w:tcPr>
            <w:tcW w:w="1846" w:type="dxa"/>
            <w:vMerge w:val="restart"/>
          </w:tcPr>
          <w:p w:rsidR="008D71F9" w:rsidRPr="00C61AA4" w:rsidRDefault="008D71F9" w:rsidP="006346A7">
            <w:pPr>
              <w:contextualSpacing/>
              <w:jc w:val="center"/>
              <w:rPr>
                <w:rFonts w:ascii="Times New Roman" w:hAnsi="Times New Roman"/>
                <w:b/>
                <w:i/>
              </w:rPr>
            </w:pPr>
            <w:r w:rsidRPr="00C61AA4">
              <w:rPr>
                <w:rFonts w:ascii="Times New Roman" w:hAnsi="Times New Roman"/>
                <w:b/>
                <w:i/>
              </w:rPr>
              <w:t>Источник информации</w:t>
            </w:r>
          </w:p>
        </w:tc>
        <w:tc>
          <w:tcPr>
            <w:tcW w:w="1478" w:type="dxa"/>
            <w:vMerge w:val="restart"/>
          </w:tcPr>
          <w:p w:rsidR="008D71F9" w:rsidRPr="00C61AA4" w:rsidRDefault="008D71F9" w:rsidP="006346A7">
            <w:pPr>
              <w:contextualSpacing/>
              <w:jc w:val="center"/>
              <w:rPr>
                <w:rFonts w:ascii="Times New Roman" w:hAnsi="Times New Roman"/>
                <w:b/>
                <w:i/>
              </w:rPr>
            </w:pPr>
            <w:r w:rsidRPr="00C61AA4">
              <w:rPr>
                <w:rFonts w:ascii="Times New Roman" w:hAnsi="Times New Roman"/>
                <w:b/>
                <w:i/>
              </w:rPr>
              <w:t>Ед. изм.</w:t>
            </w:r>
          </w:p>
        </w:tc>
        <w:tc>
          <w:tcPr>
            <w:tcW w:w="2006" w:type="dxa"/>
            <w:gridSpan w:val="2"/>
          </w:tcPr>
          <w:p w:rsidR="008D71F9" w:rsidRPr="00C61AA4" w:rsidRDefault="008D71F9" w:rsidP="006346A7">
            <w:pPr>
              <w:contextualSpacing/>
              <w:jc w:val="center"/>
              <w:rPr>
                <w:rFonts w:ascii="Times New Roman" w:hAnsi="Times New Roman"/>
                <w:b/>
                <w:i/>
              </w:rPr>
            </w:pPr>
            <w:r w:rsidRPr="00C61AA4">
              <w:rPr>
                <w:rFonts w:ascii="Times New Roman" w:hAnsi="Times New Roman"/>
                <w:b/>
                <w:i/>
              </w:rPr>
              <w:t>Отчетный</w:t>
            </w:r>
          </w:p>
          <w:p w:rsidR="008D71F9" w:rsidRPr="00C61AA4" w:rsidRDefault="008D71F9" w:rsidP="006346A7">
            <w:pPr>
              <w:contextualSpacing/>
              <w:jc w:val="center"/>
              <w:rPr>
                <w:rFonts w:ascii="Times New Roman" w:hAnsi="Times New Roman"/>
                <w:b/>
                <w:i/>
              </w:rPr>
            </w:pPr>
            <w:r w:rsidRPr="00C61AA4">
              <w:rPr>
                <w:rFonts w:ascii="Times New Roman" w:hAnsi="Times New Roman"/>
                <w:b/>
                <w:i/>
              </w:rPr>
              <w:t>период</w:t>
            </w:r>
          </w:p>
          <w:p w:rsidR="008D71F9" w:rsidRPr="00C61AA4" w:rsidRDefault="008D71F9" w:rsidP="006346A7">
            <w:pPr>
              <w:contextualSpacing/>
              <w:jc w:val="center"/>
              <w:rPr>
                <w:rFonts w:ascii="Times New Roman" w:hAnsi="Times New Roman" w:cs="Times New Roman"/>
                <w:b/>
                <w:sz w:val="24"/>
                <w:szCs w:val="24"/>
              </w:rPr>
            </w:pPr>
          </w:p>
        </w:tc>
        <w:tc>
          <w:tcPr>
            <w:tcW w:w="2022" w:type="dxa"/>
            <w:vMerge w:val="restart"/>
          </w:tcPr>
          <w:p w:rsidR="008D71F9" w:rsidRPr="00C61AA4" w:rsidRDefault="008D71F9" w:rsidP="006346A7">
            <w:pPr>
              <w:contextualSpacing/>
              <w:jc w:val="center"/>
              <w:rPr>
                <w:rFonts w:ascii="Times New Roman" w:hAnsi="Times New Roman" w:cs="Times New Roman"/>
                <w:b/>
                <w:sz w:val="24"/>
                <w:szCs w:val="24"/>
              </w:rPr>
            </w:pPr>
            <w:r w:rsidRPr="00C61AA4">
              <w:rPr>
                <w:rFonts w:ascii="Times New Roman" w:hAnsi="Times New Roman"/>
                <w:b/>
                <w:i/>
              </w:rPr>
              <w:t>Примечание (информация об исполнении/ неисполнении)</w:t>
            </w:r>
          </w:p>
        </w:tc>
      </w:tr>
      <w:tr w:rsidR="008D71F9" w:rsidRPr="00C61AA4" w:rsidTr="008D71F9">
        <w:tc>
          <w:tcPr>
            <w:tcW w:w="3069" w:type="dxa"/>
            <w:vMerge/>
          </w:tcPr>
          <w:p w:rsidR="008D71F9" w:rsidRPr="00C61AA4" w:rsidRDefault="008D71F9" w:rsidP="006346A7">
            <w:pPr>
              <w:contextualSpacing/>
              <w:jc w:val="center"/>
              <w:rPr>
                <w:rFonts w:ascii="Times New Roman" w:hAnsi="Times New Roman" w:cs="Times New Roman"/>
                <w:b/>
                <w:sz w:val="24"/>
                <w:szCs w:val="24"/>
              </w:rPr>
            </w:pPr>
          </w:p>
        </w:tc>
        <w:tc>
          <w:tcPr>
            <w:tcW w:w="1846" w:type="dxa"/>
            <w:vMerge/>
          </w:tcPr>
          <w:p w:rsidR="008D71F9" w:rsidRPr="00C61AA4" w:rsidRDefault="008D71F9" w:rsidP="006346A7">
            <w:pPr>
              <w:contextualSpacing/>
              <w:jc w:val="center"/>
              <w:rPr>
                <w:rFonts w:ascii="Times New Roman" w:hAnsi="Times New Roman" w:cs="Times New Roman"/>
                <w:b/>
                <w:sz w:val="24"/>
                <w:szCs w:val="24"/>
              </w:rPr>
            </w:pPr>
          </w:p>
        </w:tc>
        <w:tc>
          <w:tcPr>
            <w:tcW w:w="1478" w:type="dxa"/>
            <w:vMerge/>
          </w:tcPr>
          <w:p w:rsidR="008D71F9" w:rsidRPr="00C61AA4" w:rsidRDefault="008D71F9" w:rsidP="006346A7">
            <w:pPr>
              <w:contextualSpacing/>
              <w:jc w:val="center"/>
              <w:rPr>
                <w:rFonts w:ascii="Times New Roman" w:hAnsi="Times New Roman" w:cs="Times New Roman"/>
                <w:b/>
                <w:sz w:val="24"/>
                <w:szCs w:val="24"/>
              </w:rPr>
            </w:pPr>
          </w:p>
        </w:tc>
        <w:tc>
          <w:tcPr>
            <w:tcW w:w="850" w:type="dxa"/>
          </w:tcPr>
          <w:p w:rsidR="008D71F9" w:rsidRPr="00C61AA4" w:rsidRDefault="008D71F9" w:rsidP="006346A7">
            <w:pPr>
              <w:contextualSpacing/>
              <w:jc w:val="center"/>
              <w:rPr>
                <w:rFonts w:ascii="Times New Roman" w:hAnsi="Times New Roman"/>
                <w:i/>
              </w:rPr>
            </w:pPr>
            <w:r w:rsidRPr="00C61AA4">
              <w:rPr>
                <w:rFonts w:ascii="Times New Roman" w:hAnsi="Times New Roman"/>
                <w:i/>
              </w:rPr>
              <w:t>План</w:t>
            </w:r>
          </w:p>
        </w:tc>
        <w:tc>
          <w:tcPr>
            <w:tcW w:w="1156" w:type="dxa"/>
          </w:tcPr>
          <w:p w:rsidR="008D71F9" w:rsidRPr="00C61AA4" w:rsidRDefault="008D71F9" w:rsidP="006346A7">
            <w:pPr>
              <w:contextualSpacing/>
              <w:jc w:val="center"/>
              <w:rPr>
                <w:rFonts w:ascii="Times New Roman" w:hAnsi="Times New Roman"/>
                <w:i/>
              </w:rPr>
            </w:pPr>
            <w:r w:rsidRPr="00C61AA4">
              <w:rPr>
                <w:rFonts w:ascii="Times New Roman" w:hAnsi="Times New Roman"/>
                <w:i/>
              </w:rPr>
              <w:t>Факт</w:t>
            </w:r>
          </w:p>
        </w:tc>
        <w:tc>
          <w:tcPr>
            <w:tcW w:w="2022" w:type="dxa"/>
            <w:vMerge/>
          </w:tcPr>
          <w:p w:rsidR="008D71F9" w:rsidRPr="00C61AA4" w:rsidRDefault="008D71F9" w:rsidP="006346A7">
            <w:pPr>
              <w:contextualSpacing/>
              <w:jc w:val="center"/>
              <w:rPr>
                <w:rFonts w:ascii="Times New Roman" w:hAnsi="Times New Roman" w:cs="Times New Roman"/>
                <w:b/>
                <w:sz w:val="24"/>
                <w:szCs w:val="24"/>
              </w:rPr>
            </w:pPr>
          </w:p>
        </w:tc>
      </w:tr>
      <w:tr w:rsidR="008D71F9" w:rsidRPr="00C61AA4" w:rsidTr="008D71F9">
        <w:tc>
          <w:tcPr>
            <w:tcW w:w="3069" w:type="dxa"/>
          </w:tcPr>
          <w:p w:rsidR="008D71F9" w:rsidRPr="00C61AA4" w:rsidRDefault="008D71F9" w:rsidP="006346A7">
            <w:pPr>
              <w:contextualSpacing/>
              <w:jc w:val="center"/>
              <w:rPr>
                <w:rFonts w:ascii="Times New Roman" w:hAnsi="Times New Roman" w:cs="Times New Roman"/>
                <w:b/>
                <w:i/>
                <w:sz w:val="24"/>
                <w:szCs w:val="24"/>
              </w:rPr>
            </w:pPr>
            <w:r w:rsidRPr="00C61AA4">
              <w:rPr>
                <w:rFonts w:ascii="Times New Roman" w:hAnsi="Times New Roman" w:cs="Times New Roman"/>
                <w:b/>
                <w:i/>
                <w:sz w:val="24"/>
                <w:szCs w:val="24"/>
              </w:rPr>
              <w:t>1</w:t>
            </w:r>
          </w:p>
        </w:tc>
        <w:tc>
          <w:tcPr>
            <w:tcW w:w="1846" w:type="dxa"/>
          </w:tcPr>
          <w:p w:rsidR="008D71F9" w:rsidRPr="00C61AA4" w:rsidRDefault="008D71F9" w:rsidP="006346A7">
            <w:pPr>
              <w:contextualSpacing/>
              <w:jc w:val="center"/>
              <w:rPr>
                <w:rFonts w:ascii="Times New Roman" w:hAnsi="Times New Roman" w:cs="Times New Roman"/>
                <w:b/>
                <w:i/>
                <w:sz w:val="24"/>
                <w:szCs w:val="24"/>
              </w:rPr>
            </w:pPr>
            <w:r w:rsidRPr="00C61AA4">
              <w:rPr>
                <w:rFonts w:ascii="Times New Roman" w:hAnsi="Times New Roman" w:cs="Times New Roman"/>
                <w:b/>
                <w:i/>
                <w:sz w:val="24"/>
                <w:szCs w:val="24"/>
              </w:rPr>
              <w:t>2</w:t>
            </w:r>
          </w:p>
        </w:tc>
        <w:tc>
          <w:tcPr>
            <w:tcW w:w="1478" w:type="dxa"/>
          </w:tcPr>
          <w:p w:rsidR="008D71F9" w:rsidRPr="00C61AA4" w:rsidRDefault="008D71F9" w:rsidP="006346A7">
            <w:pPr>
              <w:contextualSpacing/>
              <w:jc w:val="center"/>
              <w:rPr>
                <w:rFonts w:ascii="Times New Roman" w:hAnsi="Times New Roman" w:cs="Times New Roman"/>
                <w:b/>
                <w:i/>
                <w:sz w:val="24"/>
                <w:szCs w:val="24"/>
              </w:rPr>
            </w:pPr>
            <w:r w:rsidRPr="00C61AA4">
              <w:rPr>
                <w:rFonts w:ascii="Times New Roman" w:hAnsi="Times New Roman" w:cs="Times New Roman"/>
                <w:b/>
                <w:i/>
                <w:sz w:val="24"/>
                <w:szCs w:val="24"/>
              </w:rPr>
              <w:t>3</w:t>
            </w:r>
          </w:p>
        </w:tc>
        <w:tc>
          <w:tcPr>
            <w:tcW w:w="850" w:type="dxa"/>
          </w:tcPr>
          <w:p w:rsidR="008D71F9" w:rsidRPr="00C61AA4" w:rsidRDefault="008D71F9" w:rsidP="006346A7">
            <w:pPr>
              <w:contextualSpacing/>
              <w:jc w:val="center"/>
              <w:rPr>
                <w:rFonts w:ascii="Times New Roman" w:hAnsi="Times New Roman" w:cs="Times New Roman"/>
                <w:b/>
                <w:i/>
                <w:sz w:val="24"/>
                <w:szCs w:val="24"/>
              </w:rPr>
            </w:pPr>
            <w:r w:rsidRPr="00C61AA4">
              <w:rPr>
                <w:rFonts w:ascii="Times New Roman" w:hAnsi="Times New Roman" w:cs="Times New Roman"/>
                <w:b/>
                <w:i/>
                <w:sz w:val="24"/>
                <w:szCs w:val="24"/>
              </w:rPr>
              <w:t>4</w:t>
            </w:r>
          </w:p>
        </w:tc>
        <w:tc>
          <w:tcPr>
            <w:tcW w:w="1156" w:type="dxa"/>
          </w:tcPr>
          <w:p w:rsidR="008D71F9" w:rsidRPr="00C61AA4" w:rsidRDefault="008D71F9" w:rsidP="006346A7">
            <w:pPr>
              <w:contextualSpacing/>
              <w:jc w:val="center"/>
              <w:rPr>
                <w:rFonts w:ascii="Times New Roman" w:hAnsi="Times New Roman" w:cs="Times New Roman"/>
                <w:b/>
                <w:i/>
                <w:sz w:val="24"/>
                <w:szCs w:val="24"/>
              </w:rPr>
            </w:pPr>
            <w:r w:rsidRPr="00C61AA4">
              <w:rPr>
                <w:rFonts w:ascii="Times New Roman" w:hAnsi="Times New Roman" w:cs="Times New Roman"/>
                <w:b/>
                <w:i/>
                <w:sz w:val="24"/>
                <w:szCs w:val="24"/>
              </w:rPr>
              <w:t>5</w:t>
            </w:r>
          </w:p>
        </w:tc>
        <w:tc>
          <w:tcPr>
            <w:tcW w:w="2022" w:type="dxa"/>
          </w:tcPr>
          <w:p w:rsidR="008D71F9" w:rsidRPr="00C61AA4" w:rsidRDefault="008D71F9" w:rsidP="006346A7">
            <w:pPr>
              <w:contextualSpacing/>
              <w:jc w:val="center"/>
              <w:rPr>
                <w:rFonts w:ascii="Times New Roman" w:hAnsi="Times New Roman" w:cs="Times New Roman"/>
                <w:b/>
                <w:i/>
                <w:sz w:val="24"/>
                <w:szCs w:val="24"/>
              </w:rPr>
            </w:pPr>
            <w:r w:rsidRPr="00C61AA4">
              <w:rPr>
                <w:rFonts w:ascii="Times New Roman" w:hAnsi="Times New Roman" w:cs="Times New Roman"/>
                <w:b/>
                <w:i/>
                <w:sz w:val="24"/>
                <w:szCs w:val="24"/>
              </w:rPr>
              <w:t>6</w:t>
            </w:r>
          </w:p>
        </w:tc>
      </w:tr>
      <w:tr w:rsidR="008D71F9" w:rsidRPr="00C61AA4" w:rsidTr="009E2774">
        <w:tc>
          <w:tcPr>
            <w:tcW w:w="10421" w:type="dxa"/>
            <w:gridSpan w:val="6"/>
          </w:tcPr>
          <w:p w:rsidR="008D71F9" w:rsidRPr="00C61AA4" w:rsidRDefault="008D71F9" w:rsidP="006346A7">
            <w:pPr>
              <w:contextualSpacing/>
              <w:jc w:val="center"/>
              <w:rPr>
                <w:rFonts w:ascii="Times New Roman" w:hAnsi="Times New Roman" w:cs="Times New Roman"/>
                <w:b/>
                <w:sz w:val="24"/>
                <w:szCs w:val="24"/>
              </w:rPr>
            </w:pPr>
            <w:r w:rsidRPr="00C61AA4">
              <w:rPr>
                <w:rFonts w:ascii="Times New Roman" w:hAnsi="Times New Roman"/>
                <w:b/>
              </w:rPr>
              <w:t xml:space="preserve">Стратегическое направление 1. </w:t>
            </w:r>
            <w:r w:rsidRPr="00C61AA4">
              <w:rPr>
                <w:rFonts w:ascii="Times New Roman" w:hAnsi="Times New Roman"/>
              </w:rPr>
              <w:t>Обеспечение стабильности цен</w:t>
            </w:r>
          </w:p>
        </w:tc>
      </w:tr>
      <w:tr w:rsidR="008D71F9" w:rsidRPr="00C61AA4" w:rsidTr="009E2774">
        <w:tc>
          <w:tcPr>
            <w:tcW w:w="10421" w:type="dxa"/>
            <w:gridSpan w:val="6"/>
          </w:tcPr>
          <w:p w:rsidR="008D71F9" w:rsidRPr="00C61AA4" w:rsidRDefault="008D71F9" w:rsidP="006346A7">
            <w:pPr>
              <w:contextualSpacing/>
              <w:jc w:val="center"/>
              <w:rPr>
                <w:rFonts w:ascii="Times New Roman" w:hAnsi="Times New Roman" w:cs="Times New Roman"/>
                <w:b/>
                <w:sz w:val="24"/>
                <w:szCs w:val="24"/>
              </w:rPr>
            </w:pPr>
            <w:r w:rsidRPr="00C61AA4">
              <w:rPr>
                <w:rFonts w:ascii="Times New Roman" w:hAnsi="Times New Roman"/>
                <w:b/>
              </w:rPr>
              <w:t xml:space="preserve">Цель 1.1. </w:t>
            </w:r>
            <w:r w:rsidRPr="00C61AA4">
              <w:rPr>
                <w:rFonts w:ascii="Times New Roman" w:hAnsi="Times New Roman"/>
              </w:rPr>
              <w:t>Удержание инфляции в целевом коридоре</w:t>
            </w:r>
          </w:p>
        </w:tc>
      </w:tr>
      <w:tr w:rsidR="008D71F9" w:rsidRPr="00C61AA4" w:rsidTr="008D71F9">
        <w:tc>
          <w:tcPr>
            <w:tcW w:w="3069" w:type="dxa"/>
          </w:tcPr>
          <w:p w:rsidR="008D71F9" w:rsidRPr="00C61AA4" w:rsidRDefault="008D71F9" w:rsidP="006346A7">
            <w:pPr>
              <w:contextualSpacing/>
              <w:jc w:val="both"/>
              <w:rPr>
                <w:rFonts w:ascii="Times New Roman" w:hAnsi="Times New Roman" w:cs="Times New Roman"/>
                <w:b/>
                <w:sz w:val="24"/>
                <w:szCs w:val="24"/>
              </w:rPr>
            </w:pPr>
            <w:r w:rsidRPr="00C61AA4">
              <w:rPr>
                <w:rFonts w:ascii="Times New Roman" w:hAnsi="Times New Roman"/>
                <w:b/>
              </w:rPr>
              <w:t>Целевой индикатор</w:t>
            </w:r>
          </w:p>
        </w:tc>
        <w:tc>
          <w:tcPr>
            <w:tcW w:w="1846" w:type="dxa"/>
          </w:tcPr>
          <w:p w:rsidR="008D71F9" w:rsidRPr="00C61AA4" w:rsidRDefault="008D71F9" w:rsidP="006346A7">
            <w:pPr>
              <w:contextualSpacing/>
              <w:jc w:val="both"/>
              <w:rPr>
                <w:rFonts w:ascii="Times New Roman" w:hAnsi="Times New Roman" w:cs="Times New Roman"/>
                <w:b/>
                <w:sz w:val="24"/>
                <w:szCs w:val="24"/>
              </w:rPr>
            </w:pPr>
          </w:p>
        </w:tc>
        <w:tc>
          <w:tcPr>
            <w:tcW w:w="1478" w:type="dxa"/>
          </w:tcPr>
          <w:p w:rsidR="008D71F9" w:rsidRPr="00C61AA4" w:rsidRDefault="008D71F9" w:rsidP="006346A7">
            <w:pPr>
              <w:contextualSpacing/>
              <w:jc w:val="both"/>
              <w:rPr>
                <w:rFonts w:ascii="Times New Roman" w:hAnsi="Times New Roman" w:cs="Times New Roman"/>
                <w:b/>
                <w:sz w:val="24"/>
                <w:szCs w:val="24"/>
              </w:rPr>
            </w:pPr>
          </w:p>
        </w:tc>
        <w:tc>
          <w:tcPr>
            <w:tcW w:w="850" w:type="dxa"/>
          </w:tcPr>
          <w:p w:rsidR="008D71F9" w:rsidRPr="00C61AA4" w:rsidRDefault="008D71F9" w:rsidP="006346A7">
            <w:pPr>
              <w:contextualSpacing/>
              <w:jc w:val="both"/>
              <w:rPr>
                <w:rFonts w:ascii="Times New Roman" w:hAnsi="Times New Roman" w:cs="Times New Roman"/>
                <w:b/>
                <w:sz w:val="24"/>
                <w:szCs w:val="24"/>
              </w:rPr>
            </w:pPr>
          </w:p>
        </w:tc>
        <w:tc>
          <w:tcPr>
            <w:tcW w:w="1156" w:type="dxa"/>
          </w:tcPr>
          <w:p w:rsidR="008D71F9" w:rsidRPr="00C61AA4" w:rsidRDefault="008D71F9" w:rsidP="006346A7">
            <w:pPr>
              <w:contextualSpacing/>
              <w:jc w:val="both"/>
              <w:rPr>
                <w:rFonts w:ascii="Times New Roman" w:hAnsi="Times New Roman" w:cs="Times New Roman"/>
                <w:b/>
                <w:sz w:val="24"/>
                <w:szCs w:val="24"/>
              </w:rPr>
            </w:pPr>
          </w:p>
        </w:tc>
        <w:tc>
          <w:tcPr>
            <w:tcW w:w="2022" w:type="dxa"/>
          </w:tcPr>
          <w:p w:rsidR="008D71F9" w:rsidRPr="00C61AA4" w:rsidRDefault="008D71F9" w:rsidP="006346A7">
            <w:pPr>
              <w:contextualSpacing/>
              <w:jc w:val="both"/>
              <w:rPr>
                <w:rFonts w:ascii="Times New Roman" w:hAnsi="Times New Roman" w:cs="Times New Roman"/>
                <w:b/>
                <w:sz w:val="24"/>
                <w:szCs w:val="24"/>
              </w:rPr>
            </w:pPr>
          </w:p>
        </w:tc>
      </w:tr>
      <w:tr w:rsidR="008D71F9" w:rsidRPr="00C61AA4" w:rsidTr="008D71F9">
        <w:tc>
          <w:tcPr>
            <w:tcW w:w="3069" w:type="dxa"/>
          </w:tcPr>
          <w:p w:rsidR="008D71F9" w:rsidRPr="00C61AA4" w:rsidRDefault="008D71F9" w:rsidP="006346A7">
            <w:pPr>
              <w:contextualSpacing/>
              <w:jc w:val="both"/>
              <w:rPr>
                <w:rFonts w:ascii="Times New Roman" w:hAnsi="Times New Roman"/>
              </w:rPr>
            </w:pPr>
            <w:r w:rsidRPr="00C61AA4">
              <w:rPr>
                <w:rFonts w:ascii="Times New Roman" w:hAnsi="Times New Roman"/>
              </w:rPr>
              <w:t>Среднегодовой темп инфляции, %</w:t>
            </w:r>
          </w:p>
        </w:tc>
        <w:tc>
          <w:tcPr>
            <w:tcW w:w="1846" w:type="dxa"/>
          </w:tcPr>
          <w:p w:rsidR="008D71F9" w:rsidRPr="00C61AA4" w:rsidRDefault="008D71F9" w:rsidP="006346A7">
            <w:pPr>
              <w:keepNext/>
              <w:keepLines/>
              <w:contextualSpacing/>
              <w:jc w:val="both"/>
              <w:outlineLvl w:val="2"/>
              <w:rPr>
                <w:rFonts w:ascii="Times New Roman" w:hAnsi="Times New Roman"/>
              </w:rPr>
            </w:pPr>
            <w:r w:rsidRPr="00C61AA4">
              <w:rPr>
                <w:rFonts w:ascii="Times New Roman" w:hAnsi="Times New Roman"/>
              </w:rPr>
              <w:t>Отчет ГИК ВЭФ</w:t>
            </w:r>
          </w:p>
        </w:tc>
        <w:tc>
          <w:tcPr>
            <w:tcW w:w="1478" w:type="dxa"/>
          </w:tcPr>
          <w:p w:rsidR="008D71F9" w:rsidRPr="00C61AA4" w:rsidRDefault="008D71F9" w:rsidP="006346A7">
            <w:pPr>
              <w:contextualSpacing/>
              <w:jc w:val="both"/>
              <w:rPr>
                <w:rFonts w:ascii="Times New Roman" w:hAnsi="Times New Roman"/>
              </w:rPr>
            </w:pPr>
            <w:r w:rsidRPr="00C61AA4">
              <w:rPr>
                <w:rFonts w:ascii="Times New Roman" w:hAnsi="Times New Roman"/>
              </w:rPr>
              <w:t>Место в рейтинге ГИК ВЭФ</w:t>
            </w:r>
          </w:p>
        </w:tc>
        <w:tc>
          <w:tcPr>
            <w:tcW w:w="850" w:type="dxa"/>
          </w:tcPr>
          <w:p w:rsidR="008D71F9" w:rsidRPr="00C61AA4" w:rsidRDefault="008D71F9" w:rsidP="006346A7">
            <w:pPr>
              <w:contextualSpacing/>
              <w:jc w:val="both"/>
              <w:rPr>
                <w:rFonts w:ascii="Times New Roman" w:hAnsi="Times New Roman"/>
              </w:rPr>
            </w:pPr>
            <w:r w:rsidRPr="00C61AA4">
              <w:rPr>
                <w:rFonts w:ascii="Times New Roman" w:hAnsi="Times New Roman"/>
              </w:rPr>
              <w:t>115</w:t>
            </w:r>
          </w:p>
        </w:tc>
        <w:tc>
          <w:tcPr>
            <w:tcW w:w="1156" w:type="dxa"/>
          </w:tcPr>
          <w:p w:rsidR="008D71F9" w:rsidRPr="00C61AA4" w:rsidRDefault="008D71F9" w:rsidP="006346A7">
            <w:pPr>
              <w:contextualSpacing/>
              <w:jc w:val="both"/>
              <w:rPr>
                <w:rFonts w:ascii="Times New Roman" w:hAnsi="Times New Roman"/>
              </w:rPr>
            </w:pPr>
            <w:r w:rsidRPr="00C61AA4">
              <w:rPr>
                <w:rFonts w:ascii="Times New Roman" w:hAnsi="Times New Roman"/>
              </w:rPr>
              <w:t>113</w:t>
            </w:r>
            <w:r w:rsidRPr="00C61AA4">
              <w:rPr>
                <w:rStyle w:val="a8"/>
              </w:rPr>
              <w:footnoteReference w:id="1"/>
            </w:r>
          </w:p>
          <w:p w:rsidR="008D71F9" w:rsidRPr="00C61AA4" w:rsidRDefault="008D71F9" w:rsidP="006346A7">
            <w:pPr>
              <w:contextualSpacing/>
              <w:jc w:val="both"/>
              <w:rPr>
                <w:rFonts w:ascii="Times New Roman" w:hAnsi="Times New Roman"/>
              </w:rPr>
            </w:pPr>
          </w:p>
        </w:tc>
        <w:tc>
          <w:tcPr>
            <w:tcW w:w="2022" w:type="dxa"/>
          </w:tcPr>
          <w:p w:rsidR="008D71F9" w:rsidRPr="00C61AA4" w:rsidRDefault="008D71F9" w:rsidP="006346A7">
            <w:pPr>
              <w:contextualSpacing/>
              <w:jc w:val="both"/>
              <w:rPr>
                <w:rFonts w:ascii="Times New Roman" w:hAnsi="Times New Roman" w:cs="Times New Roman"/>
                <w:b/>
                <w:sz w:val="24"/>
                <w:szCs w:val="24"/>
              </w:rPr>
            </w:pPr>
          </w:p>
        </w:tc>
      </w:tr>
      <w:tr w:rsidR="008D71F9" w:rsidRPr="00C61AA4" w:rsidTr="009E2774">
        <w:tc>
          <w:tcPr>
            <w:tcW w:w="10421" w:type="dxa"/>
            <w:gridSpan w:val="6"/>
          </w:tcPr>
          <w:p w:rsidR="008D71F9" w:rsidRPr="00C61AA4" w:rsidRDefault="008D71F9" w:rsidP="006346A7">
            <w:pPr>
              <w:contextualSpacing/>
              <w:jc w:val="center"/>
              <w:rPr>
                <w:rFonts w:ascii="Times New Roman" w:hAnsi="Times New Roman" w:cs="Times New Roman"/>
                <w:b/>
                <w:sz w:val="24"/>
                <w:szCs w:val="24"/>
              </w:rPr>
            </w:pPr>
            <w:r w:rsidRPr="00C61AA4">
              <w:rPr>
                <w:rFonts w:ascii="Times New Roman" w:hAnsi="Times New Roman"/>
                <w:b/>
              </w:rPr>
              <w:t xml:space="preserve">Цель 1.2. </w:t>
            </w:r>
            <w:r w:rsidRPr="00C61AA4">
              <w:rPr>
                <w:rFonts w:ascii="Times New Roman" w:hAnsi="Times New Roman"/>
              </w:rPr>
              <w:t>Обеспечение сохранности золотовалютных активов Национального Банка</w:t>
            </w:r>
          </w:p>
        </w:tc>
      </w:tr>
      <w:tr w:rsidR="008D71F9" w:rsidRPr="00C61AA4" w:rsidTr="008D71F9">
        <w:tc>
          <w:tcPr>
            <w:tcW w:w="3069" w:type="dxa"/>
          </w:tcPr>
          <w:p w:rsidR="008D71F9" w:rsidRPr="00C61AA4" w:rsidRDefault="008D71F9" w:rsidP="006346A7">
            <w:pPr>
              <w:contextualSpacing/>
              <w:jc w:val="both"/>
              <w:rPr>
                <w:rFonts w:ascii="Times New Roman" w:hAnsi="Times New Roman"/>
              </w:rPr>
            </w:pPr>
            <w:r w:rsidRPr="00C61AA4">
              <w:rPr>
                <w:rFonts w:ascii="Times New Roman" w:hAnsi="Times New Roman"/>
                <w:b/>
              </w:rPr>
              <w:t>Целевой индикатор</w:t>
            </w:r>
          </w:p>
        </w:tc>
        <w:tc>
          <w:tcPr>
            <w:tcW w:w="1846" w:type="dxa"/>
          </w:tcPr>
          <w:p w:rsidR="008D71F9" w:rsidRPr="00C61AA4" w:rsidRDefault="008D71F9" w:rsidP="006346A7">
            <w:pPr>
              <w:keepNext/>
              <w:keepLines/>
              <w:contextualSpacing/>
              <w:jc w:val="both"/>
              <w:outlineLvl w:val="2"/>
              <w:rPr>
                <w:rFonts w:ascii="Times New Roman" w:hAnsi="Times New Roman"/>
              </w:rPr>
            </w:pPr>
          </w:p>
        </w:tc>
        <w:tc>
          <w:tcPr>
            <w:tcW w:w="1478" w:type="dxa"/>
          </w:tcPr>
          <w:p w:rsidR="008D71F9" w:rsidRPr="00C61AA4" w:rsidRDefault="008D71F9" w:rsidP="006346A7">
            <w:pPr>
              <w:contextualSpacing/>
              <w:jc w:val="both"/>
              <w:rPr>
                <w:rFonts w:ascii="Times New Roman" w:hAnsi="Times New Roman"/>
              </w:rPr>
            </w:pPr>
          </w:p>
        </w:tc>
        <w:tc>
          <w:tcPr>
            <w:tcW w:w="850" w:type="dxa"/>
          </w:tcPr>
          <w:p w:rsidR="008D71F9" w:rsidRPr="00C61AA4" w:rsidRDefault="008D71F9" w:rsidP="006346A7">
            <w:pPr>
              <w:contextualSpacing/>
              <w:jc w:val="both"/>
              <w:rPr>
                <w:rFonts w:ascii="Times New Roman" w:hAnsi="Times New Roman"/>
              </w:rPr>
            </w:pPr>
          </w:p>
        </w:tc>
        <w:tc>
          <w:tcPr>
            <w:tcW w:w="1156" w:type="dxa"/>
          </w:tcPr>
          <w:p w:rsidR="008D71F9" w:rsidRPr="00C61AA4" w:rsidRDefault="008D71F9" w:rsidP="006346A7">
            <w:pPr>
              <w:contextualSpacing/>
              <w:jc w:val="both"/>
              <w:rPr>
                <w:rFonts w:ascii="Times New Roman" w:hAnsi="Times New Roman"/>
              </w:rPr>
            </w:pPr>
          </w:p>
        </w:tc>
        <w:tc>
          <w:tcPr>
            <w:tcW w:w="2022" w:type="dxa"/>
          </w:tcPr>
          <w:p w:rsidR="008D71F9" w:rsidRPr="00C61AA4" w:rsidRDefault="008D71F9" w:rsidP="006346A7">
            <w:pPr>
              <w:contextualSpacing/>
              <w:jc w:val="both"/>
              <w:rPr>
                <w:rFonts w:ascii="Times New Roman" w:hAnsi="Times New Roman" w:cs="Times New Roman"/>
                <w:b/>
                <w:sz w:val="24"/>
                <w:szCs w:val="24"/>
              </w:rPr>
            </w:pPr>
          </w:p>
        </w:tc>
      </w:tr>
      <w:tr w:rsidR="008D71F9" w:rsidRPr="00C61AA4" w:rsidTr="008D71F9">
        <w:tc>
          <w:tcPr>
            <w:tcW w:w="3069" w:type="dxa"/>
          </w:tcPr>
          <w:p w:rsidR="008D71F9" w:rsidRPr="00C61AA4" w:rsidRDefault="008D71F9" w:rsidP="006346A7">
            <w:pPr>
              <w:contextualSpacing/>
              <w:jc w:val="both"/>
              <w:rPr>
                <w:rFonts w:ascii="Times New Roman" w:hAnsi="Times New Roman"/>
                <w:b/>
              </w:rPr>
            </w:pPr>
            <w:r w:rsidRPr="00C61AA4">
              <w:rPr>
                <w:rFonts w:ascii="Times New Roman" w:hAnsi="Times New Roman"/>
              </w:rPr>
              <w:t>Объем золотовалютных резервов Национального Банка</w:t>
            </w:r>
          </w:p>
        </w:tc>
        <w:tc>
          <w:tcPr>
            <w:tcW w:w="1846" w:type="dxa"/>
          </w:tcPr>
          <w:p w:rsidR="008D71F9" w:rsidRPr="00C61AA4" w:rsidRDefault="008D71F9" w:rsidP="006346A7">
            <w:pPr>
              <w:keepNext/>
              <w:keepLines/>
              <w:tabs>
                <w:tab w:val="left" w:pos="900"/>
                <w:tab w:val="left" w:pos="1080"/>
              </w:tabs>
              <w:contextualSpacing/>
              <w:jc w:val="both"/>
              <w:rPr>
                <w:rFonts w:ascii="Times New Roman" w:hAnsi="Times New Roman"/>
              </w:rPr>
            </w:pPr>
            <w:r w:rsidRPr="00C61AA4">
              <w:rPr>
                <w:rFonts w:ascii="Times New Roman" w:hAnsi="Times New Roman"/>
              </w:rPr>
              <w:t>НБРК</w:t>
            </w:r>
          </w:p>
        </w:tc>
        <w:tc>
          <w:tcPr>
            <w:tcW w:w="1478" w:type="dxa"/>
          </w:tcPr>
          <w:p w:rsidR="008D71F9" w:rsidRPr="00C61AA4" w:rsidRDefault="008D71F9" w:rsidP="006346A7">
            <w:pPr>
              <w:keepNext/>
              <w:keepLines/>
              <w:tabs>
                <w:tab w:val="left" w:pos="900"/>
                <w:tab w:val="left" w:pos="1080"/>
              </w:tabs>
              <w:contextualSpacing/>
              <w:jc w:val="both"/>
              <w:rPr>
                <w:rFonts w:ascii="Times New Roman" w:hAnsi="Times New Roman"/>
              </w:rPr>
            </w:pPr>
            <w:r w:rsidRPr="00C61AA4">
              <w:rPr>
                <w:rFonts w:ascii="Times New Roman" w:hAnsi="Times New Roman"/>
              </w:rPr>
              <w:t>Покрытие объема трех месяцев импорта товаров и услуг («1» покрывает, «0» не покрывает)</w:t>
            </w:r>
          </w:p>
        </w:tc>
        <w:tc>
          <w:tcPr>
            <w:tcW w:w="850" w:type="dxa"/>
          </w:tcPr>
          <w:p w:rsidR="008D71F9" w:rsidRPr="00C61AA4" w:rsidRDefault="008D71F9" w:rsidP="006346A7">
            <w:pPr>
              <w:keepNext/>
              <w:keepLines/>
              <w:tabs>
                <w:tab w:val="left" w:pos="900"/>
                <w:tab w:val="left" w:pos="1080"/>
              </w:tabs>
              <w:contextualSpacing/>
              <w:jc w:val="both"/>
              <w:rPr>
                <w:rFonts w:ascii="Times New Roman" w:hAnsi="Times New Roman"/>
              </w:rPr>
            </w:pPr>
            <w:r w:rsidRPr="00C61AA4">
              <w:rPr>
                <w:rFonts w:ascii="Times New Roman" w:hAnsi="Times New Roman"/>
              </w:rPr>
              <w:t>1</w:t>
            </w:r>
          </w:p>
          <w:p w:rsidR="008D71F9" w:rsidRPr="00C61AA4" w:rsidRDefault="008D71F9" w:rsidP="006346A7">
            <w:pPr>
              <w:keepNext/>
              <w:keepLines/>
              <w:tabs>
                <w:tab w:val="left" w:pos="900"/>
                <w:tab w:val="left" w:pos="1080"/>
              </w:tabs>
              <w:contextualSpacing/>
              <w:jc w:val="both"/>
              <w:rPr>
                <w:rFonts w:ascii="Times New Roman" w:hAnsi="Times New Roman"/>
              </w:rPr>
            </w:pPr>
          </w:p>
        </w:tc>
        <w:tc>
          <w:tcPr>
            <w:tcW w:w="1156" w:type="dxa"/>
          </w:tcPr>
          <w:p w:rsidR="008D71F9" w:rsidRPr="00C61AA4" w:rsidRDefault="008D71F9" w:rsidP="006346A7">
            <w:pPr>
              <w:keepNext/>
              <w:keepLines/>
              <w:tabs>
                <w:tab w:val="left" w:pos="900"/>
                <w:tab w:val="left" w:pos="1080"/>
              </w:tabs>
              <w:contextualSpacing/>
              <w:jc w:val="both"/>
              <w:rPr>
                <w:rFonts w:ascii="Times New Roman" w:hAnsi="Times New Roman"/>
              </w:rPr>
            </w:pPr>
            <w:r w:rsidRPr="00C61AA4">
              <w:rPr>
                <w:rFonts w:ascii="Times New Roman" w:hAnsi="Times New Roman"/>
              </w:rPr>
              <w:t>1</w:t>
            </w:r>
          </w:p>
        </w:tc>
        <w:tc>
          <w:tcPr>
            <w:tcW w:w="2022" w:type="dxa"/>
          </w:tcPr>
          <w:p w:rsidR="008D71F9" w:rsidRPr="00C61AA4" w:rsidRDefault="008D71F9" w:rsidP="006346A7">
            <w:pPr>
              <w:contextualSpacing/>
              <w:jc w:val="both"/>
              <w:rPr>
                <w:rFonts w:ascii="Times New Roman" w:hAnsi="Times New Roman" w:cs="Times New Roman"/>
                <w:b/>
                <w:sz w:val="24"/>
                <w:szCs w:val="24"/>
              </w:rPr>
            </w:pPr>
          </w:p>
        </w:tc>
      </w:tr>
      <w:tr w:rsidR="008D71F9" w:rsidRPr="00C61AA4" w:rsidTr="009E2774">
        <w:tc>
          <w:tcPr>
            <w:tcW w:w="10421" w:type="dxa"/>
            <w:gridSpan w:val="6"/>
          </w:tcPr>
          <w:p w:rsidR="008D71F9" w:rsidRPr="00C61AA4" w:rsidRDefault="008D71F9" w:rsidP="006346A7">
            <w:pPr>
              <w:contextualSpacing/>
              <w:jc w:val="center"/>
              <w:rPr>
                <w:rFonts w:ascii="Times New Roman" w:hAnsi="Times New Roman" w:cs="Times New Roman"/>
                <w:b/>
                <w:sz w:val="24"/>
                <w:szCs w:val="24"/>
              </w:rPr>
            </w:pPr>
            <w:r w:rsidRPr="00C61AA4">
              <w:rPr>
                <w:rFonts w:ascii="Times New Roman" w:hAnsi="Times New Roman"/>
                <w:b/>
              </w:rPr>
              <w:t xml:space="preserve">Стратегическое направление 2. </w:t>
            </w:r>
            <w:r w:rsidRPr="00C61AA4">
              <w:rPr>
                <w:rFonts w:ascii="Times New Roman" w:hAnsi="Times New Roman"/>
              </w:rPr>
              <w:t>Обеспечение финансовой стабильности</w:t>
            </w:r>
          </w:p>
        </w:tc>
      </w:tr>
      <w:tr w:rsidR="008D71F9" w:rsidRPr="00C61AA4" w:rsidTr="009E2774">
        <w:tc>
          <w:tcPr>
            <w:tcW w:w="10421" w:type="dxa"/>
            <w:gridSpan w:val="6"/>
          </w:tcPr>
          <w:p w:rsidR="008D71F9" w:rsidRPr="00C61AA4" w:rsidRDefault="008D71F9" w:rsidP="006346A7">
            <w:pPr>
              <w:contextualSpacing/>
              <w:jc w:val="center"/>
              <w:rPr>
                <w:rFonts w:ascii="Times New Roman" w:hAnsi="Times New Roman" w:cs="Times New Roman"/>
                <w:b/>
                <w:sz w:val="24"/>
                <w:szCs w:val="24"/>
              </w:rPr>
            </w:pPr>
            <w:r w:rsidRPr="00C61AA4">
              <w:rPr>
                <w:rFonts w:ascii="Times New Roman" w:hAnsi="Times New Roman"/>
                <w:b/>
              </w:rPr>
              <w:t xml:space="preserve">Цель 2.1. </w:t>
            </w:r>
            <w:r w:rsidRPr="00C61AA4">
              <w:rPr>
                <w:rFonts w:ascii="Times New Roman" w:hAnsi="Times New Roman"/>
              </w:rPr>
              <w:t>Повышение финансовой устойчивости и конкурентоспособности банковского сектора</w:t>
            </w:r>
          </w:p>
        </w:tc>
      </w:tr>
      <w:tr w:rsidR="008D71F9" w:rsidRPr="00C61AA4" w:rsidTr="008D71F9">
        <w:tc>
          <w:tcPr>
            <w:tcW w:w="3069" w:type="dxa"/>
          </w:tcPr>
          <w:p w:rsidR="008D71F9" w:rsidRPr="00C61AA4" w:rsidRDefault="008D71F9" w:rsidP="006346A7">
            <w:pPr>
              <w:contextualSpacing/>
              <w:jc w:val="both"/>
              <w:rPr>
                <w:rFonts w:ascii="Times New Roman" w:hAnsi="Times New Roman"/>
              </w:rPr>
            </w:pPr>
            <w:r w:rsidRPr="00C61AA4">
              <w:rPr>
                <w:rFonts w:ascii="Times New Roman" w:hAnsi="Times New Roman"/>
                <w:b/>
              </w:rPr>
              <w:t>Целевой индикатор 1</w:t>
            </w:r>
          </w:p>
        </w:tc>
        <w:tc>
          <w:tcPr>
            <w:tcW w:w="1846" w:type="dxa"/>
          </w:tcPr>
          <w:p w:rsidR="008D71F9" w:rsidRPr="00C61AA4" w:rsidRDefault="008D71F9" w:rsidP="006346A7">
            <w:pPr>
              <w:keepNext/>
              <w:keepLines/>
              <w:tabs>
                <w:tab w:val="left" w:pos="900"/>
                <w:tab w:val="left" w:pos="1080"/>
              </w:tabs>
              <w:contextualSpacing/>
              <w:jc w:val="both"/>
              <w:rPr>
                <w:rFonts w:ascii="Times New Roman" w:hAnsi="Times New Roman"/>
              </w:rPr>
            </w:pPr>
          </w:p>
        </w:tc>
        <w:tc>
          <w:tcPr>
            <w:tcW w:w="1478" w:type="dxa"/>
          </w:tcPr>
          <w:p w:rsidR="008D71F9" w:rsidRPr="00C61AA4" w:rsidRDefault="008D71F9" w:rsidP="006346A7">
            <w:pPr>
              <w:keepNext/>
              <w:keepLines/>
              <w:tabs>
                <w:tab w:val="left" w:pos="900"/>
                <w:tab w:val="left" w:pos="1080"/>
              </w:tabs>
              <w:contextualSpacing/>
              <w:jc w:val="both"/>
              <w:rPr>
                <w:rFonts w:ascii="Times New Roman" w:hAnsi="Times New Roman"/>
              </w:rPr>
            </w:pPr>
          </w:p>
        </w:tc>
        <w:tc>
          <w:tcPr>
            <w:tcW w:w="850" w:type="dxa"/>
          </w:tcPr>
          <w:p w:rsidR="008D71F9" w:rsidRPr="00C61AA4" w:rsidRDefault="008D71F9" w:rsidP="006346A7">
            <w:pPr>
              <w:keepNext/>
              <w:keepLines/>
              <w:tabs>
                <w:tab w:val="left" w:pos="900"/>
                <w:tab w:val="left" w:pos="1080"/>
              </w:tabs>
              <w:contextualSpacing/>
              <w:jc w:val="both"/>
              <w:rPr>
                <w:rFonts w:ascii="Times New Roman" w:hAnsi="Times New Roman"/>
              </w:rPr>
            </w:pPr>
          </w:p>
        </w:tc>
        <w:tc>
          <w:tcPr>
            <w:tcW w:w="1156" w:type="dxa"/>
          </w:tcPr>
          <w:p w:rsidR="008D71F9" w:rsidRPr="00C61AA4" w:rsidRDefault="008D71F9" w:rsidP="006346A7">
            <w:pPr>
              <w:keepNext/>
              <w:keepLines/>
              <w:tabs>
                <w:tab w:val="left" w:pos="900"/>
                <w:tab w:val="left" w:pos="1080"/>
              </w:tabs>
              <w:contextualSpacing/>
              <w:jc w:val="both"/>
              <w:rPr>
                <w:rFonts w:ascii="Times New Roman" w:hAnsi="Times New Roman"/>
              </w:rPr>
            </w:pPr>
          </w:p>
        </w:tc>
        <w:tc>
          <w:tcPr>
            <w:tcW w:w="2022" w:type="dxa"/>
          </w:tcPr>
          <w:p w:rsidR="008D71F9" w:rsidRPr="00C61AA4" w:rsidRDefault="008D71F9" w:rsidP="006346A7">
            <w:pPr>
              <w:contextualSpacing/>
              <w:jc w:val="both"/>
              <w:rPr>
                <w:rFonts w:ascii="Times New Roman" w:hAnsi="Times New Roman" w:cs="Times New Roman"/>
                <w:b/>
                <w:sz w:val="24"/>
                <w:szCs w:val="24"/>
              </w:rPr>
            </w:pPr>
          </w:p>
        </w:tc>
      </w:tr>
      <w:tr w:rsidR="008D71F9" w:rsidRPr="00C61AA4" w:rsidTr="008D71F9">
        <w:tc>
          <w:tcPr>
            <w:tcW w:w="3069" w:type="dxa"/>
          </w:tcPr>
          <w:p w:rsidR="008D71F9" w:rsidRPr="00C61AA4" w:rsidRDefault="008D71F9" w:rsidP="006346A7">
            <w:pPr>
              <w:contextualSpacing/>
              <w:jc w:val="both"/>
              <w:rPr>
                <w:rFonts w:ascii="Times New Roman" w:hAnsi="Times New Roman"/>
              </w:rPr>
            </w:pPr>
            <w:r w:rsidRPr="00C61AA4">
              <w:rPr>
                <w:rFonts w:ascii="Times New Roman" w:hAnsi="Times New Roman"/>
                <w:iCs/>
              </w:rPr>
              <w:t>Надежность банков</w:t>
            </w:r>
          </w:p>
        </w:tc>
        <w:tc>
          <w:tcPr>
            <w:tcW w:w="1846" w:type="dxa"/>
          </w:tcPr>
          <w:p w:rsidR="008D71F9" w:rsidRPr="00C61AA4" w:rsidRDefault="008D71F9" w:rsidP="006346A7">
            <w:pPr>
              <w:contextualSpacing/>
              <w:jc w:val="both"/>
              <w:rPr>
                <w:rFonts w:ascii="Times New Roman" w:hAnsi="Times New Roman"/>
              </w:rPr>
            </w:pPr>
            <w:r w:rsidRPr="00C61AA4">
              <w:rPr>
                <w:rFonts w:ascii="Times New Roman" w:hAnsi="Times New Roman"/>
              </w:rPr>
              <w:t>Отчет ГИК ВЭФ</w:t>
            </w:r>
          </w:p>
        </w:tc>
        <w:tc>
          <w:tcPr>
            <w:tcW w:w="1478" w:type="dxa"/>
          </w:tcPr>
          <w:p w:rsidR="008D71F9" w:rsidRPr="00C61AA4" w:rsidRDefault="008D71F9" w:rsidP="006346A7">
            <w:pPr>
              <w:keepNext/>
              <w:keepLines/>
              <w:tabs>
                <w:tab w:val="left" w:pos="900"/>
                <w:tab w:val="left" w:pos="1080"/>
              </w:tabs>
              <w:contextualSpacing/>
              <w:jc w:val="both"/>
              <w:rPr>
                <w:rFonts w:ascii="Times New Roman" w:hAnsi="Times New Roman"/>
              </w:rPr>
            </w:pPr>
            <w:r w:rsidRPr="00C61AA4">
              <w:rPr>
                <w:rFonts w:ascii="Times New Roman" w:hAnsi="Times New Roman"/>
              </w:rPr>
              <w:t>Место в рейтинге ГИК ВЭФ</w:t>
            </w:r>
          </w:p>
        </w:tc>
        <w:tc>
          <w:tcPr>
            <w:tcW w:w="850" w:type="dxa"/>
          </w:tcPr>
          <w:p w:rsidR="008D71F9" w:rsidRPr="00C61AA4" w:rsidRDefault="008D71F9" w:rsidP="006346A7">
            <w:pPr>
              <w:keepNext/>
              <w:keepLines/>
              <w:tabs>
                <w:tab w:val="left" w:pos="900"/>
                <w:tab w:val="left" w:pos="1080"/>
              </w:tabs>
              <w:contextualSpacing/>
              <w:jc w:val="both"/>
              <w:rPr>
                <w:rFonts w:ascii="Times New Roman" w:hAnsi="Times New Roman"/>
              </w:rPr>
            </w:pPr>
            <w:r w:rsidRPr="00C61AA4">
              <w:rPr>
                <w:rFonts w:ascii="Times New Roman" w:hAnsi="Times New Roman"/>
              </w:rPr>
              <w:t>107</w:t>
            </w:r>
          </w:p>
        </w:tc>
        <w:tc>
          <w:tcPr>
            <w:tcW w:w="1156" w:type="dxa"/>
          </w:tcPr>
          <w:p w:rsidR="008D71F9" w:rsidRPr="00C61AA4" w:rsidRDefault="008D71F9" w:rsidP="006346A7">
            <w:pPr>
              <w:keepNext/>
              <w:keepLines/>
              <w:tabs>
                <w:tab w:val="left" w:pos="900"/>
                <w:tab w:val="left" w:pos="1080"/>
              </w:tabs>
              <w:contextualSpacing/>
              <w:jc w:val="both"/>
              <w:rPr>
                <w:rFonts w:ascii="Times New Roman" w:hAnsi="Times New Roman"/>
              </w:rPr>
            </w:pPr>
            <w:r w:rsidRPr="00C61AA4">
              <w:rPr>
                <w:rFonts w:ascii="Times New Roman" w:hAnsi="Times New Roman"/>
              </w:rPr>
              <w:t>105</w:t>
            </w:r>
          </w:p>
        </w:tc>
        <w:tc>
          <w:tcPr>
            <w:tcW w:w="2022" w:type="dxa"/>
          </w:tcPr>
          <w:p w:rsidR="008D71F9" w:rsidRPr="00C61AA4" w:rsidRDefault="008D71F9" w:rsidP="006346A7">
            <w:pPr>
              <w:contextualSpacing/>
              <w:jc w:val="both"/>
              <w:rPr>
                <w:rFonts w:ascii="Times New Roman" w:hAnsi="Times New Roman" w:cs="Times New Roman"/>
                <w:b/>
                <w:sz w:val="24"/>
                <w:szCs w:val="24"/>
              </w:rPr>
            </w:pPr>
          </w:p>
        </w:tc>
      </w:tr>
      <w:tr w:rsidR="008D71F9" w:rsidRPr="00C61AA4" w:rsidTr="008D71F9">
        <w:tc>
          <w:tcPr>
            <w:tcW w:w="3069" w:type="dxa"/>
          </w:tcPr>
          <w:p w:rsidR="008D71F9" w:rsidRPr="00C61AA4" w:rsidRDefault="008D71F9" w:rsidP="006346A7">
            <w:pPr>
              <w:contextualSpacing/>
              <w:jc w:val="both"/>
              <w:rPr>
                <w:rFonts w:ascii="Times New Roman" w:hAnsi="Times New Roman"/>
                <w:iCs/>
              </w:rPr>
            </w:pPr>
            <w:r w:rsidRPr="00C61AA4">
              <w:rPr>
                <w:rFonts w:ascii="Times New Roman" w:hAnsi="Times New Roman"/>
                <w:b/>
              </w:rPr>
              <w:t>Целевой индикатор 2</w:t>
            </w:r>
          </w:p>
        </w:tc>
        <w:tc>
          <w:tcPr>
            <w:tcW w:w="1846" w:type="dxa"/>
          </w:tcPr>
          <w:p w:rsidR="008D71F9" w:rsidRPr="00C61AA4" w:rsidRDefault="008D71F9" w:rsidP="006346A7">
            <w:pPr>
              <w:contextualSpacing/>
              <w:jc w:val="both"/>
              <w:rPr>
                <w:rFonts w:ascii="Times New Roman" w:hAnsi="Times New Roman"/>
              </w:rPr>
            </w:pPr>
          </w:p>
        </w:tc>
        <w:tc>
          <w:tcPr>
            <w:tcW w:w="1478" w:type="dxa"/>
          </w:tcPr>
          <w:p w:rsidR="008D71F9" w:rsidRPr="00C61AA4" w:rsidRDefault="008D71F9" w:rsidP="006346A7">
            <w:pPr>
              <w:keepNext/>
              <w:keepLines/>
              <w:tabs>
                <w:tab w:val="left" w:pos="900"/>
                <w:tab w:val="left" w:pos="1080"/>
              </w:tabs>
              <w:contextualSpacing/>
              <w:jc w:val="both"/>
              <w:rPr>
                <w:rFonts w:ascii="Times New Roman" w:hAnsi="Times New Roman"/>
              </w:rPr>
            </w:pPr>
          </w:p>
        </w:tc>
        <w:tc>
          <w:tcPr>
            <w:tcW w:w="850" w:type="dxa"/>
          </w:tcPr>
          <w:p w:rsidR="008D71F9" w:rsidRPr="00C61AA4" w:rsidRDefault="008D71F9" w:rsidP="006346A7">
            <w:pPr>
              <w:keepNext/>
              <w:keepLines/>
              <w:tabs>
                <w:tab w:val="left" w:pos="900"/>
                <w:tab w:val="left" w:pos="1080"/>
              </w:tabs>
              <w:contextualSpacing/>
              <w:jc w:val="both"/>
              <w:rPr>
                <w:rFonts w:ascii="Times New Roman" w:hAnsi="Times New Roman"/>
              </w:rPr>
            </w:pPr>
          </w:p>
        </w:tc>
        <w:tc>
          <w:tcPr>
            <w:tcW w:w="1156" w:type="dxa"/>
          </w:tcPr>
          <w:p w:rsidR="008D71F9" w:rsidRPr="00C61AA4" w:rsidRDefault="008D71F9" w:rsidP="006346A7">
            <w:pPr>
              <w:keepNext/>
              <w:keepLines/>
              <w:tabs>
                <w:tab w:val="left" w:pos="900"/>
                <w:tab w:val="left" w:pos="1080"/>
              </w:tabs>
              <w:contextualSpacing/>
              <w:jc w:val="both"/>
              <w:rPr>
                <w:rFonts w:ascii="Times New Roman" w:hAnsi="Times New Roman"/>
              </w:rPr>
            </w:pPr>
          </w:p>
        </w:tc>
        <w:tc>
          <w:tcPr>
            <w:tcW w:w="2022" w:type="dxa"/>
          </w:tcPr>
          <w:p w:rsidR="008D71F9" w:rsidRPr="00C61AA4" w:rsidRDefault="008D71F9" w:rsidP="006346A7">
            <w:pPr>
              <w:contextualSpacing/>
              <w:jc w:val="both"/>
              <w:rPr>
                <w:rFonts w:ascii="Times New Roman" w:hAnsi="Times New Roman"/>
                <w:sz w:val="18"/>
                <w:szCs w:val="18"/>
              </w:rPr>
            </w:pPr>
          </w:p>
        </w:tc>
      </w:tr>
      <w:tr w:rsidR="008D71F9" w:rsidRPr="00C61AA4" w:rsidTr="008D71F9">
        <w:tc>
          <w:tcPr>
            <w:tcW w:w="3069" w:type="dxa"/>
          </w:tcPr>
          <w:p w:rsidR="008D71F9" w:rsidRPr="00C61AA4" w:rsidRDefault="008D71F9" w:rsidP="006346A7">
            <w:pPr>
              <w:contextualSpacing/>
              <w:jc w:val="both"/>
              <w:rPr>
                <w:rFonts w:ascii="Times New Roman" w:hAnsi="Times New Roman"/>
              </w:rPr>
            </w:pPr>
            <w:r w:rsidRPr="00C61AA4">
              <w:rPr>
                <w:rFonts w:ascii="Times New Roman" w:hAnsi="Times New Roman"/>
              </w:rPr>
              <w:t>Внутренняя норма сбережений, % ВВП</w:t>
            </w:r>
          </w:p>
        </w:tc>
        <w:tc>
          <w:tcPr>
            <w:tcW w:w="1846" w:type="dxa"/>
          </w:tcPr>
          <w:p w:rsidR="008D71F9" w:rsidRPr="00C61AA4" w:rsidRDefault="008D71F9" w:rsidP="006346A7">
            <w:pPr>
              <w:contextualSpacing/>
              <w:jc w:val="both"/>
              <w:rPr>
                <w:rFonts w:ascii="Times New Roman" w:hAnsi="Times New Roman"/>
              </w:rPr>
            </w:pPr>
            <w:r w:rsidRPr="00C61AA4">
              <w:rPr>
                <w:rFonts w:ascii="Times New Roman" w:hAnsi="Times New Roman"/>
              </w:rPr>
              <w:t>Отчет ГИК ВЭФ</w:t>
            </w:r>
          </w:p>
        </w:tc>
        <w:tc>
          <w:tcPr>
            <w:tcW w:w="1478" w:type="dxa"/>
          </w:tcPr>
          <w:p w:rsidR="008D71F9" w:rsidRPr="00C61AA4" w:rsidRDefault="008D71F9" w:rsidP="006346A7">
            <w:pPr>
              <w:keepNext/>
              <w:keepLines/>
              <w:tabs>
                <w:tab w:val="left" w:pos="900"/>
                <w:tab w:val="left" w:pos="1080"/>
              </w:tabs>
              <w:contextualSpacing/>
              <w:jc w:val="both"/>
              <w:rPr>
                <w:rFonts w:ascii="Times New Roman" w:hAnsi="Times New Roman"/>
              </w:rPr>
            </w:pPr>
            <w:r w:rsidRPr="00C61AA4">
              <w:rPr>
                <w:rFonts w:ascii="Times New Roman" w:hAnsi="Times New Roman"/>
              </w:rPr>
              <w:t>Место в рейтинге ГИК ВЭФ</w:t>
            </w:r>
          </w:p>
        </w:tc>
        <w:tc>
          <w:tcPr>
            <w:tcW w:w="850" w:type="dxa"/>
          </w:tcPr>
          <w:p w:rsidR="008D71F9" w:rsidRPr="00C61AA4" w:rsidRDefault="008D71F9" w:rsidP="006346A7">
            <w:pPr>
              <w:contextualSpacing/>
              <w:jc w:val="both"/>
              <w:rPr>
                <w:rFonts w:ascii="Times New Roman" w:hAnsi="Times New Roman"/>
              </w:rPr>
            </w:pPr>
            <w:r w:rsidRPr="00C61AA4">
              <w:rPr>
                <w:rFonts w:ascii="Times New Roman" w:hAnsi="Times New Roman"/>
              </w:rPr>
              <w:t>31</w:t>
            </w:r>
          </w:p>
        </w:tc>
        <w:tc>
          <w:tcPr>
            <w:tcW w:w="1156" w:type="dxa"/>
          </w:tcPr>
          <w:p w:rsidR="008D71F9" w:rsidRPr="00C61AA4" w:rsidRDefault="008D71F9" w:rsidP="006346A7">
            <w:pPr>
              <w:contextualSpacing/>
              <w:jc w:val="both"/>
              <w:rPr>
                <w:rFonts w:ascii="Times New Roman" w:hAnsi="Times New Roman"/>
              </w:rPr>
            </w:pPr>
            <w:r w:rsidRPr="00C61AA4">
              <w:rPr>
                <w:rFonts w:ascii="Times New Roman" w:hAnsi="Times New Roman"/>
              </w:rPr>
              <w:t>45</w:t>
            </w:r>
          </w:p>
        </w:tc>
        <w:tc>
          <w:tcPr>
            <w:tcW w:w="2022" w:type="dxa"/>
          </w:tcPr>
          <w:p w:rsidR="008D71F9" w:rsidRPr="00C61AA4" w:rsidRDefault="00576A60" w:rsidP="006346A7">
            <w:pPr>
              <w:contextualSpacing/>
              <w:jc w:val="both"/>
              <w:rPr>
                <w:rFonts w:ascii="Times New Roman" w:hAnsi="Times New Roman"/>
              </w:rPr>
            </w:pPr>
            <w:r w:rsidRPr="00C61AA4">
              <w:rPr>
                <w:rFonts w:ascii="Times New Roman" w:hAnsi="Times New Roman"/>
              </w:rPr>
              <w:t xml:space="preserve">Ухудшение позиций по данному показателю связано с негативной ситуацией в экономике страны в 2015-2016 годах, что отрицательно повлияло на снижение уровня сбережений. В большей степени на данный индикатор влияют уровень государственных сбережений и сбережений предприятий. Объемы производства реального сектора (промышленности) </w:t>
            </w:r>
            <w:r w:rsidRPr="00C61AA4">
              <w:rPr>
                <w:rFonts w:ascii="Times New Roman" w:hAnsi="Times New Roman"/>
              </w:rPr>
              <w:lastRenderedPageBreak/>
              <w:t>в 2016 году снизились по сравнению с прошлым годом, доходность предприятий также  уменьшается в связи с ослаблением потребительского спроса.</w:t>
            </w:r>
          </w:p>
        </w:tc>
      </w:tr>
      <w:tr w:rsidR="008D71F9" w:rsidRPr="00C61AA4" w:rsidTr="008D71F9">
        <w:tc>
          <w:tcPr>
            <w:tcW w:w="3069" w:type="dxa"/>
          </w:tcPr>
          <w:p w:rsidR="008D71F9" w:rsidRPr="00C61AA4" w:rsidRDefault="008D71F9" w:rsidP="006346A7">
            <w:pPr>
              <w:contextualSpacing/>
              <w:jc w:val="both"/>
              <w:rPr>
                <w:rFonts w:ascii="Times New Roman" w:hAnsi="Times New Roman"/>
              </w:rPr>
            </w:pPr>
            <w:r w:rsidRPr="00C61AA4">
              <w:rPr>
                <w:rFonts w:ascii="Times New Roman" w:hAnsi="Times New Roman"/>
                <w:b/>
              </w:rPr>
              <w:lastRenderedPageBreak/>
              <w:t>Целевой индикатор 3</w:t>
            </w:r>
          </w:p>
        </w:tc>
        <w:tc>
          <w:tcPr>
            <w:tcW w:w="1846" w:type="dxa"/>
          </w:tcPr>
          <w:p w:rsidR="008D71F9" w:rsidRPr="00C61AA4" w:rsidRDefault="008D71F9" w:rsidP="006346A7">
            <w:pPr>
              <w:contextualSpacing/>
              <w:jc w:val="both"/>
              <w:rPr>
                <w:rFonts w:ascii="Times New Roman" w:hAnsi="Times New Roman"/>
              </w:rPr>
            </w:pPr>
          </w:p>
        </w:tc>
        <w:tc>
          <w:tcPr>
            <w:tcW w:w="1478" w:type="dxa"/>
          </w:tcPr>
          <w:p w:rsidR="008D71F9" w:rsidRPr="00C61AA4" w:rsidRDefault="008D71F9" w:rsidP="006346A7">
            <w:pPr>
              <w:contextualSpacing/>
              <w:jc w:val="both"/>
              <w:rPr>
                <w:rFonts w:ascii="Times New Roman" w:hAnsi="Times New Roman"/>
              </w:rPr>
            </w:pPr>
          </w:p>
        </w:tc>
        <w:tc>
          <w:tcPr>
            <w:tcW w:w="850" w:type="dxa"/>
          </w:tcPr>
          <w:p w:rsidR="008D71F9" w:rsidRPr="00C61AA4" w:rsidRDefault="008D71F9" w:rsidP="006346A7">
            <w:pPr>
              <w:contextualSpacing/>
              <w:jc w:val="both"/>
              <w:rPr>
                <w:rFonts w:ascii="Times New Roman" w:hAnsi="Times New Roman"/>
              </w:rPr>
            </w:pPr>
          </w:p>
        </w:tc>
        <w:tc>
          <w:tcPr>
            <w:tcW w:w="1156" w:type="dxa"/>
          </w:tcPr>
          <w:p w:rsidR="008D71F9" w:rsidRPr="00C61AA4" w:rsidRDefault="008D71F9" w:rsidP="006346A7">
            <w:pPr>
              <w:contextualSpacing/>
              <w:jc w:val="both"/>
              <w:rPr>
                <w:rFonts w:ascii="Times New Roman" w:hAnsi="Times New Roman"/>
              </w:rPr>
            </w:pPr>
          </w:p>
        </w:tc>
        <w:tc>
          <w:tcPr>
            <w:tcW w:w="2022" w:type="dxa"/>
          </w:tcPr>
          <w:p w:rsidR="008D71F9" w:rsidRPr="00C61AA4" w:rsidRDefault="008D71F9" w:rsidP="006346A7">
            <w:pPr>
              <w:contextualSpacing/>
              <w:jc w:val="both"/>
              <w:rPr>
                <w:rFonts w:ascii="Times New Roman" w:hAnsi="Times New Roman"/>
              </w:rPr>
            </w:pPr>
          </w:p>
        </w:tc>
      </w:tr>
      <w:tr w:rsidR="008D71F9" w:rsidRPr="00C61AA4" w:rsidTr="008D71F9">
        <w:tc>
          <w:tcPr>
            <w:tcW w:w="3069" w:type="dxa"/>
          </w:tcPr>
          <w:p w:rsidR="008D71F9" w:rsidRPr="00C61AA4" w:rsidRDefault="008D71F9" w:rsidP="006346A7">
            <w:pPr>
              <w:contextualSpacing/>
              <w:jc w:val="both"/>
              <w:rPr>
                <w:rFonts w:ascii="Times New Roman" w:hAnsi="Times New Roman"/>
              </w:rPr>
            </w:pPr>
            <w:r w:rsidRPr="00C61AA4">
              <w:rPr>
                <w:rFonts w:ascii="Times New Roman" w:hAnsi="Times New Roman"/>
              </w:rPr>
              <w:t>Доступность финансовых услуг</w:t>
            </w:r>
          </w:p>
        </w:tc>
        <w:tc>
          <w:tcPr>
            <w:tcW w:w="1846" w:type="dxa"/>
          </w:tcPr>
          <w:p w:rsidR="008D71F9" w:rsidRPr="00C61AA4" w:rsidRDefault="008D71F9" w:rsidP="006346A7">
            <w:pPr>
              <w:contextualSpacing/>
              <w:jc w:val="both"/>
              <w:rPr>
                <w:rFonts w:ascii="Times New Roman" w:hAnsi="Times New Roman"/>
              </w:rPr>
            </w:pPr>
            <w:r w:rsidRPr="00C61AA4">
              <w:rPr>
                <w:rFonts w:ascii="Times New Roman" w:hAnsi="Times New Roman"/>
              </w:rPr>
              <w:t>Отчет ГИК ВЭФ</w:t>
            </w:r>
          </w:p>
        </w:tc>
        <w:tc>
          <w:tcPr>
            <w:tcW w:w="1478" w:type="dxa"/>
          </w:tcPr>
          <w:p w:rsidR="008D71F9" w:rsidRPr="00C61AA4" w:rsidRDefault="008D71F9" w:rsidP="006346A7">
            <w:pPr>
              <w:keepNext/>
              <w:keepLines/>
              <w:tabs>
                <w:tab w:val="left" w:pos="900"/>
                <w:tab w:val="left" w:pos="1080"/>
              </w:tabs>
              <w:contextualSpacing/>
              <w:jc w:val="both"/>
              <w:rPr>
                <w:rFonts w:ascii="Times New Roman" w:hAnsi="Times New Roman"/>
              </w:rPr>
            </w:pPr>
            <w:r w:rsidRPr="00C61AA4">
              <w:rPr>
                <w:rFonts w:ascii="Times New Roman" w:hAnsi="Times New Roman"/>
              </w:rPr>
              <w:t>Место в рейтинге ГИК ВЭФ</w:t>
            </w:r>
          </w:p>
        </w:tc>
        <w:tc>
          <w:tcPr>
            <w:tcW w:w="850" w:type="dxa"/>
          </w:tcPr>
          <w:p w:rsidR="008D71F9" w:rsidRPr="00C61AA4" w:rsidRDefault="008D71F9" w:rsidP="006346A7">
            <w:pPr>
              <w:contextualSpacing/>
              <w:jc w:val="both"/>
              <w:rPr>
                <w:rFonts w:ascii="Times New Roman" w:hAnsi="Times New Roman"/>
              </w:rPr>
            </w:pPr>
            <w:r w:rsidRPr="00C61AA4">
              <w:rPr>
                <w:rFonts w:ascii="Times New Roman" w:hAnsi="Times New Roman"/>
              </w:rPr>
              <w:t>68</w:t>
            </w:r>
          </w:p>
        </w:tc>
        <w:tc>
          <w:tcPr>
            <w:tcW w:w="1156" w:type="dxa"/>
          </w:tcPr>
          <w:p w:rsidR="008D71F9" w:rsidRPr="00C61AA4" w:rsidRDefault="008D71F9" w:rsidP="006346A7">
            <w:pPr>
              <w:contextualSpacing/>
              <w:jc w:val="both"/>
              <w:rPr>
                <w:rFonts w:ascii="Times New Roman" w:hAnsi="Times New Roman"/>
              </w:rPr>
            </w:pPr>
            <w:r w:rsidRPr="00C61AA4">
              <w:rPr>
                <w:rFonts w:ascii="Times New Roman" w:hAnsi="Times New Roman"/>
              </w:rPr>
              <w:t>80</w:t>
            </w:r>
          </w:p>
        </w:tc>
        <w:tc>
          <w:tcPr>
            <w:tcW w:w="2022" w:type="dxa"/>
          </w:tcPr>
          <w:p w:rsidR="008D71F9" w:rsidRPr="00C61AA4" w:rsidRDefault="008D71F9" w:rsidP="006346A7">
            <w:pPr>
              <w:contextualSpacing/>
              <w:jc w:val="both"/>
              <w:rPr>
                <w:rFonts w:ascii="Times New Roman" w:hAnsi="Times New Roman"/>
              </w:rPr>
            </w:pPr>
            <w:r w:rsidRPr="00C61AA4">
              <w:rPr>
                <w:rFonts w:ascii="Times New Roman" w:hAnsi="Times New Roman"/>
                <w:i/>
              </w:rPr>
              <w:t>См. аналитическую записку</w:t>
            </w:r>
          </w:p>
        </w:tc>
      </w:tr>
      <w:tr w:rsidR="008D71F9" w:rsidRPr="00C61AA4" w:rsidTr="008D71F9">
        <w:tc>
          <w:tcPr>
            <w:tcW w:w="3069" w:type="dxa"/>
          </w:tcPr>
          <w:p w:rsidR="008D71F9" w:rsidRPr="00C61AA4" w:rsidRDefault="008D71F9" w:rsidP="006346A7">
            <w:pPr>
              <w:contextualSpacing/>
              <w:jc w:val="both"/>
              <w:rPr>
                <w:rFonts w:ascii="Times New Roman" w:hAnsi="Times New Roman"/>
              </w:rPr>
            </w:pPr>
            <w:r w:rsidRPr="00C61AA4">
              <w:rPr>
                <w:rFonts w:ascii="Times New Roman" w:hAnsi="Times New Roman"/>
                <w:b/>
              </w:rPr>
              <w:t>Целевой индикатор 4</w:t>
            </w:r>
          </w:p>
        </w:tc>
        <w:tc>
          <w:tcPr>
            <w:tcW w:w="1846" w:type="dxa"/>
          </w:tcPr>
          <w:p w:rsidR="008D71F9" w:rsidRPr="00C61AA4" w:rsidRDefault="008D71F9" w:rsidP="006346A7">
            <w:pPr>
              <w:contextualSpacing/>
              <w:jc w:val="both"/>
              <w:rPr>
                <w:rFonts w:ascii="Times New Roman" w:hAnsi="Times New Roman"/>
              </w:rPr>
            </w:pPr>
          </w:p>
        </w:tc>
        <w:tc>
          <w:tcPr>
            <w:tcW w:w="1478" w:type="dxa"/>
          </w:tcPr>
          <w:p w:rsidR="008D71F9" w:rsidRPr="00C61AA4" w:rsidRDefault="008D71F9" w:rsidP="006346A7">
            <w:pPr>
              <w:contextualSpacing/>
              <w:jc w:val="both"/>
              <w:rPr>
                <w:rFonts w:ascii="Times New Roman" w:hAnsi="Times New Roman"/>
              </w:rPr>
            </w:pPr>
          </w:p>
        </w:tc>
        <w:tc>
          <w:tcPr>
            <w:tcW w:w="850" w:type="dxa"/>
          </w:tcPr>
          <w:p w:rsidR="008D71F9" w:rsidRPr="00C61AA4" w:rsidRDefault="008D71F9" w:rsidP="006346A7">
            <w:pPr>
              <w:contextualSpacing/>
              <w:jc w:val="both"/>
              <w:rPr>
                <w:rFonts w:ascii="Times New Roman" w:hAnsi="Times New Roman"/>
              </w:rPr>
            </w:pPr>
          </w:p>
        </w:tc>
        <w:tc>
          <w:tcPr>
            <w:tcW w:w="1156" w:type="dxa"/>
          </w:tcPr>
          <w:p w:rsidR="008D71F9" w:rsidRPr="00C61AA4" w:rsidRDefault="008D71F9" w:rsidP="006346A7">
            <w:pPr>
              <w:contextualSpacing/>
              <w:jc w:val="both"/>
              <w:rPr>
                <w:rFonts w:ascii="Times New Roman" w:hAnsi="Times New Roman"/>
              </w:rPr>
            </w:pPr>
          </w:p>
        </w:tc>
        <w:tc>
          <w:tcPr>
            <w:tcW w:w="2022" w:type="dxa"/>
          </w:tcPr>
          <w:p w:rsidR="008D71F9" w:rsidRPr="00C61AA4" w:rsidRDefault="008D71F9" w:rsidP="006346A7">
            <w:pPr>
              <w:contextualSpacing/>
              <w:jc w:val="both"/>
              <w:rPr>
                <w:rFonts w:ascii="Times New Roman" w:hAnsi="Times New Roman"/>
              </w:rPr>
            </w:pPr>
          </w:p>
        </w:tc>
      </w:tr>
      <w:tr w:rsidR="008D71F9" w:rsidRPr="00C61AA4" w:rsidTr="008D71F9">
        <w:tc>
          <w:tcPr>
            <w:tcW w:w="3069" w:type="dxa"/>
          </w:tcPr>
          <w:p w:rsidR="008D71F9" w:rsidRPr="00C61AA4" w:rsidRDefault="008D71F9" w:rsidP="006346A7">
            <w:pPr>
              <w:contextualSpacing/>
              <w:jc w:val="both"/>
              <w:rPr>
                <w:rFonts w:ascii="Times New Roman" w:hAnsi="Times New Roman"/>
              </w:rPr>
            </w:pPr>
            <w:r w:rsidRPr="00C61AA4">
              <w:rPr>
                <w:rFonts w:ascii="Times New Roman" w:hAnsi="Times New Roman"/>
              </w:rPr>
              <w:t>Стоимость финансовых услуг</w:t>
            </w:r>
          </w:p>
        </w:tc>
        <w:tc>
          <w:tcPr>
            <w:tcW w:w="1846" w:type="dxa"/>
          </w:tcPr>
          <w:p w:rsidR="008D71F9" w:rsidRPr="00C61AA4" w:rsidRDefault="008D71F9" w:rsidP="006346A7">
            <w:pPr>
              <w:contextualSpacing/>
              <w:jc w:val="both"/>
              <w:rPr>
                <w:rFonts w:ascii="Times New Roman" w:hAnsi="Times New Roman"/>
              </w:rPr>
            </w:pPr>
            <w:r w:rsidRPr="00C61AA4">
              <w:rPr>
                <w:rFonts w:ascii="Times New Roman" w:hAnsi="Times New Roman"/>
              </w:rPr>
              <w:t>Отчет ГИК ВЭФ</w:t>
            </w:r>
          </w:p>
        </w:tc>
        <w:tc>
          <w:tcPr>
            <w:tcW w:w="1478" w:type="dxa"/>
          </w:tcPr>
          <w:p w:rsidR="008D71F9" w:rsidRPr="00C61AA4" w:rsidRDefault="008D71F9" w:rsidP="006346A7">
            <w:pPr>
              <w:keepNext/>
              <w:keepLines/>
              <w:tabs>
                <w:tab w:val="left" w:pos="900"/>
                <w:tab w:val="left" w:pos="1080"/>
              </w:tabs>
              <w:contextualSpacing/>
              <w:jc w:val="both"/>
              <w:rPr>
                <w:rFonts w:ascii="Times New Roman" w:hAnsi="Times New Roman"/>
              </w:rPr>
            </w:pPr>
            <w:r w:rsidRPr="00C61AA4">
              <w:rPr>
                <w:rFonts w:ascii="Times New Roman" w:hAnsi="Times New Roman"/>
              </w:rPr>
              <w:t>Место в рейтинге ГИК ВЭФ</w:t>
            </w:r>
          </w:p>
        </w:tc>
        <w:tc>
          <w:tcPr>
            <w:tcW w:w="850" w:type="dxa"/>
          </w:tcPr>
          <w:p w:rsidR="008D71F9" w:rsidRPr="00C61AA4" w:rsidRDefault="008D71F9" w:rsidP="006346A7">
            <w:pPr>
              <w:contextualSpacing/>
              <w:jc w:val="both"/>
              <w:rPr>
                <w:rFonts w:ascii="Times New Roman" w:hAnsi="Times New Roman"/>
              </w:rPr>
            </w:pPr>
            <w:r w:rsidRPr="00C61AA4">
              <w:rPr>
                <w:rFonts w:ascii="Times New Roman" w:hAnsi="Times New Roman"/>
              </w:rPr>
              <w:t>60</w:t>
            </w:r>
          </w:p>
        </w:tc>
        <w:tc>
          <w:tcPr>
            <w:tcW w:w="1156" w:type="dxa"/>
          </w:tcPr>
          <w:p w:rsidR="008D71F9" w:rsidRPr="00C61AA4" w:rsidRDefault="008D71F9" w:rsidP="006346A7">
            <w:pPr>
              <w:contextualSpacing/>
              <w:jc w:val="both"/>
              <w:rPr>
                <w:rFonts w:ascii="Times New Roman" w:hAnsi="Times New Roman"/>
              </w:rPr>
            </w:pPr>
            <w:r w:rsidRPr="00C61AA4">
              <w:rPr>
                <w:rFonts w:ascii="Times New Roman" w:hAnsi="Times New Roman"/>
              </w:rPr>
              <w:t>76</w:t>
            </w:r>
          </w:p>
        </w:tc>
        <w:tc>
          <w:tcPr>
            <w:tcW w:w="2022" w:type="dxa"/>
          </w:tcPr>
          <w:p w:rsidR="008D71F9" w:rsidRPr="00C61AA4" w:rsidRDefault="008D71F9" w:rsidP="006346A7">
            <w:pPr>
              <w:contextualSpacing/>
              <w:jc w:val="both"/>
              <w:rPr>
                <w:rFonts w:ascii="Times New Roman" w:hAnsi="Times New Roman"/>
              </w:rPr>
            </w:pPr>
            <w:r w:rsidRPr="00C61AA4">
              <w:rPr>
                <w:rFonts w:ascii="Times New Roman" w:hAnsi="Times New Roman"/>
                <w:i/>
              </w:rPr>
              <w:t>См. аналитическую записку</w:t>
            </w:r>
          </w:p>
        </w:tc>
      </w:tr>
      <w:tr w:rsidR="008D71F9" w:rsidRPr="00C61AA4" w:rsidTr="008D71F9">
        <w:tc>
          <w:tcPr>
            <w:tcW w:w="3069" w:type="dxa"/>
          </w:tcPr>
          <w:p w:rsidR="008D71F9" w:rsidRPr="00C61AA4" w:rsidRDefault="008D71F9" w:rsidP="006346A7">
            <w:pPr>
              <w:contextualSpacing/>
              <w:jc w:val="both"/>
              <w:rPr>
                <w:rFonts w:ascii="Times New Roman" w:hAnsi="Times New Roman"/>
              </w:rPr>
            </w:pPr>
            <w:r w:rsidRPr="00C61AA4">
              <w:rPr>
                <w:rFonts w:ascii="Times New Roman" w:hAnsi="Times New Roman"/>
                <w:b/>
              </w:rPr>
              <w:t>Целевой индикатор 5</w:t>
            </w:r>
          </w:p>
        </w:tc>
        <w:tc>
          <w:tcPr>
            <w:tcW w:w="1846" w:type="dxa"/>
          </w:tcPr>
          <w:p w:rsidR="008D71F9" w:rsidRPr="00C61AA4" w:rsidRDefault="008D71F9" w:rsidP="006346A7">
            <w:pPr>
              <w:contextualSpacing/>
              <w:jc w:val="both"/>
              <w:rPr>
                <w:rFonts w:ascii="Times New Roman" w:hAnsi="Times New Roman"/>
              </w:rPr>
            </w:pPr>
          </w:p>
        </w:tc>
        <w:tc>
          <w:tcPr>
            <w:tcW w:w="1478" w:type="dxa"/>
          </w:tcPr>
          <w:p w:rsidR="008D71F9" w:rsidRPr="00C61AA4" w:rsidRDefault="008D71F9" w:rsidP="006346A7">
            <w:pPr>
              <w:contextualSpacing/>
              <w:jc w:val="both"/>
              <w:rPr>
                <w:rFonts w:ascii="Times New Roman" w:hAnsi="Times New Roman"/>
              </w:rPr>
            </w:pPr>
          </w:p>
        </w:tc>
        <w:tc>
          <w:tcPr>
            <w:tcW w:w="850" w:type="dxa"/>
          </w:tcPr>
          <w:p w:rsidR="008D71F9" w:rsidRPr="00C61AA4" w:rsidRDefault="008D71F9" w:rsidP="006346A7">
            <w:pPr>
              <w:contextualSpacing/>
              <w:jc w:val="both"/>
              <w:rPr>
                <w:rFonts w:ascii="Times New Roman" w:hAnsi="Times New Roman"/>
              </w:rPr>
            </w:pPr>
          </w:p>
        </w:tc>
        <w:tc>
          <w:tcPr>
            <w:tcW w:w="1156" w:type="dxa"/>
          </w:tcPr>
          <w:p w:rsidR="008D71F9" w:rsidRPr="00C61AA4" w:rsidRDefault="008D71F9" w:rsidP="006346A7">
            <w:pPr>
              <w:contextualSpacing/>
              <w:jc w:val="both"/>
              <w:rPr>
                <w:rFonts w:ascii="Times New Roman" w:hAnsi="Times New Roman"/>
              </w:rPr>
            </w:pPr>
          </w:p>
        </w:tc>
        <w:tc>
          <w:tcPr>
            <w:tcW w:w="2022" w:type="dxa"/>
          </w:tcPr>
          <w:p w:rsidR="008D71F9" w:rsidRPr="00C61AA4" w:rsidRDefault="008D71F9" w:rsidP="006346A7">
            <w:pPr>
              <w:contextualSpacing/>
              <w:jc w:val="both"/>
              <w:rPr>
                <w:rFonts w:ascii="Times New Roman" w:hAnsi="Times New Roman"/>
              </w:rPr>
            </w:pPr>
          </w:p>
        </w:tc>
      </w:tr>
      <w:tr w:rsidR="008D71F9" w:rsidRPr="00C61AA4" w:rsidTr="008D71F9">
        <w:tc>
          <w:tcPr>
            <w:tcW w:w="3069" w:type="dxa"/>
          </w:tcPr>
          <w:p w:rsidR="008D71F9" w:rsidRPr="00C61AA4" w:rsidRDefault="008D71F9" w:rsidP="006346A7">
            <w:pPr>
              <w:contextualSpacing/>
              <w:jc w:val="both"/>
              <w:rPr>
                <w:rFonts w:ascii="Times New Roman" w:hAnsi="Times New Roman"/>
              </w:rPr>
            </w:pPr>
            <w:r w:rsidRPr="00C61AA4">
              <w:rPr>
                <w:rFonts w:ascii="Times New Roman" w:hAnsi="Times New Roman"/>
              </w:rPr>
              <w:t>Легкость получения заемных средств</w:t>
            </w:r>
          </w:p>
        </w:tc>
        <w:tc>
          <w:tcPr>
            <w:tcW w:w="1846" w:type="dxa"/>
          </w:tcPr>
          <w:p w:rsidR="008D71F9" w:rsidRPr="00C61AA4" w:rsidRDefault="008D71F9" w:rsidP="006346A7">
            <w:pPr>
              <w:contextualSpacing/>
              <w:jc w:val="both"/>
              <w:rPr>
                <w:rFonts w:ascii="Times New Roman" w:hAnsi="Times New Roman"/>
              </w:rPr>
            </w:pPr>
            <w:r w:rsidRPr="00C61AA4">
              <w:rPr>
                <w:rFonts w:ascii="Times New Roman" w:hAnsi="Times New Roman"/>
              </w:rPr>
              <w:t>Отчет ГИК ВЭФ</w:t>
            </w:r>
          </w:p>
        </w:tc>
        <w:tc>
          <w:tcPr>
            <w:tcW w:w="1478" w:type="dxa"/>
          </w:tcPr>
          <w:p w:rsidR="008D71F9" w:rsidRPr="00C61AA4" w:rsidRDefault="008D71F9" w:rsidP="006346A7">
            <w:pPr>
              <w:keepNext/>
              <w:keepLines/>
              <w:tabs>
                <w:tab w:val="left" w:pos="900"/>
                <w:tab w:val="left" w:pos="1080"/>
              </w:tabs>
              <w:contextualSpacing/>
              <w:jc w:val="both"/>
              <w:rPr>
                <w:rFonts w:ascii="Times New Roman" w:hAnsi="Times New Roman"/>
              </w:rPr>
            </w:pPr>
            <w:r w:rsidRPr="00C61AA4">
              <w:rPr>
                <w:rFonts w:ascii="Times New Roman" w:hAnsi="Times New Roman"/>
              </w:rPr>
              <w:t>Место в рейтинге ГИК ВЭФ</w:t>
            </w:r>
          </w:p>
        </w:tc>
        <w:tc>
          <w:tcPr>
            <w:tcW w:w="850" w:type="dxa"/>
          </w:tcPr>
          <w:p w:rsidR="008D71F9" w:rsidRPr="00C61AA4" w:rsidRDefault="008D71F9" w:rsidP="006346A7">
            <w:pPr>
              <w:contextualSpacing/>
              <w:jc w:val="both"/>
              <w:rPr>
                <w:rFonts w:ascii="Times New Roman" w:hAnsi="Times New Roman"/>
              </w:rPr>
            </w:pPr>
            <w:r w:rsidRPr="00C61AA4">
              <w:rPr>
                <w:rFonts w:ascii="Times New Roman" w:hAnsi="Times New Roman"/>
              </w:rPr>
              <w:t>47</w:t>
            </w:r>
          </w:p>
        </w:tc>
        <w:tc>
          <w:tcPr>
            <w:tcW w:w="1156" w:type="dxa"/>
          </w:tcPr>
          <w:p w:rsidR="008D71F9" w:rsidRPr="00C61AA4" w:rsidRDefault="008D71F9" w:rsidP="006346A7">
            <w:pPr>
              <w:contextualSpacing/>
              <w:jc w:val="both"/>
              <w:rPr>
                <w:rFonts w:ascii="Times New Roman" w:hAnsi="Times New Roman"/>
              </w:rPr>
            </w:pPr>
            <w:r w:rsidRPr="00C61AA4">
              <w:rPr>
                <w:rFonts w:ascii="Times New Roman" w:hAnsi="Times New Roman"/>
              </w:rPr>
              <w:t>89</w:t>
            </w:r>
          </w:p>
        </w:tc>
        <w:tc>
          <w:tcPr>
            <w:tcW w:w="2022" w:type="dxa"/>
          </w:tcPr>
          <w:p w:rsidR="008D71F9" w:rsidRPr="00C61AA4" w:rsidRDefault="008D71F9" w:rsidP="006346A7">
            <w:pPr>
              <w:contextualSpacing/>
              <w:jc w:val="both"/>
              <w:rPr>
                <w:rFonts w:ascii="Times New Roman" w:hAnsi="Times New Roman"/>
              </w:rPr>
            </w:pPr>
            <w:r w:rsidRPr="00C61AA4">
              <w:rPr>
                <w:rFonts w:ascii="Times New Roman" w:hAnsi="Times New Roman"/>
                <w:i/>
              </w:rPr>
              <w:t>См. аналитическую записку</w:t>
            </w:r>
          </w:p>
        </w:tc>
      </w:tr>
      <w:tr w:rsidR="008D71F9" w:rsidRPr="00C61AA4" w:rsidTr="008D71F9">
        <w:tc>
          <w:tcPr>
            <w:tcW w:w="3069" w:type="dxa"/>
          </w:tcPr>
          <w:p w:rsidR="008D71F9" w:rsidRPr="00C61AA4" w:rsidRDefault="008D71F9" w:rsidP="006346A7">
            <w:pPr>
              <w:contextualSpacing/>
              <w:jc w:val="both"/>
              <w:rPr>
                <w:rFonts w:ascii="Times New Roman" w:hAnsi="Times New Roman"/>
              </w:rPr>
            </w:pPr>
            <w:r w:rsidRPr="00C61AA4">
              <w:rPr>
                <w:rFonts w:ascii="Times New Roman" w:hAnsi="Times New Roman"/>
                <w:b/>
              </w:rPr>
              <w:t>Целевой индикатор 6</w:t>
            </w:r>
          </w:p>
        </w:tc>
        <w:tc>
          <w:tcPr>
            <w:tcW w:w="1846" w:type="dxa"/>
          </w:tcPr>
          <w:p w:rsidR="008D71F9" w:rsidRPr="00C61AA4" w:rsidRDefault="008D71F9" w:rsidP="006346A7">
            <w:pPr>
              <w:contextualSpacing/>
              <w:jc w:val="both"/>
              <w:rPr>
                <w:rFonts w:ascii="Times New Roman" w:hAnsi="Times New Roman"/>
              </w:rPr>
            </w:pPr>
          </w:p>
        </w:tc>
        <w:tc>
          <w:tcPr>
            <w:tcW w:w="1478" w:type="dxa"/>
          </w:tcPr>
          <w:p w:rsidR="008D71F9" w:rsidRPr="00C61AA4" w:rsidRDefault="008D71F9" w:rsidP="006346A7">
            <w:pPr>
              <w:contextualSpacing/>
              <w:jc w:val="both"/>
              <w:rPr>
                <w:rFonts w:ascii="Times New Roman" w:hAnsi="Times New Roman"/>
              </w:rPr>
            </w:pPr>
          </w:p>
        </w:tc>
        <w:tc>
          <w:tcPr>
            <w:tcW w:w="850" w:type="dxa"/>
          </w:tcPr>
          <w:p w:rsidR="008D71F9" w:rsidRPr="00C61AA4" w:rsidRDefault="008D71F9" w:rsidP="006346A7">
            <w:pPr>
              <w:contextualSpacing/>
              <w:jc w:val="both"/>
              <w:rPr>
                <w:rFonts w:ascii="Times New Roman" w:hAnsi="Times New Roman"/>
              </w:rPr>
            </w:pPr>
          </w:p>
        </w:tc>
        <w:tc>
          <w:tcPr>
            <w:tcW w:w="1156" w:type="dxa"/>
          </w:tcPr>
          <w:p w:rsidR="008D71F9" w:rsidRPr="00C61AA4" w:rsidRDefault="008D71F9" w:rsidP="006346A7">
            <w:pPr>
              <w:contextualSpacing/>
              <w:jc w:val="both"/>
              <w:rPr>
                <w:rFonts w:ascii="Times New Roman" w:hAnsi="Times New Roman"/>
              </w:rPr>
            </w:pPr>
          </w:p>
        </w:tc>
        <w:tc>
          <w:tcPr>
            <w:tcW w:w="2022" w:type="dxa"/>
          </w:tcPr>
          <w:p w:rsidR="008D71F9" w:rsidRPr="00C61AA4" w:rsidRDefault="008D71F9" w:rsidP="006346A7">
            <w:pPr>
              <w:contextualSpacing/>
              <w:jc w:val="both"/>
              <w:rPr>
                <w:rFonts w:ascii="Times New Roman" w:hAnsi="Times New Roman"/>
              </w:rPr>
            </w:pPr>
          </w:p>
        </w:tc>
      </w:tr>
      <w:tr w:rsidR="008D71F9" w:rsidRPr="00C61AA4" w:rsidTr="008D71F9">
        <w:tc>
          <w:tcPr>
            <w:tcW w:w="3069" w:type="dxa"/>
          </w:tcPr>
          <w:p w:rsidR="008D71F9" w:rsidRPr="00C61AA4" w:rsidRDefault="008D71F9" w:rsidP="006346A7">
            <w:pPr>
              <w:contextualSpacing/>
              <w:jc w:val="both"/>
              <w:rPr>
                <w:rFonts w:ascii="Times New Roman" w:hAnsi="Times New Roman"/>
              </w:rPr>
            </w:pPr>
            <w:r w:rsidRPr="00C61AA4">
              <w:rPr>
                <w:rFonts w:ascii="Times New Roman" w:hAnsi="Times New Roman"/>
              </w:rPr>
              <w:t>Доля неработающих займов в ссудном портфеле БВУ</w:t>
            </w:r>
          </w:p>
        </w:tc>
        <w:tc>
          <w:tcPr>
            <w:tcW w:w="1846" w:type="dxa"/>
          </w:tcPr>
          <w:p w:rsidR="008D71F9" w:rsidRPr="00C61AA4" w:rsidRDefault="008D71F9" w:rsidP="006346A7">
            <w:pPr>
              <w:contextualSpacing/>
              <w:jc w:val="both"/>
              <w:rPr>
                <w:rFonts w:ascii="Times New Roman" w:hAnsi="Times New Roman"/>
              </w:rPr>
            </w:pPr>
            <w:r w:rsidRPr="00C61AA4">
              <w:rPr>
                <w:rFonts w:ascii="Times New Roman" w:hAnsi="Times New Roman"/>
              </w:rPr>
              <w:t>НБРК</w:t>
            </w:r>
          </w:p>
        </w:tc>
        <w:tc>
          <w:tcPr>
            <w:tcW w:w="1478" w:type="dxa"/>
          </w:tcPr>
          <w:p w:rsidR="008D71F9" w:rsidRPr="00C61AA4" w:rsidRDefault="008D71F9" w:rsidP="006346A7">
            <w:pPr>
              <w:keepNext/>
              <w:keepLines/>
              <w:tabs>
                <w:tab w:val="left" w:pos="900"/>
                <w:tab w:val="left" w:pos="1080"/>
              </w:tabs>
              <w:contextualSpacing/>
              <w:jc w:val="both"/>
              <w:rPr>
                <w:rFonts w:ascii="Times New Roman" w:hAnsi="Times New Roman"/>
              </w:rPr>
            </w:pPr>
            <w:r w:rsidRPr="00C61AA4">
              <w:rPr>
                <w:rFonts w:ascii="Times New Roman" w:hAnsi="Times New Roman"/>
              </w:rPr>
              <w:t>%</w:t>
            </w:r>
          </w:p>
        </w:tc>
        <w:tc>
          <w:tcPr>
            <w:tcW w:w="850" w:type="dxa"/>
          </w:tcPr>
          <w:p w:rsidR="008D71F9" w:rsidRPr="00C61AA4" w:rsidRDefault="008D71F9" w:rsidP="006346A7">
            <w:pPr>
              <w:contextualSpacing/>
              <w:jc w:val="both"/>
              <w:rPr>
                <w:rFonts w:ascii="Times New Roman" w:hAnsi="Times New Roman"/>
              </w:rPr>
            </w:pPr>
            <w:r w:rsidRPr="00C61AA4">
              <w:rPr>
                <w:rFonts w:ascii="Times New Roman" w:hAnsi="Times New Roman"/>
              </w:rPr>
              <w:t xml:space="preserve">Не </w:t>
            </w:r>
          </w:p>
          <w:p w:rsidR="008D71F9" w:rsidRPr="00C61AA4" w:rsidRDefault="008D71F9" w:rsidP="006346A7">
            <w:pPr>
              <w:contextualSpacing/>
              <w:jc w:val="both"/>
              <w:rPr>
                <w:rFonts w:ascii="Times New Roman" w:hAnsi="Times New Roman"/>
              </w:rPr>
            </w:pPr>
            <w:r w:rsidRPr="00C61AA4">
              <w:rPr>
                <w:rFonts w:ascii="Times New Roman" w:hAnsi="Times New Roman"/>
              </w:rPr>
              <w:t>более 10</w:t>
            </w:r>
          </w:p>
        </w:tc>
        <w:tc>
          <w:tcPr>
            <w:tcW w:w="1156" w:type="dxa"/>
          </w:tcPr>
          <w:p w:rsidR="008D71F9" w:rsidRPr="00C61AA4" w:rsidRDefault="008D71F9" w:rsidP="006346A7">
            <w:pPr>
              <w:contextualSpacing/>
              <w:jc w:val="both"/>
              <w:rPr>
                <w:rFonts w:ascii="Times New Roman" w:hAnsi="Times New Roman"/>
              </w:rPr>
            </w:pPr>
            <w:r w:rsidRPr="00C61AA4">
              <w:rPr>
                <w:rFonts w:ascii="Times New Roman" w:hAnsi="Times New Roman"/>
              </w:rPr>
              <w:t>6,7</w:t>
            </w:r>
          </w:p>
        </w:tc>
        <w:tc>
          <w:tcPr>
            <w:tcW w:w="2022" w:type="dxa"/>
          </w:tcPr>
          <w:p w:rsidR="008D71F9" w:rsidRPr="00C61AA4" w:rsidRDefault="008D71F9" w:rsidP="006346A7">
            <w:pPr>
              <w:contextualSpacing/>
              <w:jc w:val="both"/>
              <w:rPr>
                <w:rFonts w:ascii="Times New Roman" w:hAnsi="Times New Roman"/>
              </w:rPr>
            </w:pPr>
          </w:p>
        </w:tc>
      </w:tr>
      <w:tr w:rsidR="008D71F9" w:rsidRPr="00C61AA4" w:rsidTr="008D71F9">
        <w:tc>
          <w:tcPr>
            <w:tcW w:w="3069" w:type="dxa"/>
          </w:tcPr>
          <w:p w:rsidR="008D71F9" w:rsidRPr="00C61AA4" w:rsidRDefault="008D71F9" w:rsidP="006346A7">
            <w:pPr>
              <w:contextualSpacing/>
              <w:jc w:val="both"/>
              <w:rPr>
                <w:rFonts w:ascii="Times New Roman" w:hAnsi="Times New Roman"/>
              </w:rPr>
            </w:pPr>
            <w:r w:rsidRPr="00C61AA4">
              <w:rPr>
                <w:rFonts w:ascii="Times New Roman" w:hAnsi="Times New Roman"/>
                <w:b/>
              </w:rPr>
              <w:t>Целевой индикатор 7</w:t>
            </w:r>
          </w:p>
        </w:tc>
        <w:tc>
          <w:tcPr>
            <w:tcW w:w="1846" w:type="dxa"/>
          </w:tcPr>
          <w:p w:rsidR="008D71F9" w:rsidRPr="00C61AA4" w:rsidRDefault="008D71F9" w:rsidP="006346A7">
            <w:pPr>
              <w:contextualSpacing/>
              <w:jc w:val="both"/>
              <w:rPr>
                <w:rFonts w:ascii="Times New Roman" w:hAnsi="Times New Roman"/>
              </w:rPr>
            </w:pPr>
          </w:p>
        </w:tc>
        <w:tc>
          <w:tcPr>
            <w:tcW w:w="1478" w:type="dxa"/>
          </w:tcPr>
          <w:p w:rsidR="008D71F9" w:rsidRPr="00C61AA4" w:rsidRDefault="008D71F9" w:rsidP="006346A7">
            <w:pPr>
              <w:contextualSpacing/>
              <w:jc w:val="both"/>
              <w:rPr>
                <w:rFonts w:ascii="Times New Roman" w:hAnsi="Times New Roman"/>
              </w:rPr>
            </w:pPr>
          </w:p>
        </w:tc>
        <w:tc>
          <w:tcPr>
            <w:tcW w:w="850" w:type="dxa"/>
          </w:tcPr>
          <w:p w:rsidR="008D71F9" w:rsidRPr="00C61AA4" w:rsidRDefault="008D71F9" w:rsidP="006346A7">
            <w:pPr>
              <w:contextualSpacing/>
              <w:jc w:val="both"/>
              <w:rPr>
                <w:rFonts w:ascii="Times New Roman" w:hAnsi="Times New Roman"/>
              </w:rPr>
            </w:pPr>
          </w:p>
        </w:tc>
        <w:tc>
          <w:tcPr>
            <w:tcW w:w="1156" w:type="dxa"/>
          </w:tcPr>
          <w:p w:rsidR="008D71F9" w:rsidRPr="00C61AA4" w:rsidRDefault="008D71F9" w:rsidP="006346A7">
            <w:pPr>
              <w:contextualSpacing/>
              <w:jc w:val="both"/>
              <w:rPr>
                <w:rFonts w:ascii="Times New Roman" w:hAnsi="Times New Roman"/>
              </w:rPr>
            </w:pPr>
          </w:p>
        </w:tc>
        <w:tc>
          <w:tcPr>
            <w:tcW w:w="2022" w:type="dxa"/>
          </w:tcPr>
          <w:p w:rsidR="008D71F9" w:rsidRPr="00C61AA4" w:rsidRDefault="008D71F9" w:rsidP="006346A7">
            <w:pPr>
              <w:contextualSpacing/>
              <w:jc w:val="both"/>
              <w:rPr>
                <w:rFonts w:ascii="Times New Roman" w:hAnsi="Times New Roman"/>
              </w:rPr>
            </w:pPr>
          </w:p>
        </w:tc>
      </w:tr>
      <w:tr w:rsidR="008D71F9" w:rsidRPr="00C61AA4" w:rsidTr="008D71F9">
        <w:tc>
          <w:tcPr>
            <w:tcW w:w="3069" w:type="dxa"/>
          </w:tcPr>
          <w:p w:rsidR="008D71F9" w:rsidRPr="00C61AA4" w:rsidRDefault="008D71F9" w:rsidP="006346A7">
            <w:pPr>
              <w:contextualSpacing/>
              <w:jc w:val="both"/>
              <w:rPr>
                <w:rFonts w:ascii="Times New Roman" w:hAnsi="Times New Roman"/>
              </w:rPr>
            </w:pPr>
            <w:r w:rsidRPr="00C61AA4">
              <w:rPr>
                <w:rFonts w:ascii="Times New Roman" w:hAnsi="Times New Roman"/>
              </w:rPr>
              <w:t>Увеличение уставного капитала АО «Казахстанский фонд гарантирования депозитов»</w:t>
            </w:r>
          </w:p>
        </w:tc>
        <w:tc>
          <w:tcPr>
            <w:tcW w:w="1846" w:type="dxa"/>
          </w:tcPr>
          <w:p w:rsidR="008D71F9" w:rsidRPr="00C61AA4" w:rsidRDefault="008D71F9" w:rsidP="006346A7">
            <w:pPr>
              <w:contextualSpacing/>
              <w:jc w:val="both"/>
              <w:rPr>
                <w:rFonts w:ascii="Times New Roman" w:hAnsi="Times New Roman"/>
              </w:rPr>
            </w:pPr>
            <w:r w:rsidRPr="00C61AA4">
              <w:rPr>
                <w:rFonts w:ascii="Times New Roman" w:hAnsi="Times New Roman"/>
              </w:rPr>
              <w:t>НБРК</w:t>
            </w:r>
          </w:p>
        </w:tc>
        <w:tc>
          <w:tcPr>
            <w:tcW w:w="1478" w:type="dxa"/>
          </w:tcPr>
          <w:p w:rsidR="008D71F9" w:rsidRPr="00C61AA4" w:rsidRDefault="008D71F9" w:rsidP="006346A7">
            <w:pPr>
              <w:keepNext/>
              <w:keepLines/>
              <w:tabs>
                <w:tab w:val="left" w:pos="900"/>
                <w:tab w:val="left" w:pos="1080"/>
              </w:tabs>
              <w:contextualSpacing/>
              <w:jc w:val="both"/>
              <w:rPr>
                <w:rFonts w:ascii="Times New Roman" w:hAnsi="Times New Roman"/>
              </w:rPr>
            </w:pPr>
            <w:r w:rsidRPr="00C61AA4">
              <w:rPr>
                <w:rFonts w:ascii="Times New Roman" w:hAnsi="Times New Roman"/>
              </w:rPr>
              <w:t>%</w:t>
            </w:r>
          </w:p>
        </w:tc>
        <w:tc>
          <w:tcPr>
            <w:tcW w:w="850" w:type="dxa"/>
          </w:tcPr>
          <w:p w:rsidR="008D71F9" w:rsidRPr="00C61AA4" w:rsidRDefault="008D71F9" w:rsidP="006346A7">
            <w:pPr>
              <w:contextualSpacing/>
              <w:jc w:val="both"/>
              <w:rPr>
                <w:rFonts w:ascii="Times New Roman" w:hAnsi="Times New Roman"/>
              </w:rPr>
            </w:pPr>
            <w:r w:rsidRPr="00C61AA4">
              <w:rPr>
                <w:rFonts w:ascii="Times New Roman" w:hAnsi="Times New Roman"/>
              </w:rPr>
              <w:t>10</w:t>
            </w:r>
          </w:p>
        </w:tc>
        <w:tc>
          <w:tcPr>
            <w:tcW w:w="1156" w:type="dxa"/>
          </w:tcPr>
          <w:p w:rsidR="008D71F9" w:rsidRPr="00C61AA4" w:rsidRDefault="008D71F9" w:rsidP="006346A7">
            <w:pPr>
              <w:contextualSpacing/>
              <w:jc w:val="both"/>
              <w:rPr>
                <w:rFonts w:ascii="Times New Roman" w:hAnsi="Times New Roman"/>
              </w:rPr>
            </w:pPr>
            <w:r w:rsidRPr="00C61AA4">
              <w:rPr>
                <w:rFonts w:ascii="Times New Roman" w:hAnsi="Times New Roman"/>
              </w:rPr>
              <w:t>10</w:t>
            </w:r>
          </w:p>
        </w:tc>
        <w:tc>
          <w:tcPr>
            <w:tcW w:w="2022" w:type="dxa"/>
          </w:tcPr>
          <w:p w:rsidR="008D71F9" w:rsidRPr="00C61AA4" w:rsidRDefault="008D71F9" w:rsidP="006346A7">
            <w:pPr>
              <w:contextualSpacing/>
              <w:jc w:val="both"/>
              <w:rPr>
                <w:rFonts w:ascii="Times New Roman" w:hAnsi="Times New Roman"/>
              </w:rPr>
            </w:pPr>
          </w:p>
        </w:tc>
      </w:tr>
      <w:tr w:rsidR="008D71F9" w:rsidRPr="00C61AA4" w:rsidTr="009E2774">
        <w:tc>
          <w:tcPr>
            <w:tcW w:w="10421" w:type="dxa"/>
            <w:gridSpan w:val="6"/>
          </w:tcPr>
          <w:p w:rsidR="008D71F9" w:rsidRPr="00C61AA4" w:rsidRDefault="008D71F9" w:rsidP="006346A7">
            <w:pPr>
              <w:contextualSpacing/>
              <w:jc w:val="center"/>
              <w:rPr>
                <w:rFonts w:ascii="Times New Roman" w:hAnsi="Times New Roman" w:cs="Times New Roman"/>
                <w:b/>
                <w:sz w:val="24"/>
                <w:szCs w:val="24"/>
              </w:rPr>
            </w:pPr>
            <w:r w:rsidRPr="00C61AA4">
              <w:rPr>
                <w:rFonts w:ascii="Times New Roman" w:hAnsi="Times New Roman"/>
                <w:b/>
              </w:rPr>
              <w:t xml:space="preserve">Цель 2.2. </w:t>
            </w:r>
            <w:r w:rsidRPr="00C61AA4">
              <w:rPr>
                <w:rFonts w:ascii="Times New Roman" w:hAnsi="Times New Roman"/>
              </w:rPr>
              <w:t>Повышение финансовой устойчивости и создание необходимых условий для дальнейшего развития страхового рынка</w:t>
            </w:r>
          </w:p>
        </w:tc>
      </w:tr>
      <w:tr w:rsidR="008D71F9" w:rsidRPr="00C61AA4" w:rsidTr="008D71F9">
        <w:tc>
          <w:tcPr>
            <w:tcW w:w="3069" w:type="dxa"/>
          </w:tcPr>
          <w:p w:rsidR="008D71F9" w:rsidRPr="00C61AA4" w:rsidRDefault="008D71F9" w:rsidP="006346A7">
            <w:pPr>
              <w:contextualSpacing/>
              <w:jc w:val="both"/>
              <w:rPr>
                <w:rFonts w:ascii="Times New Roman" w:hAnsi="Times New Roman"/>
                <w:b/>
              </w:rPr>
            </w:pPr>
            <w:r w:rsidRPr="00C61AA4">
              <w:rPr>
                <w:rFonts w:ascii="Times New Roman" w:hAnsi="Times New Roman"/>
                <w:b/>
              </w:rPr>
              <w:t>Целевой индикатор</w:t>
            </w:r>
          </w:p>
        </w:tc>
        <w:tc>
          <w:tcPr>
            <w:tcW w:w="1846" w:type="dxa"/>
          </w:tcPr>
          <w:p w:rsidR="008D71F9" w:rsidRPr="00C61AA4" w:rsidRDefault="008D71F9" w:rsidP="006346A7">
            <w:pPr>
              <w:contextualSpacing/>
              <w:jc w:val="both"/>
              <w:rPr>
                <w:rFonts w:ascii="Times New Roman" w:hAnsi="Times New Roman"/>
              </w:rPr>
            </w:pPr>
          </w:p>
        </w:tc>
        <w:tc>
          <w:tcPr>
            <w:tcW w:w="1478" w:type="dxa"/>
          </w:tcPr>
          <w:p w:rsidR="008D71F9" w:rsidRPr="00C61AA4" w:rsidRDefault="008D71F9" w:rsidP="006346A7">
            <w:pPr>
              <w:contextualSpacing/>
              <w:jc w:val="both"/>
              <w:rPr>
                <w:rFonts w:ascii="Times New Roman" w:hAnsi="Times New Roman"/>
              </w:rPr>
            </w:pPr>
          </w:p>
        </w:tc>
        <w:tc>
          <w:tcPr>
            <w:tcW w:w="850" w:type="dxa"/>
          </w:tcPr>
          <w:p w:rsidR="008D71F9" w:rsidRPr="00C61AA4" w:rsidRDefault="008D71F9" w:rsidP="006346A7">
            <w:pPr>
              <w:contextualSpacing/>
              <w:jc w:val="both"/>
              <w:rPr>
                <w:rFonts w:ascii="Times New Roman" w:hAnsi="Times New Roman"/>
              </w:rPr>
            </w:pPr>
          </w:p>
        </w:tc>
        <w:tc>
          <w:tcPr>
            <w:tcW w:w="1156" w:type="dxa"/>
          </w:tcPr>
          <w:p w:rsidR="008D71F9" w:rsidRPr="00C61AA4" w:rsidRDefault="008D71F9" w:rsidP="006346A7">
            <w:pPr>
              <w:contextualSpacing/>
              <w:jc w:val="both"/>
              <w:rPr>
                <w:rFonts w:ascii="Times New Roman" w:hAnsi="Times New Roman"/>
              </w:rPr>
            </w:pPr>
          </w:p>
        </w:tc>
        <w:tc>
          <w:tcPr>
            <w:tcW w:w="2022" w:type="dxa"/>
          </w:tcPr>
          <w:p w:rsidR="008D71F9" w:rsidRPr="00C61AA4" w:rsidRDefault="008D71F9" w:rsidP="006346A7">
            <w:pPr>
              <w:contextualSpacing/>
              <w:jc w:val="both"/>
              <w:rPr>
                <w:rFonts w:ascii="Times New Roman" w:hAnsi="Times New Roman" w:cs="Times New Roman"/>
                <w:b/>
                <w:sz w:val="24"/>
                <w:szCs w:val="24"/>
              </w:rPr>
            </w:pPr>
          </w:p>
        </w:tc>
      </w:tr>
      <w:tr w:rsidR="008D71F9" w:rsidRPr="00C61AA4" w:rsidTr="008D71F9">
        <w:tc>
          <w:tcPr>
            <w:tcW w:w="3069" w:type="dxa"/>
          </w:tcPr>
          <w:p w:rsidR="008D71F9" w:rsidRPr="00C61AA4" w:rsidRDefault="008D71F9" w:rsidP="006346A7">
            <w:pPr>
              <w:contextualSpacing/>
              <w:jc w:val="both"/>
              <w:rPr>
                <w:rFonts w:ascii="Times New Roman" w:hAnsi="Times New Roman"/>
              </w:rPr>
            </w:pPr>
            <w:r w:rsidRPr="00C61AA4">
              <w:rPr>
                <w:rFonts w:ascii="Times New Roman" w:hAnsi="Times New Roman"/>
              </w:rPr>
              <w:t>Агрегированный индекс финансовой устойчивости</w:t>
            </w:r>
          </w:p>
        </w:tc>
        <w:tc>
          <w:tcPr>
            <w:tcW w:w="1846" w:type="dxa"/>
          </w:tcPr>
          <w:p w:rsidR="008D71F9" w:rsidRPr="00C61AA4" w:rsidRDefault="008D71F9" w:rsidP="006346A7">
            <w:pPr>
              <w:contextualSpacing/>
              <w:jc w:val="both"/>
              <w:rPr>
                <w:rFonts w:ascii="Times New Roman" w:hAnsi="Times New Roman"/>
              </w:rPr>
            </w:pPr>
            <w:r w:rsidRPr="00C61AA4">
              <w:rPr>
                <w:rFonts w:ascii="Times New Roman" w:hAnsi="Times New Roman"/>
              </w:rPr>
              <w:t>НБРК</w:t>
            </w:r>
          </w:p>
        </w:tc>
        <w:tc>
          <w:tcPr>
            <w:tcW w:w="1478" w:type="dxa"/>
          </w:tcPr>
          <w:p w:rsidR="008D71F9" w:rsidRPr="00C61AA4" w:rsidRDefault="008D71F9" w:rsidP="006346A7">
            <w:pPr>
              <w:keepNext/>
              <w:keepLines/>
              <w:tabs>
                <w:tab w:val="left" w:pos="900"/>
                <w:tab w:val="left" w:pos="1080"/>
              </w:tabs>
              <w:contextualSpacing/>
              <w:jc w:val="both"/>
              <w:rPr>
                <w:rFonts w:ascii="Times New Roman" w:hAnsi="Times New Roman"/>
              </w:rPr>
            </w:pPr>
            <w:r w:rsidRPr="00C61AA4">
              <w:rPr>
                <w:rFonts w:ascii="Times New Roman" w:hAnsi="Times New Roman"/>
              </w:rPr>
              <w:t>коэффициент</w:t>
            </w:r>
          </w:p>
        </w:tc>
        <w:tc>
          <w:tcPr>
            <w:tcW w:w="850" w:type="dxa"/>
          </w:tcPr>
          <w:p w:rsidR="008D71F9" w:rsidRPr="00C61AA4" w:rsidRDefault="008D71F9" w:rsidP="006346A7">
            <w:pPr>
              <w:keepNext/>
              <w:keepLines/>
              <w:tabs>
                <w:tab w:val="left" w:pos="900"/>
                <w:tab w:val="left" w:pos="1080"/>
              </w:tabs>
              <w:contextualSpacing/>
              <w:jc w:val="both"/>
              <w:rPr>
                <w:rFonts w:ascii="Times New Roman" w:hAnsi="Times New Roman"/>
                <w:lang w:val="kk-KZ"/>
              </w:rPr>
            </w:pPr>
            <w:r w:rsidRPr="00C61AA4">
              <w:rPr>
                <w:rFonts w:ascii="Times New Roman" w:hAnsi="Times New Roman"/>
              </w:rPr>
              <w:t>От 1 до 2,35</w:t>
            </w:r>
          </w:p>
        </w:tc>
        <w:tc>
          <w:tcPr>
            <w:tcW w:w="1156" w:type="dxa"/>
          </w:tcPr>
          <w:p w:rsidR="008D71F9" w:rsidRPr="00C61AA4" w:rsidRDefault="008D71F9" w:rsidP="006346A7">
            <w:pPr>
              <w:contextualSpacing/>
              <w:jc w:val="both"/>
              <w:rPr>
                <w:rFonts w:ascii="Times New Roman" w:hAnsi="Times New Roman"/>
              </w:rPr>
            </w:pPr>
            <w:r w:rsidRPr="00C61AA4">
              <w:rPr>
                <w:rFonts w:ascii="Times New Roman" w:hAnsi="Times New Roman"/>
              </w:rPr>
              <w:t>1,86</w:t>
            </w:r>
          </w:p>
        </w:tc>
        <w:tc>
          <w:tcPr>
            <w:tcW w:w="2022" w:type="dxa"/>
          </w:tcPr>
          <w:p w:rsidR="008D71F9" w:rsidRPr="00C61AA4" w:rsidRDefault="008D71F9" w:rsidP="006346A7">
            <w:pPr>
              <w:contextualSpacing/>
              <w:jc w:val="both"/>
              <w:rPr>
                <w:rFonts w:ascii="Times New Roman" w:hAnsi="Times New Roman" w:cs="Times New Roman"/>
                <w:b/>
                <w:sz w:val="24"/>
                <w:szCs w:val="24"/>
              </w:rPr>
            </w:pPr>
          </w:p>
        </w:tc>
      </w:tr>
      <w:tr w:rsidR="008D71F9" w:rsidRPr="00C61AA4" w:rsidTr="009E2774">
        <w:tc>
          <w:tcPr>
            <w:tcW w:w="10421" w:type="dxa"/>
            <w:gridSpan w:val="6"/>
          </w:tcPr>
          <w:p w:rsidR="008D71F9" w:rsidRPr="00C61AA4" w:rsidRDefault="008D71F9" w:rsidP="006346A7">
            <w:pPr>
              <w:contextualSpacing/>
              <w:jc w:val="center"/>
              <w:rPr>
                <w:rFonts w:ascii="Times New Roman" w:hAnsi="Times New Roman" w:cs="Times New Roman"/>
                <w:b/>
                <w:sz w:val="24"/>
                <w:szCs w:val="24"/>
              </w:rPr>
            </w:pPr>
            <w:r w:rsidRPr="00C61AA4">
              <w:rPr>
                <w:rFonts w:ascii="Times New Roman" w:hAnsi="Times New Roman"/>
                <w:b/>
              </w:rPr>
              <w:t xml:space="preserve">Цель 2.3. </w:t>
            </w:r>
            <w:r w:rsidRPr="00C61AA4">
              <w:rPr>
                <w:rFonts w:ascii="Times New Roman" w:hAnsi="Times New Roman"/>
              </w:rPr>
              <w:t>Создание необходимых условий для дальнейшего развития рынка ценных бумаг</w:t>
            </w:r>
          </w:p>
        </w:tc>
      </w:tr>
      <w:tr w:rsidR="008D71F9" w:rsidRPr="00C61AA4" w:rsidTr="008D71F9">
        <w:tc>
          <w:tcPr>
            <w:tcW w:w="3069" w:type="dxa"/>
          </w:tcPr>
          <w:p w:rsidR="008D71F9" w:rsidRPr="00C61AA4" w:rsidRDefault="008D71F9" w:rsidP="006346A7">
            <w:pPr>
              <w:contextualSpacing/>
              <w:jc w:val="both"/>
              <w:rPr>
                <w:rFonts w:ascii="Times New Roman" w:hAnsi="Times New Roman"/>
                <w:b/>
              </w:rPr>
            </w:pPr>
            <w:r w:rsidRPr="00C61AA4">
              <w:rPr>
                <w:rFonts w:ascii="Times New Roman" w:hAnsi="Times New Roman"/>
                <w:b/>
              </w:rPr>
              <w:t>Целевой индикатор 1</w:t>
            </w:r>
          </w:p>
        </w:tc>
        <w:tc>
          <w:tcPr>
            <w:tcW w:w="1846" w:type="dxa"/>
          </w:tcPr>
          <w:p w:rsidR="008D71F9" w:rsidRPr="00C61AA4" w:rsidRDefault="008D71F9" w:rsidP="006346A7">
            <w:pPr>
              <w:contextualSpacing/>
              <w:jc w:val="both"/>
              <w:rPr>
                <w:rFonts w:ascii="Times New Roman" w:hAnsi="Times New Roman"/>
              </w:rPr>
            </w:pPr>
          </w:p>
        </w:tc>
        <w:tc>
          <w:tcPr>
            <w:tcW w:w="1478" w:type="dxa"/>
          </w:tcPr>
          <w:p w:rsidR="008D71F9" w:rsidRPr="00C61AA4" w:rsidRDefault="008D71F9" w:rsidP="006346A7">
            <w:pPr>
              <w:contextualSpacing/>
              <w:jc w:val="both"/>
              <w:rPr>
                <w:rFonts w:ascii="Times New Roman" w:hAnsi="Times New Roman"/>
              </w:rPr>
            </w:pPr>
          </w:p>
        </w:tc>
        <w:tc>
          <w:tcPr>
            <w:tcW w:w="850" w:type="dxa"/>
          </w:tcPr>
          <w:p w:rsidR="008D71F9" w:rsidRPr="00C61AA4" w:rsidRDefault="008D71F9" w:rsidP="006346A7">
            <w:pPr>
              <w:contextualSpacing/>
              <w:jc w:val="both"/>
              <w:rPr>
                <w:rFonts w:ascii="Times New Roman" w:hAnsi="Times New Roman"/>
              </w:rPr>
            </w:pPr>
          </w:p>
        </w:tc>
        <w:tc>
          <w:tcPr>
            <w:tcW w:w="1156" w:type="dxa"/>
          </w:tcPr>
          <w:p w:rsidR="008D71F9" w:rsidRPr="00C61AA4" w:rsidRDefault="008D71F9" w:rsidP="006346A7">
            <w:pPr>
              <w:contextualSpacing/>
              <w:jc w:val="both"/>
              <w:rPr>
                <w:rFonts w:ascii="Times New Roman" w:hAnsi="Times New Roman"/>
              </w:rPr>
            </w:pPr>
          </w:p>
        </w:tc>
        <w:tc>
          <w:tcPr>
            <w:tcW w:w="2022" w:type="dxa"/>
          </w:tcPr>
          <w:p w:rsidR="008D71F9" w:rsidRPr="00C61AA4" w:rsidRDefault="008D71F9" w:rsidP="006346A7">
            <w:pPr>
              <w:contextualSpacing/>
              <w:jc w:val="both"/>
              <w:rPr>
                <w:rFonts w:ascii="Times New Roman" w:hAnsi="Times New Roman"/>
              </w:rPr>
            </w:pPr>
          </w:p>
        </w:tc>
      </w:tr>
      <w:tr w:rsidR="008D71F9" w:rsidRPr="00C61AA4" w:rsidTr="008D71F9">
        <w:tc>
          <w:tcPr>
            <w:tcW w:w="3069" w:type="dxa"/>
          </w:tcPr>
          <w:p w:rsidR="008D71F9" w:rsidRPr="00C61AA4" w:rsidRDefault="008D71F9" w:rsidP="006346A7">
            <w:pPr>
              <w:contextualSpacing/>
              <w:jc w:val="both"/>
              <w:rPr>
                <w:rFonts w:ascii="Times New Roman" w:hAnsi="Times New Roman"/>
              </w:rPr>
            </w:pPr>
            <w:r w:rsidRPr="00C61AA4">
              <w:rPr>
                <w:rFonts w:ascii="Times New Roman" w:hAnsi="Times New Roman"/>
                <w:iCs/>
              </w:rPr>
              <w:t>Получение финансирования на внутреннем фондовом рынке</w:t>
            </w:r>
          </w:p>
        </w:tc>
        <w:tc>
          <w:tcPr>
            <w:tcW w:w="1846" w:type="dxa"/>
          </w:tcPr>
          <w:p w:rsidR="008D71F9" w:rsidRPr="00C61AA4" w:rsidRDefault="008D71F9" w:rsidP="006346A7">
            <w:pPr>
              <w:contextualSpacing/>
              <w:jc w:val="both"/>
              <w:rPr>
                <w:rFonts w:ascii="Times New Roman" w:hAnsi="Times New Roman"/>
              </w:rPr>
            </w:pPr>
            <w:r w:rsidRPr="00C61AA4">
              <w:rPr>
                <w:rFonts w:ascii="Times New Roman" w:hAnsi="Times New Roman"/>
              </w:rPr>
              <w:t>Отчет ГИК ВЭФ</w:t>
            </w:r>
          </w:p>
        </w:tc>
        <w:tc>
          <w:tcPr>
            <w:tcW w:w="1478" w:type="dxa"/>
          </w:tcPr>
          <w:p w:rsidR="008D71F9" w:rsidRPr="00C61AA4" w:rsidRDefault="008D71F9" w:rsidP="006346A7">
            <w:pPr>
              <w:keepNext/>
              <w:keepLines/>
              <w:tabs>
                <w:tab w:val="left" w:pos="900"/>
                <w:tab w:val="left" w:pos="1080"/>
              </w:tabs>
              <w:contextualSpacing/>
              <w:jc w:val="both"/>
              <w:rPr>
                <w:rFonts w:ascii="Times New Roman" w:hAnsi="Times New Roman"/>
              </w:rPr>
            </w:pPr>
            <w:r w:rsidRPr="00C61AA4">
              <w:rPr>
                <w:rFonts w:ascii="Times New Roman" w:hAnsi="Times New Roman"/>
              </w:rPr>
              <w:t>Место в рейтинге ГИК ВЭФ</w:t>
            </w:r>
          </w:p>
        </w:tc>
        <w:tc>
          <w:tcPr>
            <w:tcW w:w="850" w:type="dxa"/>
          </w:tcPr>
          <w:p w:rsidR="008D71F9" w:rsidRPr="00C61AA4" w:rsidRDefault="008D71F9" w:rsidP="006346A7">
            <w:pPr>
              <w:keepNext/>
              <w:keepLines/>
              <w:tabs>
                <w:tab w:val="left" w:pos="900"/>
                <w:tab w:val="left" w:pos="1080"/>
              </w:tabs>
              <w:contextualSpacing/>
              <w:jc w:val="both"/>
              <w:rPr>
                <w:rFonts w:ascii="Times New Roman" w:hAnsi="Times New Roman"/>
              </w:rPr>
            </w:pPr>
            <w:r w:rsidRPr="00C61AA4">
              <w:rPr>
                <w:rFonts w:ascii="Times New Roman" w:hAnsi="Times New Roman"/>
              </w:rPr>
              <w:t>91</w:t>
            </w:r>
          </w:p>
        </w:tc>
        <w:tc>
          <w:tcPr>
            <w:tcW w:w="1156" w:type="dxa"/>
          </w:tcPr>
          <w:p w:rsidR="008D71F9" w:rsidRPr="00C61AA4" w:rsidRDefault="008D71F9" w:rsidP="006346A7">
            <w:pPr>
              <w:keepNext/>
              <w:keepLines/>
              <w:tabs>
                <w:tab w:val="left" w:pos="972"/>
                <w:tab w:val="left" w:pos="1080"/>
              </w:tabs>
              <w:contextualSpacing/>
              <w:jc w:val="both"/>
              <w:rPr>
                <w:rFonts w:ascii="Times New Roman" w:hAnsi="Times New Roman"/>
              </w:rPr>
            </w:pPr>
            <w:r w:rsidRPr="00C61AA4">
              <w:rPr>
                <w:rFonts w:ascii="Times New Roman" w:hAnsi="Times New Roman"/>
              </w:rPr>
              <w:t>99</w:t>
            </w:r>
          </w:p>
        </w:tc>
        <w:tc>
          <w:tcPr>
            <w:tcW w:w="2022" w:type="dxa"/>
          </w:tcPr>
          <w:p w:rsidR="008D71F9" w:rsidRPr="00C61AA4" w:rsidRDefault="008D71F9" w:rsidP="006346A7">
            <w:pPr>
              <w:contextualSpacing/>
              <w:jc w:val="both"/>
              <w:rPr>
                <w:rFonts w:ascii="Times New Roman" w:hAnsi="Times New Roman"/>
                <w:i/>
              </w:rPr>
            </w:pPr>
            <w:r w:rsidRPr="00C61AA4">
              <w:rPr>
                <w:rFonts w:ascii="Times New Roman" w:hAnsi="Times New Roman"/>
                <w:i/>
              </w:rPr>
              <w:t>См. аналитическую записку</w:t>
            </w:r>
          </w:p>
        </w:tc>
      </w:tr>
      <w:tr w:rsidR="008D71F9" w:rsidRPr="00C61AA4" w:rsidTr="008D71F9">
        <w:tc>
          <w:tcPr>
            <w:tcW w:w="3069" w:type="dxa"/>
          </w:tcPr>
          <w:p w:rsidR="008D71F9" w:rsidRPr="00C61AA4" w:rsidRDefault="008D71F9" w:rsidP="006346A7">
            <w:pPr>
              <w:contextualSpacing/>
              <w:jc w:val="both"/>
              <w:rPr>
                <w:rFonts w:ascii="Times New Roman" w:hAnsi="Times New Roman"/>
              </w:rPr>
            </w:pPr>
            <w:r w:rsidRPr="00C61AA4">
              <w:rPr>
                <w:rFonts w:ascii="Times New Roman" w:hAnsi="Times New Roman"/>
                <w:b/>
              </w:rPr>
              <w:t>Целевой индикатор 2</w:t>
            </w:r>
          </w:p>
        </w:tc>
        <w:tc>
          <w:tcPr>
            <w:tcW w:w="1846" w:type="dxa"/>
          </w:tcPr>
          <w:p w:rsidR="008D71F9" w:rsidRPr="00C61AA4" w:rsidRDefault="008D71F9" w:rsidP="006346A7">
            <w:pPr>
              <w:contextualSpacing/>
              <w:jc w:val="both"/>
              <w:rPr>
                <w:rFonts w:ascii="Times New Roman" w:hAnsi="Times New Roman"/>
              </w:rPr>
            </w:pPr>
          </w:p>
        </w:tc>
        <w:tc>
          <w:tcPr>
            <w:tcW w:w="1478" w:type="dxa"/>
          </w:tcPr>
          <w:p w:rsidR="008D71F9" w:rsidRPr="00C61AA4" w:rsidRDefault="008D71F9" w:rsidP="006346A7">
            <w:pPr>
              <w:contextualSpacing/>
              <w:jc w:val="both"/>
              <w:rPr>
                <w:rFonts w:ascii="Times New Roman" w:hAnsi="Times New Roman"/>
              </w:rPr>
            </w:pPr>
          </w:p>
        </w:tc>
        <w:tc>
          <w:tcPr>
            <w:tcW w:w="850" w:type="dxa"/>
          </w:tcPr>
          <w:p w:rsidR="008D71F9" w:rsidRPr="00C61AA4" w:rsidRDefault="008D71F9" w:rsidP="006346A7">
            <w:pPr>
              <w:contextualSpacing/>
              <w:jc w:val="both"/>
              <w:rPr>
                <w:rFonts w:ascii="Times New Roman" w:hAnsi="Times New Roman"/>
              </w:rPr>
            </w:pPr>
          </w:p>
        </w:tc>
        <w:tc>
          <w:tcPr>
            <w:tcW w:w="1156" w:type="dxa"/>
          </w:tcPr>
          <w:p w:rsidR="008D71F9" w:rsidRPr="00C61AA4" w:rsidRDefault="008D71F9" w:rsidP="006346A7">
            <w:pPr>
              <w:contextualSpacing/>
              <w:jc w:val="both"/>
              <w:rPr>
                <w:rFonts w:ascii="Times New Roman" w:hAnsi="Times New Roman"/>
              </w:rPr>
            </w:pPr>
          </w:p>
        </w:tc>
        <w:tc>
          <w:tcPr>
            <w:tcW w:w="2022" w:type="dxa"/>
          </w:tcPr>
          <w:p w:rsidR="008D71F9" w:rsidRPr="00C61AA4" w:rsidRDefault="008D71F9" w:rsidP="006346A7">
            <w:pPr>
              <w:contextualSpacing/>
              <w:jc w:val="both"/>
              <w:rPr>
                <w:rFonts w:ascii="Times New Roman" w:hAnsi="Times New Roman"/>
              </w:rPr>
            </w:pPr>
          </w:p>
        </w:tc>
      </w:tr>
      <w:tr w:rsidR="008D71F9" w:rsidRPr="00C61AA4" w:rsidTr="008D71F9">
        <w:tc>
          <w:tcPr>
            <w:tcW w:w="3069" w:type="dxa"/>
          </w:tcPr>
          <w:p w:rsidR="008D71F9" w:rsidRPr="00C61AA4" w:rsidRDefault="008D71F9" w:rsidP="006346A7">
            <w:pPr>
              <w:contextualSpacing/>
              <w:jc w:val="both"/>
              <w:rPr>
                <w:rFonts w:ascii="Times New Roman" w:hAnsi="Times New Roman"/>
              </w:rPr>
            </w:pPr>
            <w:r w:rsidRPr="00C61AA4">
              <w:rPr>
                <w:rFonts w:ascii="Times New Roman" w:hAnsi="Times New Roman"/>
              </w:rPr>
              <w:t>Регулирование оборота ценных бумаг</w:t>
            </w:r>
          </w:p>
        </w:tc>
        <w:tc>
          <w:tcPr>
            <w:tcW w:w="1846" w:type="dxa"/>
          </w:tcPr>
          <w:p w:rsidR="008D71F9" w:rsidRPr="00C61AA4" w:rsidRDefault="008D71F9" w:rsidP="006346A7">
            <w:pPr>
              <w:contextualSpacing/>
              <w:jc w:val="both"/>
              <w:rPr>
                <w:rFonts w:ascii="Times New Roman" w:hAnsi="Times New Roman"/>
              </w:rPr>
            </w:pPr>
            <w:r w:rsidRPr="00C61AA4">
              <w:rPr>
                <w:rFonts w:ascii="Times New Roman" w:hAnsi="Times New Roman"/>
              </w:rPr>
              <w:t>Отчет ГИК ВЭФ</w:t>
            </w:r>
          </w:p>
        </w:tc>
        <w:tc>
          <w:tcPr>
            <w:tcW w:w="1478" w:type="dxa"/>
          </w:tcPr>
          <w:p w:rsidR="008D71F9" w:rsidRPr="00C61AA4" w:rsidRDefault="008D71F9" w:rsidP="006346A7">
            <w:pPr>
              <w:keepNext/>
              <w:keepLines/>
              <w:tabs>
                <w:tab w:val="left" w:pos="900"/>
                <w:tab w:val="left" w:pos="1080"/>
              </w:tabs>
              <w:contextualSpacing/>
              <w:jc w:val="both"/>
              <w:rPr>
                <w:rFonts w:ascii="Times New Roman" w:hAnsi="Times New Roman"/>
              </w:rPr>
            </w:pPr>
            <w:r w:rsidRPr="00C61AA4">
              <w:rPr>
                <w:rFonts w:ascii="Times New Roman" w:hAnsi="Times New Roman"/>
              </w:rPr>
              <w:t>Место в рейтинге ГИК ВЭФ</w:t>
            </w:r>
          </w:p>
        </w:tc>
        <w:tc>
          <w:tcPr>
            <w:tcW w:w="850" w:type="dxa"/>
          </w:tcPr>
          <w:p w:rsidR="008D71F9" w:rsidRPr="00C61AA4" w:rsidRDefault="008D71F9" w:rsidP="006346A7">
            <w:pPr>
              <w:contextualSpacing/>
              <w:jc w:val="both"/>
              <w:rPr>
                <w:rFonts w:ascii="Times New Roman" w:hAnsi="Times New Roman"/>
              </w:rPr>
            </w:pPr>
            <w:r w:rsidRPr="00C61AA4">
              <w:rPr>
                <w:rFonts w:ascii="Times New Roman" w:hAnsi="Times New Roman"/>
              </w:rPr>
              <w:t>87</w:t>
            </w:r>
          </w:p>
        </w:tc>
        <w:tc>
          <w:tcPr>
            <w:tcW w:w="1156" w:type="dxa"/>
          </w:tcPr>
          <w:p w:rsidR="008D71F9" w:rsidRPr="00C61AA4" w:rsidRDefault="008D71F9" w:rsidP="006346A7">
            <w:pPr>
              <w:contextualSpacing/>
              <w:jc w:val="both"/>
              <w:rPr>
                <w:rFonts w:ascii="Times New Roman" w:hAnsi="Times New Roman"/>
              </w:rPr>
            </w:pPr>
            <w:r w:rsidRPr="00C61AA4">
              <w:rPr>
                <w:rFonts w:ascii="Times New Roman" w:hAnsi="Times New Roman"/>
              </w:rPr>
              <w:t>108</w:t>
            </w:r>
          </w:p>
        </w:tc>
        <w:tc>
          <w:tcPr>
            <w:tcW w:w="2022" w:type="dxa"/>
          </w:tcPr>
          <w:p w:rsidR="008D71F9" w:rsidRPr="00C61AA4" w:rsidRDefault="008D71F9" w:rsidP="006346A7">
            <w:pPr>
              <w:contextualSpacing/>
              <w:jc w:val="both"/>
              <w:rPr>
                <w:rFonts w:ascii="Times New Roman" w:hAnsi="Times New Roman"/>
                <w:i/>
              </w:rPr>
            </w:pPr>
            <w:r w:rsidRPr="00C61AA4">
              <w:rPr>
                <w:rFonts w:ascii="Times New Roman" w:hAnsi="Times New Roman"/>
                <w:i/>
              </w:rPr>
              <w:t>См. аналитическую записку</w:t>
            </w:r>
          </w:p>
        </w:tc>
      </w:tr>
      <w:tr w:rsidR="008D71F9" w:rsidRPr="00C61AA4" w:rsidTr="008D71F9">
        <w:tc>
          <w:tcPr>
            <w:tcW w:w="3069" w:type="dxa"/>
          </w:tcPr>
          <w:p w:rsidR="008D71F9" w:rsidRPr="00C61AA4" w:rsidRDefault="008D71F9" w:rsidP="006346A7">
            <w:pPr>
              <w:contextualSpacing/>
              <w:jc w:val="both"/>
              <w:rPr>
                <w:rFonts w:ascii="Times New Roman" w:hAnsi="Times New Roman"/>
              </w:rPr>
            </w:pPr>
            <w:r w:rsidRPr="00C61AA4">
              <w:rPr>
                <w:rFonts w:ascii="Times New Roman" w:hAnsi="Times New Roman"/>
                <w:b/>
              </w:rPr>
              <w:t>Целевой индикатор 3</w:t>
            </w:r>
          </w:p>
        </w:tc>
        <w:tc>
          <w:tcPr>
            <w:tcW w:w="1846" w:type="dxa"/>
          </w:tcPr>
          <w:p w:rsidR="008D71F9" w:rsidRPr="00C61AA4" w:rsidRDefault="008D71F9" w:rsidP="006346A7">
            <w:pPr>
              <w:contextualSpacing/>
              <w:jc w:val="both"/>
              <w:rPr>
                <w:rFonts w:ascii="Times New Roman" w:hAnsi="Times New Roman"/>
              </w:rPr>
            </w:pPr>
          </w:p>
        </w:tc>
        <w:tc>
          <w:tcPr>
            <w:tcW w:w="1478" w:type="dxa"/>
          </w:tcPr>
          <w:p w:rsidR="008D71F9" w:rsidRPr="00C61AA4" w:rsidRDefault="008D71F9" w:rsidP="006346A7">
            <w:pPr>
              <w:contextualSpacing/>
              <w:jc w:val="both"/>
              <w:rPr>
                <w:rFonts w:ascii="Times New Roman" w:hAnsi="Times New Roman"/>
              </w:rPr>
            </w:pPr>
          </w:p>
        </w:tc>
        <w:tc>
          <w:tcPr>
            <w:tcW w:w="850" w:type="dxa"/>
          </w:tcPr>
          <w:p w:rsidR="008D71F9" w:rsidRPr="00C61AA4" w:rsidRDefault="008D71F9" w:rsidP="006346A7">
            <w:pPr>
              <w:contextualSpacing/>
              <w:jc w:val="both"/>
              <w:rPr>
                <w:rFonts w:ascii="Times New Roman" w:hAnsi="Times New Roman"/>
              </w:rPr>
            </w:pPr>
          </w:p>
        </w:tc>
        <w:tc>
          <w:tcPr>
            <w:tcW w:w="1156" w:type="dxa"/>
          </w:tcPr>
          <w:p w:rsidR="008D71F9" w:rsidRPr="00C61AA4" w:rsidRDefault="008D71F9" w:rsidP="006346A7">
            <w:pPr>
              <w:contextualSpacing/>
              <w:jc w:val="both"/>
              <w:rPr>
                <w:rFonts w:ascii="Times New Roman" w:hAnsi="Times New Roman"/>
              </w:rPr>
            </w:pPr>
          </w:p>
        </w:tc>
        <w:tc>
          <w:tcPr>
            <w:tcW w:w="2022" w:type="dxa"/>
          </w:tcPr>
          <w:p w:rsidR="008D71F9" w:rsidRPr="00C61AA4" w:rsidRDefault="008D71F9" w:rsidP="006346A7">
            <w:pPr>
              <w:contextualSpacing/>
              <w:jc w:val="both"/>
              <w:rPr>
                <w:rFonts w:ascii="Times New Roman" w:hAnsi="Times New Roman"/>
                <w:i/>
              </w:rPr>
            </w:pPr>
          </w:p>
        </w:tc>
      </w:tr>
      <w:tr w:rsidR="008D71F9" w:rsidRPr="00C61AA4" w:rsidTr="008D71F9">
        <w:tc>
          <w:tcPr>
            <w:tcW w:w="3069" w:type="dxa"/>
          </w:tcPr>
          <w:p w:rsidR="008D71F9" w:rsidRPr="00C61AA4" w:rsidRDefault="008D71F9" w:rsidP="006346A7">
            <w:pPr>
              <w:contextualSpacing/>
              <w:jc w:val="both"/>
              <w:rPr>
                <w:rFonts w:ascii="Times New Roman" w:hAnsi="Times New Roman"/>
              </w:rPr>
            </w:pPr>
            <w:r w:rsidRPr="00C61AA4">
              <w:rPr>
                <w:rFonts w:ascii="Times New Roman" w:hAnsi="Times New Roman"/>
              </w:rPr>
              <w:t>Индекс защиты прав</w:t>
            </w:r>
          </w:p>
        </w:tc>
        <w:tc>
          <w:tcPr>
            <w:tcW w:w="1846" w:type="dxa"/>
          </w:tcPr>
          <w:p w:rsidR="008D71F9" w:rsidRPr="00C61AA4" w:rsidRDefault="008D71F9" w:rsidP="006346A7">
            <w:pPr>
              <w:contextualSpacing/>
              <w:jc w:val="both"/>
              <w:rPr>
                <w:rFonts w:ascii="Times New Roman" w:hAnsi="Times New Roman"/>
              </w:rPr>
            </w:pPr>
            <w:r w:rsidRPr="00C61AA4">
              <w:rPr>
                <w:rFonts w:ascii="Times New Roman" w:hAnsi="Times New Roman"/>
              </w:rPr>
              <w:t>Отчет ГИК ВЭФ</w:t>
            </w:r>
          </w:p>
        </w:tc>
        <w:tc>
          <w:tcPr>
            <w:tcW w:w="1478" w:type="dxa"/>
          </w:tcPr>
          <w:p w:rsidR="008D71F9" w:rsidRPr="00C61AA4" w:rsidRDefault="008D71F9" w:rsidP="006346A7">
            <w:pPr>
              <w:keepNext/>
              <w:keepLines/>
              <w:tabs>
                <w:tab w:val="left" w:pos="900"/>
                <w:tab w:val="left" w:pos="1080"/>
              </w:tabs>
              <w:contextualSpacing/>
              <w:jc w:val="both"/>
              <w:rPr>
                <w:rFonts w:ascii="Times New Roman" w:hAnsi="Times New Roman"/>
              </w:rPr>
            </w:pPr>
            <w:r w:rsidRPr="00C61AA4">
              <w:rPr>
                <w:rFonts w:ascii="Times New Roman" w:hAnsi="Times New Roman"/>
              </w:rPr>
              <w:t>Место в рейтинге ГИК ВЭФ</w:t>
            </w:r>
          </w:p>
        </w:tc>
        <w:tc>
          <w:tcPr>
            <w:tcW w:w="850" w:type="dxa"/>
          </w:tcPr>
          <w:p w:rsidR="008D71F9" w:rsidRPr="00C61AA4" w:rsidRDefault="008D71F9" w:rsidP="006346A7">
            <w:pPr>
              <w:contextualSpacing/>
              <w:jc w:val="both"/>
              <w:rPr>
                <w:rFonts w:ascii="Times New Roman" w:hAnsi="Times New Roman"/>
              </w:rPr>
            </w:pPr>
            <w:r w:rsidRPr="00C61AA4">
              <w:rPr>
                <w:rFonts w:ascii="Times New Roman" w:hAnsi="Times New Roman"/>
              </w:rPr>
              <w:t>93</w:t>
            </w:r>
          </w:p>
        </w:tc>
        <w:tc>
          <w:tcPr>
            <w:tcW w:w="1156" w:type="dxa"/>
          </w:tcPr>
          <w:p w:rsidR="008D71F9" w:rsidRPr="00C61AA4" w:rsidRDefault="008D71F9" w:rsidP="006346A7">
            <w:pPr>
              <w:contextualSpacing/>
              <w:jc w:val="both"/>
              <w:rPr>
                <w:rFonts w:ascii="Times New Roman" w:hAnsi="Times New Roman"/>
              </w:rPr>
            </w:pPr>
            <w:r w:rsidRPr="00C61AA4">
              <w:rPr>
                <w:rFonts w:ascii="Times New Roman" w:hAnsi="Times New Roman"/>
              </w:rPr>
              <w:t>86</w:t>
            </w:r>
          </w:p>
        </w:tc>
        <w:tc>
          <w:tcPr>
            <w:tcW w:w="2022" w:type="dxa"/>
          </w:tcPr>
          <w:p w:rsidR="008D71F9" w:rsidRPr="00C61AA4" w:rsidRDefault="008D71F9" w:rsidP="006346A7">
            <w:pPr>
              <w:contextualSpacing/>
              <w:jc w:val="both"/>
              <w:rPr>
                <w:rFonts w:ascii="Times New Roman" w:hAnsi="Times New Roman"/>
                <w:i/>
              </w:rPr>
            </w:pPr>
          </w:p>
        </w:tc>
      </w:tr>
      <w:tr w:rsidR="008D71F9" w:rsidRPr="00C61AA4" w:rsidTr="008D71F9">
        <w:tc>
          <w:tcPr>
            <w:tcW w:w="3069" w:type="dxa"/>
          </w:tcPr>
          <w:p w:rsidR="008D71F9" w:rsidRPr="00C61AA4" w:rsidRDefault="008D71F9" w:rsidP="006346A7">
            <w:pPr>
              <w:contextualSpacing/>
              <w:jc w:val="both"/>
              <w:rPr>
                <w:rFonts w:ascii="Times New Roman" w:hAnsi="Times New Roman"/>
              </w:rPr>
            </w:pPr>
            <w:r w:rsidRPr="00C61AA4">
              <w:rPr>
                <w:rFonts w:ascii="Times New Roman" w:hAnsi="Times New Roman"/>
                <w:b/>
              </w:rPr>
              <w:t>Целевой индикатор 4</w:t>
            </w:r>
          </w:p>
        </w:tc>
        <w:tc>
          <w:tcPr>
            <w:tcW w:w="1846" w:type="dxa"/>
          </w:tcPr>
          <w:p w:rsidR="008D71F9" w:rsidRPr="00C61AA4" w:rsidRDefault="008D71F9" w:rsidP="006346A7">
            <w:pPr>
              <w:contextualSpacing/>
              <w:jc w:val="both"/>
              <w:rPr>
                <w:rFonts w:ascii="Times New Roman" w:hAnsi="Times New Roman"/>
              </w:rPr>
            </w:pPr>
          </w:p>
        </w:tc>
        <w:tc>
          <w:tcPr>
            <w:tcW w:w="1478" w:type="dxa"/>
          </w:tcPr>
          <w:p w:rsidR="008D71F9" w:rsidRPr="00C61AA4" w:rsidRDefault="008D71F9" w:rsidP="006346A7">
            <w:pPr>
              <w:contextualSpacing/>
              <w:jc w:val="both"/>
              <w:rPr>
                <w:rFonts w:ascii="Times New Roman" w:hAnsi="Times New Roman"/>
              </w:rPr>
            </w:pPr>
          </w:p>
        </w:tc>
        <w:tc>
          <w:tcPr>
            <w:tcW w:w="850" w:type="dxa"/>
          </w:tcPr>
          <w:p w:rsidR="008D71F9" w:rsidRPr="00C61AA4" w:rsidRDefault="008D71F9" w:rsidP="006346A7">
            <w:pPr>
              <w:contextualSpacing/>
              <w:jc w:val="both"/>
              <w:rPr>
                <w:rFonts w:ascii="Times New Roman" w:hAnsi="Times New Roman"/>
              </w:rPr>
            </w:pPr>
          </w:p>
        </w:tc>
        <w:tc>
          <w:tcPr>
            <w:tcW w:w="1156" w:type="dxa"/>
          </w:tcPr>
          <w:p w:rsidR="008D71F9" w:rsidRPr="00C61AA4" w:rsidRDefault="008D71F9" w:rsidP="006346A7">
            <w:pPr>
              <w:contextualSpacing/>
              <w:jc w:val="both"/>
              <w:rPr>
                <w:rFonts w:ascii="Times New Roman" w:hAnsi="Times New Roman"/>
              </w:rPr>
            </w:pPr>
          </w:p>
        </w:tc>
        <w:tc>
          <w:tcPr>
            <w:tcW w:w="2022" w:type="dxa"/>
          </w:tcPr>
          <w:p w:rsidR="008D71F9" w:rsidRPr="00C61AA4" w:rsidRDefault="008D71F9" w:rsidP="006346A7">
            <w:pPr>
              <w:contextualSpacing/>
              <w:jc w:val="both"/>
              <w:rPr>
                <w:rFonts w:ascii="Times New Roman" w:hAnsi="Times New Roman"/>
                <w:i/>
              </w:rPr>
            </w:pPr>
          </w:p>
        </w:tc>
      </w:tr>
      <w:tr w:rsidR="008D71F9" w:rsidRPr="00C61AA4" w:rsidTr="008D71F9">
        <w:tc>
          <w:tcPr>
            <w:tcW w:w="3069" w:type="dxa"/>
          </w:tcPr>
          <w:p w:rsidR="008D71F9" w:rsidRPr="00C61AA4" w:rsidRDefault="008D71F9" w:rsidP="006346A7">
            <w:pPr>
              <w:contextualSpacing/>
              <w:jc w:val="both"/>
              <w:rPr>
                <w:rFonts w:ascii="Times New Roman" w:hAnsi="Times New Roman"/>
              </w:rPr>
            </w:pPr>
            <w:r w:rsidRPr="00C61AA4">
              <w:rPr>
                <w:rFonts w:ascii="Times New Roman" w:hAnsi="Times New Roman"/>
              </w:rPr>
              <w:t>Защита инвесторов, индекс 0-10</w:t>
            </w:r>
          </w:p>
        </w:tc>
        <w:tc>
          <w:tcPr>
            <w:tcW w:w="1846" w:type="dxa"/>
          </w:tcPr>
          <w:p w:rsidR="008D71F9" w:rsidRPr="00C61AA4" w:rsidRDefault="008D71F9" w:rsidP="006346A7">
            <w:pPr>
              <w:contextualSpacing/>
              <w:jc w:val="both"/>
              <w:rPr>
                <w:rFonts w:ascii="Times New Roman" w:hAnsi="Times New Roman"/>
              </w:rPr>
            </w:pPr>
            <w:r w:rsidRPr="00C61AA4">
              <w:rPr>
                <w:rFonts w:ascii="Times New Roman" w:hAnsi="Times New Roman"/>
              </w:rPr>
              <w:t>Отчет ГИК ВЭФ</w:t>
            </w:r>
          </w:p>
        </w:tc>
        <w:tc>
          <w:tcPr>
            <w:tcW w:w="1478" w:type="dxa"/>
          </w:tcPr>
          <w:p w:rsidR="008D71F9" w:rsidRPr="00C61AA4" w:rsidRDefault="008D71F9" w:rsidP="006346A7">
            <w:pPr>
              <w:keepNext/>
              <w:keepLines/>
              <w:tabs>
                <w:tab w:val="left" w:pos="900"/>
                <w:tab w:val="left" w:pos="1080"/>
              </w:tabs>
              <w:contextualSpacing/>
              <w:jc w:val="both"/>
              <w:rPr>
                <w:rFonts w:ascii="Times New Roman" w:hAnsi="Times New Roman"/>
              </w:rPr>
            </w:pPr>
            <w:r w:rsidRPr="00C61AA4">
              <w:rPr>
                <w:rFonts w:ascii="Times New Roman" w:hAnsi="Times New Roman"/>
              </w:rPr>
              <w:t xml:space="preserve">Место в рейтинге </w:t>
            </w:r>
            <w:r w:rsidRPr="00C61AA4">
              <w:rPr>
                <w:rFonts w:ascii="Times New Roman" w:hAnsi="Times New Roman"/>
              </w:rPr>
              <w:lastRenderedPageBreak/>
              <w:t>ГИК ВЭФ</w:t>
            </w:r>
          </w:p>
        </w:tc>
        <w:tc>
          <w:tcPr>
            <w:tcW w:w="850" w:type="dxa"/>
          </w:tcPr>
          <w:p w:rsidR="008D71F9" w:rsidRPr="00C61AA4" w:rsidRDefault="008D71F9" w:rsidP="006346A7">
            <w:pPr>
              <w:contextualSpacing/>
              <w:jc w:val="both"/>
              <w:rPr>
                <w:rFonts w:ascii="Times New Roman" w:hAnsi="Times New Roman"/>
              </w:rPr>
            </w:pPr>
            <w:r w:rsidRPr="00C61AA4">
              <w:rPr>
                <w:rFonts w:ascii="Times New Roman" w:hAnsi="Times New Roman"/>
              </w:rPr>
              <w:lastRenderedPageBreak/>
              <w:t>25</w:t>
            </w:r>
          </w:p>
        </w:tc>
        <w:tc>
          <w:tcPr>
            <w:tcW w:w="1156" w:type="dxa"/>
          </w:tcPr>
          <w:p w:rsidR="008D71F9" w:rsidRPr="00C61AA4" w:rsidRDefault="008D71F9" w:rsidP="006346A7">
            <w:pPr>
              <w:contextualSpacing/>
              <w:jc w:val="both"/>
              <w:rPr>
                <w:rFonts w:ascii="Times New Roman" w:hAnsi="Times New Roman"/>
              </w:rPr>
            </w:pPr>
            <w:r w:rsidRPr="00C61AA4">
              <w:rPr>
                <w:rFonts w:ascii="Times New Roman" w:hAnsi="Times New Roman"/>
              </w:rPr>
              <w:t>25</w:t>
            </w:r>
          </w:p>
        </w:tc>
        <w:tc>
          <w:tcPr>
            <w:tcW w:w="2022" w:type="dxa"/>
          </w:tcPr>
          <w:p w:rsidR="008D71F9" w:rsidRPr="00C61AA4" w:rsidRDefault="008D71F9" w:rsidP="006346A7">
            <w:pPr>
              <w:contextualSpacing/>
              <w:jc w:val="both"/>
              <w:rPr>
                <w:rFonts w:ascii="Times New Roman" w:hAnsi="Times New Roman"/>
                <w:i/>
              </w:rPr>
            </w:pPr>
          </w:p>
        </w:tc>
      </w:tr>
      <w:tr w:rsidR="008D71F9" w:rsidRPr="00C61AA4" w:rsidTr="008D71F9">
        <w:tc>
          <w:tcPr>
            <w:tcW w:w="3069" w:type="dxa"/>
          </w:tcPr>
          <w:p w:rsidR="008D71F9" w:rsidRPr="00C61AA4" w:rsidRDefault="008D71F9" w:rsidP="006346A7">
            <w:pPr>
              <w:contextualSpacing/>
              <w:jc w:val="both"/>
              <w:rPr>
                <w:rFonts w:ascii="Times New Roman" w:hAnsi="Times New Roman"/>
              </w:rPr>
            </w:pPr>
            <w:r w:rsidRPr="00C61AA4">
              <w:rPr>
                <w:rFonts w:ascii="Times New Roman" w:hAnsi="Times New Roman"/>
                <w:b/>
              </w:rPr>
              <w:lastRenderedPageBreak/>
              <w:t>Целевой индикатор 5</w:t>
            </w:r>
          </w:p>
        </w:tc>
        <w:tc>
          <w:tcPr>
            <w:tcW w:w="1846" w:type="dxa"/>
          </w:tcPr>
          <w:p w:rsidR="008D71F9" w:rsidRPr="00C61AA4" w:rsidRDefault="008D71F9" w:rsidP="006346A7">
            <w:pPr>
              <w:contextualSpacing/>
              <w:jc w:val="both"/>
              <w:rPr>
                <w:rFonts w:ascii="Times New Roman" w:hAnsi="Times New Roman"/>
              </w:rPr>
            </w:pPr>
          </w:p>
        </w:tc>
        <w:tc>
          <w:tcPr>
            <w:tcW w:w="1478" w:type="dxa"/>
          </w:tcPr>
          <w:p w:rsidR="008D71F9" w:rsidRPr="00C61AA4" w:rsidRDefault="008D71F9" w:rsidP="006346A7">
            <w:pPr>
              <w:contextualSpacing/>
              <w:jc w:val="both"/>
              <w:rPr>
                <w:rFonts w:ascii="Times New Roman" w:hAnsi="Times New Roman"/>
              </w:rPr>
            </w:pPr>
          </w:p>
        </w:tc>
        <w:tc>
          <w:tcPr>
            <w:tcW w:w="850" w:type="dxa"/>
          </w:tcPr>
          <w:p w:rsidR="008D71F9" w:rsidRPr="00C61AA4" w:rsidRDefault="008D71F9" w:rsidP="006346A7">
            <w:pPr>
              <w:contextualSpacing/>
              <w:jc w:val="both"/>
              <w:rPr>
                <w:rFonts w:ascii="Times New Roman" w:hAnsi="Times New Roman"/>
              </w:rPr>
            </w:pPr>
          </w:p>
        </w:tc>
        <w:tc>
          <w:tcPr>
            <w:tcW w:w="1156" w:type="dxa"/>
          </w:tcPr>
          <w:p w:rsidR="008D71F9" w:rsidRPr="00C61AA4" w:rsidRDefault="008D71F9" w:rsidP="006346A7">
            <w:pPr>
              <w:contextualSpacing/>
              <w:jc w:val="both"/>
              <w:rPr>
                <w:rFonts w:ascii="Times New Roman" w:hAnsi="Times New Roman"/>
              </w:rPr>
            </w:pPr>
          </w:p>
        </w:tc>
        <w:tc>
          <w:tcPr>
            <w:tcW w:w="2022" w:type="dxa"/>
          </w:tcPr>
          <w:p w:rsidR="008D71F9" w:rsidRPr="00C61AA4" w:rsidRDefault="008D71F9" w:rsidP="006346A7">
            <w:pPr>
              <w:contextualSpacing/>
              <w:jc w:val="both"/>
              <w:rPr>
                <w:rFonts w:ascii="Times New Roman" w:hAnsi="Times New Roman"/>
              </w:rPr>
            </w:pPr>
          </w:p>
        </w:tc>
      </w:tr>
      <w:tr w:rsidR="008D71F9" w:rsidRPr="00C61AA4" w:rsidTr="008D71F9">
        <w:tc>
          <w:tcPr>
            <w:tcW w:w="3069" w:type="dxa"/>
          </w:tcPr>
          <w:p w:rsidR="008D71F9" w:rsidRPr="00C61AA4" w:rsidRDefault="008D71F9" w:rsidP="006346A7">
            <w:pPr>
              <w:contextualSpacing/>
              <w:jc w:val="both"/>
              <w:rPr>
                <w:rFonts w:ascii="Times New Roman" w:hAnsi="Times New Roman"/>
              </w:rPr>
            </w:pPr>
            <w:r w:rsidRPr="00C61AA4">
              <w:rPr>
                <w:rFonts w:ascii="Times New Roman" w:hAnsi="Times New Roman"/>
              </w:rPr>
              <w:t>Защита интересов миноритарных акционеров</w:t>
            </w:r>
          </w:p>
        </w:tc>
        <w:tc>
          <w:tcPr>
            <w:tcW w:w="1846" w:type="dxa"/>
          </w:tcPr>
          <w:p w:rsidR="008D71F9" w:rsidRPr="00C61AA4" w:rsidRDefault="008D71F9" w:rsidP="006346A7">
            <w:pPr>
              <w:contextualSpacing/>
              <w:jc w:val="both"/>
              <w:rPr>
                <w:rFonts w:ascii="Times New Roman" w:hAnsi="Times New Roman"/>
              </w:rPr>
            </w:pPr>
            <w:r w:rsidRPr="00C61AA4">
              <w:rPr>
                <w:rFonts w:ascii="Times New Roman" w:hAnsi="Times New Roman"/>
              </w:rPr>
              <w:t>Отчет ГИК ВЭФ</w:t>
            </w:r>
          </w:p>
        </w:tc>
        <w:tc>
          <w:tcPr>
            <w:tcW w:w="1478" w:type="dxa"/>
          </w:tcPr>
          <w:p w:rsidR="008D71F9" w:rsidRPr="00C61AA4" w:rsidRDefault="008D71F9" w:rsidP="006346A7">
            <w:pPr>
              <w:keepNext/>
              <w:keepLines/>
              <w:tabs>
                <w:tab w:val="left" w:pos="900"/>
                <w:tab w:val="left" w:pos="1080"/>
              </w:tabs>
              <w:contextualSpacing/>
              <w:jc w:val="both"/>
              <w:rPr>
                <w:rFonts w:ascii="Times New Roman" w:hAnsi="Times New Roman"/>
              </w:rPr>
            </w:pPr>
            <w:r w:rsidRPr="00C61AA4">
              <w:rPr>
                <w:rFonts w:ascii="Times New Roman" w:hAnsi="Times New Roman"/>
              </w:rPr>
              <w:t>Место в рейтинге ГИК ВЭФ</w:t>
            </w:r>
          </w:p>
        </w:tc>
        <w:tc>
          <w:tcPr>
            <w:tcW w:w="850" w:type="dxa"/>
          </w:tcPr>
          <w:p w:rsidR="008D71F9" w:rsidRPr="00C61AA4" w:rsidRDefault="008D71F9" w:rsidP="006346A7">
            <w:pPr>
              <w:contextualSpacing/>
              <w:jc w:val="both"/>
              <w:rPr>
                <w:rFonts w:ascii="Times New Roman" w:hAnsi="Times New Roman"/>
              </w:rPr>
            </w:pPr>
            <w:r w:rsidRPr="00C61AA4">
              <w:rPr>
                <w:rFonts w:ascii="Times New Roman" w:hAnsi="Times New Roman"/>
              </w:rPr>
              <w:t>52</w:t>
            </w:r>
          </w:p>
        </w:tc>
        <w:tc>
          <w:tcPr>
            <w:tcW w:w="1156" w:type="dxa"/>
          </w:tcPr>
          <w:p w:rsidR="008D71F9" w:rsidRPr="00C61AA4" w:rsidRDefault="008D71F9" w:rsidP="006346A7">
            <w:pPr>
              <w:contextualSpacing/>
              <w:jc w:val="both"/>
              <w:rPr>
                <w:rFonts w:ascii="Times New Roman" w:hAnsi="Times New Roman"/>
              </w:rPr>
            </w:pPr>
            <w:r w:rsidRPr="00C61AA4">
              <w:rPr>
                <w:rFonts w:ascii="Times New Roman" w:hAnsi="Times New Roman"/>
              </w:rPr>
              <w:t>65</w:t>
            </w:r>
          </w:p>
        </w:tc>
        <w:tc>
          <w:tcPr>
            <w:tcW w:w="2022" w:type="dxa"/>
          </w:tcPr>
          <w:p w:rsidR="008D71F9" w:rsidRPr="00C61AA4" w:rsidRDefault="008D71F9" w:rsidP="006346A7">
            <w:pPr>
              <w:contextualSpacing/>
              <w:jc w:val="both"/>
              <w:rPr>
                <w:rFonts w:ascii="Times New Roman" w:hAnsi="Times New Roman"/>
                <w:i/>
              </w:rPr>
            </w:pPr>
            <w:r w:rsidRPr="00C61AA4">
              <w:rPr>
                <w:rFonts w:ascii="Times New Roman" w:hAnsi="Times New Roman"/>
                <w:i/>
              </w:rPr>
              <w:t>См. аналитическую записку</w:t>
            </w:r>
          </w:p>
        </w:tc>
      </w:tr>
      <w:tr w:rsidR="008D71F9" w:rsidRPr="00C61AA4" w:rsidTr="008D71F9">
        <w:tc>
          <w:tcPr>
            <w:tcW w:w="3069" w:type="dxa"/>
          </w:tcPr>
          <w:p w:rsidR="008D71F9" w:rsidRPr="00C61AA4" w:rsidRDefault="008D71F9" w:rsidP="006346A7">
            <w:pPr>
              <w:contextualSpacing/>
              <w:jc w:val="both"/>
              <w:rPr>
                <w:rFonts w:ascii="Times New Roman" w:hAnsi="Times New Roman"/>
              </w:rPr>
            </w:pPr>
            <w:r w:rsidRPr="00C61AA4">
              <w:rPr>
                <w:rFonts w:ascii="Times New Roman" w:hAnsi="Times New Roman"/>
                <w:b/>
              </w:rPr>
              <w:t>Целевой индикатор 6</w:t>
            </w:r>
          </w:p>
        </w:tc>
        <w:tc>
          <w:tcPr>
            <w:tcW w:w="1846" w:type="dxa"/>
          </w:tcPr>
          <w:p w:rsidR="008D71F9" w:rsidRPr="00C61AA4" w:rsidRDefault="008D71F9" w:rsidP="006346A7">
            <w:pPr>
              <w:contextualSpacing/>
              <w:jc w:val="both"/>
              <w:rPr>
                <w:rFonts w:ascii="Times New Roman" w:hAnsi="Times New Roman"/>
              </w:rPr>
            </w:pPr>
          </w:p>
        </w:tc>
        <w:tc>
          <w:tcPr>
            <w:tcW w:w="1478" w:type="dxa"/>
          </w:tcPr>
          <w:p w:rsidR="008D71F9" w:rsidRPr="00C61AA4" w:rsidRDefault="008D71F9" w:rsidP="006346A7">
            <w:pPr>
              <w:contextualSpacing/>
              <w:jc w:val="both"/>
              <w:rPr>
                <w:rFonts w:ascii="Times New Roman" w:hAnsi="Times New Roman"/>
              </w:rPr>
            </w:pPr>
          </w:p>
        </w:tc>
        <w:tc>
          <w:tcPr>
            <w:tcW w:w="850" w:type="dxa"/>
          </w:tcPr>
          <w:p w:rsidR="008D71F9" w:rsidRPr="00C61AA4" w:rsidRDefault="008D71F9" w:rsidP="006346A7">
            <w:pPr>
              <w:contextualSpacing/>
              <w:jc w:val="both"/>
              <w:rPr>
                <w:rFonts w:ascii="Times New Roman" w:hAnsi="Times New Roman"/>
              </w:rPr>
            </w:pPr>
          </w:p>
        </w:tc>
        <w:tc>
          <w:tcPr>
            <w:tcW w:w="1156" w:type="dxa"/>
          </w:tcPr>
          <w:p w:rsidR="008D71F9" w:rsidRPr="00C61AA4" w:rsidRDefault="008D71F9" w:rsidP="006346A7">
            <w:pPr>
              <w:contextualSpacing/>
              <w:jc w:val="both"/>
              <w:rPr>
                <w:rFonts w:ascii="Times New Roman" w:hAnsi="Times New Roman"/>
              </w:rPr>
            </w:pPr>
          </w:p>
        </w:tc>
        <w:tc>
          <w:tcPr>
            <w:tcW w:w="2022" w:type="dxa"/>
          </w:tcPr>
          <w:p w:rsidR="008D71F9" w:rsidRPr="00C61AA4" w:rsidRDefault="008D71F9" w:rsidP="006346A7">
            <w:pPr>
              <w:contextualSpacing/>
              <w:jc w:val="both"/>
              <w:rPr>
                <w:rFonts w:ascii="Times New Roman" w:hAnsi="Times New Roman"/>
              </w:rPr>
            </w:pPr>
          </w:p>
        </w:tc>
      </w:tr>
      <w:tr w:rsidR="008D71F9" w:rsidRPr="00C61AA4" w:rsidTr="008D71F9">
        <w:tc>
          <w:tcPr>
            <w:tcW w:w="3069" w:type="dxa"/>
          </w:tcPr>
          <w:p w:rsidR="008D71F9" w:rsidRPr="00C61AA4" w:rsidRDefault="008D71F9" w:rsidP="006346A7">
            <w:pPr>
              <w:contextualSpacing/>
              <w:jc w:val="both"/>
              <w:rPr>
                <w:rFonts w:ascii="Times New Roman" w:hAnsi="Times New Roman"/>
              </w:rPr>
            </w:pPr>
            <w:r w:rsidRPr="00C61AA4">
              <w:rPr>
                <w:rFonts w:ascii="Times New Roman" w:hAnsi="Times New Roman"/>
              </w:rPr>
              <w:t>Эффективность работы совета директоров</w:t>
            </w:r>
          </w:p>
        </w:tc>
        <w:tc>
          <w:tcPr>
            <w:tcW w:w="1846" w:type="dxa"/>
          </w:tcPr>
          <w:p w:rsidR="008D71F9" w:rsidRPr="00C61AA4" w:rsidRDefault="008D71F9" w:rsidP="006346A7">
            <w:pPr>
              <w:contextualSpacing/>
              <w:jc w:val="both"/>
              <w:rPr>
                <w:rFonts w:ascii="Times New Roman" w:hAnsi="Times New Roman"/>
              </w:rPr>
            </w:pPr>
            <w:r w:rsidRPr="00C61AA4">
              <w:rPr>
                <w:rFonts w:ascii="Times New Roman" w:hAnsi="Times New Roman"/>
              </w:rPr>
              <w:t>Отчет ГИК ВЭФ</w:t>
            </w:r>
          </w:p>
        </w:tc>
        <w:tc>
          <w:tcPr>
            <w:tcW w:w="1478" w:type="dxa"/>
          </w:tcPr>
          <w:p w:rsidR="008D71F9" w:rsidRPr="00C61AA4" w:rsidRDefault="008D71F9" w:rsidP="006346A7">
            <w:pPr>
              <w:keepNext/>
              <w:keepLines/>
              <w:tabs>
                <w:tab w:val="left" w:pos="900"/>
                <w:tab w:val="left" w:pos="1080"/>
              </w:tabs>
              <w:contextualSpacing/>
              <w:jc w:val="both"/>
              <w:rPr>
                <w:rFonts w:ascii="Times New Roman" w:hAnsi="Times New Roman"/>
              </w:rPr>
            </w:pPr>
            <w:r w:rsidRPr="00C61AA4">
              <w:rPr>
                <w:rFonts w:ascii="Times New Roman" w:hAnsi="Times New Roman"/>
              </w:rPr>
              <w:t>Место в рейтинге ГИК ВЭФ</w:t>
            </w:r>
          </w:p>
        </w:tc>
        <w:tc>
          <w:tcPr>
            <w:tcW w:w="850" w:type="dxa"/>
          </w:tcPr>
          <w:p w:rsidR="008D71F9" w:rsidRPr="00C61AA4" w:rsidRDefault="008D71F9" w:rsidP="006346A7">
            <w:pPr>
              <w:contextualSpacing/>
              <w:jc w:val="both"/>
              <w:rPr>
                <w:rFonts w:ascii="Times New Roman" w:hAnsi="Times New Roman"/>
              </w:rPr>
            </w:pPr>
            <w:r w:rsidRPr="00C61AA4">
              <w:rPr>
                <w:rFonts w:ascii="Times New Roman" w:hAnsi="Times New Roman"/>
              </w:rPr>
              <w:t>56</w:t>
            </w:r>
          </w:p>
        </w:tc>
        <w:tc>
          <w:tcPr>
            <w:tcW w:w="1156" w:type="dxa"/>
          </w:tcPr>
          <w:p w:rsidR="008D71F9" w:rsidRPr="00C61AA4" w:rsidRDefault="008D71F9" w:rsidP="006346A7">
            <w:pPr>
              <w:contextualSpacing/>
              <w:jc w:val="both"/>
              <w:rPr>
                <w:rFonts w:ascii="Times New Roman" w:hAnsi="Times New Roman"/>
              </w:rPr>
            </w:pPr>
            <w:r w:rsidRPr="00C61AA4">
              <w:rPr>
                <w:rFonts w:ascii="Times New Roman" w:hAnsi="Times New Roman"/>
              </w:rPr>
              <w:t>72</w:t>
            </w:r>
          </w:p>
        </w:tc>
        <w:tc>
          <w:tcPr>
            <w:tcW w:w="2022" w:type="dxa"/>
          </w:tcPr>
          <w:p w:rsidR="008D71F9" w:rsidRPr="00C61AA4" w:rsidRDefault="008D71F9" w:rsidP="006346A7">
            <w:pPr>
              <w:contextualSpacing/>
              <w:jc w:val="both"/>
              <w:rPr>
                <w:rFonts w:ascii="Times New Roman" w:hAnsi="Times New Roman"/>
                <w:i/>
              </w:rPr>
            </w:pPr>
            <w:r w:rsidRPr="00C61AA4">
              <w:rPr>
                <w:rFonts w:ascii="Times New Roman" w:hAnsi="Times New Roman"/>
                <w:i/>
              </w:rPr>
              <w:t>См. аналитическую записку</w:t>
            </w:r>
          </w:p>
        </w:tc>
      </w:tr>
      <w:tr w:rsidR="008D71F9" w:rsidRPr="00C61AA4" w:rsidTr="008D71F9">
        <w:tc>
          <w:tcPr>
            <w:tcW w:w="3069" w:type="dxa"/>
          </w:tcPr>
          <w:p w:rsidR="008D71F9" w:rsidRPr="00C61AA4" w:rsidRDefault="008D71F9" w:rsidP="006346A7">
            <w:pPr>
              <w:contextualSpacing/>
              <w:jc w:val="both"/>
              <w:rPr>
                <w:rFonts w:ascii="Times New Roman" w:hAnsi="Times New Roman"/>
              </w:rPr>
            </w:pPr>
            <w:r w:rsidRPr="00C61AA4">
              <w:rPr>
                <w:rFonts w:ascii="Times New Roman" w:hAnsi="Times New Roman"/>
                <w:b/>
              </w:rPr>
              <w:t>Целевой индикатор 7</w:t>
            </w:r>
          </w:p>
        </w:tc>
        <w:tc>
          <w:tcPr>
            <w:tcW w:w="1846" w:type="dxa"/>
          </w:tcPr>
          <w:p w:rsidR="008D71F9" w:rsidRPr="00C61AA4" w:rsidRDefault="008D71F9" w:rsidP="006346A7">
            <w:pPr>
              <w:contextualSpacing/>
              <w:jc w:val="both"/>
              <w:rPr>
                <w:rFonts w:ascii="Times New Roman" w:hAnsi="Times New Roman"/>
              </w:rPr>
            </w:pPr>
          </w:p>
        </w:tc>
        <w:tc>
          <w:tcPr>
            <w:tcW w:w="1478" w:type="dxa"/>
          </w:tcPr>
          <w:p w:rsidR="008D71F9" w:rsidRPr="00C61AA4" w:rsidRDefault="008D71F9" w:rsidP="006346A7">
            <w:pPr>
              <w:contextualSpacing/>
              <w:jc w:val="both"/>
              <w:rPr>
                <w:rFonts w:ascii="Times New Roman" w:hAnsi="Times New Roman"/>
              </w:rPr>
            </w:pPr>
          </w:p>
        </w:tc>
        <w:tc>
          <w:tcPr>
            <w:tcW w:w="850" w:type="dxa"/>
          </w:tcPr>
          <w:p w:rsidR="008D71F9" w:rsidRPr="00C61AA4" w:rsidRDefault="008D71F9" w:rsidP="006346A7">
            <w:pPr>
              <w:contextualSpacing/>
              <w:jc w:val="both"/>
              <w:rPr>
                <w:rFonts w:ascii="Times New Roman" w:hAnsi="Times New Roman"/>
              </w:rPr>
            </w:pPr>
          </w:p>
        </w:tc>
        <w:tc>
          <w:tcPr>
            <w:tcW w:w="1156" w:type="dxa"/>
          </w:tcPr>
          <w:p w:rsidR="008D71F9" w:rsidRPr="00C61AA4" w:rsidRDefault="008D71F9" w:rsidP="006346A7">
            <w:pPr>
              <w:contextualSpacing/>
              <w:jc w:val="both"/>
              <w:rPr>
                <w:rFonts w:ascii="Times New Roman" w:hAnsi="Times New Roman"/>
              </w:rPr>
            </w:pPr>
          </w:p>
        </w:tc>
        <w:tc>
          <w:tcPr>
            <w:tcW w:w="2022" w:type="dxa"/>
          </w:tcPr>
          <w:p w:rsidR="008D71F9" w:rsidRPr="00C61AA4" w:rsidRDefault="008D71F9" w:rsidP="006346A7">
            <w:pPr>
              <w:contextualSpacing/>
              <w:jc w:val="both"/>
              <w:rPr>
                <w:rFonts w:ascii="Times New Roman" w:hAnsi="Times New Roman"/>
              </w:rPr>
            </w:pPr>
          </w:p>
        </w:tc>
      </w:tr>
      <w:tr w:rsidR="008D71F9" w:rsidRPr="00C61AA4" w:rsidTr="008D71F9">
        <w:tc>
          <w:tcPr>
            <w:tcW w:w="3069" w:type="dxa"/>
          </w:tcPr>
          <w:p w:rsidR="008D71F9" w:rsidRPr="00C61AA4" w:rsidRDefault="008D71F9" w:rsidP="006346A7">
            <w:pPr>
              <w:contextualSpacing/>
              <w:jc w:val="both"/>
              <w:rPr>
                <w:rFonts w:ascii="Times New Roman" w:hAnsi="Times New Roman"/>
              </w:rPr>
            </w:pPr>
            <w:r w:rsidRPr="00C61AA4">
              <w:rPr>
                <w:rFonts w:ascii="Times New Roman" w:hAnsi="Times New Roman"/>
              </w:rPr>
              <w:t>Защита (миноритарных) инвесторов</w:t>
            </w:r>
          </w:p>
        </w:tc>
        <w:tc>
          <w:tcPr>
            <w:tcW w:w="1846" w:type="dxa"/>
          </w:tcPr>
          <w:p w:rsidR="008D71F9" w:rsidRPr="00C61AA4" w:rsidRDefault="008D71F9" w:rsidP="006346A7">
            <w:pPr>
              <w:contextualSpacing/>
              <w:jc w:val="both"/>
              <w:rPr>
                <w:rFonts w:ascii="Times New Roman" w:hAnsi="Times New Roman"/>
              </w:rPr>
            </w:pPr>
            <w:r w:rsidRPr="00C61AA4">
              <w:rPr>
                <w:rFonts w:ascii="Times New Roman" w:hAnsi="Times New Roman"/>
              </w:rPr>
              <w:t>Отчет Всемирного банка «</w:t>
            </w:r>
            <w:r w:rsidRPr="00C61AA4">
              <w:rPr>
                <w:rFonts w:ascii="Times New Roman" w:hAnsi="Times New Roman"/>
                <w:lang w:val="en-US"/>
              </w:rPr>
              <w:t>Doing</w:t>
            </w:r>
            <w:r w:rsidRPr="00C61AA4">
              <w:rPr>
                <w:rFonts w:ascii="Times New Roman" w:hAnsi="Times New Roman"/>
              </w:rPr>
              <w:t xml:space="preserve"> </w:t>
            </w:r>
            <w:r w:rsidRPr="00C61AA4">
              <w:rPr>
                <w:rFonts w:ascii="Times New Roman" w:hAnsi="Times New Roman"/>
                <w:lang w:val="en-US"/>
              </w:rPr>
              <w:t>Business</w:t>
            </w:r>
            <w:r w:rsidRPr="00C61AA4">
              <w:rPr>
                <w:rFonts w:ascii="Times New Roman" w:hAnsi="Times New Roman"/>
              </w:rPr>
              <w:t>»</w:t>
            </w:r>
          </w:p>
        </w:tc>
        <w:tc>
          <w:tcPr>
            <w:tcW w:w="1478" w:type="dxa"/>
          </w:tcPr>
          <w:p w:rsidR="008D71F9" w:rsidRPr="00C61AA4" w:rsidRDefault="008D71F9" w:rsidP="006346A7">
            <w:pPr>
              <w:keepNext/>
              <w:keepLines/>
              <w:tabs>
                <w:tab w:val="left" w:pos="900"/>
                <w:tab w:val="left" w:pos="1080"/>
              </w:tabs>
              <w:contextualSpacing/>
              <w:jc w:val="both"/>
              <w:rPr>
                <w:rFonts w:ascii="Times New Roman" w:hAnsi="Times New Roman"/>
              </w:rPr>
            </w:pPr>
            <w:r w:rsidRPr="00C61AA4">
              <w:rPr>
                <w:rFonts w:ascii="Times New Roman" w:hAnsi="Times New Roman"/>
              </w:rPr>
              <w:t>Место в рейтинге Всемирного банка «</w:t>
            </w:r>
            <w:r w:rsidRPr="00C61AA4">
              <w:rPr>
                <w:rFonts w:ascii="Times New Roman" w:hAnsi="Times New Roman"/>
                <w:lang w:val="en-US"/>
              </w:rPr>
              <w:t>Doing</w:t>
            </w:r>
            <w:r w:rsidRPr="00C61AA4">
              <w:rPr>
                <w:rFonts w:ascii="Times New Roman" w:hAnsi="Times New Roman"/>
              </w:rPr>
              <w:t xml:space="preserve"> </w:t>
            </w:r>
            <w:r w:rsidRPr="00C61AA4">
              <w:rPr>
                <w:rFonts w:ascii="Times New Roman" w:hAnsi="Times New Roman"/>
                <w:lang w:val="en-US"/>
              </w:rPr>
              <w:t>Business</w:t>
            </w:r>
            <w:r w:rsidRPr="00C61AA4">
              <w:rPr>
                <w:rFonts w:ascii="Times New Roman" w:hAnsi="Times New Roman"/>
              </w:rPr>
              <w:t>»</w:t>
            </w:r>
          </w:p>
        </w:tc>
        <w:tc>
          <w:tcPr>
            <w:tcW w:w="850" w:type="dxa"/>
          </w:tcPr>
          <w:p w:rsidR="008D71F9" w:rsidRPr="00C61AA4" w:rsidRDefault="008D71F9" w:rsidP="006346A7">
            <w:pPr>
              <w:contextualSpacing/>
              <w:jc w:val="both"/>
              <w:rPr>
                <w:rFonts w:ascii="Times New Roman" w:hAnsi="Times New Roman"/>
              </w:rPr>
            </w:pPr>
            <w:r w:rsidRPr="00C61AA4">
              <w:rPr>
                <w:rFonts w:ascii="Times New Roman" w:hAnsi="Times New Roman"/>
              </w:rPr>
              <w:t>25</w:t>
            </w:r>
          </w:p>
        </w:tc>
        <w:tc>
          <w:tcPr>
            <w:tcW w:w="1156" w:type="dxa"/>
          </w:tcPr>
          <w:p w:rsidR="008D71F9" w:rsidRPr="00C61AA4" w:rsidRDefault="008D71F9" w:rsidP="006346A7">
            <w:pPr>
              <w:contextualSpacing/>
              <w:jc w:val="both"/>
              <w:rPr>
                <w:rFonts w:ascii="Times New Roman" w:hAnsi="Times New Roman"/>
              </w:rPr>
            </w:pPr>
            <w:r w:rsidRPr="00C61AA4">
              <w:rPr>
                <w:rFonts w:ascii="Times New Roman" w:hAnsi="Times New Roman"/>
              </w:rPr>
              <w:t>3</w:t>
            </w:r>
          </w:p>
        </w:tc>
        <w:tc>
          <w:tcPr>
            <w:tcW w:w="2022" w:type="dxa"/>
          </w:tcPr>
          <w:p w:rsidR="008D71F9" w:rsidRPr="00C61AA4" w:rsidRDefault="008D71F9" w:rsidP="006346A7">
            <w:pPr>
              <w:contextualSpacing/>
              <w:jc w:val="both"/>
              <w:rPr>
                <w:rFonts w:ascii="Times New Roman" w:hAnsi="Times New Roman"/>
              </w:rPr>
            </w:pPr>
          </w:p>
        </w:tc>
      </w:tr>
      <w:tr w:rsidR="008D71F9" w:rsidRPr="00C61AA4" w:rsidTr="009E2774">
        <w:tc>
          <w:tcPr>
            <w:tcW w:w="10421" w:type="dxa"/>
            <w:gridSpan w:val="6"/>
          </w:tcPr>
          <w:p w:rsidR="008D71F9" w:rsidRPr="00C61AA4" w:rsidRDefault="008D71F9" w:rsidP="006346A7">
            <w:pPr>
              <w:contextualSpacing/>
              <w:jc w:val="center"/>
              <w:rPr>
                <w:rFonts w:ascii="Times New Roman" w:hAnsi="Times New Roman" w:cs="Times New Roman"/>
                <w:b/>
                <w:sz w:val="24"/>
                <w:szCs w:val="24"/>
              </w:rPr>
            </w:pPr>
            <w:r w:rsidRPr="00C61AA4">
              <w:rPr>
                <w:rFonts w:ascii="Times New Roman" w:hAnsi="Times New Roman"/>
                <w:b/>
              </w:rPr>
              <w:t xml:space="preserve">Цель 2.4. </w:t>
            </w:r>
            <w:r w:rsidRPr="00C61AA4">
              <w:rPr>
                <w:rFonts w:ascii="Times New Roman" w:hAnsi="Times New Roman"/>
              </w:rPr>
              <w:t>Осуществление эффективного валютного регулирования и валютного контроля</w:t>
            </w:r>
          </w:p>
        </w:tc>
      </w:tr>
      <w:tr w:rsidR="008D71F9" w:rsidRPr="00C61AA4" w:rsidTr="008D71F9">
        <w:tc>
          <w:tcPr>
            <w:tcW w:w="3069" w:type="dxa"/>
          </w:tcPr>
          <w:p w:rsidR="008D71F9" w:rsidRPr="00C61AA4" w:rsidRDefault="008D71F9" w:rsidP="006346A7">
            <w:pPr>
              <w:contextualSpacing/>
              <w:jc w:val="both"/>
              <w:rPr>
                <w:rFonts w:ascii="Times New Roman" w:hAnsi="Times New Roman"/>
                <w:b/>
              </w:rPr>
            </w:pPr>
            <w:r w:rsidRPr="00C61AA4">
              <w:rPr>
                <w:rFonts w:ascii="Times New Roman" w:hAnsi="Times New Roman"/>
                <w:b/>
              </w:rPr>
              <w:t>Целевой индикатор 1</w:t>
            </w:r>
          </w:p>
        </w:tc>
        <w:tc>
          <w:tcPr>
            <w:tcW w:w="1846" w:type="dxa"/>
          </w:tcPr>
          <w:p w:rsidR="008D71F9" w:rsidRPr="00C61AA4" w:rsidRDefault="008D71F9" w:rsidP="006346A7">
            <w:pPr>
              <w:contextualSpacing/>
              <w:jc w:val="both"/>
              <w:rPr>
                <w:rFonts w:ascii="Times New Roman" w:hAnsi="Times New Roman"/>
              </w:rPr>
            </w:pPr>
          </w:p>
        </w:tc>
        <w:tc>
          <w:tcPr>
            <w:tcW w:w="1478" w:type="dxa"/>
          </w:tcPr>
          <w:p w:rsidR="008D71F9" w:rsidRPr="00C61AA4" w:rsidRDefault="008D71F9" w:rsidP="006346A7">
            <w:pPr>
              <w:contextualSpacing/>
              <w:jc w:val="both"/>
              <w:rPr>
                <w:rFonts w:ascii="Times New Roman" w:hAnsi="Times New Roman"/>
              </w:rPr>
            </w:pPr>
          </w:p>
        </w:tc>
        <w:tc>
          <w:tcPr>
            <w:tcW w:w="850" w:type="dxa"/>
          </w:tcPr>
          <w:p w:rsidR="008D71F9" w:rsidRPr="00C61AA4" w:rsidRDefault="008D71F9" w:rsidP="006346A7">
            <w:pPr>
              <w:contextualSpacing/>
              <w:jc w:val="both"/>
              <w:rPr>
                <w:rFonts w:ascii="Times New Roman" w:hAnsi="Times New Roman"/>
              </w:rPr>
            </w:pPr>
          </w:p>
        </w:tc>
        <w:tc>
          <w:tcPr>
            <w:tcW w:w="1156" w:type="dxa"/>
          </w:tcPr>
          <w:p w:rsidR="008D71F9" w:rsidRPr="00C61AA4" w:rsidRDefault="008D71F9" w:rsidP="006346A7">
            <w:pPr>
              <w:contextualSpacing/>
              <w:jc w:val="both"/>
              <w:rPr>
                <w:rFonts w:ascii="Times New Roman" w:hAnsi="Times New Roman"/>
              </w:rPr>
            </w:pPr>
          </w:p>
        </w:tc>
        <w:tc>
          <w:tcPr>
            <w:tcW w:w="2022" w:type="dxa"/>
          </w:tcPr>
          <w:p w:rsidR="008D71F9" w:rsidRPr="00C61AA4" w:rsidRDefault="008D71F9" w:rsidP="006346A7">
            <w:pPr>
              <w:contextualSpacing/>
              <w:jc w:val="both"/>
              <w:rPr>
                <w:rFonts w:ascii="Times New Roman" w:hAnsi="Times New Roman" w:cs="Times New Roman"/>
                <w:b/>
                <w:sz w:val="24"/>
                <w:szCs w:val="24"/>
              </w:rPr>
            </w:pPr>
          </w:p>
        </w:tc>
      </w:tr>
      <w:tr w:rsidR="008D71F9" w:rsidRPr="00C61AA4" w:rsidTr="008D71F9">
        <w:tc>
          <w:tcPr>
            <w:tcW w:w="3069" w:type="dxa"/>
          </w:tcPr>
          <w:p w:rsidR="008D71F9" w:rsidRPr="00C61AA4" w:rsidRDefault="008D71F9" w:rsidP="006346A7">
            <w:pPr>
              <w:contextualSpacing/>
              <w:jc w:val="both"/>
              <w:rPr>
                <w:rFonts w:ascii="Times New Roman" w:hAnsi="Times New Roman"/>
              </w:rPr>
            </w:pPr>
            <w:r w:rsidRPr="00C61AA4">
              <w:rPr>
                <w:rFonts w:ascii="Times New Roman" w:hAnsi="Times New Roman"/>
                <w:iCs/>
              </w:rPr>
              <w:t>Пороговое значение в отношении суммы внешнеторгового контракта, при превышении которого такой контракт попадает под требование учетной регистрации</w:t>
            </w:r>
          </w:p>
        </w:tc>
        <w:tc>
          <w:tcPr>
            <w:tcW w:w="1846" w:type="dxa"/>
          </w:tcPr>
          <w:p w:rsidR="008D71F9" w:rsidRPr="00C61AA4" w:rsidRDefault="008D71F9" w:rsidP="006346A7">
            <w:pPr>
              <w:contextualSpacing/>
              <w:jc w:val="both"/>
              <w:rPr>
                <w:rFonts w:ascii="Times New Roman" w:hAnsi="Times New Roman"/>
              </w:rPr>
            </w:pPr>
            <w:r w:rsidRPr="00C61AA4">
              <w:rPr>
                <w:rFonts w:ascii="Times New Roman" w:hAnsi="Times New Roman"/>
              </w:rPr>
              <w:t>НПА</w:t>
            </w:r>
          </w:p>
        </w:tc>
        <w:tc>
          <w:tcPr>
            <w:tcW w:w="1478" w:type="dxa"/>
          </w:tcPr>
          <w:p w:rsidR="008D71F9" w:rsidRPr="00C61AA4" w:rsidRDefault="008D71F9" w:rsidP="006346A7">
            <w:pPr>
              <w:keepNext/>
              <w:keepLines/>
              <w:tabs>
                <w:tab w:val="left" w:pos="900"/>
                <w:tab w:val="left" w:pos="1080"/>
              </w:tabs>
              <w:contextualSpacing/>
              <w:jc w:val="both"/>
              <w:rPr>
                <w:rFonts w:ascii="Times New Roman" w:hAnsi="Times New Roman"/>
              </w:rPr>
            </w:pPr>
            <w:r w:rsidRPr="00C61AA4">
              <w:rPr>
                <w:rFonts w:ascii="Times New Roman" w:hAnsi="Times New Roman"/>
              </w:rPr>
              <w:t>Тыс.</w:t>
            </w:r>
          </w:p>
          <w:p w:rsidR="008D71F9" w:rsidRPr="00C61AA4" w:rsidRDefault="008D71F9" w:rsidP="006346A7">
            <w:pPr>
              <w:keepNext/>
              <w:keepLines/>
              <w:tabs>
                <w:tab w:val="left" w:pos="900"/>
                <w:tab w:val="left" w:pos="1080"/>
              </w:tabs>
              <w:contextualSpacing/>
              <w:jc w:val="both"/>
              <w:rPr>
                <w:rFonts w:ascii="Times New Roman" w:hAnsi="Times New Roman"/>
              </w:rPr>
            </w:pPr>
            <w:r w:rsidRPr="00C61AA4">
              <w:rPr>
                <w:rFonts w:ascii="Times New Roman" w:hAnsi="Times New Roman"/>
              </w:rPr>
              <w:t>долл.</w:t>
            </w:r>
          </w:p>
          <w:p w:rsidR="008D71F9" w:rsidRPr="00C61AA4" w:rsidRDefault="008D71F9" w:rsidP="006346A7">
            <w:pPr>
              <w:keepNext/>
              <w:keepLines/>
              <w:tabs>
                <w:tab w:val="left" w:pos="900"/>
                <w:tab w:val="left" w:pos="1080"/>
              </w:tabs>
              <w:contextualSpacing/>
              <w:jc w:val="both"/>
              <w:rPr>
                <w:rFonts w:ascii="Times New Roman" w:hAnsi="Times New Roman"/>
              </w:rPr>
            </w:pPr>
            <w:r w:rsidRPr="00C61AA4">
              <w:rPr>
                <w:rFonts w:ascii="Times New Roman" w:hAnsi="Times New Roman"/>
              </w:rPr>
              <w:t>США</w:t>
            </w:r>
          </w:p>
        </w:tc>
        <w:tc>
          <w:tcPr>
            <w:tcW w:w="850" w:type="dxa"/>
          </w:tcPr>
          <w:p w:rsidR="008D71F9" w:rsidRPr="00C61AA4" w:rsidRDefault="008D71F9" w:rsidP="006346A7">
            <w:pPr>
              <w:keepNext/>
              <w:keepLines/>
              <w:tabs>
                <w:tab w:val="left" w:pos="900"/>
                <w:tab w:val="left" w:pos="1080"/>
              </w:tabs>
              <w:contextualSpacing/>
              <w:jc w:val="both"/>
              <w:rPr>
                <w:rFonts w:ascii="Times New Roman" w:hAnsi="Times New Roman"/>
              </w:rPr>
            </w:pPr>
            <w:r w:rsidRPr="00C61AA4">
              <w:rPr>
                <w:rFonts w:ascii="Times New Roman" w:hAnsi="Times New Roman"/>
              </w:rPr>
              <w:t>50</w:t>
            </w:r>
          </w:p>
        </w:tc>
        <w:tc>
          <w:tcPr>
            <w:tcW w:w="1156" w:type="dxa"/>
          </w:tcPr>
          <w:p w:rsidR="008D71F9" w:rsidRPr="00C61AA4" w:rsidRDefault="008D71F9" w:rsidP="006346A7">
            <w:pPr>
              <w:keepNext/>
              <w:keepLines/>
              <w:tabs>
                <w:tab w:val="left" w:pos="972"/>
                <w:tab w:val="left" w:pos="1080"/>
              </w:tabs>
              <w:contextualSpacing/>
              <w:jc w:val="both"/>
              <w:rPr>
                <w:rFonts w:ascii="Times New Roman" w:hAnsi="Times New Roman"/>
              </w:rPr>
            </w:pPr>
            <w:r w:rsidRPr="00C61AA4">
              <w:rPr>
                <w:rFonts w:ascii="Times New Roman" w:hAnsi="Times New Roman"/>
              </w:rPr>
              <w:t>50</w:t>
            </w:r>
          </w:p>
        </w:tc>
        <w:tc>
          <w:tcPr>
            <w:tcW w:w="2022" w:type="dxa"/>
          </w:tcPr>
          <w:p w:rsidR="008D71F9" w:rsidRPr="00C61AA4" w:rsidRDefault="008D71F9" w:rsidP="006346A7">
            <w:pPr>
              <w:contextualSpacing/>
              <w:jc w:val="both"/>
              <w:rPr>
                <w:rFonts w:ascii="Times New Roman" w:hAnsi="Times New Roman" w:cs="Times New Roman"/>
                <w:b/>
                <w:sz w:val="24"/>
                <w:szCs w:val="24"/>
              </w:rPr>
            </w:pPr>
          </w:p>
        </w:tc>
      </w:tr>
      <w:tr w:rsidR="008D71F9" w:rsidRPr="00C61AA4" w:rsidTr="008D71F9">
        <w:tc>
          <w:tcPr>
            <w:tcW w:w="3069" w:type="dxa"/>
          </w:tcPr>
          <w:p w:rsidR="008D71F9" w:rsidRPr="00C61AA4" w:rsidRDefault="008D71F9" w:rsidP="006346A7">
            <w:pPr>
              <w:contextualSpacing/>
              <w:jc w:val="both"/>
              <w:rPr>
                <w:rFonts w:ascii="Times New Roman" w:hAnsi="Times New Roman"/>
              </w:rPr>
            </w:pPr>
            <w:r w:rsidRPr="00C61AA4">
              <w:rPr>
                <w:rFonts w:ascii="Times New Roman" w:hAnsi="Times New Roman"/>
                <w:b/>
              </w:rPr>
              <w:t>Целевой индикатор 2</w:t>
            </w:r>
          </w:p>
        </w:tc>
        <w:tc>
          <w:tcPr>
            <w:tcW w:w="1846" w:type="dxa"/>
          </w:tcPr>
          <w:p w:rsidR="008D71F9" w:rsidRPr="00C61AA4" w:rsidRDefault="008D71F9" w:rsidP="006346A7">
            <w:pPr>
              <w:contextualSpacing/>
              <w:jc w:val="both"/>
              <w:rPr>
                <w:rFonts w:ascii="Times New Roman" w:hAnsi="Times New Roman"/>
              </w:rPr>
            </w:pPr>
          </w:p>
        </w:tc>
        <w:tc>
          <w:tcPr>
            <w:tcW w:w="1478" w:type="dxa"/>
          </w:tcPr>
          <w:p w:rsidR="008D71F9" w:rsidRPr="00C61AA4" w:rsidRDefault="008D71F9" w:rsidP="006346A7">
            <w:pPr>
              <w:contextualSpacing/>
              <w:jc w:val="both"/>
              <w:rPr>
                <w:rFonts w:ascii="Times New Roman" w:hAnsi="Times New Roman"/>
              </w:rPr>
            </w:pPr>
          </w:p>
        </w:tc>
        <w:tc>
          <w:tcPr>
            <w:tcW w:w="850" w:type="dxa"/>
          </w:tcPr>
          <w:p w:rsidR="008D71F9" w:rsidRPr="00C61AA4" w:rsidRDefault="008D71F9" w:rsidP="006346A7">
            <w:pPr>
              <w:contextualSpacing/>
              <w:jc w:val="both"/>
              <w:rPr>
                <w:rFonts w:ascii="Times New Roman" w:hAnsi="Times New Roman"/>
              </w:rPr>
            </w:pPr>
          </w:p>
        </w:tc>
        <w:tc>
          <w:tcPr>
            <w:tcW w:w="1156" w:type="dxa"/>
          </w:tcPr>
          <w:p w:rsidR="008D71F9" w:rsidRPr="00C61AA4" w:rsidRDefault="008D71F9" w:rsidP="006346A7">
            <w:pPr>
              <w:contextualSpacing/>
              <w:jc w:val="both"/>
              <w:rPr>
                <w:rFonts w:ascii="Times New Roman" w:hAnsi="Times New Roman"/>
              </w:rPr>
            </w:pPr>
          </w:p>
        </w:tc>
        <w:tc>
          <w:tcPr>
            <w:tcW w:w="2022" w:type="dxa"/>
          </w:tcPr>
          <w:p w:rsidR="008D71F9" w:rsidRPr="00C61AA4" w:rsidRDefault="008D71F9" w:rsidP="006346A7">
            <w:pPr>
              <w:contextualSpacing/>
              <w:jc w:val="both"/>
              <w:rPr>
                <w:rFonts w:ascii="Times New Roman" w:hAnsi="Times New Roman" w:cs="Times New Roman"/>
                <w:b/>
                <w:sz w:val="24"/>
                <w:szCs w:val="24"/>
              </w:rPr>
            </w:pPr>
          </w:p>
        </w:tc>
      </w:tr>
      <w:tr w:rsidR="008D71F9" w:rsidRPr="00C61AA4" w:rsidTr="008D71F9">
        <w:tc>
          <w:tcPr>
            <w:tcW w:w="3069" w:type="dxa"/>
          </w:tcPr>
          <w:p w:rsidR="008D71F9" w:rsidRPr="00C61AA4" w:rsidRDefault="008D71F9" w:rsidP="006346A7">
            <w:pPr>
              <w:contextualSpacing/>
              <w:jc w:val="both"/>
              <w:rPr>
                <w:rFonts w:ascii="Times New Roman" w:hAnsi="Times New Roman"/>
              </w:rPr>
            </w:pPr>
            <w:r w:rsidRPr="00C61AA4">
              <w:rPr>
                <w:rFonts w:ascii="Times New Roman" w:hAnsi="Times New Roman"/>
              </w:rPr>
              <w:t>Количество юридических лиц, исключительным видом деятельности которых является организация обменных операций с наличной иностранной валютой, охваченных проверками на основе системы оценки степени рисков</w:t>
            </w:r>
          </w:p>
        </w:tc>
        <w:tc>
          <w:tcPr>
            <w:tcW w:w="1846" w:type="dxa"/>
          </w:tcPr>
          <w:p w:rsidR="008D71F9" w:rsidRPr="00C61AA4" w:rsidRDefault="008D71F9" w:rsidP="006346A7">
            <w:pPr>
              <w:contextualSpacing/>
              <w:jc w:val="both"/>
              <w:rPr>
                <w:rFonts w:ascii="Times New Roman" w:hAnsi="Times New Roman"/>
              </w:rPr>
            </w:pPr>
            <w:r w:rsidRPr="00C61AA4">
              <w:rPr>
                <w:rFonts w:ascii="Times New Roman" w:hAnsi="Times New Roman"/>
              </w:rPr>
              <w:t>Сведения НБРК</w:t>
            </w:r>
          </w:p>
        </w:tc>
        <w:tc>
          <w:tcPr>
            <w:tcW w:w="1478" w:type="dxa"/>
          </w:tcPr>
          <w:p w:rsidR="008D71F9" w:rsidRPr="00C61AA4" w:rsidRDefault="008D71F9" w:rsidP="006346A7">
            <w:pPr>
              <w:keepNext/>
              <w:keepLines/>
              <w:tabs>
                <w:tab w:val="left" w:pos="900"/>
                <w:tab w:val="left" w:pos="1080"/>
              </w:tabs>
              <w:contextualSpacing/>
              <w:jc w:val="both"/>
              <w:rPr>
                <w:rFonts w:ascii="Times New Roman" w:hAnsi="Times New Roman"/>
              </w:rPr>
            </w:pPr>
            <w:r w:rsidRPr="00C61AA4">
              <w:rPr>
                <w:rFonts w:ascii="Times New Roman" w:hAnsi="Times New Roman"/>
              </w:rPr>
              <w:t>%</w:t>
            </w:r>
          </w:p>
        </w:tc>
        <w:tc>
          <w:tcPr>
            <w:tcW w:w="850" w:type="dxa"/>
          </w:tcPr>
          <w:p w:rsidR="008D71F9" w:rsidRPr="00C61AA4" w:rsidRDefault="008D71F9" w:rsidP="006346A7">
            <w:pPr>
              <w:contextualSpacing/>
              <w:jc w:val="both"/>
              <w:rPr>
                <w:rFonts w:ascii="Times New Roman" w:hAnsi="Times New Roman"/>
              </w:rPr>
            </w:pPr>
            <w:r w:rsidRPr="00C61AA4">
              <w:rPr>
                <w:rFonts w:ascii="Times New Roman" w:hAnsi="Times New Roman"/>
              </w:rPr>
              <w:t>30-60%</w:t>
            </w:r>
          </w:p>
        </w:tc>
        <w:tc>
          <w:tcPr>
            <w:tcW w:w="1156" w:type="dxa"/>
          </w:tcPr>
          <w:p w:rsidR="008D71F9" w:rsidRPr="00C61AA4" w:rsidRDefault="008D71F9" w:rsidP="006346A7">
            <w:pPr>
              <w:contextualSpacing/>
              <w:jc w:val="both"/>
              <w:rPr>
                <w:rFonts w:ascii="Times New Roman" w:hAnsi="Times New Roman"/>
              </w:rPr>
            </w:pPr>
            <w:r w:rsidRPr="00C61AA4">
              <w:rPr>
                <w:rFonts w:ascii="Times New Roman" w:hAnsi="Times New Roman"/>
              </w:rPr>
              <w:t>48,3 %</w:t>
            </w:r>
          </w:p>
          <w:p w:rsidR="008D71F9" w:rsidRPr="00C61AA4" w:rsidRDefault="008D71F9" w:rsidP="006346A7">
            <w:pPr>
              <w:contextualSpacing/>
              <w:jc w:val="both"/>
              <w:rPr>
                <w:rFonts w:ascii="Times New Roman" w:hAnsi="Times New Roman"/>
              </w:rPr>
            </w:pPr>
            <w:r w:rsidRPr="00C61AA4">
              <w:rPr>
                <w:rFonts w:ascii="Times New Roman" w:hAnsi="Times New Roman"/>
              </w:rPr>
              <w:t>(265 проверок)</w:t>
            </w:r>
          </w:p>
        </w:tc>
        <w:tc>
          <w:tcPr>
            <w:tcW w:w="2022" w:type="dxa"/>
          </w:tcPr>
          <w:p w:rsidR="008D71F9" w:rsidRPr="00C61AA4" w:rsidRDefault="008D71F9" w:rsidP="006346A7">
            <w:pPr>
              <w:contextualSpacing/>
              <w:jc w:val="both"/>
              <w:rPr>
                <w:rFonts w:ascii="Times New Roman" w:hAnsi="Times New Roman" w:cs="Times New Roman"/>
                <w:b/>
                <w:sz w:val="24"/>
                <w:szCs w:val="24"/>
              </w:rPr>
            </w:pPr>
          </w:p>
        </w:tc>
      </w:tr>
      <w:tr w:rsidR="008D71F9" w:rsidRPr="00C61AA4" w:rsidTr="009E2774">
        <w:tc>
          <w:tcPr>
            <w:tcW w:w="10421" w:type="dxa"/>
            <w:gridSpan w:val="6"/>
          </w:tcPr>
          <w:p w:rsidR="008D71F9" w:rsidRPr="00C61AA4" w:rsidRDefault="008D71F9" w:rsidP="006346A7">
            <w:pPr>
              <w:contextualSpacing/>
              <w:jc w:val="center"/>
              <w:rPr>
                <w:rFonts w:ascii="Times New Roman" w:hAnsi="Times New Roman" w:cs="Times New Roman"/>
                <w:b/>
                <w:sz w:val="24"/>
                <w:szCs w:val="24"/>
              </w:rPr>
            </w:pPr>
            <w:r w:rsidRPr="00C61AA4">
              <w:rPr>
                <w:rFonts w:ascii="Times New Roman" w:hAnsi="Times New Roman"/>
                <w:b/>
              </w:rPr>
              <w:t xml:space="preserve">Цель 2.5. </w:t>
            </w:r>
            <w:r w:rsidRPr="00C61AA4">
              <w:rPr>
                <w:rFonts w:ascii="Times New Roman" w:hAnsi="Times New Roman"/>
              </w:rPr>
              <w:t xml:space="preserve">Усиление </w:t>
            </w:r>
            <w:proofErr w:type="gramStart"/>
            <w:r w:rsidRPr="00C61AA4">
              <w:rPr>
                <w:rFonts w:ascii="Times New Roman" w:hAnsi="Times New Roman"/>
              </w:rPr>
              <w:t>системы защиты прав потребителей финансовых услуг</w:t>
            </w:r>
            <w:proofErr w:type="gramEnd"/>
          </w:p>
        </w:tc>
      </w:tr>
      <w:tr w:rsidR="008D71F9" w:rsidRPr="00C61AA4" w:rsidTr="008D71F9">
        <w:tc>
          <w:tcPr>
            <w:tcW w:w="3069" w:type="dxa"/>
          </w:tcPr>
          <w:p w:rsidR="008D71F9" w:rsidRPr="00C61AA4" w:rsidRDefault="008D71F9" w:rsidP="006346A7">
            <w:pPr>
              <w:contextualSpacing/>
              <w:jc w:val="both"/>
              <w:rPr>
                <w:rFonts w:ascii="Times New Roman" w:hAnsi="Times New Roman"/>
                <w:b/>
              </w:rPr>
            </w:pPr>
            <w:r w:rsidRPr="00C61AA4">
              <w:rPr>
                <w:rFonts w:ascii="Times New Roman" w:hAnsi="Times New Roman"/>
                <w:b/>
              </w:rPr>
              <w:t>Целевой индикатор</w:t>
            </w:r>
          </w:p>
        </w:tc>
        <w:tc>
          <w:tcPr>
            <w:tcW w:w="1846" w:type="dxa"/>
          </w:tcPr>
          <w:p w:rsidR="008D71F9" w:rsidRPr="00C61AA4" w:rsidRDefault="008D71F9" w:rsidP="006346A7">
            <w:pPr>
              <w:contextualSpacing/>
              <w:jc w:val="both"/>
              <w:rPr>
                <w:rFonts w:ascii="Times New Roman" w:hAnsi="Times New Roman"/>
              </w:rPr>
            </w:pPr>
          </w:p>
        </w:tc>
        <w:tc>
          <w:tcPr>
            <w:tcW w:w="1478" w:type="dxa"/>
          </w:tcPr>
          <w:p w:rsidR="008D71F9" w:rsidRPr="00C61AA4" w:rsidRDefault="008D71F9" w:rsidP="006346A7">
            <w:pPr>
              <w:contextualSpacing/>
              <w:jc w:val="both"/>
              <w:rPr>
                <w:rFonts w:ascii="Times New Roman" w:hAnsi="Times New Roman"/>
              </w:rPr>
            </w:pPr>
          </w:p>
        </w:tc>
        <w:tc>
          <w:tcPr>
            <w:tcW w:w="850" w:type="dxa"/>
          </w:tcPr>
          <w:p w:rsidR="008D71F9" w:rsidRPr="00C61AA4" w:rsidRDefault="008D71F9" w:rsidP="006346A7">
            <w:pPr>
              <w:contextualSpacing/>
              <w:jc w:val="both"/>
              <w:rPr>
                <w:rFonts w:ascii="Times New Roman" w:hAnsi="Times New Roman"/>
              </w:rPr>
            </w:pPr>
          </w:p>
        </w:tc>
        <w:tc>
          <w:tcPr>
            <w:tcW w:w="1156" w:type="dxa"/>
          </w:tcPr>
          <w:p w:rsidR="008D71F9" w:rsidRPr="00C61AA4" w:rsidRDefault="008D71F9" w:rsidP="006346A7">
            <w:pPr>
              <w:contextualSpacing/>
              <w:jc w:val="both"/>
              <w:rPr>
                <w:rFonts w:ascii="Times New Roman" w:hAnsi="Times New Roman"/>
              </w:rPr>
            </w:pPr>
          </w:p>
        </w:tc>
        <w:tc>
          <w:tcPr>
            <w:tcW w:w="2022" w:type="dxa"/>
          </w:tcPr>
          <w:p w:rsidR="008D71F9" w:rsidRPr="00C61AA4" w:rsidRDefault="008D71F9" w:rsidP="006346A7">
            <w:pPr>
              <w:contextualSpacing/>
              <w:jc w:val="both"/>
              <w:rPr>
                <w:rFonts w:ascii="Times New Roman" w:hAnsi="Times New Roman"/>
              </w:rPr>
            </w:pPr>
          </w:p>
        </w:tc>
      </w:tr>
      <w:tr w:rsidR="008D71F9" w:rsidRPr="00C61AA4" w:rsidTr="008D71F9">
        <w:tc>
          <w:tcPr>
            <w:tcW w:w="3069" w:type="dxa"/>
          </w:tcPr>
          <w:p w:rsidR="008D71F9" w:rsidRPr="00C61AA4" w:rsidRDefault="008D71F9" w:rsidP="006346A7">
            <w:pPr>
              <w:contextualSpacing/>
              <w:jc w:val="both"/>
              <w:rPr>
                <w:rFonts w:ascii="Times New Roman" w:hAnsi="Times New Roman"/>
              </w:rPr>
            </w:pPr>
            <w:r w:rsidRPr="00C61AA4">
              <w:rPr>
                <w:rFonts w:ascii="Times New Roman" w:hAnsi="Times New Roman"/>
              </w:rPr>
              <w:t>Доля потребителей, оказывающих доверие финансовому рынку</w:t>
            </w:r>
          </w:p>
        </w:tc>
        <w:tc>
          <w:tcPr>
            <w:tcW w:w="1846" w:type="dxa"/>
          </w:tcPr>
          <w:p w:rsidR="008D71F9" w:rsidRPr="00C61AA4" w:rsidRDefault="008D71F9" w:rsidP="006346A7">
            <w:pPr>
              <w:contextualSpacing/>
              <w:jc w:val="both"/>
              <w:rPr>
                <w:rFonts w:ascii="Times New Roman" w:hAnsi="Times New Roman"/>
              </w:rPr>
            </w:pPr>
            <w:r w:rsidRPr="00C61AA4">
              <w:rPr>
                <w:rFonts w:ascii="Times New Roman" w:hAnsi="Times New Roman"/>
              </w:rPr>
              <w:t>социологический опрос</w:t>
            </w:r>
          </w:p>
        </w:tc>
        <w:tc>
          <w:tcPr>
            <w:tcW w:w="1478" w:type="dxa"/>
          </w:tcPr>
          <w:p w:rsidR="008D71F9" w:rsidRPr="00C61AA4" w:rsidRDefault="008D71F9" w:rsidP="006346A7">
            <w:pPr>
              <w:contextualSpacing/>
              <w:jc w:val="both"/>
              <w:rPr>
                <w:rFonts w:ascii="Times New Roman" w:hAnsi="Times New Roman"/>
              </w:rPr>
            </w:pPr>
            <w:r w:rsidRPr="00C61AA4">
              <w:rPr>
                <w:rFonts w:ascii="Times New Roman" w:hAnsi="Times New Roman"/>
              </w:rPr>
              <w:t>% опрошенных</w:t>
            </w:r>
          </w:p>
        </w:tc>
        <w:tc>
          <w:tcPr>
            <w:tcW w:w="850" w:type="dxa"/>
          </w:tcPr>
          <w:p w:rsidR="008D71F9" w:rsidRPr="00C61AA4" w:rsidRDefault="008D71F9" w:rsidP="006346A7">
            <w:pPr>
              <w:keepNext/>
              <w:keepLines/>
              <w:tabs>
                <w:tab w:val="left" w:pos="900"/>
                <w:tab w:val="left" w:pos="1080"/>
              </w:tabs>
              <w:contextualSpacing/>
              <w:jc w:val="both"/>
              <w:rPr>
                <w:rFonts w:ascii="Times New Roman" w:hAnsi="Times New Roman"/>
              </w:rPr>
            </w:pPr>
            <w:r w:rsidRPr="00C61AA4">
              <w:rPr>
                <w:rFonts w:ascii="Times New Roman" w:hAnsi="Times New Roman"/>
              </w:rPr>
              <w:t>39</w:t>
            </w:r>
          </w:p>
        </w:tc>
        <w:tc>
          <w:tcPr>
            <w:tcW w:w="1156" w:type="dxa"/>
          </w:tcPr>
          <w:p w:rsidR="008D71F9" w:rsidRPr="00C61AA4" w:rsidRDefault="008D71F9" w:rsidP="006346A7">
            <w:pPr>
              <w:keepNext/>
              <w:keepLines/>
              <w:tabs>
                <w:tab w:val="left" w:pos="900"/>
                <w:tab w:val="left" w:pos="1080"/>
              </w:tabs>
              <w:contextualSpacing/>
              <w:jc w:val="both"/>
              <w:rPr>
                <w:rFonts w:ascii="Times New Roman" w:hAnsi="Times New Roman"/>
              </w:rPr>
            </w:pPr>
            <w:r w:rsidRPr="00C61AA4">
              <w:rPr>
                <w:rFonts w:ascii="Times New Roman" w:hAnsi="Times New Roman"/>
              </w:rPr>
              <w:t>39,7</w:t>
            </w:r>
          </w:p>
        </w:tc>
        <w:tc>
          <w:tcPr>
            <w:tcW w:w="2022" w:type="dxa"/>
          </w:tcPr>
          <w:p w:rsidR="008D71F9" w:rsidRPr="00C61AA4" w:rsidRDefault="008D71F9" w:rsidP="006346A7">
            <w:pPr>
              <w:contextualSpacing/>
              <w:jc w:val="both"/>
              <w:rPr>
                <w:rFonts w:ascii="Times New Roman" w:hAnsi="Times New Roman"/>
              </w:rPr>
            </w:pPr>
            <w:r w:rsidRPr="00C61AA4">
              <w:rPr>
                <w:rFonts w:ascii="Times New Roman" w:hAnsi="Times New Roman"/>
                <w:i/>
              </w:rPr>
              <w:t>См. аналитическую записку</w:t>
            </w:r>
          </w:p>
        </w:tc>
      </w:tr>
      <w:tr w:rsidR="008D71F9" w:rsidRPr="00C61AA4" w:rsidTr="009E2774">
        <w:tc>
          <w:tcPr>
            <w:tcW w:w="10421" w:type="dxa"/>
            <w:gridSpan w:val="6"/>
          </w:tcPr>
          <w:p w:rsidR="008D71F9" w:rsidRPr="00C61AA4" w:rsidRDefault="008D71F9" w:rsidP="006346A7">
            <w:pPr>
              <w:contextualSpacing/>
              <w:jc w:val="center"/>
              <w:rPr>
                <w:rFonts w:ascii="Times New Roman" w:hAnsi="Times New Roman" w:cs="Times New Roman"/>
                <w:b/>
                <w:sz w:val="24"/>
                <w:szCs w:val="24"/>
              </w:rPr>
            </w:pPr>
            <w:r w:rsidRPr="00C61AA4">
              <w:rPr>
                <w:rFonts w:ascii="Times New Roman" w:hAnsi="Times New Roman"/>
                <w:b/>
              </w:rPr>
              <w:t xml:space="preserve">Цель 2.6. </w:t>
            </w:r>
            <w:r w:rsidRPr="00C61AA4">
              <w:rPr>
                <w:rFonts w:ascii="Times New Roman" w:hAnsi="Times New Roman"/>
              </w:rPr>
              <w:t>Обеспечение эффективности и безопасности функционирования платежных систем</w:t>
            </w:r>
          </w:p>
        </w:tc>
      </w:tr>
      <w:tr w:rsidR="00191E1A" w:rsidRPr="00C61AA4" w:rsidTr="008D71F9">
        <w:tc>
          <w:tcPr>
            <w:tcW w:w="3069" w:type="dxa"/>
          </w:tcPr>
          <w:p w:rsidR="00191E1A" w:rsidRPr="00C61AA4" w:rsidRDefault="00191E1A" w:rsidP="006346A7">
            <w:pPr>
              <w:contextualSpacing/>
              <w:jc w:val="both"/>
              <w:rPr>
                <w:rFonts w:ascii="Times New Roman" w:hAnsi="Times New Roman"/>
                <w:b/>
              </w:rPr>
            </w:pPr>
            <w:r w:rsidRPr="00C61AA4">
              <w:rPr>
                <w:rFonts w:ascii="Times New Roman" w:hAnsi="Times New Roman"/>
                <w:b/>
              </w:rPr>
              <w:t>Целевой индикатор 1</w:t>
            </w:r>
          </w:p>
        </w:tc>
        <w:tc>
          <w:tcPr>
            <w:tcW w:w="1846" w:type="dxa"/>
          </w:tcPr>
          <w:p w:rsidR="00191E1A" w:rsidRPr="00C61AA4" w:rsidRDefault="00191E1A" w:rsidP="006346A7">
            <w:pPr>
              <w:contextualSpacing/>
              <w:jc w:val="both"/>
              <w:rPr>
                <w:rFonts w:ascii="Times New Roman" w:hAnsi="Times New Roman"/>
              </w:rPr>
            </w:pPr>
          </w:p>
        </w:tc>
        <w:tc>
          <w:tcPr>
            <w:tcW w:w="1478" w:type="dxa"/>
          </w:tcPr>
          <w:p w:rsidR="00191E1A" w:rsidRPr="00C61AA4" w:rsidRDefault="00191E1A" w:rsidP="006346A7">
            <w:pPr>
              <w:contextualSpacing/>
              <w:jc w:val="both"/>
              <w:rPr>
                <w:rFonts w:ascii="Times New Roman" w:hAnsi="Times New Roman"/>
              </w:rPr>
            </w:pPr>
          </w:p>
        </w:tc>
        <w:tc>
          <w:tcPr>
            <w:tcW w:w="850" w:type="dxa"/>
          </w:tcPr>
          <w:p w:rsidR="00191E1A" w:rsidRPr="00C61AA4" w:rsidRDefault="00191E1A" w:rsidP="006346A7">
            <w:pPr>
              <w:contextualSpacing/>
              <w:jc w:val="both"/>
              <w:rPr>
                <w:rFonts w:ascii="Times New Roman" w:hAnsi="Times New Roman"/>
              </w:rPr>
            </w:pPr>
          </w:p>
        </w:tc>
        <w:tc>
          <w:tcPr>
            <w:tcW w:w="1156" w:type="dxa"/>
          </w:tcPr>
          <w:p w:rsidR="00191E1A" w:rsidRPr="00C61AA4" w:rsidRDefault="00191E1A" w:rsidP="006346A7">
            <w:pPr>
              <w:contextualSpacing/>
              <w:jc w:val="both"/>
              <w:rPr>
                <w:rFonts w:ascii="Times New Roman" w:hAnsi="Times New Roman"/>
              </w:rPr>
            </w:pPr>
          </w:p>
        </w:tc>
        <w:tc>
          <w:tcPr>
            <w:tcW w:w="2022" w:type="dxa"/>
          </w:tcPr>
          <w:p w:rsidR="00191E1A" w:rsidRPr="00C61AA4" w:rsidRDefault="00191E1A" w:rsidP="006346A7">
            <w:pPr>
              <w:contextualSpacing/>
              <w:jc w:val="both"/>
              <w:rPr>
                <w:rFonts w:ascii="Times New Roman" w:hAnsi="Times New Roman" w:cs="Times New Roman"/>
                <w:b/>
                <w:sz w:val="24"/>
                <w:szCs w:val="24"/>
              </w:rPr>
            </w:pPr>
          </w:p>
        </w:tc>
      </w:tr>
      <w:tr w:rsidR="00191E1A" w:rsidRPr="00C61AA4" w:rsidTr="008D71F9">
        <w:tc>
          <w:tcPr>
            <w:tcW w:w="3069" w:type="dxa"/>
          </w:tcPr>
          <w:p w:rsidR="00191E1A" w:rsidRPr="00C61AA4" w:rsidRDefault="00191E1A" w:rsidP="006346A7">
            <w:pPr>
              <w:contextualSpacing/>
              <w:jc w:val="both"/>
              <w:rPr>
                <w:rFonts w:ascii="Times New Roman" w:hAnsi="Times New Roman"/>
              </w:rPr>
            </w:pPr>
            <w:r w:rsidRPr="00C61AA4">
              <w:rPr>
                <w:rFonts w:ascii="Times New Roman" w:hAnsi="Times New Roman"/>
                <w:iCs/>
              </w:rPr>
              <w:t>Коэффициент работоспособности</w:t>
            </w:r>
            <w:r w:rsidRPr="00C61AA4">
              <w:rPr>
                <w:rStyle w:val="a8"/>
                <w:iCs/>
              </w:rPr>
              <w:footnoteReference w:id="2"/>
            </w:r>
            <w:r w:rsidRPr="00C61AA4">
              <w:rPr>
                <w:rFonts w:ascii="Times New Roman" w:hAnsi="Times New Roman"/>
                <w:iCs/>
              </w:rPr>
              <w:t xml:space="preserve"> МСПД за год</w:t>
            </w:r>
          </w:p>
        </w:tc>
        <w:tc>
          <w:tcPr>
            <w:tcW w:w="1846" w:type="dxa"/>
          </w:tcPr>
          <w:p w:rsidR="00191E1A" w:rsidRPr="00C61AA4" w:rsidRDefault="00191E1A" w:rsidP="006346A7">
            <w:pPr>
              <w:contextualSpacing/>
              <w:jc w:val="both"/>
              <w:rPr>
                <w:rFonts w:ascii="Times New Roman" w:hAnsi="Times New Roman"/>
              </w:rPr>
            </w:pPr>
            <w:r w:rsidRPr="00C61AA4">
              <w:rPr>
                <w:rFonts w:ascii="Times New Roman" w:hAnsi="Times New Roman"/>
              </w:rPr>
              <w:t>НБРК</w:t>
            </w:r>
          </w:p>
        </w:tc>
        <w:tc>
          <w:tcPr>
            <w:tcW w:w="1478" w:type="dxa"/>
          </w:tcPr>
          <w:p w:rsidR="00191E1A" w:rsidRPr="00C61AA4" w:rsidRDefault="00191E1A" w:rsidP="006346A7">
            <w:pPr>
              <w:contextualSpacing/>
              <w:jc w:val="both"/>
              <w:rPr>
                <w:rFonts w:ascii="Times New Roman" w:hAnsi="Times New Roman"/>
              </w:rPr>
            </w:pPr>
            <w:r w:rsidRPr="00C61AA4">
              <w:rPr>
                <w:rFonts w:ascii="Times New Roman" w:hAnsi="Times New Roman"/>
              </w:rPr>
              <w:t>%</w:t>
            </w:r>
          </w:p>
        </w:tc>
        <w:tc>
          <w:tcPr>
            <w:tcW w:w="850" w:type="dxa"/>
          </w:tcPr>
          <w:p w:rsidR="00191E1A" w:rsidRPr="00C61AA4" w:rsidRDefault="00191E1A" w:rsidP="006346A7">
            <w:pPr>
              <w:contextualSpacing/>
              <w:jc w:val="both"/>
              <w:rPr>
                <w:rFonts w:ascii="Times New Roman" w:hAnsi="Times New Roman"/>
              </w:rPr>
            </w:pPr>
            <w:r w:rsidRPr="00C61AA4">
              <w:rPr>
                <w:rFonts w:ascii="Times New Roman" w:hAnsi="Times New Roman"/>
              </w:rPr>
              <w:t xml:space="preserve">Не </w:t>
            </w:r>
          </w:p>
          <w:p w:rsidR="00191E1A" w:rsidRPr="00C61AA4" w:rsidRDefault="00191E1A" w:rsidP="006346A7">
            <w:pPr>
              <w:contextualSpacing/>
              <w:jc w:val="both"/>
              <w:rPr>
                <w:rFonts w:ascii="Times New Roman" w:hAnsi="Times New Roman"/>
              </w:rPr>
            </w:pPr>
            <w:r w:rsidRPr="00C61AA4">
              <w:rPr>
                <w:rFonts w:ascii="Times New Roman" w:hAnsi="Times New Roman"/>
              </w:rPr>
              <w:t>менее 95</w:t>
            </w:r>
          </w:p>
        </w:tc>
        <w:tc>
          <w:tcPr>
            <w:tcW w:w="1156" w:type="dxa"/>
          </w:tcPr>
          <w:p w:rsidR="00191E1A" w:rsidRPr="00C61AA4" w:rsidRDefault="00191E1A" w:rsidP="006346A7">
            <w:pPr>
              <w:keepNext/>
              <w:keepLines/>
              <w:tabs>
                <w:tab w:val="left" w:pos="972"/>
                <w:tab w:val="left" w:pos="1080"/>
              </w:tabs>
              <w:contextualSpacing/>
              <w:jc w:val="both"/>
              <w:rPr>
                <w:rFonts w:ascii="Times New Roman" w:hAnsi="Times New Roman"/>
              </w:rPr>
            </w:pPr>
            <w:r w:rsidRPr="00C61AA4">
              <w:rPr>
                <w:rFonts w:ascii="Times New Roman" w:hAnsi="Times New Roman"/>
              </w:rPr>
              <w:t>99,803</w:t>
            </w:r>
          </w:p>
        </w:tc>
        <w:tc>
          <w:tcPr>
            <w:tcW w:w="2022" w:type="dxa"/>
          </w:tcPr>
          <w:p w:rsidR="00191E1A" w:rsidRPr="00C61AA4" w:rsidRDefault="00191E1A" w:rsidP="006346A7">
            <w:pPr>
              <w:contextualSpacing/>
              <w:jc w:val="both"/>
              <w:rPr>
                <w:rFonts w:ascii="Times New Roman" w:hAnsi="Times New Roman" w:cs="Times New Roman"/>
                <w:b/>
                <w:sz w:val="24"/>
                <w:szCs w:val="24"/>
              </w:rPr>
            </w:pPr>
          </w:p>
        </w:tc>
      </w:tr>
      <w:tr w:rsidR="00191E1A" w:rsidRPr="00C61AA4" w:rsidTr="008D71F9">
        <w:tc>
          <w:tcPr>
            <w:tcW w:w="3069" w:type="dxa"/>
          </w:tcPr>
          <w:p w:rsidR="00191E1A" w:rsidRPr="00C61AA4" w:rsidRDefault="00191E1A" w:rsidP="006346A7">
            <w:pPr>
              <w:contextualSpacing/>
              <w:jc w:val="both"/>
              <w:rPr>
                <w:rFonts w:ascii="Times New Roman" w:hAnsi="Times New Roman"/>
              </w:rPr>
            </w:pPr>
            <w:r w:rsidRPr="00C61AA4">
              <w:rPr>
                <w:rFonts w:ascii="Times New Roman" w:hAnsi="Times New Roman"/>
                <w:b/>
              </w:rPr>
              <w:t>Целевой индикатор 2</w:t>
            </w:r>
          </w:p>
        </w:tc>
        <w:tc>
          <w:tcPr>
            <w:tcW w:w="1846" w:type="dxa"/>
          </w:tcPr>
          <w:p w:rsidR="00191E1A" w:rsidRPr="00C61AA4" w:rsidRDefault="00191E1A" w:rsidP="006346A7">
            <w:pPr>
              <w:contextualSpacing/>
              <w:jc w:val="both"/>
              <w:rPr>
                <w:rFonts w:ascii="Times New Roman" w:hAnsi="Times New Roman"/>
              </w:rPr>
            </w:pPr>
          </w:p>
        </w:tc>
        <w:tc>
          <w:tcPr>
            <w:tcW w:w="1478" w:type="dxa"/>
          </w:tcPr>
          <w:p w:rsidR="00191E1A" w:rsidRPr="00C61AA4" w:rsidRDefault="00191E1A" w:rsidP="006346A7">
            <w:pPr>
              <w:contextualSpacing/>
              <w:jc w:val="both"/>
              <w:rPr>
                <w:rFonts w:ascii="Times New Roman" w:hAnsi="Times New Roman"/>
              </w:rPr>
            </w:pPr>
          </w:p>
        </w:tc>
        <w:tc>
          <w:tcPr>
            <w:tcW w:w="850" w:type="dxa"/>
          </w:tcPr>
          <w:p w:rsidR="00191E1A" w:rsidRPr="00C61AA4" w:rsidRDefault="00191E1A" w:rsidP="006346A7">
            <w:pPr>
              <w:contextualSpacing/>
              <w:jc w:val="both"/>
              <w:rPr>
                <w:rFonts w:ascii="Times New Roman" w:hAnsi="Times New Roman"/>
              </w:rPr>
            </w:pPr>
          </w:p>
        </w:tc>
        <w:tc>
          <w:tcPr>
            <w:tcW w:w="1156" w:type="dxa"/>
          </w:tcPr>
          <w:p w:rsidR="00191E1A" w:rsidRPr="00C61AA4" w:rsidRDefault="00191E1A" w:rsidP="006346A7">
            <w:pPr>
              <w:contextualSpacing/>
              <w:jc w:val="both"/>
              <w:rPr>
                <w:rFonts w:ascii="Times New Roman" w:hAnsi="Times New Roman"/>
              </w:rPr>
            </w:pPr>
          </w:p>
        </w:tc>
        <w:tc>
          <w:tcPr>
            <w:tcW w:w="2022" w:type="dxa"/>
          </w:tcPr>
          <w:p w:rsidR="00191E1A" w:rsidRPr="00C61AA4" w:rsidRDefault="00191E1A" w:rsidP="006346A7">
            <w:pPr>
              <w:contextualSpacing/>
              <w:jc w:val="both"/>
              <w:rPr>
                <w:rFonts w:ascii="Times New Roman" w:hAnsi="Times New Roman" w:cs="Times New Roman"/>
                <w:b/>
                <w:sz w:val="24"/>
                <w:szCs w:val="24"/>
              </w:rPr>
            </w:pPr>
          </w:p>
        </w:tc>
      </w:tr>
      <w:tr w:rsidR="00191E1A" w:rsidRPr="00C61AA4" w:rsidTr="008D71F9">
        <w:tc>
          <w:tcPr>
            <w:tcW w:w="3069" w:type="dxa"/>
          </w:tcPr>
          <w:p w:rsidR="00191E1A" w:rsidRPr="00C61AA4" w:rsidRDefault="00191E1A" w:rsidP="006346A7">
            <w:pPr>
              <w:contextualSpacing/>
              <w:jc w:val="both"/>
              <w:rPr>
                <w:rFonts w:ascii="Times New Roman" w:hAnsi="Times New Roman"/>
              </w:rPr>
            </w:pPr>
            <w:r w:rsidRPr="00C61AA4">
              <w:rPr>
                <w:rFonts w:ascii="Times New Roman" w:hAnsi="Times New Roman"/>
              </w:rPr>
              <w:t>Коэффициент работоспособности СМК за год</w:t>
            </w:r>
          </w:p>
        </w:tc>
        <w:tc>
          <w:tcPr>
            <w:tcW w:w="1846" w:type="dxa"/>
          </w:tcPr>
          <w:p w:rsidR="00191E1A" w:rsidRPr="00C61AA4" w:rsidRDefault="00191E1A" w:rsidP="006346A7">
            <w:pPr>
              <w:contextualSpacing/>
              <w:jc w:val="both"/>
              <w:rPr>
                <w:rFonts w:ascii="Times New Roman" w:hAnsi="Times New Roman"/>
              </w:rPr>
            </w:pPr>
            <w:r w:rsidRPr="00C61AA4">
              <w:rPr>
                <w:rFonts w:ascii="Times New Roman" w:hAnsi="Times New Roman"/>
              </w:rPr>
              <w:t>НБРК</w:t>
            </w:r>
          </w:p>
        </w:tc>
        <w:tc>
          <w:tcPr>
            <w:tcW w:w="1478" w:type="dxa"/>
          </w:tcPr>
          <w:p w:rsidR="00191E1A" w:rsidRPr="00C61AA4" w:rsidRDefault="00191E1A" w:rsidP="006346A7">
            <w:pPr>
              <w:keepNext/>
              <w:keepLines/>
              <w:tabs>
                <w:tab w:val="left" w:pos="900"/>
                <w:tab w:val="left" w:pos="1080"/>
              </w:tabs>
              <w:contextualSpacing/>
              <w:jc w:val="both"/>
              <w:rPr>
                <w:rFonts w:ascii="Times New Roman" w:hAnsi="Times New Roman"/>
              </w:rPr>
            </w:pPr>
            <w:r w:rsidRPr="00C61AA4">
              <w:rPr>
                <w:rFonts w:ascii="Times New Roman" w:hAnsi="Times New Roman"/>
              </w:rPr>
              <w:t>%</w:t>
            </w:r>
          </w:p>
        </w:tc>
        <w:tc>
          <w:tcPr>
            <w:tcW w:w="850" w:type="dxa"/>
          </w:tcPr>
          <w:p w:rsidR="00191E1A" w:rsidRPr="00C61AA4" w:rsidRDefault="00191E1A" w:rsidP="006346A7">
            <w:pPr>
              <w:contextualSpacing/>
              <w:jc w:val="both"/>
              <w:rPr>
                <w:rFonts w:ascii="Times New Roman" w:hAnsi="Times New Roman"/>
              </w:rPr>
            </w:pPr>
            <w:r w:rsidRPr="00C61AA4">
              <w:rPr>
                <w:rFonts w:ascii="Times New Roman" w:hAnsi="Times New Roman"/>
              </w:rPr>
              <w:t xml:space="preserve">Не </w:t>
            </w:r>
          </w:p>
          <w:p w:rsidR="00191E1A" w:rsidRPr="00C61AA4" w:rsidRDefault="00191E1A" w:rsidP="006346A7">
            <w:pPr>
              <w:contextualSpacing/>
              <w:jc w:val="both"/>
              <w:rPr>
                <w:rFonts w:ascii="Times New Roman" w:hAnsi="Times New Roman"/>
              </w:rPr>
            </w:pPr>
            <w:r w:rsidRPr="00C61AA4">
              <w:rPr>
                <w:rFonts w:ascii="Times New Roman" w:hAnsi="Times New Roman"/>
              </w:rPr>
              <w:t>менее 95</w:t>
            </w:r>
          </w:p>
        </w:tc>
        <w:tc>
          <w:tcPr>
            <w:tcW w:w="1156" w:type="dxa"/>
          </w:tcPr>
          <w:p w:rsidR="00191E1A" w:rsidRPr="00C61AA4" w:rsidRDefault="00191E1A" w:rsidP="006346A7">
            <w:pPr>
              <w:contextualSpacing/>
              <w:jc w:val="both"/>
              <w:rPr>
                <w:rFonts w:ascii="Times New Roman" w:hAnsi="Times New Roman"/>
              </w:rPr>
            </w:pPr>
            <w:r w:rsidRPr="00C61AA4">
              <w:rPr>
                <w:rFonts w:ascii="Times New Roman" w:hAnsi="Times New Roman"/>
              </w:rPr>
              <w:t>99,976</w:t>
            </w:r>
          </w:p>
        </w:tc>
        <w:tc>
          <w:tcPr>
            <w:tcW w:w="2022" w:type="dxa"/>
          </w:tcPr>
          <w:p w:rsidR="00191E1A" w:rsidRPr="00C61AA4" w:rsidRDefault="00191E1A" w:rsidP="006346A7">
            <w:pPr>
              <w:contextualSpacing/>
              <w:jc w:val="both"/>
              <w:rPr>
                <w:rFonts w:ascii="Times New Roman" w:hAnsi="Times New Roman" w:cs="Times New Roman"/>
                <w:b/>
                <w:sz w:val="24"/>
                <w:szCs w:val="24"/>
              </w:rPr>
            </w:pPr>
          </w:p>
        </w:tc>
      </w:tr>
      <w:tr w:rsidR="00191E1A" w:rsidRPr="00C61AA4" w:rsidTr="009E2774">
        <w:tc>
          <w:tcPr>
            <w:tcW w:w="10421" w:type="dxa"/>
            <w:gridSpan w:val="6"/>
          </w:tcPr>
          <w:p w:rsidR="00191E1A" w:rsidRPr="00C61AA4" w:rsidRDefault="00191E1A" w:rsidP="006346A7">
            <w:pPr>
              <w:contextualSpacing/>
              <w:jc w:val="center"/>
              <w:rPr>
                <w:rFonts w:ascii="Times New Roman" w:hAnsi="Times New Roman" w:cs="Times New Roman"/>
                <w:b/>
                <w:sz w:val="24"/>
                <w:szCs w:val="24"/>
              </w:rPr>
            </w:pPr>
            <w:r w:rsidRPr="00C61AA4">
              <w:rPr>
                <w:rFonts w:ascii="Times New Roman" w:hAnsi="Times New Roman"/>
                <w:b/>
              </w:rPr>
              <w:t xml:space="preserve">Целевые индикаторы Глобального индекса конкурентоспособности Всемирного Экономического </w:t>
            </w:r>
            <w:r w:rsidRPr="00C61AA4">
              <w:rPr>
                <w:rFonts w:ascii="Times New Roman" w:hAnsi="Times New Roman"/>
                <w:b/>
              </w:rPr>
              <w:lastRenderedPageBreak/>
              <w:t>Форума</w:t>
            </w:r>
          </w:p>
        </w:tc>
      </w:tr>
      <w:tr w:rsidR="00191E1A" w:rsidRPr="00C61AA4" w:rsidTr="008D71F9">
        <w:tc>
          <w:tcPr>
            <w:tcW w:w="3069" w:type="dxa"/>
          </w:tcPr>
          <w:p w:rsidR="00191E1A" w:rsidRPr="00C61AA4" w:rsidRDefault="00191E1A" w:rsidP="006346A7">
            <w:pPr>
              <w:contextualSpacing/>
              <w:jc w:val="both"/>
              <w:rPr>
                <w:rFonts w:ascii="Times New Roman" w:hAnsi="Times New Roman"/>
                <w:b/>
              </w:rPr>
            </w:pPr>
            <w:r w:rsidRPr="00C61AA4">
              <w:rPr>
                <w:rFonts w:ascii="Times New Roman" w:hAnsi="Times New Roman"/>
                <w:b/>
              </w:rPr>
              <w:lastRenderedPageBreak/>
              <w:t>Целевой индикатор 1</w:t>
            </w:r>
          </w:p>
        </w:tc>
        <w:tc>
          <w:tcPr>
            <w:tcW w:w="1846" w:type="dxa"/>
          </w:tcPr>
          <w:p w:rsidR="00191E1A" w:rsidRPr="00C61AA4" w:rsidRDefault="00191E1A" w:rsidP="006346A7">
            <w:pPr>
              <w:contextualSpacing/>
              <w:jc w:val="both"/>
              <w:rPr>
                <w:rFonts w:ascii="Times New Roman" w:hAnsi="Times New Roman"/>
              </w:rPr>
            </w:pPr>
          </w:p>
        </w:tc>
        <w:tc>
          <w:tcPr>
            <w:tcW w:w="1478" w:type="dxa"/>
          </w:tcPr>
          <w:p w:rsidR="00191E1A" w:rsidRPr="00C61AA4" w:rsidRDefault="00191E1A" w:rsidP="006346A7">
            <w:pPr>
              <w:contextualSpacing/>
              <w:jc w:val="both"/>
              <w:rPr>
                <w:rFonts w:ascii="Times New Roman" w:hAnsi="Times New Roman"/>
              </w:rPr>
            </w:pPr>
          </w:p>
        </w:tc>
        <w:tc>
          <w:tcPr>
            <w:tcW w:w="850" w:type="dxa"/>
          </w:tcPr>
          <w:p w:rsidR="00191E1A" w:rsidRPr="00C61AA4" w:rsidRDefault="00191E1A" w:rsidP="006346A7">
            <w:pPr>
              <w:contextualSpacing/>
              <w:jc w:val="both"/>
              <w:rPr>
                <w:rFonts w:ascii="Times New Roman" w:hAnsi="Times New Roman"/>
              </w:rPr>
            </w:pPr>
          </w:p>
        </w:tc>
        <w:tc>
          <w:tcPr>
            <w:tcW w:w="1156" w:type="dxa"/>
          </w:tcPr>
          <w:p w:rsidR="00191E1A" w:rsidRPr="00C61AA4" w:rsidRDefault="00191E1A" w:rsidP="006346A7">
            <w:pPr>
              <w:contextualSpacing/>
              <w:jc w:val="both"/>
              <w:rPr>
                <w:rFonts w:ascii="Times New Roman" w:hAnsi="Times New Roman"/>
              </w:rPr>
            </w:pPr>
          </w:p>
        </w:tc>
        <w:tc>
          <w:tcPr>
            <w:tcW w:w="2022" w:type="dxa"/>
          </w:tcPr>
          <w:p w:rsidR="00191E1A" w:rsidRPr="00C61AA4" w:rsidRDefault="00191E1A" w:rsidP="006346A7">
            <w:pPr>
              <w:contextualSpacing/>
              <w:jc w:val="both"/>
              <w:rPr>
                <w:rFonts w:ascii="Times New Roman" w:hAnsi="Times New Roman"/>
              </w:rPr>
            </w:pPr>
          </w:p>
        </w:tc>
      </w:tr>
      <w:tr w:rsidR="00191E1A" w:rsidRPr="00C61AA4" w:rsidTr="008D71F9">
        <w:tc>
          <w:tcPr>
            <w:tcW w:w="3069" w:type="dxa"/>
          </w:tcPr>
          <w:p w:rsidR="00191E1A" w:rsidRPr="00C61AA4" w:rsidRDefault="00191E1A" w:rsidP="006346A7">
            <w:pPr>
              <w:contextualSpacing/>
              <w:jc w:val="both"/>
              <w:rPr>
                <w:rFonts w:ascii="Times New Roman" w:hAnsi="Times New Roman"/>
              </w:rPr>
            </w:pPr>
            <w:r w:rsidRPr="00C61AA4">
              <w:rPr>
                <w:rFonts w:ascii="Times New Roman" w:hAnsi="Times New Roman"/>
                <w:iCs/>
              </w:rPr>
              <w:t>Общественное доверие политикам</w:t>
            </w:r>
          </w:p>
        </w:tc>
        <w:tc>
          <w:tcPr>
            <w:tcW w:w="1846" w:type="dxa"/>
          </w:tcPr>
          <w:p w:rsidR="00191E1A" w:rsidRPr="00C61AA4" w:rsidRDefault="00191E1A" w:rsidP="006346A7">
            <w:pPr>
              <w:contextualSpacing/>
              <w:jc w:val="both"/>
              <w:rPr>
                <w:rFonts w:ascii="Times New Roman" w:hAnsi="Times New Roman"/>
              </w:rPr>
            </w:pPr>
            <w:r w:rsidRPr="00C61AA4">
              <w:rPr>
                <w:rFonts w:ascii="Times New Roman" w:hAnsi="Times New Roman"/>
              </w:rPr>
              <w:t>Отчет ГИК ВЭФ</w:t>
            </w:r>
          </w:p>
        </w:tc>
        <w:tc>
          <w:tcPr>
            <w:tcW w:w="1478" w:type="dxa"/>
          </w:tcPr>
          <w:p w:rsidR="00191E1A" w:rsidRPr="00C61AA4" w:rsidRDefault="00191E1A" w:rsidP="006346A7">
            <w:pPr>
              <w:keepNext/>
              <w:keepLines/>
              <w:tabs>
                <w:tab w:val="left" w:pos="900"/>
                <w:tab w:val="left" w:pos="1080"/>
              </w:tabs>
              <w:contextualSpacing/>
              <w:jc w:val="both"/>
              <w:rPr>
                <w:rFonts w:ascii="Times New Roman" w:hAnsi="Times New Roman"/>
              </w:rPr>
            </w:pPr>
            <w:r w:rsidRPr="00C61AA4">
              <w:rPr>
                <w:rFonts w:ascii="Times New Roman" w:hAnsi="Times New Roman"/>
              </w:rPr>
              <w:t>Место в рейтинге ГИК ВЭФ</w:t>
            </w:r>
          </w:p>
        </w:tc>
        <w:tc>
          <w:tcPr>
            <w:tcW w:w="850" w:type="dxa"/>
          </w:tcPr>
          <w:p w:rsidR="00191E1A" w:rsidRPr="00C61AA4" w:rsidRDefault="00191E1A" w:rsidP="006346A7">
            <w:pPr>
              <w:keepNext/>
              <w:keepLines/>
              <w:tabs>
                <w:tab w:val="left" w:pos="900"/>
                <w:tab w:val="left" w:pos="1080"/>
              </w:tabs>
              <w:contextualSpacing/>
              <w:jc w:val="both"/>
              <w:rPr>
                <w:rFonts w:ascii="Times New Roman" w:hAnsi="Times New Roman"/>
              </w:rPr>
            </w:pPr>
            <w:r w:rsidRPr="00C61AA4">
              <w:rPr>
                <w:rFonts w:ascii="Times New Roman" w:hAnsi="Times New Roman"/>
              </w:rPr>
              <w:t>29</w:t>
            </w:r>
          </w:p>
        </w:tc>
        <w:tc>
          <w:tcPr>
            <w:tcW w:w="1156" w:type="dxa"/>
          </w:tcPr>
          <w:p w:rsidR="00191E1A" w:rsidRPr="00C61AA4" w:rsidRDefault="00191E1A" w:rsidP="006346A7">
            <w:pPr>
              <w:contextualSpacing/>
              <w:jc w:val="both"/>
              <w:rPr>
                <w:rFonts w:ascii="Times New Roman" w:hAnsi="Times New Roman"/>
              </w:rPr>
            </w:pPr>
            <w:r w:rsidRPr="00C61AA4">
              <w:rPr>
                <w:rFonts w:ascii="Times New Roman" w:hAnsi="Times New Roman"/>
              </w:rPr>
              <w:t>32</w:t>
            </w:r>
          </w:p>
        </w:tc>
        <w:tc>
          <w:tcPr>
            <w:tcW w:w="2022" w:type="dxa"/>
          </w:tcPr>
          <w:p w:rsidR="00191E1A" w:rsidRPr="00C61AA4" w:rsidRDefault="00191E1A" w:rsidP="006346A7">
            <w:pPr>
              <w:contextualSpacing/>
              <w:jc w:val="both"/>
              <w:rPr>
                <w:rFonts w:ascii="Times New Roman" w:hAnsi="Times New Roman"/>
              </w:rPr>
            </w:pPr>
            <w:r w:rsidRPr="00C61AA4">
              <w:rPr>
                <w:rFonts w:ascii="Times New Roman" w:hAnsi="Times New Roman"/>
              </w:rPr>
              <w:t>На занятие указанного фактического места в ГИК ВЭФ оказывают влияние результаты деятельности не только НБРК, но и других государственных и иных органов РК.</w:t>
            </w:r>
          </w:p>
        </w:tc>
      </w:tr>
      <w:tr w:rsidR="00191E1A" w:rsidRPr="00C61AA4" w:rsidTr="008D71F9">
        <w:tc>
          <w:tcPr>
            <w:tcW w:w="3069" w:type="dxa"/>
          </w:tcPr>
          <w:p w:rsidR="00191E1A" w:rsidRPr="00C61AA4" w:rsidRDefault="00191E1A" w:rsidP="006346A7">
            <w:pPr>
              <w:contextualSpacing/>
              <w:jc w:val="both"/>
              <w:rPr>
                <w:rFonts w:ascii="Times New Roman" w:hAnsi="Times New Roman"/>
              </w:rPr>
            </w:pPr>
            <w:r w:rsidRPr="00C61AA4">
              <w:rPr>
                <w:rFonts w:ascii="Times New Roman" w:hAnsi="Times New Roman"/>
                <w:b/>
              </w:rPr>
              <w:t>Целевой индикатор 2</w:t>
            </w:r>
          </w:p>
        </w:tc>
        <w:tc>
          <w:tcPr>
            <w:tcW w:w="1846" w:type="dxa"/>
          </w:tcPr>
          <w:p w:rsidR="00191E1A" w:rsidRPr="00C61AA4" w:rsidRDefault="00191E1A" w:rsidP="006346A7">
            <w:pPr>
              <w:contextualSpacing/>
              <w:jc w:val="both"/>
              <w:rPr>
                <w:rFonts w:ascii="Times New Roman" w:hAnsi="Times New Roman"/>
              </w:rPr>
            </w:pPr>
          </w:p>
        </w:tc>
        <w:tc>
          <w:tcPr>
            <w:tcW w:w="1478" w:type="dxa"/>
          </w:tcPr>
          <w:p w:rsidR="00191E1A" w:rsidRPr="00C61AA4" w:rsidRDefault="00191E1A" w:rsidP="006346A7">
            <w:pPr>
              <w:contextualSpacing/>
              <w:jc w:val="both"/>
              <w:rPr>
                <w:rFonts w:ascii="Times New Roman" w:hAnsi="Times New Roman"/>
              </w:rPr>
            </w:pPr>
          </w:p>
        </w:tc>
        <w:tc>
          <w:tcPr>
            <w:tcW w:w="850" w:type="dxa"/>
          </w:tcPr>
          <w:p w:rsidR="00191E1A" w:rsidRPr="00C61AA4" w:rsidRDefault="00191E1A" w:rsidP="006346A7">
            <w:pPr>
              <w:contextualSpacing/>
              <w:jc w:val="both"/>
              <w:rPr>
                <w:rFonts w:ascii="Times New Roman" w:hAnsi="Times New Roman"/>
              </w:rPr>
            </w:pPr>
          </w:p>
        </w:tc>
        <w:tc>
          <w:tcPr>
            <w:tcW w:w="1156" w:type="dxa"/>
          </w:tcPr>
          <w:p w:rsidR="00191E1A" w:rsidRPr="00C61AA4" w:rsidRDefault="00191E1A" w:rsidP="006346A7">
            <w:pPr>
              <w:contextualSpacing/>
              <w:jc w:val="both"/>
              <w:rPr>
                <w:rFonts w:ascii="Times New Roman" w:hAnsi="Times New Roman"/>
              </w:rPr>
            </w:pPr>
          </w:p>
        </w:tc>
        <w:tc>
          <w:tcPr>
            <w:tcW w:w="2022" w:type="dxa"/>
          </w:tcPr>
          <w:p w:rsidR="00191E1A" w:rsidRPr="00C61AA4" w:rsidRDefault="00191E1A" w:rsidP="006346A7">
            <w:pPr>
              <w:contextualSpacing/>
              <w:jc w:val="both"/>
              <w:rPr>
                <w:rFonts w:ascii="Times New Roman" w:hAnsi="Times New Roman"/>
              </w:rPr>
            </w:pPr>
          </w:p>
        </w:tc>
      </w:tr>
      <w:tr w:rsidR="00191E1A" w:rsidRPr="00C61AA4" w:rsidTr="008D71F9">
        <w:tc>
          <w:tcPr>
            <w:tcW w:w="3069" w:type="dxa"/>
          </w:tcPr>
          <w:p w:rsidR="00191E1A" w:rsidRPr="00C61AA4" w:rsidRDefault="00191E1A" w:rsidP="006346A7">
            <w:pPr>
              <w:contextualSpacing/>
              <w:jc w:val="both"/>
              <w:rPr>
                <w:rFonts w:ascii="Times New Roman" w:hAnsi="Times New Roman"/>
              </w:rPr>
            </w:pPr>
            <w:r w:rsidRPr="00C61AA4">
              <w:rPr>
                <w:rFonts w:ascii="Times New Roman" w:hAnsi="Times New Roman"/>
              </w:rPr>
              <w:t>Фаворитизм в решениях чиновников</w:t>
            </w:r>
          </w:p>
        </w:tc>
        <w:tc>
          <w:tcPr>
            <w:tcW w:w="1846" w:type="dxa"/>
          </w:tcPr>
          <w:p w:rsidR="00191E1A" w:rsidRPr="00C61AA4" w:rsidRDefault="00191E1A" w:rsidP="006346A7">
            <w:pPr>
              <w:contextualSpacing/>
              <w:jc w:val="both"/>
              <w:rPr>
                <w:rFonts w:ascii="Times New Roman" w:hAnsi="Times New Roman"/>
              </w:rPr>
            </w:pPr>
            <w:r w:rsidRPr="00C61AA4">
              <w:rPr>
                <w:rFonts w:ascii="Times New Roman" w:hAnsi="Times New Roman"/>
              </w:rPr>
              <w:t>Отчет ГИК ВЭФ</w:t>
            </w:r>
          </w:p>
        </w:tc>
        <w:tc>
          <w:tcPr>
            <w:tcW w:w="1478" w:type="dxa"/>
          </w:tcPr>
          <w:p w:rsidR="00191E1A" w:rsidRPr="00C61AA4" w:rsidRDefault="00191E1A" w:rsidP="006346A7">
            <w:pPr>
              <w:keepNext/>
              <w:keepLines/>
              <w:tabs>
                <w:tab w:val="left" w:pos="900"/>
                <w:tab w:val="left" w:pos="1080"/>
              </w:tabs>
              <w:contextualSpacing/>
              <w:jc w:val="both"/>
              <w:rPr>
                <w:rFonts w:ascii="Times New Roman" w:hAnsi="Times New Roman"/>
              </w:rPr>
            </w:pPr>
            <w:r w:rsidRPr="00C61AA4">
              <w:rPr>
                <w:rFonts w:ascii="Times New Roman" w:hAnsi="Times New Roman"/>
              </w:rPr>
              <w:t>Место в рейтинге ГИК ВЭФ</w:t>
            </w:r>
          </w:p>
        </w:tc>
        <w:tc>
          <w:tcPr>
            <w:tcW w:w="850" w:type="dxa"/>
          </w:tcPr>
          <w:p w:rsidR="00191E1A" w:rsidRPr="00C61AA4" w:rsidRDefault="00191E1A" w:rsidP="006346A7">
            <w:pPr>
              <w:contextualSpacing/>
              <w:jc w:val="both"/>
              <w:rPr>
                <w:rFonts w:ascii="Times New Roman" w:hAnsi="Times New Roman"/>
              </w:rPr>
            </w:pPr>
            <w:r w:rsidRPr="00C61AA4">
              <w:rPr>
                <w:rFonts w:ascii="Times New Roman" w:hAnsi="Times New Roman"/>
              </w:rPr>
              <w:t>48</w:t>
            </w:r>
          </w:p>
        </w:tc>
        <w:tc>
          <w:tcPr>
            <w:tcW w:w="1156" w:type="dxa"/>
          </w:tcPr>
          <w:p w:rsidR="00191E1A" w:rsidRPr="00C61AA4" w:rsidRDefault="00191E1A" w:rsidP="006346A7">
            <w:pPr>
              <w:contextualSpacing/>
              <w:jc w:val="both"/>
              <w:rPr>
                <w:rFonts w:ascii="Times New Roman" w:hAnsi="Times New Roman"/>
              </w:rPr>
            </w:pPr>
            <w:r w:rsidRPr="00C61AA4">
              <w:rPr>
                <w:rFonts w:ascii="Times New Roman" w:hAnsi="Times New Roman"/>
              </w:rPr>
              <w:t>55</w:t>
            </w:r>
          </w:p>
        </w:tc>
        <w:tc>
          <w:tcPr>
            <w:tcW w:w="2022" w:type="dxa"/>
          </w:tcPr>
          <w:p w:rsidR="00191E1A" w:rsidRPr="00C61AA4" w:rsidRDefault="00191E1A" w:rsidP="006346A7">
            <w:pPr>
              <w:contextualSpacing/>
              <w:jc w:val="both"/>
              <w:rPr>
                <w:rFonts w:ascii="Times New Roman" w:hAnsi="Times New Roman"/>
              </w:rPr>
            </w:pPr>
            <w:r w:rsidRPr="00C61AA4">
              <w:rPr>
                <w:rFonts w:ascii="Times New Roman" w:hAnsi="Times New Roman"/>
              </w:rPr>
              <w:t>На занятие указанного фактического места в ГИК ВЭФ оказывают влияние результаты деятельности не только НБРК, но и других государственных и иных органов РК.</w:t>
            </w:r>
          </w:p>
        </w:tc>
      </w:tr>
      <w:tr w:rsidR="00191E1A" w:rsidRPr="00C61AA4" w:rsidTr="008D71F9">
        <w:tc>
          <w:tcPr>
            <w:tcW w:w="3069" w:type="dxa"/>
          </w:tcPr>
          <w:p w:rsidR="00191E1A" w:rsidRPr="00C61AA4" w:rsidRDefault="00191E1A" w:rsidP="006346A7">
            <w:pPr>
              <w:contextualSpacing/>
              <w:jc w:val="both"/>
              <w:rPr>
                <w:rFonts w:ascii="Times New Roman" w:hAnsi="Times New Roman"/>
              </w:rPr>
            </w:pPr>
            <w:r w:rsidRPr="00C61AA4">
              <w:rPr>
                <w:rFonts w:ascii="Times New Roman" w:hAnsi="Times New Roman"/>
                <w:b/>
              </w:rPr>
              <w:t>Целевой индикатор 3</w:t>
            </w:r>
          </w:p>
        </w:tc>
        <w:tc>
          <w:tcPr>
            <w:tcW w:w="1846" w:type="dxa"/>
          </w:tcPr>
          <w:p w:rsidR="00191E1A" w:rsidRPr="00C61AA4" w:rsidRDefault="00191E1A" w:rsidP="006346A7">
            <w:pPr>
              <w:contextualSpacing/>
              <w:jc w:val="both"/>
              <w:rPr>
                <w:rFonts w:ascii="Times New Roman" w:hAnsi="Times New Roman"/>
              </w:rPr>
            </w:pPr>
          </w:p>
        </w:tc>
        <w:tc>
          <w:tcPr>
            <w:tcW w:w="1478" w:type="dxa"/>
          </w:tcPr>
          <w:p w:rsidR="00191E1A" w:rsidRPr="00C61AA4" w:rsidRDefault="00191E1A" w:rsidP="006346A7">
            <w:pPr>
              <w:contextualSpacing/>
              <w:jc w:val="both"/>
              <w:rPr>
                <w:rFonts w:ascii="Times New Roman" w:hAnsi="Times New Roman"/>
              </w:rPr>
            </w:pPr>
          </w:p>
        </w:tc>
        <w:tc>
          <w:tcPr>
            <w:tcW w:w="850" w:type="dxa"/>
          </w:tcPr>
          <w:p w:rsidR="00191E1A" w:rsidRPr="00C61AA4" w:rsidRDefault="00191E1A" w:rsidP="006346A7">
            <w:pPr>
              <w:contextualSpacing/>
              <w:jc w:val="both"/>
              <w:rPr>
                <w:rFonts w:ascii="Times New Roman" w:hAnsi="Times New Roman"/>
              </w:rPr>
            </w:pPr>
          </w:p>
        </w:tc>
        <w:tc>
          <w:tcPr>
            <w:tcW w:w="1156" w:type="dxa"/>
          </w:tcPr>
          <w:p w:rsidR="00191E1A" w:rsidRPr="00C61AA4" w:rsidRDefault="00191E1A" w:rsidP="006346A7">
            <w:pPr>
              <w:contextualSpacing/>
              <w:jc w:val="both"/>
              <w:rPr>
                <w:rFonts w:ascii="Times New Roman" w:hAnsi="Times New Roman"/>
              </w:rPr>
            </w:pPr>
          </w:p>
        </w:tc>
        <w:tc>
          <w:tcPr>
            <w:tcW w:w="2022" w:type="dxa"/>
          </w:tcPr>
          <w:p w:rsidR="00191E1A" w:rsidRPr="00C61AA4" w:rsidRDefault="00191E1A" w:rsidP="006346A7">
            <w:pPr>
              <w:contextualSpacing/>
              <w:jc w:val="both"/>
              <w:rPr>
                <w:rFonts w:ascii="Times New Roman" w:hAnsi="Times New Roman" w:cs="Times New Roman"/>
                <w:b/>
                <w:sz w:val="24"/>
                <w:szCs w:val="24"/>
              </w:rPr>
            </w:pPr>
          </w:p>
        </w:tc>
      </w:tr>
      <w:tr w:rsidR="00191E1A" w:rsidRPr="00C61AA4" w:rsidTr="008D71F9">
        <w:tc>
          <w:tcPr>
            <w:tcW w:w="3069" w:type="dxa"/>
          </w:tcPr>
          <w:p w:rsidR="00191E1A" w:rsidRPr="00C61AA4" w:rsidRDefault="00191E1A" w:rsidP="006346A7">
            <w:pPr>
              <w:contextualSpacing/>
              <w:jc w:val="both"/>
              <w:rPr>
                <w:rFonts w:ascii="Times New Roman" w:hAnsi="Times New Roman"/>
              </w:rPr>
            </w:pPr>
            <w:r w:rsidRPr="00C61AA4">
              <w:rPr>
                <w:rFonts w:ascii="Times New Roman" w:hAnsi="Times New Roman"/>
              </w:rPr>
              <w:t>Прозрачность принятия решений в госсекторе</w:t>
            </w:r>
          </w:p>
        </w:tc>
        <w:tc>
          <w:tcPr>
            <w:tcW w:w="1846" w:type="dxa"/>
          </w:tcPr>
          <w:p w:rsidR="00191E1A" w:rsidRPr="00C61AA4" w:rsidRDefault="00191E1A" w:rsidP="006346A7">
            <w:pPr>
              <w:contextualSpacing/>
              <w:jc w:val="both"/>
              <w:rPr>
                <w:rFonts w:ascii="Times New Roman" w:hAnsi="Times New Roman"/>
              </w:rPr>
            </w:pPr>
            <w:r w:rsidRPr="00C61AA4">
              <w:rPr>
                <w:rFonts w:ascii="Times New Roman" w:hAnsi="Times New Roman"/>
              </w:rPr>
              <w:t>Отчет ГИК ВЭФ</w:t>
            </w:r>
          </w:p>
        </w:tc>
        <w:tc>
          <w:tcPr>
            <w:tcW w:w="1478" w:type="dxa"/>
          </w:tcPr>
          <w:p w:rsidR="00191E1A" w:rsidRPr="00C61AA4" w:rsidRDefault="00191E1A" w:rsidP="006346A7">
            <w:pPr>
              <w:keepNext/>
              <w:keepLines/>
              <w:tabs>
                <w:tab w:val="left" w:pos="900"/>
                <w:tab w:val="left" w:pos="1080"/>
              </w:tabs>
              <w:contextualSpacing/>
              <w:jc w:val="both"/>
              <w:rPr>
                <w:rFonts w:ascii="Times New Roman" w:hAnsi="Times New Roman"/>
              </w:rPr>
            </w:pPr>
            <w:r w:rsidRPr="00C61AA4">
              <w:rPr>
                <w:rFonts w:ascii="Times New Roman" w:hAnsi="Times New Roman"/>
              </w:rPr>
              <w:t>Место в рейтинге ГИК ВЭФ</w:t>
            </w:r>
          </w:p>
        </w:tc>
        <w:tc>
          <w:tcPr>
            <w:tcW w:w="850" w:type="dxa"/>
          </w:tcPr>
          <w:p w:rsidR="00191E1A" w:rsidRPr="00C61AA4" w:rsidRDefault="00191E1A" w:rsidP="006346A7">
            <w:pPr>
              <w:contextualSpacing/>
              <w:jc w:val="both"/>
              <w:rPr>
                <w:rFonts w:ascii="Times New Roman" w:hAnsi="Times New Roman"/>
              </w:rPr>
            </w:pPr>
            <w:r w:rsidRPr="00C61AA4">
              <w:rPr>
                <w:rFonts w:ascii="Times New Roman" w:hAnsi="Times New Roman"/>
              </w:rPr>
              <w:t>30</w:t>
            </w:r>
          </w:p>
        </w:tc>
        <w:tc>
          <w:tcPr>
            <w:tcW w:w="1156" w:type="dxa"/>
          </w:tcPr>
          <w:p w:rsidR="00191E1A" w:rsidRPr="00C61AA4" w:rsidRDefault="00191E1A" w:rsidP="006346A7">
            <w:pPr>
              <w:contextualSpacing/>
              <w:jc w:val="both"/>
              <w:rPr>
                <w:rFonts w:ascii="Times New Roman" w:hAnsi="Times New Roman"/>
              </w:rPr>
            </w:pPr>
            <w:r w:rsidRPr="00C61AA4">
              <w:rPr>
                <w:rFonts w:ascii="Times New Roman" w:hAnsi="Times New Roman"/>
              </w:rPr>
              <w:t>29</w:t>
            </w:r>
          </w:p>
        </w:tc>
        <w:tc>
          <w:tcPr>
            <w:tcW w:w="2022" w:type="dxa"/>
          </w:tcPr>
          <w:p w:rsidR="00191E1A" w:rsidRPr="00C61AA4" w:rsidRDefault="00191E1A" w:rsidP="006346A7">
            <w:pPr>
              <w:contextualSpacing/>
              <w:jc w:val="both"/>
              <w:rPr>
                <w:rFonts w:ascii="Times New Roman" w:hAnsi="Times New Roman" w:cs="Times New Roman"/>
                <w:b/>
                <w:sz w:val="24"/>
                <w:szCs w:val="24"/>
              </w:rPr>
            </w:pPr>
          </w:p>
        </w:tc>
      </w:tr>
    </w:tbl>
    <w:p w:rsidR="00C97C57" w:rsidRPr="00C61AA4" w:rsidRDefault="00C97C57" w:rsidP="006346A7">
      <w:pPr>
        <w:spacing w:line="240" w:lineRule="auto"/>
        <w:contextualSpacing/>
        <w:jc w:val="center"/>
        <w:rPr>
          <w:rFonts w:ascii="Times New Roman" w:hAnsi="Times New Roman"/>
          <w:b/>
          <w:sz w:val="24"/>
          <w:szCs w:val="24"/>
        </w:rPr>
      </w:pPr>
    </w:p>
    <w:p w:rsidR="00C97C57" w:rsidRPr="00C61AA4" w:rsidRDefault="00C97C57" w:rsidP="006346A7">
      <w:pPr>
        <w:spacing w:line="240" w:lineRule="auto"/>
        <w:contextualSpacing/>
        <w:jc w:val="center"/>
        <w:rPr>
          <w:rFonts w:ascii="Times New Roman" w:hAnsi="Times New Roman"/>
          <w:b/>
          <w:sz w:val="24"/>
          <w:szCs w:val="24"/>
        </w:rPr>
      </w:pPr>
    </w:p>
    <w:p w:rsidR="00C97C57" w:rsidRPr="00C61AA4" w:rsidRDefault="00C97C57" w:rsidP="006346A7">
      <w:pPr>
        <w:spacing w:line="240" w:lineRule="auto"/>
        <w:contextualSpacing/>
        <w:jc w:val="center"/>
        <w:rPr>
          <w:rFonts w:ascii="Times New Roman" w:hAnsi="Times New Roman"/>
          <w:b/>
          <w:sz w:val="24"/>
          <w:szCs w:val="24"/>
        </w:rPr>
      </w:pPr>
    </w:p>
    <w:p w:rsidR="00C97C57" w:rsidRPr="00C61AA4" w:rsidRDefault="00C97C57" w:rsidP="006346A7">
      <w:pPr>
        <w:spacing w:line="240" w:lineRule="auto"/>
        <w:contextualSpacing/>
        <w:jc w:val="center"/>
        <w:rPr>
          <w:rFonts w:ascii="Times New Roman" w:hAnsi="Times New Roman"/>
          <w:b/>
          <w:sz w:val="24"/>
          <w:szCs w:val="24"/>
        </w:rPr>
      </w:pPr>
    </w:p>
    <w:p w:rsidR="00C97C57" w:rsidRPr="00C61AA4" w:rsidRDefault="00C97C57" w:rsidP="006346A7">
      <w:pPr>
        <w:spacing w:line="240" w:lineRule="auto"/>
        <w:contextualSpacing/>
        <w:jc w:val="center"/>
        <w:rPr>
          <w:rFonts w:ascii="Times New Roman" w:hAnsi="Times New Roman"/>
          <w:b/>
          <w:sz w:val="24"/>
          <w:szCs w:val="24"/>
        </w:rPr>
      </w:pPr>
    </w:p>
    <w:p w:rsidR="00576A60" w:rsidRPr="00C61AA4" w:rsidRDefault="00576A60" w:rsidP="006346A7">
      <w:pPr>
        <w:spacing w:line="240" w:lineRule="auto"/>
        <w:contextualSpacing/>
        <w:jc w:val="center"/>
        <w:rPr>
          <w:rFonts w:ascii="Times New Roman" w:hAnsi="Times New Roman"/>
          <w:b/>
          <w:sz w:val="24"/>
          <w:szCs w:val="24"/>
        </w:rPr>
      </w:pPr>
    </w:p>
    <w:p w:rsidR="00576A60" w:rsidRPr="00C61AA4" w:rsidRDefault="00576A60" w:rsidP="006346A7">
      <w:pPr>
        <w:spacing w:line="240" w:lineRule="auto"/>
        <w:contextualSpacing/>
        <w:jc w:val="center"/>
        <w:rPr>
          <w:rFonts w:ascii="Times New Roman" w:hAnsi="Times New Roman"/>
          <w:b/>
          <w:sz w:val="24"/>
          <w:szCs w:val="24"/>
        </w:rPr>
      </w:pPr>
    </w:p>
    <w:p w:rsidR="00576A60" w:rsidRPr="00C61AA4" w:rsidRDefault="00576A60" w:rsidP="006346A7">
      <w:pPr>
        <w:spacing w:line="240" w:lineRule="auto"/>
        <w:contextualSpacing/>
        <w:jc w:val="center"/>
        <w:rPr>
          <w:rFonts w:ascii="Times New Roman" w:hAnsi="Times New Roman"/>
          <w:b/>
          <w:sz w:val="24"/>
          <w:szCs w:val="24"/>
        </w:rPr>
      </w:pPr>
    </w:p>
    <w:p w:rsidR="00576A60" w:rsidRPr="00C61AA4" w:rsidRDefault="00576A60" w:rsidP="006346A7">
      <w:pPr>
        <w:spacing w:line="240" w:lineRule="auto"/>
        <w:contextualSpacing/>
        <w:jc w:val="center"/>
        <w:rPr>
          <w:rFonts w:ascii="Times New Roman" w:hAnsi="Times New Roman"/>
          <w:b/>
          <w:sz w:val="24"/>
          <w:szCs w:val="24"/>
        </w:rPr>
      </w:pPr>
    </w:p>
    <w:p w:rsidR="00576A60" w:rsidRPr="00C61AA4" w:rsidRDefault="00576A60" w:rsidP="006346A7">
      <w:pPr>
        <w:spacing w:line="240" w:lineRule="auto"/>
        <w:contextualSpacing/>
        <w:jc w:val="center"/>
        <w:rPr>
          <w:rFonts w:ascii="Times New Roman" w:hAnsi="Times New Roman"/>
          <w:b/>
          <w:sz w:val="24"/>
          <w:szCs w:val="24"/>
        </w:rPr>
      </w:pPr>
    </w:p>
    <w:p w:rsidR="00576A60" w:rsidRPr="00C61AA4" w:rsidRDefault="00576A60" w:rsidP="006346A7">
      <w:pPr>
        <w:spacing w:line="240" w:lineRule="auto"/>
        <w:contextualSpacing/>
        <w:jc w:val="center"/>
        <w:rPr>
          <w:rFonts w:ascii="Times New Roman" w:hAnsi="Times New Roman"/>
          <w:b/>
          <w:sz w:val="24"/>
          <w:szCs w:val="24"/>
        </w:rPr>
      </w:pPr>
    </w:p>
    <w:p w:rsidR="00576A60" w:rsidRPr="00C61AA4" w:rsidRDefault="00576A60" w:rsidP="006346A7">
      <w:pPr>
        <w:spacing w:line="240" w:lineRule="auto"/>
        <w:contextualSpacing/>
        <w:jc w:val="center"/>
        <w:rPr>
          <w:rFonts w:ascii="Times New Roman" w:hAnsi="Times New Roman"/>
          <w:b/>
          <w:sz w:val="24"/>
          <w:szCs w:val="24"/>
        </w:rPr>
      </w:pPr>
    </w:p>
    <w:p w:rsidR="00576A60" w:rsidRPr="00C61AA4" w:rsidRDefault="00576A60" w:rsidP="006346A7">
      <w:pPr>
        <w:spacing w:line="240" w:lineRule="auto"/>
        <w:contextualSpacing/>
        <w:jc w:val="center"/>
        <w:rPr>
          <w:rFonts w:ascii="Times New Roman" w:hAnsi="Times New Roman"/>
          <w:b/>
          <w:sz w:val="24"/>
          <w:szCs w:val="24"/>
        </w:rPr>
      </w:pPr>
    </w:p>
    <w:p w:rsidR="00576A60" w:rsidRPr="00C61AA4" w:rsidRDefault="00576A60" w:rsidP="006346A7">
      <w:pPr>
        <w:spacing w:line="240" w:lineRule="auto"/>
        <w:contextualSpacing/>
        <w:jc w:val="center"/>
        <w:rPr>
          <w:rFonts w:ascii="Times New Roman" w:hAnsi="Times New Roman"/>
          <w:b/>
          <w:sz w:val="24"/>
          <w:szCs w:val="24"/>
        </w:rPr>
      </w:pPr>
    </w:p>
    <w:p w:rsidR="00576A60" w:rsidRPr="00C61AA4" w:rsidRDefault="00576A60" w:rsidP="006346A7">
      <w:pPr>
        <w:spacing w:line="240" w:lineRule="auto"/>
        <w:contextualSpacing/>
        <w:jc w:val="center"/>
        <w:rPr>
          <w:rFonts w:ascii="Times New Roman" w:hAnsi="Times New Roman"/>
          <w:b/>
          <w:sz w:val="24"/>
          <w:szCs w:val="24"/>
        </w:rPr>
      </w:pPr>
    </w:p>
    <w:p w:rsidR="00576A60" w:rsidRPr="00C61AA4" w:rsidRDefault="00576A60" w:rsidP="006346A7">
      <w:pPr>
        <w:spacing w:line="240" w:lineRule="auto"/>
        <w:contextualSpacing/>
        <w:jc w:val="center"/>
        <w:rPr>
          <w:rFonts w:ascii="Times New Roman" w:hAnsi="Times New Roman"/>
          <w:b/>
          <w:sz w:val="24"/>
          <w:szCs w:val="24"/>
        </w:rPr>
      </w:pPr>
    </w:p>
    <w:p w:rsidR="00576A60" w:rsidRPr="00C61AA4" w:rsidRDefault="00576A60" w:rsidP="006346A7">
      <w:pPr>
        <w:spacing w:line="240" w:lineRule="auto"/>
        <w:contextualSpacing/>
        <w:jc w:val="center"/>
        <w:rPr>
          <w:rFonts w:ascii="Times New Roman" w:hAnsi="Times New Roman"/>
          <w:b/>
          <w:sz w:val="24"/>
          <w:szCs w:val="24"/>
        </w:rPr>
      </w:pPr>
    </w:p>
    <w:p w:rsidR="00576A60" w:rsidRPr="00C61AA4" w:rsidRDefault="00576A60" w:rsidP="006346A7">
      <w:pPr>
        <w:spacing w:line="240" w:lineRule="auto"/>
        <w:contextualSpacing/>
        <w:jc w:val="center"/>
        <w:rPr>
          <w:rFonts w:ascii="Times New Roman" w:hAnsi="Times New Roman"/>
          <w:b/>
          <w:sz w:val="24"/>
          <w:szCs w:val="24"/>
        </w:rPr>
      </w:pPr>
    </w:p>
    <w:p w:rsidR="00576A60" w:rsidRPr="00C61AA4" w:rsidRDefault="00576A60" w:rsidP="006346A7">
      <w:pPr>
        <w:spacing w:line="240" w:lineRule="auto"/>
        <w:contextualSpacing/>
        <w:jc w:val="center"/>
        <w:rPr>
          <w:rFonts w:ascii="Times New Roman" w:hAnsi="Times New Roman"/>
          <w:b/>
          <w:sz w:val="24"/>
          <w:szCs w:val="24"/>
        </w:rPr>
      </w:pPr>
    </w:p>
    <w:p w:rsidR="00576A60" w:rsidRPr="00C61AA4" w:rsidRDefault="00576A60" w:rsidP="006346A7">
      <w:pPr>
        <w:spacing w:line="240" w:lineRule="auto"/>
        <w:contextualSpacing/>
        <w:jc w:val="center"/>
        <w:rPr>
          <w:rFonts w:ascii="Times New Roman" w:hAnsi="Times New Roman"/>
          <w:b/>
          <w:sz w:val="24"/>
          <w:szCs w:val="24"/>
        </w:rPr>
      </w:pPr>
    </w:p>
    <w:p w:rsidR="00576A60" w:rsidRPr="00C61AA4" w:rsidRDefault="00576A60" w:rsidP="006346A7">
      <w:pPr>
        <w:spacing w:line="240" w:lineRule="auto"/>
        <w:contextualSpacing/>
        <w:jc w:val="center"/>
        <w:rPr>
          <w:rFonts w:ascii="Times New Roman" w:hAnsi="Times New Roman"/>
          <w:b/>
          <w:sz w:val="24"/>
          <w:szCs w:val="24"/>
        </w:rPr>
      </w:pPr>
    </w:p>
    <w:p w:rsidR="004C09F5" w:rsidRPr="00C61AA4" w:rsidRDefault="004C09F5" w:rsidP="006346A7">
      <w:pPr>
        <w:spacing w:line="240" w:lineRule="auto"/>
        <w:contextualSpacing/>
        <w:jc w:val="center"/>
        <w:rPr>
          <w:rFonts w:ascii="Times New Roman" w:hAnsi="Times New Roman"/>
          <w:b/>
          <w:sz w:val="24"/>
          <w:szCs w:val="24"/>
        </w:rPr>
      </w:pPr>
    </w:p>
    <w:p w:rsidR="006346A7" w:rsidRPr="00C61AA4" w:rsidRDefault="006346A7" w:rsidP="006346A7">
      <w:pPr>
        <w:spacing w:line="240" w:lineRule="auto"/>
        <w:contextualSpacing/>
        <w:jc w:val="center"/>
        <w:rPr>
          <w:rFonts w:ascii="Times New Roman" w:hAnsi="Times New Roman"/>
          <w:b/>
          <w:sz w:val="24"/>
          <w:szCs w:val="24"/>
        </w:rPr>
      </w:pPr>
      <w:r w:rsidRPr="00C61AA4">
        <w:rPr>
          <w:rFonts w:ascii="Times New Roman" w:hAnsi="Times New Roman"/>
          <w:b/>
          <w:sz w:val="24"/>
          <w:szCs w:val="24"/>
        </w:rPr>
        <w:lastRenderedPageBreak/>
        <w:t>Аналитическая записка</w:t>
      </w:r>
    </w:p>
    <w:p w:rsidR="006346A7" w:rsidRPr="00C61AA4" w:rsidRDefault="006346A7" w:rsidP="006346A7">
      <w:pPr>
        <w:spacing w:line="240" w:lineRule="auto"/>
        <w:contextualSpacing/>
        <w:jc w:val="center"/>
        <w:rPr>
          <w:rFonts w:ascii="Times New Roman" w:hAnsi="Times New Roman"/>
          <w:color w:val="000000"/>
          <w:sz w:val="24"/>
          <w:szCs w:val="24"/>
        </w:rPr>
      </w:pPr>
      <w:r w:rsidRPr="00C61AA4">
        <w:rPr>
          <w:rFonts w:ascii="Times New Roman" w:hAnsi="Times New Roman"/>
          <w:color w:val="000000"/>
          <w:sz w:val="24"/>
          <w:szCs w:val="24"/>
        </w:rPr>
        <w:t>к отчету о реализации Стратегического плана</w:t>
      </w:r>
    </w:p>
    <w:p w:rsidR="006346A7" w:rsidRPr="00C61AA4" w:rsidRDefault="006346A7" w:rsidP="006346A7">
      <w:pPr>
        <w:spacing w:line="240" w:lineRule="auto"/>
        <w:contextualSpacing/>
        <w:jc w:val="center"/>
        <w:rPr>
          <w:rFonts w:ascii="Times New Roman" w:hAnsi="Times New Roman"/>
          <w:color w:val="000000"/>
          <w:sz w:val="24"/>
          <w:szCs w:val="24"/>
        </w:rPr>
      </w:pPr>
      <w:r w:rsidRPr="00C61AA4">
        <w:rPr>
          <w:rFonts w:ascii="Times New Roman" w:hAnsi="Times New Roman"/>
          <w:color w:val="000000"/>
          <w:sz w:val="24"/>
          <w:szCs w:val="24"/>
        </w:rPr>
        <w:t>Национального Банка Республики Казахстан на 2014-2018 годы</w:t>
      </w:r>
    </w:p>
    <w:p w:rsidR="006346A7" w:rsidRPr="00C61AA4" w:rsidRDefault="006346A7" w:rsidP="006346A7">
      <w:pPr>
        <w:spacing w:line="240" w:lineRule="auto"/>
        <w:contextualSpacing/>
        <w:jc w:val="center"/>
        <w:rPr>
          <w:rFonts w:ascii="Times New Roman" w:hAnsi="Times New Roman"/>
          <w:b/>
          <w:color w:val="000000"/>
          <w:sz w:val="24"/>
          <w:szCs w:val="24"/>
        </w:rPr>
      </w:pPr>
      <w:r w:rsidRPr="00C61AA4">
        <w:rPr>
          <w:rFonts w:ascii="Times New Roman" w:hAnsi="Times New Roman"/>
          <w:color w:val="000000"/>
          <w:sz w:val="24"/>
          <w:szCs w:val="24"/>
        </w:rPr>
        <w:t>за 2016 год</w:t>
      </w:r>
    </w:p>
    <w:p w:rsidR="006346A7" w:rsidRPr="00C61AA4" w:rsidRDefault="006346A7" w:rsidP="006346A7">
      <w:pPr>
        <w:spacing w:line="240" w:lineRule="auto"/>
        <w:contextualSpacing/>
        <w:jc w:val="center"/>
        <w:rPr>
          <w:rFonts w:ascii="Times New Roman" w:hAnsi="Times New Roman" w:cs="Times New Roman"/>
          <w:b/>
          <w:sz w:val="24"/>
          <w:szCs w:val="24"/>
        </w:rPr>
      </w:pPr>
    </w:p>
    <w:p w:rsidR="006346A7" w:rsidRPr="00C61AA4" w:rsidRDefault="006346A7" w:rsidP="006346A7">
      <w:pPr>
        <w:spacing w:line="240" w:lineRule="auto"/>
        <w:contextualSpacing/>
        <w:jc w:val="center"/>
        <w:rPr>
          <w:rFonts w:ascii="Times New Roman" w:hAnsi="Times New Roman"/>
          <w:b/>
          <w:sz w:val="24"/>
          <w:szCs w:val="24"/>
        </w:rPr>
      </w:pPr>
      <w:r w:rsidRPr="00C61AA4">
        <w:rPr>
          <w:rFonts w:ascii="Times New Roman" w:hAnsi="Times New Roman"/>
          <w:b/>
          <w:sz w:val="24"/>
          <w:szCs w:val="24"/>
        </w:rPr>
        <w:t>Раздел 1. Анализ управления рисками</w:t>
      </w:r>
    </w:p>
    <w:p w:rsidR="006346A7" w:rsidRPr="00C61AA4" w:rsidRDefault="006346A7" w:rsidP="006346A7">
      <w:pPr>
        <w:spacing w:line="240" w:lineRule="auto"/>
        <w:ind w:firstLine="709"/>
        <w:contextualSpacing/>
        <w:jc w:val="both"/>
        <w:rPr>
          <w:rFonts w:ascii="Times New Roman" w:hAnsi="Times New Roman"/>
          <w:b/>
          <w:i/>
          <w:sz w:val="24"/>
          <w:szCs w:val="24"/>
        </w:rPr>
      </w:pPr>
    </w:p>
    <w:p w:rsidR="006346A7" w:rsidRPr="00C61AA4" w:rsidRDefault="006346A7" w:rsidP="006346A7">
      <w:pPr>
        <w:spacing w:line="240" w:lineRule="auto"/>
        <w:ind w:firstLine="709"/>
        <w:contextualSpacing/>
        <w:jc w:val="both"/>
        <w:rPr>
          <w:rFonts w:ascii="Times New Roman" w:hAnsi="Times New Roman"/>
          <w:b/>
          <w:i/>
          <w:sz w:val="24"/>
          <w:szCs w:val="24"/>
        </w:rPr>
      </w:pPr>
      <w:r w:rsidRPr="00C61AA4">
        <w:rPr>
          <w:rFonts w:ascii="Times New Roman" w:hAnsi="Times New Roman"/>
          <w:b/>
          <w:i/>
          <w:sz w:val="24"/>
          <w:szCs w:val="24"/>
        </w:rPr>
        <w:t>Нестабильная ценовая ситуация на мировых товарных рынках.</w:t>
      </w:r>
    </w:p>
    <w:p w:rsidR="006346A7" w:rsidRPr="00C61AA4" w:rsidRDefault="006346A7" w:rsidP="006346A7">
      <w:pPr>
        <w:spacing w:line="240" w:lineRule="auto"/>
        <w:ind w:firstLine="709"/>
        <w:contextualSpacing/>
        <w:jc w:val="both"/>
        <w:rPr>
          <w:rFonts w:ascii="Times New Roman" w:hAnsi="Times New Roman"/>
          <w:b/>
          <w:i/>
          <w:sz w:val="24"/>
          <w:szCs w:val="24"/>
        </w:rPr>
      </w:pPr>
      <w:r w:rsidRPr="00C61AA4">
        <w:rPr>
          <w:rFonts w:ascii="Times New Roman" w:hAnsi="Times New Roman"/>
          <w:b/>
          <w:i/>
          <w:sz w:val="24"/>
          <w:szCs w:val="24"/>
        </w:rPr>
        <w:t>Возможные последствия в случае непринятия мер по управлению рисками:</w:t>
      </w:r>
    </w:p>
    <w:p w:rsidR="006346A7" w:rsidRPr="00C61AA4" w:rsidRDefault="006346A7" w:rsidP="006346A7">
      <w:pPr>
        <w:spacing w:line="240" w:lineRule="auto"/>
        <w:ind w:firstLine="709"/>
        <w:contextualSpacing/>
        <w:jc w:val="both"/>
        <w:rPr>
          <w:rFonts w:ascii="Times New Roman" w:hAnsi="Times New Roman"/>
          <w:i/>
          <w:sz w:val="24"/>
          <w:szCs w:val="24"/>
        </w:rPr>
      </w:pPr>
      <w:r w:rsidRPr="00C61AA4">
        <w:rPr>
          <w:rFonts w:ascii="Times New Roman" w:hAnsi="Times New Roman"/>
          <w:i/>
          <w:sz w:val="24"/>
          <w:szCs w:val="24"/>
        </w:rPr>
        <w:t>Рост инфляции.</w:t>
      </w:r>
    </w:p>
    <w:p w:rsidR="006346A7" w:rsidRPr="00C61AA4" w:rsidRDefault="006346A7" w:rsidP="006346A7">
      <w:pPr>
        <w:spacing w:line="240" w:lineRule="auto"/>
        <w:ind w:firstLine="709"/>
        <w:contextualSpacing/>
        <w:jc w:val="both"/>
        <w:rPr>
          <w:rFonts w:ascii="Times New Roman" w:hAnsi="Times New Roman"/>
          <w:i/>
          <w:sz w:val="24"/>
          <w:szCs w:val="28"/>
        </w:rPr>
      </w:pPr>
      <w:r w:rsidRPr="00C61AA4">
        <w:rPr>
          <w:rFonts w:ascii="Times New Roman" w:hAnsi="Times New Roman"/>
          <w:i/>
          <w:sz w:val="24"/>
          <w:szCs w:val="28"/>
        </w:rPr>
        <w:t>Колебание мировых цен на нефть и нефтепродукты, создающих нестабильную, трудно прогнозируемую ценовую ситуацию на сырье, которая негативно сказывается в целом на производстве нефтепродуктов, являясь основным составляющим себестоимости.</w:t>
      </w:r>
    </w:p>
    <w:p w:rsidR="006346A7" w:rsidRPr="00C61AA4" w:rsidRDefault="006346A7" w:rsidP="006346A7">
      <w:pPr>
        <w:spacing w:line="240" w:lineRule="auto"/>
        <w:ind w:firstLine="709"/>
        <w:contextualSpacing/>
        <w:jc w:val="both"/>
        <w:rPr>
          <w:rFonts w:ascii="Times New Roman" w:hAnsi="Times New Roman"/>
          <w:i/>
          <w:sz w:val="24"/>
          <w:szCs w:val="28"/>
        </w:rPr>
      </w:pPr>
      <w:r w:rsidRPr="00C61AA4">
        <w:rPr>
          <w:rFonts w:ascii="Times New Roman" w:hAnsi="Times New Roman"/>
          <w:i/>
          <w:sz w:val="24"/>
          <w:szCs w:val="28"/>
        </w:rPr>
        <w:t>Негативные социально-экономические последствия (давление на ценообразование внутри Казахстана, снижение деловой активности и др.).</w:t>
      </w:r>
    </w:p>
    <w:p w:rsidR="006346A7" w:rsidRPr="00C61AA4" w:rsidRDefault="006346A7" w:rsidP="006346A7">
      <w:pPr>
        <w:spacing w:line="240" w:lineRule="auto"/>
        <w:ind w:firstLine="709"/>
        <w:contextualSpacing/>
        <w:jc w:val="both"/>
        <w:rPr>
          <w:rFonts w:ascii="Times New Roman" w:hAnsi="Times New Roman"/>
          <w:i/>
          <w:sz w:val="24"/>
          <w:szCs w:val="28"/>
        </w:rPr>
      </w:pPr>
      <w:r w:rsidRPr="00C61AA4">
        <w:rPr>
          <w:rFonts w:ascii="Times New Roman" w:hAnsi="Times New Roman"/>
          <w:i/>
          <w:sz w:val="24"/>
          <w:szCs w:val="28"/>
        </w:rPr>
        <w:t>Дестабилизация финансовой системы Казахстана.</w:t>
      </w:r>
    </w:p>
    <w:p w:rsidR="006346A7" w:rsidRPr="00C61AA4" w:rsidRDefault="006346A7" w:rsidP="006346A7">
      <w:pPr>
        <w:spacing w:line="240" w:lineRule="auto"/>
        <w:ind w:firstLine="709"/>
        <w:contextualSpacing/>
        <w:jc w:val="both"/>
        <w:rPr>
          <w:rFonts w:ascii="Times New Roman" w:hAnsi="Times New Roman"/>
          <w:b/>
          <w:i/>
          <w:sz w:val="24"/>
          <w:szCs w:val="24"/>
        </w:rPr>
      </w:pPr>
      <w:r w:rsidRPr="00C61AA4">
        <w:rPr>
          <w:rFonts w:ascii="Times New Roman" w:hAnsi="Times New Roman"/>
          <w:b/>
          <w:bCs/>
          <w:i/>
          <w:sz w:val="24"/>
          <w:szCs w:val="24"/>
        </w:rPr>
        <w:t>Мероприятия по управлению возможным риском:</w:t>
      </w:r>
    </w:p>
    <w:p w:rsidR="006346A7" w:rsidRPr="00C61AA4" w:rsidRDefault="006346A7" w:rsidP="006346A7">
      <w:pPr>
        <w:tabs>
          <w:tab w:val="left" w:pos="993"/>
        </w:tabs>
        <w:spacing w:line="240" w:lineRule="auto"/>
        <w:ind w:firstLine="709"/>
        <w:contextualSpacing/>
        <w:jc w:val="both"/>
        <w:rPr>
          <w:rFonts w:ascii="Times New Roman" w:hAnsi="Times New Roman"/>
          <w:i/>
          <w:iCs/>
          <w:sz w:val="24"/>
          <w:szCs w:val="28"/>
        </w:rPr>
      </w:pPr>
      <w:r w:rsidRPr="00C61AA4">
        <w:rPr>
          <w:rFonts w:ascii="Times New Roman" w:hAnsi="Times New Roman"/>
          <w:i/>
          <w:sz w:val="24"/>
          <w:szCs w:val="28"/>
        </w:rPr>
        <w:t xml:space="preserve">Проведение </w:t>
      </w:r>
      <w:proofErr w:type="gramStart"/>
      <w:r w:rsidRPr="00C61AA4">
        <w:rPr>
          <w:rFonts w:ascii="Times New Roman" w:hAnsi="Times New Roman"/>
          <w:i/>
          <w:sz w:val="24"/>
          <w:szCs w:val="28"/>
        </w:rPr>
        <w:t>стресс-тестирования</w:t>
      </w:r>
      <w:proofErr w:type="gramEnd"/>
      <w:r w:rsidRPr="00C61AA4">
        <w:rPr>
          <w:rFonts w:ascii="Times New Roman" w:hAnsi="Times New Roman"/>
          <w:i/>
          <w:sz w:val="24"/>
          <w:szCs w:val="28"/>
        </w:rPr>
        <w:t xml:space="preserve"> субъектов банковского сектора в целях выявления и оценки рисков банковского сектора принятие соответствующих надзорных мер по результатам стресс-тестирования.</w:t>
      </w:r>
    </w:p>
    <w:p w:rsidR="006346A7" w:rsidRPr="00C61AA4" w:rsidRDefault="006346A7" w:rsidP="006346A7">
      <w:pPr>
        <w:spacing w:line="240" w:lineRule="auto"/>
        <w:ind w:firstLine="709"/>
        <w:contextualSpacing/>
        <w:jc w:val="both"/>
        <w:rPr>
          <w:rFonts w:ascii="Times New Roman" w:hAnsi="Times New Roman"/>
          <w:color w:val="000000"/>
          <w:sz w:val="24"/>
          <w:szCs w:val="24"/>
        </w:rPr>
      </w:pPr>
      <w:proofErr w:type="gramStart"/>
      <w:r w:rsidRPr="00C61AA4">
        <w:rPr>
          <w:rFonts w:ascii="Times New Roman" w:hAnsi="Times New Roman"/>
          <w:color w:val="000000"/>
          <w:sz w:val="24"/>
          <w:szCs w:val="24"/>
        </w:rPr>
        <w:t>В рамках реализации  механизма НБРК по мерам</w:t>
      </w:r>
      <w:r w:rsidR="00E20F8F" w:rsidRPr="00C61AA4">
        <w:rPr>
          <w:rFonts w:ascii="Times New Roman" w:hAnsi="Times New Roman"/>
          <w:color w:val="000000"/>
          <w:sz w:val="24"/>
          <w:szCs w:val="24"/>
        </w:rPr>
        <w:t xml:space="preserve"> раннего реагирования согласно п</w:t>
      </w:r>
      <w:r w:rsidRPr="00C61AA4">
        <w:rPr>
          <w:rFonts w:ascii="Times New Roman" w:hAnsi="Times New Roman"/>
          <w:color w:val="000000"/>
          <w:sz w:val="24"/>
          <w:szCs w:val="24"/>
        </w:rPr>
        <w:t>остановлению Правления НБРК от 29.02.2016г. №69 «Об установлении факторов, влияющих на ухудшение финансового положения банка и банковского конгломерата, а также утверждении Правил применения мер раннего реагирования и методики определения факторов, влияющих на ухудшение финансового положения банка и банковского конгломерата» Национальным Банком были направлены стрессовые макроэкономические сценарии банкам второго уровня</w:t>
      </w:r>
      <w:proofErr w:type="gramEnd"/>
      <w:r w:rsidRPr="00C61AA4">
        <w:rPr>
          <w:rFonts w:ascii="Times New Roman" w:hAnsi="Times New Roman"/>
          <w:color w:val="000000"/>
          <w:sz w:val="24"/>
          <w:szCs w:val="24"/>
        </w:rPr>
        <w:t xml:space="preserve">, входящих в список финансовых организаций, отнесенных к числу системообразующих и потенциальных системообразующих банков, для оценки и прогнозирования изменений следующих основных показателей банка: </w:t>
      </w:r>
    </w:p>
    <w:p w:rsidR="006346A7" w:rsidRPr="00C61AA4" w:rsidRDefault="006346A7" w:rsidP="006346A7">
      <w:pPr>
        <w:spacing w:line="240" w:lineRule="auto"/>
        <w:ind w:firstLine="709"/>
        <w:contextualSpacing/>
        <w:jc w:val="both"/>
        <w:rPr>
          <w:rFonts w:ascii="Times New Roman" w:hAnsi="Times New Roman"/>
          <w:color w:val="000000"/>
          <w:sz w:val="24"/>
          <w:szCs w:val="24"/>
        </w:rPr>
      </w:pPr>
      <w:r w:rsidRPr="00C61AA4">
        <w:rPr>
          <w:rFonts w:ascii="Times New Roman" w:hAnsi="Times New Roman"/>
          <w:color w:val="000000"/>
          <w:sz w:val="24"/>
          <w:szCs w:val="24"/>
        </w:rPr>
        <w:t xml:space="preserve">1) достаточность собственного капитала; </w:t>
      </w:r>
    </w:p>
    <w:p w:rsidR="006346A7" w:rsidRPr="00C61AA4" w:rsidRDefault="006346A7" w:rsidP="006346A7">
      <w:pPr>
        <w:spacing w:line="240" w:lineRule="auto"/>
        <w:ind w:firstLine="709"/>
        <w:contextualSpacing/>
        <w:jc w:val="both"/>
        <w:rPr>
          <w:rFonts w:ascii="Times New Roman" w:hAnsi="Times New Roman"/>
          <w:color w:val="000000"/>
          <w:sz w:val="24"/>
          <w:szCs w:val="24"/>
        </w:rPr>
      </w:pPr>
      <w:r w:rsidRPr="00C61AA4">
        <w:rPr>
          <w:rFonts w:ascii="Times New Roman" w:hAnsi="Times New Roman"/>
          <w:color w:val="000000"/>
          <w:sz w:val="24"/>
          <w:szCs w:val="24"/>
        </w:rPr>
        <w:t xml:space="preserve">2) ликвидность; </w:t>
      </w:r>
    </w:p>
    <w:p w:rsidR="006346A7" w:rsidRPr="00C61AA4" w:rsidRDefault="006346A7" w:rsidP="006346A7">
      <w:pPr>
        <w:spacing w:line="240" w:lineRule="auto"/>
        <w:ind w:firstLine="709"/>
        <w:contextualSpacing/>
        <w:jc w:val="both"/>
        <w:rPr>
          <w:rFonts w:ascii="Times New Roman" w:hAnsi="Times New Roman"/>
          <w:color w:val="000000"/>
          <w:sz w:val="24"/>
          <w:szCs w:val="24"/>
        </w:rPr>
      </w:pPr>
      <w:r w:rsidRPr="00C61AA4">
        <w:rPr>
          <w:rFonts w:ascii="Times New Roman" w:hAnsi="Times New Roman"/>
          <w:color w:val="000000"/>
          <w:sz w:val="24"/>
          <w:szCs w:val="24"/>
        </w:rPr>
        <w:t xml:space="preserve">3) займы с просроченной задолженностью по основному долгу и (или) начисленному вознаграждению свыше девяноста календарных дней; </w:t>
      </w:r>
    </w:p>
    <w:p w:rsidR="006346A7" w:rsidRPr="00C61AA4" w:rsidRDefault="006346A7" w:rsidP="006346A7">
      <w:pPr>
        <w:spacing w:line="240" w:lineRule="auto"/>
        <w:ind w:firstLine="709"/>
        <w:contextualSpacing/>
        <w:jc w:val="both"/>
        <w:rPr>
          <w:rFonts w:ascii="Times New Roman" w:hAnsi="Times New Roman"/>
          <w:sz w:val="24"/>
          <w:szCs w:val="24"/>
        </w:rPr>
      </w:pPr>
      <w:r w:rsidRPr="00C61AA4">
        <w:rPr>
          <w:rFonts w:ascii="Times New Roman" w:hAnsi="Times New Roman"/>
          <w:color w:val="000000"/>
          <w:sz w:val="24"/>
          <w:szCs w:val="24"/>
        </w:rPr>
        <w:t>4) рентабельность активов.</w:t>
      </w:r>
    </w:p>
    <w:p w:rsidR="006346A7" w:rsidRPr="00C61AA4" w:rsidRDefault="006346A7" w:rsidP="006346A7">
      <w:pPr>
        <w:spacing w:line="240" w:lineRule="auto"/>
        <w:ind w:firstLine="709"/>
        <w:contextualSpacing/>
        <w:jc w:val="both"/>
        <w:rPr>
          <w:rFonts w:ascii="Times New Roman" w:hAnsi="Times New Roman"/>
          <w:sz w:val="24"/>
          <w:szCs w:val="28"/>
        </w:rPr>
      </w:pPr>
      <w:r w:rsidRPr="00C61AA4">
        <w:rPr>
          <w:rFonts w:ascii="Times New Roman" w:hAnsi="Times New Roman"/>
          <w:sz w:val="24"/>
          <w:szCs w:val="28"/>
        </w:rPr>
        <w:t xml:space="preserve">Также Национальным Банком проведены подготовительные работы по проведению </w:t>
      </w:r>
      <w:proofErr w:type="gramStart"/>
      <w:r w:rsidRPr="00C61AA4">
        <w:rPr>
          <w:rFonts w:ascii="Times New Roman" w:hAnsi="Times New Roman"/>
          <w:sz w:val="24"/>
          <w:szCs w:val="28"/>
        </w:rPr>
        <w:t>стресс-тестирования</w:t>
      </w:r>
      <w:proofErr w:type="gramEnd"/>
      <w:r w:rsidRPr="00C61AA4">
        <w:rPr>
          <w:rFonts w:ascii="Times New Roman" w:hAnsi="Times New Roman"/>
          <w:sz w:val="24"/>
          <w:szCs w:val="28"/>
        </w:rPr>
        <w:t>, в ходе которых выявлена необходимость:</w:t>
      </w:r>
    </w:p>
    <w:p w:rsidR="006346A7" w:rsidRPr="00C61AA4" w:rsidRDefault="006346A7" w:rsidP="006346A7">
      <w:pPr>
        <w:spacing w:line="240" w:lineRule="auto"/>
        <w:ind w:firstLine="709"/>
        <w:contextualSpacing/>
        <w:jc w:val="both"/>
        <w:rPr>
          <w:rFonts w:ascii="Times New Roman" w:hAnsi="Times New Roman"/>
          <w:sz w:val="24"/>
          <w:szCs w:val="28"/>
        </w:rPr>
      </w:pPr>
      <w:r w:rsidRPr="00C61AA4">
        <w:rPr>
          <w:rFonts w:ascii="Times New Roman" w:hAnsi="Times New Roman"/>
          <w:sz w:val="24"/>
          <w:szCs w:val="28"/>
        </w:rPr>
        <w:t xml:space="preserve">1) всесторонней оценки состояния активов банков с привлечением международно-признанных консультантов по разработке методологии и проведения проверки качества активов для повышения достоверности результатов </w:t>
      </w:r>
      <w:proofErr w:type="gramStart"/>
      <w:r w:rsidRPr="00C61AA4">
        <w:rPr>
          <w:rFonts w:ascii="Times New Roman" w:hAnsi="Times New Roman"/>
          <w:sz w:val="24"/>
          <w:szCs w:val="28"/>
        </w:rPr>
        <w:t>стресс-тестирования</w:t>
      </w:r>
      <w:proofErr w:type="gramEnd"/>
      <w:r w:rsidRPr="00C61AA4">
        <w:rPr>
          <w:rFonts w:ascii="Times New Roman" w:hAnsi="Times New Roman"/>
          <w:sz w:val="24"/>
          <w:szCs w:val="28"/>
        </w:rPr>
        <w:t>;</w:t>
      </w:r>
    </w:p>
    <w:p w:rsidR="006346A7" w:rsidRPr="00C61AA4" w:rsidRDefault="006346A7" w:rsidP="006346A7">
      <w:pPr>
        <w:spacing w:line="240" w:lineRule="auto"/>
        <w:ind w:firstLine="709"/>
        <w:contextualSpacing/>
        <w:jc w:val="both"/>
        <w:rPr>
          <w:rFonts w:ascii="Times New Roman" w:hAnsi="Times New Roman"/>
          <w:sz w:val="24"/>
          <w:szCs w:val="28"/>
        </w:rPr>
      </w:pPr>
      <w:r w:rsidRPr="00C61AA4">
        <w:rPr>
          <w:rFonts w:ascii="Times New Roman" w:hAnsi="Times New Roman"/>
          <w:sz w:val="24"/>
          <w:szCs w:val="28"/>
        </w:rPr>
        <w:t xml:space="preserve">2) внесение поправок в законодательство по системе оздоровления и урегулирования несостоятельных банков для минимизации негативных последствий результатов </w:t>
      </w:r>
      <w:proofErr w:type="gramStart"/>
      <w:r w:rsidRPr="00C61AA4">
        <w:rPr>
          <w:rFonts w:ascii="Times New Roman" w:hAnsi="Times New Roman"/>
          <w:sz w:val="24"/>
          <w:szCs w:val="28"/>
        </w:rPr>
        <w:t>стресс-теста</w:t>
      </w:r>
      <w:proofErr w:type="gramEnd"/>
      <w:r w:rsidRPr="00C61AA4">
        <w:rPr>
          <w:rFonts w:ascii="Times New Roman" w:hAnsi="Times New Roman"/>
          <w:sz w:val="24"/>
          <w:szCs w:val="28"/>
        </w:rPr>
        <w:t>.</w:t>
      </w:r>
    </w:p>
    <w:p w:rsidR="006346A7" w:rsidRPr="00C61AA4" w:rsidRDefault="006346A7" w:rsidP="006346A7">
      <w:pPr>
        <w:spacing w:line="240" w:lineRule="auto"/>
        <w:ind w:firstLine="709"/>
        <w:contextualSpacing/>
        <w:jc w:val="both"/>
        <w:rPr>
          <w:rFonts w:ascii="Times New Roman" w:hAnsi="Times New Roman"/>
          <w:sz w:val="24"/>
          <w:szCs w:val="28"/>
        </w:rPr>
      </w:pPr>
      <w:r w:rsidRPr="00C61AA4">
        <w:rPr>
          <w:rFonts w:ascii="Times New Roman" w:hAnsi="Times New Roman"/>
          <w:sz w:val="24"/>
          <w:szCs w:val="28"/>
        </w:rPr>
        <w:t>Принимая во внимание опыт стран, проводивших такие мероприятия:</w:t>
      </w:r>
    </w:p>
    <w:p w:rsidR="006346A7" w:rsidRPr="00C61AA4" w:rsidRDefault="006346A7" w:rsidP="006346A7">
      <w:pPr>
        <w:spacing w:line="240" w:lineRule="auto"/>
        <w:ind w:firstLine="709"/>
        <w:contextualSpacing/>
        <w:jc w:val="both"/>
        <w:rPr>
          <w:rFonts w:ascii="Times New Roman" w:hAnsi="Times New Roman"/>
          <w:sz w:val="24"/>
          <w:szCs w:val="28"/>
        </w:rPr>
      </w:pPr>
      <w:r w:rsidRPr="00C61AA4">
        <w:rPr>
          <w:rFonts w:ascii="Times New Roman" w:hAnsi="Times New Roman"/>
          <w:sz w:val="24"/>
          <w:szCs w:val="28"/>
        </w:rPr>
        <w:t xml:space="preserve">- оценка качества активов, проведение </w:t>
      </w:r>
      <w:proofErr w:type="gramStart"/>
      <w:r w:rsidRPr="00C61AA4">
        <w:rPr>
          <w:rFonts w:ascii="Times New Roman" w:hAnsi="Times New Roman"/>
          <w:sz w:val="24"/>
          <w:szCs w:val="28"/>
        </w:rPr>
        <w:t>стресс-тестирования</w:t>
      </w:r>
      <w:proofErr w:type="gramEnd"/>
      <w:r w:rsidRPr="00C61AA4">
        <w:rPr>
          <w:rFonts w:ascii="Times New Roman" w:hAnsi="Times New Roman"/>
          <w:sz w:val="24"/>
          <w:szCs w:val="28"/>
        </w:rPr>
        <w:t>, а также внесение соответствующих поправок в законодательство занимает около 12 месяцев;</w:t>
      </w:r>
    </w:p>
    <w:p w:rsidR="006346A7" w:rsidRPr="00C61AA4" w:rsidRDefault="006346A7" w:rsidP="006346A7">
      <w:pPr>
        <w:spacing w:line="240" w:lineRule="auto"/>
        <w:ind w:firstLine="709"/>
        <w:contextualSpacing/>
        <w:jc w:val="both"/>
        <w:rPr>
          <w:rFonts w:ascii="Times New Roman" w:hAnsi="Times New Roman"/>
          <w:sz w:val="24"/>
          <w:szCs w:val="28"/>
        </w:rPr>
      </w:pPr>
      <w:r w:rsidRPr="00C61AA4">
        <w:rPr>
          <w:rFonts w:ascii="Times New Roman" w:hAnsi="Times New Roman"/>
          <w:sz w:val="24"/>
          <w:szCs w:val="28"/>
        </w:rPr>
        <w:t xml:space="preserve">- предварительно, до проведения </w:t>
      </w:r>
      <w:proofErr w:type="gramStart"/>
      <w:r w:rsidRPr="00C61AA4">
        <w:rPr>
          <w:rFonts w:ascii="Times New Roman" w:hAnsi="Times New Roman"/>
          <w:sz w:val="24"/>
          <w:szCs w:val="28"/>
        </w:rPr>
        <w:t>стресс-теста</w:t>
      </w:r>
      <w:proofErr w:type="gramEnd"/>
      <w:r w:rsidRPr="00C61AA4">
        <w:rPr>
          <w:rFonts w:ascii="Times New Roman" w:hAnsi="Times New Roman"/>
          <w:sz w:val="24"/>
          <w:szCs w:val="28"/>
        </w:rPr>
        <w:t xml:space="preserve"> необходимо провести обследования (инспекции) банков по международно-признанной методологии и с привлечением независимых экспертов.</w:t>
      </w:r>
    </w:p>
    <w:p w:rsidR="006346A7" w:rsidRPr="00C61AA4" w:rsidRDefault="006346A7" w:rsidP="006346A7">
      <w:pPr>
        <w:tabs>
          <w:tab w:val="left" w:pos="993"/>
        </w:tabs>
        <w:spacing w:line="240" w:lineRule="auto"/>
        <w:ind w:firstLine="709"/>
        <w:contextualSpacing/>
        <w:jc w:val="both"/>
        <w:rPr>
          <w:rFonts w:ascii="Times New Roman" w:hAnsi="Times New Roman"/>
          <w:iCs/>
          <w:sz w:val="24"/>
          <w:szCs w:val="28"/>
        </w:rPr>
      </w:pPr>
      <w:r w:rsidRPr="00C61AA4">
        <w:rPr>
          <w:rFonts w:ascii="Times New Roman" w:hAnsi="Times New Roman"/>
          <w:sz w:val="24"/>
          <w:szCs w:val="28"/>
        </w:rPr>
        <w:t>С учетом изложенного, исполнение данного мероприятия  продлено до конца 2017 года.</w:t>
      </w:r>
      <w:r w:rsidRPr="00C61AA4">
        <w:rPr>
          <w:rFonts w:ascii="Times New Roman" w:hAnsi="Times New Roman"/>
          <w:iCs/>
          <w:sz w:val="24"/>
          <w:szCs w:val="28"/>
        </w:rPr>
        <w:t xml:space="preserve"> </w:t>
      </w:r>
    </w:p>
    <w:p w:rsidR="006346A7" w:rsidRPr="00C61AA4" w:rsidRDefault="006346A7" w:rsidP="006346A7">
      <w:pPr>
        <w:spacing w:line="240" w:lineRule="auto"/>
        <w:ind w:firstLine="709"/>
        <w:contextualSpacing/>
        <w:jc w:val="both"/>
        <w:rPr>
          <w:rFonts w:ascii="Times New Roman" w:hAnsi="Times New Roman"/>
          <w:i/>
          <w:iCs/>
          <w:sz w:val="24"/>
          <w:szCs w:val="28"/>
        </w:rPr>
      </w:pPr>
      <w:r w:rsidRPr="00C61AA4">
        <w:rPr>
          <w:rFonts w:ascii="Times New Roman" w:hAnsi="Times New Roman"/>
          <w:i/>
          <w:sz w:val="24"/>
          <w:szCs w:val="28"/>
        </w:rPr>
        <w:t xml:space="preserve">Совершенствование </w:t>
      </w:r>
      <w:proofErr w:type="gramStart"/>
      <w:r w:rsidRPr="00C61AA4">
        <w:rPr>
          <w:rFonts w:ascii="Times New Roman" w:hAnsi="Times New Roman"/>
          <w:i/>
          <w:sz w:val="24"/>
          <w:szCs w:val="28"/>
        </w:rPr>
        <w:t>риск-ориентированного</w:t>
      </w:r>
      <w:proofErr w:type="gramEnd"/>
      <w:r w:rsidRPr="00C61AA4">
        <w:rPr>
          <w:rFonts w:ascii="Times New Roman" w:hAnsi="Times New Roman"/>
          <w:i/>
          <w:sz w:val="24"/>
          <w:szCs w:val="28"/>
        </w:rPr>
        <w:t xml:space="preserve"> надзора и </w:t>
      </w:r>
      <w:proofErr w:type="spellStart"/>
      <w:r w:rsidRPr="00C61AA4">
        <w:rPr>
          <w:rFonts w:ascii="Times New Roman" w:hAnsi="Times New Roman"/>
          <w:i/>
          <w:sz w:val="24"/>
          <w:szCs w:val="28"/>
        </w:rPr>
        <w:t>пруденциального</w:t>
      </w:r>
      <w:proofErr w:type="spellEnd"/>
      <w:r w:rsidRPr="00C61AA4">
        <w:rPr>
          <w:rFonts w:ascii="Times New Roman" w:hAnsi="Times New Roman"/>
          <w:i/>
          <w:sz w:val="24"/>
          <w:szCs w:val="28"/>
        </w:rPr>
        <w:t xml:space="preserve"> регулирования банков второго уровня в целях минимизации рисков банковского сектора и повышения устойчивости банков второго уровня</w:t>
      </w:r>
      <w:r w:rsidRPr="00C61AA4">
        <w:rPr>
          <w:rFonts w:ascii="Times New Roman" w:hAnsi="Times New Roman"/>
          <w:i/>
          <w:iCs/>
          <w:sz w:val="24"/>
          <w:szCs w:val="28"/>
        </w:rPr>
        <w:t>.</w:t>
      </w:r>
    </w:p>
    <w:p w:rsidR="006346A7" w:rsidRPr="00C61AA4" w:rsidRDefault="006346A7" w:rsidP="00624584">
      <w:pPr>
        <w:spacing w:line="240" w:lineRule="auto"/>
        <w:ind w:firstLine="709"/>
        <w:contextualSpacing/>
        <w:jc w:val="both"/>
        <w:rPr>
          <w:rFonts w:ascii="Times New Roman" w:hAnsi="Times New Roman"/>
          <w:b/>
          <w:sz w:val="24"/>
          <w:szCs w:val="24"/>
        </w:rPr>
      </w:pPr>
      <w:r w:rsidRPr="00C61AA4">
        <w:rPr>
          <w:rFonts w:ascii="Times New Roman" w:hAnsi="Times New Roman"/>
          <w:color w:val="000000"/>
          <w:sz w:val="24"/>
          <w:szCs w:val="24"/>
        </w:rPr>
        <w:t xml:space="preserve">На основе полученной технической помощи от МВФ и рекомендаций </w:t>
      </w:r>
      <w:r w:rsidR="008F530E" w:rsidRPr="00C61AA4">
        <w:rPr>
          <w:rFonts w:ascii="Times New Roman" w:hAnsi="Times New Roman"/>
          <w:color w:val="000000"/>
          <w:sz w:val="24"/>
          <w:szCs w:val="24"/>
        </w:rPr>
        <w:t>НБРК</w:t>
      </w:r>
      <w:r w:rsidRPr="00C61AA4">
        <w:rPr>
          <w:rFonts w:ascii="Times New Roman" w:hAnsi="Times New Roman"/>
          <w:color w:val="000000"/>
          <w:sz w:val="24"/>
          <w:szCs w:val="24"/>
        </w:rPr>
        <w:t xml:space="preserve"> начал работу по подготовке законодательных поправок, направленных на усиление роли регулятора и расширение его полномочий в вопросе оценки платежеспособности и для принятия оперативных и </w:t>
      </w:r>
      <w:r w:rsidRPr="00C61AA4">
        <w:rPr>
          <w:rFonts w:ascii="Times New Roman" w:hAnsi="Times New Roman"/>
          <w:color w:val="000000"/>
          <w:sz w:val="24"/>
          <w:szCs w:val="24"/>
        </w:rPr>
        <w:lastRenderedPageBreak/>
        <w:t xml:space="preserve">решительных мер в отношении несостоятельных банков с целью его оздоровления и капитализации.  </w:t>
      </w:r>
    </w:p>
    <w:p w:rsidR="006346A7" w:rsidRPr="00C61AA4" w:rsidRDefault="00E20F8F" w:rsidP="006346A7">
      <w:pPr>
        <w:spacing w:line="240" w:lineRule="auto"/>
        <w:ind w:firstLine="709"/>
        <w:contextualSpacing/>
        <w:jc w:val="both"/>
        <w:rPr>
          <w:rFonts w:ascii="Times New Roman" w:eastAsia="Calibri" w:hAnsi="Times New Roman"/>
          <w:sz w:val="24"/>
          <w:szCs w:val="28"/>
        </w:rPr>
      </w:pPr>
      <w:r w:rsidRPr="00C61AA4">
        <w:rPr>
          <w:rFonts w:ascii="Times New Roman" w:eastAsia="Calibri" w:hAnsi="Times New Roman"/>
          <w:sz w:val="24"/>
          <w:szCs w:val="28"/>
        </w:rPr>
        <w:t>НБРК</w:t>
      </w:r>
      <w:r w:rsidR="006346A7" w:rsidRPr="00C61AA4">
        <w:rPr>
          <w:rFonts w:ascii="Times New Roman" w:eastAsia="Calibri" w:hAnsi="Times New Roman"/>
          <w:sz w:val="24"/>
          <w:szCs w:val="28"/>
        </w:rPr>
        <w:t xml:space="preserve"> концептуально пересматривает надзорный процесс и стремится максимально приблизить концепцию надзора к широко используемому в мировой практике подходу к надзору, основанному на оценке рисков (</w:t>
      </w:r>
      <w:r w:rsidR="006346A7" w:rsidRPr="00C61AA4">
        <w:rPr>
          <w:rFonts w:ascii="Times New Roman" w:eastAsia="Calibri" w:hAnsi="Times New Roman"/>
          <w:sz w:val="24"/>
          <w:szCs w:val="28"/>
          <w:lang w:val="en-US"/>
        </w:rPr>
        <w:t>R</w:t>
      </w:r>
      <w:proofErr w:type="spellStart"/>
      <w:r w:rsidR="006346A7" w:rsidRPr="00C61AA4">
        <w:rPr>
          <w:rFonts w:ascii="Times New Roman" w:eastAsia="Calibri" w:hAnsi="Times New Roman"/>
          <w:sz w:val="24"/>
          <w:szCs w:val="28"/>
        </w:rPr>
        <w:t>isk</w:t>
      </w:r>
      <w:proofErr w:type="spellEnd"/>
      <w:r w:rsidR="006346A7" w:rsidRPr="00C61AA4">
        <w:rPr>
          <w:rFonts w:ascii="Times New Roman" w:eastAsia="Calibri" w:hAnsi="Times New Roman"/>
          <w:sz w:val="24"/>
          <w:szCs w:val="28"/>
        </w:rPr>
        <w:t>-</w:t>
      </w:r>
      <w:r w:rsidR="006346A7" w:rsidRPr="00C61AA4">
        <w:rPr>
          <w:rFonts w:ascii="Times New Roman" w:eastAsia="Calibri" w:hAnsi="Times New Roman"/>
          <w:sz w:val="24"/>
          <w:szCs w:val="28"/>
          <w:lang w:val="en-US"/>
        </w:rPr>
        <w:t>B</w:t>
      </w:r>
      <w:proofErr w:type="spellStart"/>
      <w:r w:rsidR="006346A7" w:rsidRPr="00C61AA4">
        <w:rPr>
          <w:rFonts w:ascii="Times New Roman" w:eastAsia="Calibri" w:hAnsi="Times New Roman"/>
          <w:sz w:val="24"/>
          <w:szCs w:val="28"/>
        </w:rPr>
        <w:t>ased</w:t>
      </w:r>
      <w:proofErr w:type="spellEnd"/>
      <w:r w:rsidR="006346A7" w:rsidRPr="00C61AA4">
        <w:rPr>
          <w:rFonts w:ascii="Times New Roman" w:eastAsia="Calibri" w:hAnsi="Times New Roman"/>
          <w:sz w:val="24"/>
          <w:szCs w:val="28"/>
        </w:rPr>
        <w:t xml:space="preserve"> </w:t>
      </w:r>
      <w:r w:rsidR="006346A7" w:rsidRPr="00C61AA4">
        <w:rPr>
          <w:rFonts w:ascii="Times New Roman" w:eastAsia="Calibri" w:hAnsi="Times New Roman"/>
          <w:sz w:val="24"/>
          <w:szCs w:val="28"/>
          <w:lang w:val="en-US"/>
        </w:rPr>
        <w:t>S</w:t>
      </w:r>
      <w:proofErr w:type="spellStart"/>
      <w:r w:rsidR="006346A7" w:rsidRPr="00C61AA4">
        <w:rPr>
          <w:rFonts w:ascii="Times New Roman" w:eastAsia="Calibri" w:hAnsi="Times New Roman"/>
          <w:sz w:val="24"/>
          <w:szCs w:val="28"/>
        </w:rPr>
        <w:t>upervision</w:t>
      </w:r>
      <w:proofErr w:type="spellEnd"/>
      <w:r w:rsidR="006346A7" w:rsidRPr="00C61AA4">
        <w:rPr>
          <w:rFonts w:ascii="Times New Roman" w:eastAsia="Calibri" w:hAnsi="Times New Roman"/>
          <w:sz w:val="24"/>
          <w:szCs w:val="28"/>
        </w:rPr>
        <w:t>).</w:t>
      </w:r>
    </w:p>
    <w:p w:rsidR="006346A7" w:rsidRPr="00C61AA4" w:rsidRDefault="006346A7" w:rsidP="006346A7">
      <w:pPr>
        <w:spacing w:line="240" w:lineRule="auto"/>
        <w:ind w:firstLine="709"/>
        <w:contextualSpacing/>
        <w:jc w:val="both"/>
        <w:rPr>
          <w:rFonts w:ascii="Times New Roman" w:hAnsi="Times New Roman"/>
          <w:sz w:val="24"/>
          <w:szCs w:val="28"/>
        </w:rPr>
      </w:pPr>
      <w:r w:rsidRPr="00C61AA4">
        <w:rPr>
          <w:rFonts w:ascii="Times New Roman" w:hAnsi="Times New Roman"/>
          <w:sz w:val="24"/>
          <w:szCs w:val="28"/>
        </w:rPr>
        <w:t>В частности, планируется  реализация следующих мероприятий:</w:t>
      </w:r>
    </w:p>
    <w:p w:rsidR="006346A7" w:rsidRPr="00C61AA4" w:rsidRDefault="006346A7" w:rsidP="006346A7">
      <w:pPr>
        <w:spacing w:line="240" w:lineRule="auto"/>
        <w:ind w:firstLine="709"/>
        <w:contextualSpacing/>
        <w:jc w:val="both"/>
        <w:rPr>
          <w:rFonts w:ascii="Times New Roman" w:hAnsi="Times New Roman"/>
          <w:sz w:val="24"/>
          <w:szCs w:val="28"/>
        </w:rPr>
      </w:pPr>
      <w:proofErr w:type="gramStart"/>
      <w:r w:rsidRPr="00C61AA4">
        <w:rPr>
          <w:rFonts w:ascii="Times New Roman" w:hAnsi="Times New Roman"/>
          <w:sz w:val="24"/>
          <w:szCs w:val="28"/>
        </w:rPr>
        <w:t xml:space="preserve">- </w:t>
      </w:r>
      <w:r w:rsidRPr="00C61AA4">
        <w:rPr>
          <w:rFonts w:ascii="Times New Roman" w:hAnsi="Times New Roman"/>
          <w:i/>
          <w:sz w:val="24"/>
          <w:szCs w:val="28"/>
        </w:rPr>
        <w:t>введение регуляторной оценки провизий (резервов) по ссудному портфелю и корректировка собственного капитала</w:t>
      </w:r>
      <w:r w:rsidRPr="00C61AA4">
        <w:rPr>
          <w:rFonts w:ascii="Times New Roman" w:hAnsi="Times New Roman"/>
          <w:b/>
          <w:i/>
          <w:sz w:val="24"/>
          <w:szCs w:val="28"/>
        </w:rPr>
        <w:t>,</w:t>
      </w:r>
      <w:r w:rsidRPr="00C61AA4">
        <w:rPr>
          <w:rFonts w:ascii="Times New Roman" w:hAnsi="Times New Roman"/>
          <w:i/>
          <w:sz w:val="24"/>
          <w:szCs w:val="28"/>
        </w:rPr>
        <w:t xml:space="preserve"> </w:t>
      </w:r>
      <w:r w:rsidRPr="00C61AA4">
        <w:rPr>
          <w:rFonts w:ascii="Times New Roman" w:hAnsi="Times New Roman"/>
          <w:sz w:val="24"/>
          <w:szCs w:val="28"/>
        </w:rPr>
        <w:t>так как действующие международные стандарты финансовой отчетности допускают субъективную интерпретацию банками уровня провизий (резервов) по кредитам согласно своим внутренним оценкам и ожиданиям платежеспособности и финансовой устойчивости заемщиков, зачастую не принимая во внимание их объективное финансовое состояние, предоставленное качество и ликвидность обеспечения.</w:t>
      </w:r>
      <w:proofErr w:type="gramEnd"/>
      <w:r w:rsidRPr="00C61AA4">
        <w:rPr>
          <w:rFonts w:ascii="Times New Roman" w:hAnsi="Times New Roman"/>
          <w:sz w:val="24"/>
          <w:szCs w:val="28"/>
        </w:rPr>
        <w:t xml:space="preserve"> При этом независимый внешний аудит подтверждает достоверность внутренней оценки банков, что ставит под сомнение достоверность аудиторских отчетов;</w:t>
      </w:r>
    </w:p>
    <w:p w:rsidR="006346A7" w:rsidRPr="00C61AA4" w:rsidRDefault="006346A7" w:rsidP="006346A7">
      <w:pPr>
        <w:spacing w:line="240" w:lineRule="auto"/>
        <w:ind w:firstLine="709"/>
        <w:contextualSpacing/>
        <w:jc w:val="both"/>
        <w:rPr>
          <w:rFonts w:ascii="Times New Roman" w:hAnsi="Times New Roman"/>
          <w:sz w:val="24"/>
          <w:szCs w:val="28"/>
        </w:rPr>
      </w:pPr>
      <w:r w:rsidRPr="00C61AA4">
        <w:rPr>
          <w:rFonts w:ascii="Times New Roman" w:hAnsi="Times New Roman"/>
          <w:sz w:val="24"/>
          <w:szCs w:val="28"/>
        </w:rPr>
        <w:t xml:space="preserve">- </w:t>
      </w:r>
      <w:r w:rsidRPr="00C61AA4">
        <w:rPr>
          <w:rFonts w:ascii="Times New Roman" w:hAnsi="Times New Roman"/>
          <w:i/>
          <w:sz w:val="24"/>
          <w:szCs w:val="28"/>
        </w:rPr>
        <w:t>изменение подходов к оценке сделок со связанными лицами</w:t>
      </w:r>
      <w:r w:rsidRPr="00C61AA4">
        <w:rPr>
          <w:rFonts w:ascii="Times New Roman" w:hAnsi="Times New Roman"/>
          <w:b/>
          <w:i/>
          <w:sz w:val="24"/>
          <w:szCs w:val="28"/>
        </w:rPr>
        <w:t>,</w:t>
      </w:r>
      <w:r w:rsidRPr="00C61AA4">
        <w:rPr>
          <w:rFonts w:ascii="Times New Roman" w:hAnsi="Times New Roman"/>
          <w:sz w:val="24"/>
          <w:szCs w:val="28"/>
        </w:rPr>
        <w:t xml:space="preserve"> поскольку действующие критерии связанности сторон банков основаны только на наличии юридических отношений, что дает возможность отдельным банкам использовать различные схемы обхода банковского законодательства для заключения сделок с лицами, которые формально не подпадают под критерии связанности, но по факту являются таковыми. В результате, при чрезмерном кредитовании связанных сторон (</w:t>
      </w:r>
      <w:proofErr w:type="gramStart"/>
      <w:r w:rsidRPr="00C61AA4">
        <w:rPr>
          <w:rFonts w:ascii="Times New Roman" w:hAnsi="Times New Roman"/>
          <w:sz w:val="24"/>
          <w:szCs w:val="28"/>
        </w:rPr>
        <w:t>де юре</w:t>
      </w:r>
      <w:proofErr w:type="gramEnd"/>
      <w:r w:rsidRPr="00C61AA4">
        <w:rPr>
          <w:rFonts w:ascii="Times New Roman" w:hAnsi="Times New Roman"/>
          <w:sz w:val="24"/>
          <w:szCs w:val="28"/>
        </w:rPr>
        <w:t xml:space="preserve"> не связанных), искажается картина о реальном уровне изъятия капитала банка связанными лицами;</w:t>
      </w:r>
    </w:p>
    <w:p w:rsidR="006346A7" w:rsidRPr="00C61AA4" w:rsidRDefault="006346A7" w:rsidP="006346A7">
      <w:pPr>
        <w:spacing w:line="240" w:lineRule="auto"/>
        <w:ind w:firstLine="709"/>
        <w:contextualSpacing/>
        <w:jc w:val="both"/>
        <w:rPr>
          <w:rFonts w:ascii="Times New Roman" w:hAnsi="Times New Roman"/>
          <w:sz w:val="24"/>
          <w:szCs w:val="28"/>
        </w:rPr>
      </w:pPr>
      <w:r w:rsidRPr="00C61AA4">
        <w:rPr>
          <w:rFonts w:ascii="Times New Roman" w:hAnsi="Times New Roman"/>
          <w:sz w:val="24"/>
          <w:szCs w:val="28"/>
        </w:rPr>
        <w:t xml:space="preserve">- </w:t>
      </w:r>
      <w:r w:rsidRPr="00C61AA4">
        <w:rPr>
          <w:rFonts w:ascii="Times New Roman" w:hAnsi="Times New Roman"/>
          <w:i/>
          <w:sz w:val="24"/>
          <w:szCs w:val="28"/>
        </w:rPr>
        <w:t>совершенствование системы надзорного реагирования</w:t>
      </w:r>
      <w:r w:rsidRPr="00C61AA4">
        <w:rPr>
          <w:rFonts w:ascii="Times New Roman" w:hAnsi="Times New Roman"/>
          <w:sz w:val="24"/>
          <w:szCs w:val="28"/>
        </w:rPr>
        <w:t xml:space="preserve">, ввиду того, что действующая система мер надзорного реагирования не соответствует масштабу, сложности и последствиям нарушений. В случае нарушения </w:t>
      </w:r>
      <w:proofErr w:type="spellStart"/>
      <w:r w:rsidRPr="00C61AA4">
        <w:rPr>
          <w:rFonts w:ascii="Times New Roman" w:hAnsi="Times New Roman"/>
          <w:sz w:val="24"/>
          <w:szCs w:val="28"/>
        </w:rPr>
        <w:t>пруденциальных</w:t>
      </w:r>
      <w:proofErr w:type="spellEnd"/>
      <w:r w:rsidRPr="00C61AA4">
        <w:rPr>
          <w:rFonts w:ascii="Times New Roman" w:hAnsi="Times New Roman"/>
          <w:sz w:val="24"/>
          <w:szCs w:val="28"/>
        </w:rPr>
        <w:t xml:space="preserve"> нормативов (иных установленных норм и лимитов) либо несвоевременного предоставления отчетности заключаются планы мероприятий. Меры надзорного реагирования, в основном, завершаются требованием по предоставлению планов мероприятий, эффективность которых невысокая.</w:t>
      </w:r>
    </w:p>
    <w:p w:rsidR="006346A7" w:rsidRPr="00C61AA4" w:rsidRDefault="006346A7" w:rsidP="006346A7">
      <w:pPr>
        <w:spacing w:line="240" w:lineRule="auto"/>
        <w:ind w:firstLine="709"/>
        <w:contextualSpacing/>
        <w:jc w:val="both"/>
        <w:rPr>
          <w:rFonts w:ascii="Times New Roman" w:hAnsi="Times New Roman"/>
          <w:sz w:val="24"/>
          <w:szCs w:val="28"/>
        </w:rPr>
      </w:pPr>
      <w:r w:rsidRPr="00C61AA4">
        <w:rPr>
          <w:rFonts w:ascii="Times New Roman" w:hAnsi="Times New Roman"/>
          <w:sz w:val="24"/>
          <w:szCs w:val="28"/>
        </w:rPr>
        <w:t>В целях приближения регулирования банковского сектора Казахстана к международным стандартам продолжается работа по осуществлению перехода банковской системы Казахстана на стандарты Базель III:</w:t>
      </w:r>
    </w:p>
    <w:p w:rsidR="006346A7" w:rsidRPr="00C61AA4" w:rsidRDefault="006346A7" w:rsidP="006346A7">
      <w:pPr>
        <w:spacing w:line="240" w:lineRule="auto"/>
        <w:ind w:firstLine="709"/>
        <w:contextualSpacing/>
        <w:jc w:val="both"/>
        <w:rPr>
          <w:rFonts w:ascii="Times New Roman" w:hAnsi="Times New Roman"/>
          <w:sz w:val="24"/>
          <w:szCs w:val="28"/>
        </w:rPr>
      </w:pPr>
      <w:r w:rsidRPr="00C61AA4">
        <w:rPr>
          <w:rFonts w:ascii="Times New Roman" w:hAnsi="Times New Roman"/>
          <w:sz w:val="24"/>
          <w:szCs w:val="28"/>
        </w:rPr>
        <w:t>- с 2016 года внедрен коэффициент покрытия ликвидности (</w:t>
      </w:r>
      <w:proofErr w:type="spellStart"/>
      <w:r w:rsidRPr="00C61AA4">
        <w:rPr>
          <w:rFonts w:ascii="Times New Roman" w:hAnsi="Times New Roman"/>
          <w:sz w:val="24"/>
          <w:szCs w:val="28"/>
        </w:rPr>
        <w:t>Liquidity</w:t>
      </w:r>
      <w:proofErr w:type="spellEnd"/>
      <w:r w:rsidRPr="00C61AA4">
        <w:rPr>
          <w:rFonts w:ascii="Times New Roman" w:hAnsi="Times New Roman"/>
          <w:sz w:val="24"/>
          <w:szCs w:val="28"/>
        </w:rPr>
        <w:t xml:space="preserve"> </w:t>
      </w:r>
      <w:proofErr w:type="spellStart"/>
      <w:r w:rsidRPr="00C61AA4">
        <w:rPr>
          <w:rFonts w:ascii="Times New Roman" w:hAnsi="Times New Roman"/>
          <w:sz w:val="24"/>
          <w:szCs w:val="28"/>
        </w:rPr>
        <w:t>Coverage</w:t>
      </w:r>
      <w:proofErr w:type="spellEnd"/>
      <w:r w:rsidRPr="00C61AA4">
        <w:rPr>
          <w:rFonts w:ascii="Times New Roman" w:hAnsi="Times New Roman"/>
          <w:sz w:val="24"/>
          <w:szCs w:val="28"/>
        </w:rPr>
        <w:t xml:space="preserve"> </w:t>
      </w:r>
      <w:proofErr w:type="spellStart"/>
      <w:r w:rsidRPr="00C61AA4">
        <w:rPr>
          <w:rFonts w:ascii="Times New Roman" w:hAnsi="Times New Roman"/>
          <w:sz w:val="24"/>
          <w:szCs w:val="28"/>
        </w:rPr>
        <w:t>Ratio</w:t>
      </w:r>
      <w:proofErr w:type="spellEnd"/>
      <w:r w:rsidRPr="00C61AA4">
        <w:rPr>
          <w:rFonts w:ascii="Times New Roman" w:hAnsi="Times New Roman"/>
          <w:sz w:val="24"/>
          <w:szCs w:val="28"/>
        </w:rPr>
        <w:t>, LCR);</w:t>
      </w:r>
    </w:p>
    <w:p w:rsidR="006346A7" w:rsidRPr="00C61AA4" w:rsidRDefault="006346A7" w:rsidP="006346A7">
      <w:pPr>
        <w:spacing w:line="240" w:lineRule="auto"/>
        <w:ind w:firstLine="709"/>
        <w:contextualSpacing/>
        <w:jc w:val="both"/>
        <w:rPr>
          <w:rFonts w:ascii="Times New Roman" w:hAnsi="Times New Roman"/>
          <w:sz w:val="24"/>
          <w:szCs w:val="28"/>
        </w:rPr>
      </w:pPr>
      <w:r w:rsidRPr="00C61AA4">
        <w:rPr>
          <w:rFonts w:ascii="Times New Roman" w:hAnsi="Times New Roman"/>
          <w:sz w:val="24"/>
          <w:szCs w:val="28"/>
        </w:rPr>
        <w:t xml:space="preserve">- с 1 января 2017 года требования к достаточности собственного капитала будут соответствовать минимальным рекомендуемым значениям </w:t>
      </w:r>
      <w:proofErr w:type="spellStart"/>
      <w:r w:rsidRPr="00C61AA4">
        <w:rPr>
          <w:rFonts w:ascii="Times New Roman" w:hAnsi="Times New Roman"/>
          <w:sz w:val="24"/>
          <w:szCs w:val="28"/>
        </w:rPr>
        <w:t>Базельского</w:t>
      </w:r>
      <w:proofErr w:type="spellEnd"/>
      <w:r w:rsidRPr="00C61AA4">
        <w:rPr>
          <w:rFonts w:ascii="Times New Roman" w:hAnsi="Times New Roman"/>
          <w:sz w:val="24"/>
          <w:szCs w:val="28"/>
        </w:rPr>
        <w:t xml:space="preserve"> комитета по банковскому надзору;</w:t>
      </w:r>
    </w:p>
    <w:p w:rsidR="006346A7" w:rsidRPr="00C61AA4" w:rsidRDefault="006346A7" w:rsidP="006346A7">
      <w:pPr>
        <w:spacing w:line="240" w:lineRule="auto"/>
        <w:ind w:firstLine="709"/>
        <w:contextualSpacing/>
        <w:jc w:val="both"/>
        <w:rPr>
          <w:rFonts w:ascii="Times New Roman" w:hAnsi="Times New Roman"/>
          <w:sz w:val="24"/>
          <w:szCs w:val="28"/>
        </w:rPr>
      </w:pPr>
      <w:r w:rsidRPr="00C61AA4">
        <w:rPr>
          <w:rFonts w:ascii="Times New Roman" w:hAnsi="Times New Roman"/>
          <w:sz w:val="24"/>
          <w:szCs w:val="28"/>
        </w:rPr>
        <w:t>- с 2018 года будет введен коэффициент чистого стабильного фондирования (</w:t>
      </w:r>
      <w:proofErr w:type="spellStart"/>
      <w:r w:rsidRPr="00C61AA4">
        <w:rPr>
          <w:rFonts w:ascii="Times New Roman" w:hAnsi="Times New Roman"/>
          <w:sz w:val="24"/>
          <w:szCs w:val="28"/>
        </w:rPr>
        <w:t>Net</w:t>
      </w:r>
      <w:proofErr w:type="spellEnd"/>
      <w:r w:rsidRPr="00C61AA4">
        <w:rPr>
          <w:rFonts w:ascii="Times New Roman" w:hAnsi="Times New Roman"/>
          <w:sz w:val="24"/>
          <w:szCs w:val="28"/>
        </w:rPr>
        <w:t xml:space="preserve"> </w:t>
      </w:r>
      <w:proofErr w:type="spellStart"/>
      <w:r w:rsidRPr="00C61AA4">
        <w:rPr>
          <w:rFonts w:ascii="Times New Roman" w:hAnsi="Times New Roman"/>
          <w:sz w:val="24"/>
          <w:szCs w:val="28"/>
        </w:rPr>
        <w:t>Stable</w:t>
      </w:r>
      <w:proofErr w:type="spellEnd"/>
      <w:r w:rsidRPr="00C61AA4">
        <w:rPr>
          <w:rFonts w:ascii="Times New Roman" w:hAnsi="Times New Roman"/>
          <w:sz w:val="24"/>
          <w:szCs w:val="28"/>
        </w:rPr>
        <w:t xml:space="preserve"> </w:t>
      </w:r>
      <w:proofErr w:type="spellStart"/>
      <w:r w:rsidRPr="00C61AA4">
        <w:rPr>
          <w:rFonts w:ascii="Times New Roman" w:hAnsi="Times New Roman"/>
          <w:sz w:val="24"/>
          <w:szCs w:val="28"/>
        </w:rPr>
        <w:t>Funding</w:t>
      </w:r>
      <w:proofErr w:type="spellEnd"/>
      <w:r w:rsidRPr="00C61AA4">
        <w:rPr>
          <w:rFonts w:ascii="Times New Roman" w:hAnsi="Times New Roman"/>
          <w:sz w:val="24"/>
          <w:szCs w:val="28"/>
        </w:rPr>
        <w:t xml:space="preserve"> </w:t>
      </w:r>
      <w:proofErr w:type="spellStart"/>
      <w:r w:rsidRPr="00C61AA4">
        <w:rPr>
          <w:rFonts w:ascii="Times New Roman" w:hAnsi="Times New Roman"/>
          <w:sz w:val="24"/>
          <w:szCs w:val="28"/>
        </w:rPr>
        <w:t>Ratio</w:t>
      </w:r>
      <w:proofErr w:type="spellEnd"/>
      <w:r w:rsidRPr="00C61AA4">
        <w:rPr>
          <w:rFonts w:ascii="Times New Roman" w:hAnsi="Times New Roman"/>
          <w:sz w:val="24"/>
          <w:szCs w:val="28"/>
        </w:rPr>
        <w:t>, NSFR).</w:t>
      </w:r>
    </w:p>
    <w:p w:rsidR="006346A7" w:rsidRPr="00C61AA4" w:rsidRDefault="006346A7" w:rsidP="006346A7">
      <w:pPr>
        <w:spacing w:line="240" w:lineRule="auto"/>
        <w:ind w:firstLine="709"/>
        <w:contextualSpacing/>
        <w:jc w:val="both"/>
        <w:rPr>
          <w:rFonts w:ascii="Times New Roman" w:hAnsi="Times New Roman"/>
          <w:b/>
          <w:i/>
          <w:sz w:val="24"/>
          <w:szCs w:val="24"/>
        </w:rPr>
      </w:pPr>
    </w:p>
    <w:p w:rsidR="006346A7" w:rsidRPr="00C61AA4" w:rsidRDefault="006346A7" w:rsidP="006346A7">
      <w:pPr>
        <w:spacing w:line="240" w:lineRule="auto"/>
        <w:ind w:firstLine="709"/>
        <w:contextualSpacing/>
        <w:jc w:val="both"/>
        <w:rPr>
          <w:rFonts w:ascii="Times New Roman" w:hAnsi="Times New Roman"/>
          <w:b/>
          <w:i/>
          <w:sz w:val="24"/>
          <w:szCs w:val="24"/>
        </w:rPr>
      </w:pPr>
      <w:r w:rsidRPr="00C61AA4">
        <w:rPr>
          <w:rFonts w:ascii="Times New Roman" w:hAnsi="Times New Roman"/>
          <w:b/>
          <w:i/>
          <w:sz w:val="24"/>
          <w:szCs w:val="24"/>
        </w:rPr>
        <w:t xml:space="preserve">Высокий уровень </w:t>
      </w:r>
      <w:proofErr w:type="spellStart"/>
      <w:r w:rsidRPr="00C61AA4">
        <w:rPr>
          <w:rFonts w:ascii="Times New Roman" w:hAnsi="Times New Roman"/>
          <w:b/>
          <w:i/>
          <w:sz w:val="24"/>
          <w:szCs w:val="24"/>
        </w:rPr>
        <w:t>долларизации</w:t>
      </w:r>
      <w:proofErr w:type="spellEnd"/>
      <w:r w:rsidRPr="00C61AA4">
        <w:rPr>
          <w:rFonts w:ascii="Times New Roman" w:hAnsi="Times New Roman"/>
          <w:b/>
          <w:i/>
          <w:sz w:val="24"/>
          <w:szCs w:val="24"/>
        </w:rPr>
        <w:t>.</w:t>
      </w:r>
    </w:p>
    <w:p w:rsidR="006346A7" w:rsidRPr="00C61AA4" w:rsidRDefault="006346A7" w:rsidP="006346A7">
      <w:pPr>
        <w:spacing w:line="240" w:lineRule="auto"/>
        <w:ind w:firstLine="709"/>
        <w:contextualSpacing/>
        <w:jc w:val="both"/>
        <w:rPr>
          <w:rFonts w:ascii="Times New Roman" w:hAnsi="Times New Roman"/>
          <w:b/>
          <w:i/>
          <w:sz w:val="24"/>
          <w:szCs w:val="24"/>
        </w:rPr>
      </w:pPr>
      <w:r w:rsidRPr="00C61AA4">
        <w:rPr>
          <w:rFonts w:ascii="Times New Roman" w:hAnsi="Times New Roman"/>
          <w:b/>
          <w:i/>
          <w:sz w:val="24"/>
          <w:szCs w:val="24"/>
        </w:rPr>
        <w:t>Возможные последствия в случае непринятия мер по управлению рисками:</w:t>
      </w:r>
    </w:p>
    <w:p w:rsidR="00CF22FA" w:rsidRPr="00C61AA4" w:rsidRDefault="00CF22FA" w:rsidP="00CF22FA">
      <w:pPr>
        <w:spacing w:line="240" w:lineRule="auto"/>
        <w:ind w:firstLine="709"/>
        <w:contextualSpacing/>
        <w:jc w:val="both"/>
        <w:rPr>
          <w:rFonts w:ascii="Times New Roman" w:hAnsi="Times New Roman"/>
          <w:iCs/>
          <w:sz w:val="24"/>
          <w:szCs w:val="24"/>
        </w:rPr>
      </w:pPr>
      <w:r w:rsidRPr="00C61AA4">
        <w:rPr>
          <w:rFonts w:ascii="Times New Roman" w:hAnsi="Times New Roman"/>
          <w:i/>
          <w:iCs/>
          <w:sz w:val="24"/>
          <w:szCs w:val="24"/>
        </w:rPr>
        <w:t>Нестабильность на финансовом рынке</w:t>
      </w:r>
      <w:r w:rsidRPr="00C61AA4">
        <w:rPr>
          <w:rFonts w:ascii="Times New Roman" w:hAnsi="Times New Roman"/>
          <w:iCs/>
          <w:sz w:val="24"/>
          <w:szCs w:val="24"/>
        </w:rPr>
        <w:t>.</w:t>
      </w:r>
    </w:p>
    <w:p w:rsidR="006346A7" w:rsidRPr="00C61AA4" w:rsidRDefault="006346A7" w:rsidP="006346A7">
      <w:pPr>
        <w:spacing w:line="240" w:lineRule="auto"/>
        <w:ind w:firstLine="709"/>
        <w:contextualSpacing/>
        <w:jc w:val="both"/>
        <w:rPr>
          <w:rFonts w:ascii="Times New Roman" w:hAnsi="Times New Roman"/>
          <w:i/>
          <w:iCs/>
          <w:sz w:val="24"/>
          <w:szCs w:val="24"/>
        </w:rPr>
      </w:pPr>
      <w:r w:rsidRPr="00C61AA4">
        <w:rPr>
          <w:rFonts w:ascii="Times New Roman" w:hAnsi="Times New Roman"/>
          <w:i/>
          <w:iCs/>
          <w:sz w:val="24"/>
          <w:szCs w:val="24"/>
        </w:rPr>
        <w:t xml:space="preserve">Замедление кредитования в результате повышения стоимости </w:t>
      </w:r>
      <w:proofErr w:type="spellStart"/>
      <w:r w:rsidRPr="00C61AA4">
        <w:rPr>
          <w:rFonts w:ascii="Times New Roman" w:hAnsi="Times New Roman"/>
          <w:i/>
          <w:iCs/>
          <w:sz w:val="24"/>
          <w:szCs w:val="24"/>
        </w:rPr>
        <w:t>тенгового</w:t>
      </w:r>
      <w:proofErr w:type="spellEnd"/>
      <w:r w:rsidRPr="00C61AA4">
        <w:rPr>
          <w:rFonts w:ascii="Times New Roman" w:hAnsi="Times New Roman"/>
          <w:i/>
          <w:iCs/>
          <w:sz w:val="24"/>
          <w:szCs w:val="24"/>
        </w:rPr>
        <w:t xml:space="preserve"> фондирования. Рост подверженности банков валютному риску.</w:t>
      </w:r>
    </w:p>
    <w:p w:rsidR="006346A7" w:rsidRPr="00C61AA4" w:rsidRDefault="006346A7" w:rsidP="006346A7">
      <w:pPr>
        <w:spacing w:line="240" w:lineRule="auto"/>
        <w:ind w:firstLine="709"/>
        <w:contextualSpacing/>
        <w:jc w:val="both"/>
        <w:rPr>
          <w:rFonts w:ascii="Times New Roman" w:hAnsi="Times New Roman"/>
          <w:b/>
          <w:i/>
          <w:sz w:val="24"/>
          <w:szCs w:val="24"/>
        </w:rPr>
      </w:pPr>
      <w:r w:rsidRPr="00C61AA4">
        <w:rPr>
          <w:rFonts w:ascii="Times New Roman" w:hAnsi="Times New Roman"/>
          <w:b/>
          <w:bCs/>
          <w:i/>
          <w:sz w:val="24"/>
          <w:szCs w:val="24"/>
        </w:rPr>
        <w:t>Мероприятия по управлению возможным риском:</w:t>
      </w:r>
    </w:p>
    <w:p w:rsidR="00CF22FA" w:rsidRPr="00C61AA4" w:rsidRDefault="00CF22FA" w:rsidP="00CF22FA">
      <w:pPr>
        <w:spacing w:line="240" w:lineRule="auto"/>
        <w:ind w:firstLine="709"/>
        <w:contextualSpacing/>
        <w:jc w:val="both"/>
        <w:rPr>
          <w:rFonts w:ascii="Times New Roman" w:hAnsi="Times New Roman"/>
          <w:i/>
          <w:sz w:val="24"/>
          <w:szCs w:val="24"/>
        </w:rPr>
      </w:pPr>
      <w:r w:rsidRPr="00C61AA4">
        <w:rPr>
          <w:rFonts w:ascii="Times New Roman" w:hAnsi="Times New Roman"/>
          <w:i/>
          <w:sz w:val="24"/>
          <w:szCs w:val="24"/>
        </w:rPr>
        <w:t xml:space="preserve">Принятие мер по повышению привлекательности </w:t>
      </w:r>
      <w:proofErr w:type="spellStart"/>
      <w:r w:rsidRPr="00C61AA4">
        <w:rPr>
          <w:rFonts w:ascii="Times New Roman" w:hAnsi="Times New Roman"/>
          <w:i/>
          <w:sz w:val="24"/>
          <w:szCs w:val="24"/>
        </w:rPr>
        <w:t>тенговых</w:t>
      </w:r>
      <w:proofErr w:type="spellEnd"/>
      <w:r w:rsidRPr="00C61AA4">
        <w:rPr>
          <w:rFonts w:ascii="Times New Roman" w:hAnsi="Times New Roman"/>
          <w:i/>
          <w:sz w:val="24"/>
          <w:szCs w:val="24"/>
        </w:rPr>
        <w:t xml:space="preserve"> инструментов: развитие рынка корпоративных ценных бумаг, расширение возможностей институциональных инвесторов, стимулирование биржевой торговли финансовыми инструментами в тенге. </w:t>
      </w:r>
    </w:p>
    <w:p w:rsidR="00CF22FA" w:rsidRPr="00C61AA4" w:rsidRDefault="00CF22FA" w:rsidP="00CF22FA">
      <w:pPr>
        <w:spacing w:line="240" w:lineRule="auto"/>
        <w:ind w:firstLine="709"/>
        <w:contextualSpacing/>
        <w:jc w:val="both"/>
        <w:rPr>
          <w:rFonts w:ascii="Times New Roman" w:hAnsi="Times New Roman"/>
          <w:color w:val="000000"/>
          <w:sz w:val="24"/>
          <w:szCs w:val="24"/>
          <w:lang w:eastAsia="ru-RU"/>
        </w:rPr>
      </w:pPr>
      <w:proofErr w:type="gramStart"/>
      <w:r w:rsidRPr="00C61AA4">
        <w:rPr>
          <w:rFonts w:ascii="Times New Roman" w:hAnsi="Times New Roman" w:cs="Times New Roman"/>
          <w:color w:val="000000"/>
          <w:sz w:val="24"/>
          <w:szCs w:val="24"/>
        </w:rPr>
        <w:t>В целях создания условий</w:t>
      </w:r>
      <w:r w:rsidRPr="00C61AA4">
        <w:rPr>
          <w:color w:val="000000"/>
          <w:sz w:val="28"/>
          <w:szCs w:val="28"/>
        </w:rPr>
        <w:t xml:space="preserve"> </w:t>
      </w:r>
      <w:r w:rsidRPr="00C61AA4">
        <w:rPr>
          <w:rFonts w:ascii="Times New Roman" w:hAnsi="Times New Roman" w:cs="Times New Roman"/>
          <w:color w:val="000000"/>
          <w:sz w:val="24"/>
          <w:szCs w:val="24"/>
        </w:rPr>
        <w:t xml:space="preserve">для построения эффективной кривой доходности </w:t>
      </w:r>
      <w:proofErr w:type="spellStart"/>
      <w:r w:rsidRPr="00C61AA4">
        <w:rPr>
          <w:rFonts w:ascii="Times New Roman" w:hAnsi="Times New Roman" w:cs="Times New Roman"/>
          <w:color w:val="000000"/>
          <w:sz w:val="24"/>
          <w:szCs w:val="24"/>
        </w:rPr>
        <w:t>либерализованы</w:t>
      </w:r>
      <w:proofErr w:type="spellEnd"/>
      <w:r w:rsidRPr="00C61AA4">
        <w:rPr>
          <w:rFonts w:ascii="Times New Roman" w:hAnsi="Times New Roman" w:cs="Times New Roman"/>
          <w:color w:val="000000"/>
          <w:sz w:val="24"/>
          <w:szCs w:val="24"/>
        </w:rPr>
        <w:t xml:space="preserve"> требования в отношении сделок на первичном рынке государственных ценных бумаг (государственных казначейских обязательств) путем исключения ограничений в отношении брокеров и (или) дилеров, не являющихся банками второго уровня, на участие в  торгах при первичном размещении Министерством финансов Республики Казахстан государств</w:t>
      </w:r>
      <w:r w:rsidR="009039BA" w:rsidRPr="00C61AA4">
        <w:rPr>
          <w:rFonts w:ascii="Times New Roman" w:hAnsi="Times New Roman" w:cs="Times New Roman"/>
          <w:color w:val="000000"/>
          <w:sz w:val="24"/>
          <w:szCs w:val="24"/>
        </w:rPr>
        <w:t>енных казначейских обязательств.</w:t>
      </w:r>
      <w:r w:rsidRPr="00C61AA4">
        <w:rPr>
          <w:rFonts w:ascii="Times New Roman" w:hAnsi="Times New Roman" w:cs="Times New Roman"/>
          <w:color w:val="000000"/>
          <w:sz w:val="24"/>
          <w:szCs w:val="24"/>
        </w:rPr>
        <w:t xml:space="preserve"> </w:t>
      </w:r>
      <w:proofErr w:type="gramEnd"/>
    </w:p>
    <w:p w:rsidR="00CF22FA" w:rsidRPr="00C61AA4" w:rsidRDefault="009039BA" w:rsidP="00CF22FA">
      <w:pPr>
        <w:spacing w:line="240" w:lineRule="auto"/>
        <w:ind w:firstLine="709"/>
        <w:contextualSpacing/>
        <w:jc w:val="both"/>
        <w:rPr>
          <w:rFonts w:ascii="Times New Roman" w:hAnsi="Times New Roman"/>
          <w:color w:val="000000"/>
          <w:sz w:val="24"/>
          <w:szCs w:val="24"/>
          <w:lang w:eastAsia="ru-RU"/>
        </w:rPr>
      </w:pPr>
      <w:r w:rsidRPr="00C61AA4">
        <w:rPr>
          <w:rFonts w:ascii="Times New Roman" w:hAnsi="Times New Roman" w:cs="Times New Roman"/>
          <w:color w:val="000000"/>
          <w:sz w:val="24"/>
          <w:szCs w:val="24"/>
        </w:rPr>
        <w:lastRenderedPageBreak/>
        <w:t>В рамках</w:t>
      </w:r>
      <w:r w:rsidR="00CF22FA" w:rsidRPr="00C61AA4">
        <w:rPr>
          <w:rFonts w:ascii="Times New Roman" w:hAnsi="Times New Roman" w:cs="Times New Roman"/>
          <w:color w:val="000000"/>
          <w:sz w:val="24"/>
          <w:szCs w:val="24"/>
        </w:rPr>
        <w:t xml:space="preserve"> развития внутреннего рынка финансовых инструментов для населения постановлением создана правовая основа для первичного размещения НБРК кратко</w:t>
      </w:r>
      <w:r w:rsidRPr="00C61AA4">
        <w:rPr>
          <w:rFonts w:ascii="Times New Roman" w:hAnsi="Times New Roman" w:cs="Times New Roman"/>
          <w:color w:val="000000"/>
          <w:sz w:val="24"/>
          <w:szCs w:val="24"/>
        </w:rPr>
        <w:t>срочных нот для физических лиц.</w:t>
      </w:r>
    </w:p>
    <w:p w:rsidR="00CF22FA" w:rsidRPr="00C61AA4" w:rsidRDefault="009039BA" w:rsidP="00CF22FA">
      <w:pPr>
        <w:spacing w:line="240" w:lineRule="auto"/>
        <w:ind w:firstLine="709"/>
        <w:contextualSpacing/>
        <w:jc w:val="both"/>
        <w:rPr>
          <w:rFonts w:ascii="Times New Roman" w:hAnsi="Times New Roman"/>
          <w:color w:val="000000"/>
          <w:sz w:val="24"/>
          <w:szCs w:val="24"/>
          <w:lang w:eastAsia="ru-RU"/>
        </w:rPr>
      </w:pPr>
      <w:r w:rsidRPr="00C61AA4">
        <w:rPr>
          <w:rFonts w:ascii="Times New Roman" w:hAnsi="Times New Roman" w:cs="Times New Roman"/>
          <w:sz w:val="24"/>
          <w:szCs w:val="24"/>
        </w:rPr>
        <w:t>Р</w:t>
      </w:r>
      <w:r w:rsidR="00CF22FA" w:rsidRPr="00C61AA4">
        <w:rPr>
          <w:rFonts w:ascii="Times New Roman" w:hAnsi="Times New Roman" w:cs="Times New Roman"/>
          <w:sz w:val="24"/>
          <w:szCs w:val="24"/>
        </w:rPr>
        <w:t>асширены возможности управляющей компании в выборе контрагентов на международных (иностранных) рынках для заключения сделки за счет активов инвестиционного фонда путем</w:t>
      </w:r>
      <w:r w:rsidR="00CF22FA" w:rsidRPr="00C61AA4">
        <w:rPr>
          <w:rFonts w:ascii="Times New Roman" w:hAnsi="Times New Roman" w:cs="Times New Roman"/>
          <w:color w:val="000000"/>
          <w:sz w:val="24"/>
          <w:szCs w:val="24"/>
        </w:rPr>
        <w:t xml:space="preserve"> исключения рейтингового требования к контрагенту.</w:t>
      </w:r>
    </w:p>
    <w:p w:rsidR="00CF22FA" w:rsidRPr="00C61AA4" w:rsidRDefault="00CF22FA" w:rsidP="00CF22FA">
      <w:pPr>
        <w:spacing w:line="240" w:lineRule="auto"/>
        <w:ind w:firstLine="709"/>
        <w:contextualSpacing/>
        <w:jc w:val="both"/>
        <w:rPr>
          <w:rFonts w:ascii="Times New Roman" w:hAnsi="Times New Roman"/>
          <w:i/>
          <w:sz w:val="24"/>
          <w:szCs w:val="24"/>
        </w:rPr>
      </w:pPr>
      <w:r w:rsidRPr="00C61AA4">
        <w:rPr>
          <w:rFonts w:ascii="Times New Roman" w:hAnsi="Times New Roman"/>
          <w:i/>
          <w:sz w:val="24"/>
          <w:szCs w:val="24"/>
        </w:rPr>
        <w:t xml:space="preserve">Рассмотрение вопроса по расширению дифференциала рекомендуемых Казахстанским фондом гарантирования депозитов ставок по депозитам в тенге и иностранной валюте с целью снижения </w:t>
      </w:r>
      <w:proofErr w:type="spellStart"/>
      <w:r w:rsidRPr="00C61AA4">
        <w:rPr>
          <w:rFonts w:ascii="Times New Roman" w:hAnsi="Times New Roman"/>
          <w:i/>
          <w:sz w:val="24"/>
          <w:szCs w:val="24"/>
        </w:rPr>
        <w:t>долларизации</w:t>
      </w:r>
      <w:proofErr w:type="spellEnd"/>
      <w:r w:rsidRPr="00C61AA4">
        <w:rPr>
          <w:rFonts w:ascii="Times New Roman" w:hAnsi="Times New Roman"/>
          <w:i/>
          <w:sz w:val="24"/>
          <w:szCs w:val="24"/>
        </w:rPr>
        <w:t xml:space="preserve"> экономики и укрепления доверия к национальной валюте.</w:t>
      </w:r>
    </w:p>
    <w:p w:rsidR="00CF22FA" w:rsidRPr="00C61AA4" w:rsidRDefault="00CF22FA" w:rsidP="00CF22FA">
      <w:pPr>
        <w:spacing w:line="240" w:lineRule="auto"/>
        <w:ind w:firstLine="709"/>
        <w:contextualSpacing/>
        <w:jc w:val="both"/>
        <w:rPr>
          <w:rFonts w:ascii="Times New Roman" w:hAnsi="Times New Roman"/>
          <w:color w:val="000000"/>
          <w:sz w:val="24"/>
          <w:szCs w:val="24"/>
          <w:lang w:eastAsia="ru-RU"/>
        </w:rPr>
      </w:pPr>
      <w:proofErr w:type="gramStart"/>
      <w:r w:rsidRPr="00C61AA4">
        <w:rPr>
          <w:rFonts w:ascii="Times New Roman" w:hAnsi="Times New Roman"/>
          <w:color w:val="000000"/>
          <w:sz w:val="24"/>
          <w:szCs w:val="24"/>
          <w:lang w:eastAsia="ru-RU"/>
        </w:rPr>
        <w:t xml:space="preserve">В феврале 2016 года был расширен дифференциал рекомендуемых Казахстанским фондом гарантирования депозитов ставок вознаграждения по депозитам физических лиц: максимальная ставка по вкладам в национальной валюте увеличена  до 14%, а по вкладам в иностранной валюте снижена до 2%. В результате уровень </w:t>
      </w:r>
      <w:proofErr w:type="spellStart"/>
      <w:r w:rsidRPr="00C61AA4">
        <w:rPr>
          <w:rFonts w:ascii="Times New Roman" w:hAnsi="Times New Roman"/>
          <w:color w:val="000000"/>
          <w:sz w:val="24"/>
          <w:szCs w:val="24"/>
          <w:lang w:eastAsia="ru-RU"/>
        </w:rPr>
        <w:t>долларизации</w:t>
      </w:r>
      <w:proofErr w:type="spellEnd"/>
      <w:r w:rsidRPr="00C61AA4">
        <w:rPr>
          <w:rFonts w:ascii="Times New Roman" w:hAnsi="Times New Roman"/>
          <w:color w:val="000000"/>
          <w:sz w:val="24"/>
          <w:szCs w:val="24"/>
          <w:lang w:eastAsia="ru-RU"/>
        </w:rPr>
        <w:t xml:space="preserve"> депозитов в БВУ сократился с максимального значения 69,9% в январе 2016 года до 54,6% по итогам 2016 года.</w:t>
      </w:r>
      <w:proofErr w:type="gramEnd"/>
    </w:p>
    <w:p w:rsidR="006346A7" w:rsidRPr="00C61AA4" w:rsidRDefault="006346A7" w:rsidP="006346A7">
      <w:pPr>
        <w:spacing w:line="240" w:lineRule="auto"/>
        <w:ind w:firstLine="709"/>
        <w:contextualSpacing/>
        <w:jc w:val="both"/>
        <w:rPr>
          <w:rFonts w:ascii="Times New Roman" w:hAnsi="Times New Roman"/>
          <w:color w:val="000000"/>
          <w:sz w:val="24"/>
          <w:szCs w:val="24"/>
          <w:lang w:eastAsia="ru-RU"/>
        </w:rPr>
      </w:pPr>
    </w:p>
    <w:p w:rsidR="006346A7" w:rsidRPr="00C61AA4" w:rsidRDefault="006346A7" w:rsidP="006346A7">
      <w:pPr>
        <w:spacing w:line="240" w:lineRule="auto"/>
        <w:ind w:firstLine="709"/>
        <w:contextualSpacing/>
        <w:jc w:val="both"/>
        <w:rPr>
          <w:rFonts w:ascii="Times New Roman" w:hAnsi="Times New Roman"/>
          <w:b/>
          <w:i/>
          <w:sz w:val="24"/>
          <w:szCs w:val="24"/>
        </w:rPr>
      </w:pPr>
      <w:r w:rsidRPr="00C61AA4">
        <w:rPr>
          <w:rFonts w:ascii="Times New Roman" w:hAnsi="Times New Roman"/>
          <w:b/>
          <w:i/>
          <w:sz w:val="24"/>
          <w:szCs w:val="24"/>
        </w:rPr>
        <w:t xml:space="preserve">Дефицит </w:t>
      </w:r>
      <w:proofErr w:type="spellStart"/>
      <w:r w:rsidRPr="00C61AA4">
        <w:rPr>
          <w:rFonts w:ascii="Times New Roman" w:hAnsi="Times New Roman"/>
          <w:b/>
          <w:i/>
          <w:sz w:val="24"/>
          <w:szCs w:val="24"/>
        </w:rPr>
        <w:t>тенговой</w:t>
      </w:r>
      <w:proofErr w:type="spellEnd"/>
      <w:r w:rsidRPr="00C61AA4">
        <w:rPr>
          <w:rFonts w:ascii="Times New Roman" w:hAnsi="Times New Roman"/>
          <w:b/>
          <w:i/>
          <w:sz w:val="24"/>
          <w:szCs w:val="24"/>
        </w:rPr>
        <w:t xml:space="preserve"> ликвидности.</w:t>
      </w:r>
    </w:p>
    <w:p w:rsidR="006346A7" w:rsidRPr="00C61AA4" w:rsidRDefault="006346A7" w:rsidP="006346A7">
      <w:pPr>
        <w:spacing w:line="240" w:lineRule="auto"/>
        <w:ind w:firstLine="709"/>
        <w:contextualSpacing/>
        <w:jc w:val="both"/>
        <w:rPr>
          <w:rFonts w:ascii="Times New Roman" w:hAnsi="Times New Roman"/>
          <w:b/>
          <w:i/>
          <w:sz w:val="24"/>
          <w:szCs w:val="24"/>
        </w:rPr>
      </w:pPr>
      <w:r w:rsidRPr="00C61AA4">
        <w:rPr>
          <w:rFonts w:ascii="Times New Roman" w:hAnsi="Times New Roman"/>
          <w:b/>
          <w:bCs/>
          <w:i/>
          <w:sz w:val="24"/>
          <w:szCs w:val="24"/>
        </w:rPr>
        <w:t>Мероприятия по управлению возможным риском:</w:t>
      </w:r>
    </w:p>
    <w:p w:rsidR="006346A7" w:rsidRPr="00C61AA4" w:rsidRDefault="006346A7" w:rsidP="006346A7">
      <w:pPr>
        <w:spacing w:line="240" w:lineRule="auto"/>
        <w:ind w:firstLine="709"/>
        <w:contextualSpacing/>
        <w:jc w:val="both"/>
        <w:rPr>
          <w:rFonts w:ascii="Times New Roman" w:hAnsi="Times New Roman"/>
          <w:i/>
          <w:sz w:val="24"/>
          <w:szCs w:val="24"/>
        </w:rPr>
      </w:pPr>
      <w:r w:rsidRPr="00C61AA4">
        <w:rPr>
          <w:rFonts w:ascii="Times New Roman" w:hAnsi="Times New Roman"/>
          <w:i/>
          <w:sz w:val="24"/>
          <w:szCs w:val="24"/>
        </w:rPr>
        <w:t xml:space="preserve">Повышение эффективности операций денежно-кредитной политики </w:t>
      </w:r>
      <w:r w:rsidR="008F530E" w:rsidRPr="00C61AA4">
        <w:rPr>
          <w:rFonts w:ascii="Times New Roman" w:hAnsi="Times New Roman"/>
          <w:i/>
          <w:sz w:val="24"/>
          <w:szCs w:val="24"/>
        </w:rPr>
        <w:t>НБРК</w:t>
      </w:r>
      <w:r w:rsidRPr="00C61AA4">
        <w:rPr>
          <w:rFonts w:ascii="Times New Roman" w:hAnsi="Times New Roman"/>
          <w:i/>
          <w:sz w:val="24"/>
          <w:szCs w:val="24"/>
        </w:rPr>
        <w:t>.</w:t>
      </w:r>
    </w:p>
    <w:p w:rsidR="006346A7" w:rsidRPr="00C61AA4" w:rsidRDefault="006346A7" w:rsidP="006346A7">
      <w:pPr>
        <w:spacing w:line="240" w:lineRule="auto"/>
        <w:ind w:firstLine="709"/>
        <w:contextualSpacing/>
        <w:jc w:val="both"/>
        <w:rPr>
          <w:rFonts w:ascii="Times New Roman" w:hAnsi="Times New Roman"/>
          <w:i/>
          <w:sz w:val="24"/>
          <w:szCs w:val="24"/>
        </w:rPr>
      </w:pPr>
      <w:r w:rsidRPr="00C61AA4">
        <w:rPr>
          <w:rFonts w:ascii="Times New Roman" w:hAnsi="Times New Roman"/>
          <w:i/>
          <w:sz w:val="24"/>
          <w:szCs w:val="24"/>
        </w:rPr>
        <w:t xml:space="preserve">Расширение перечня залогового обеспечения при представлении банкам </w:t>
      </w:r>
      <w:proofErr w:type="spellStart"/>
      <w:r w:rsidRPr="00C61AA4">
        <w:rPr>
          <w:rFonts w:ascii="Times New Roman" w:hAnsi="Times New Roman"/>
          <w:i/>
          <w:sz w:val="24"/>
          <w:szCs w:val="24"/>
        </w:rPr>
        <w:t>тенговой</w:t>
      </w:r>
      <w:proofErr w:type="spellEnd"/>
      <w:r w:rsidRPr="00C61AA4">
        <w:rPr>
          <w:rFonts w:ascii="Times New Roman" w:hAnsi="Times New Roman"/>
          <w:i/>
          <w:sz w:val="24"/>
          <w:szCs w:val="24"/>
        </w:rPr>
        <w:t xml:space="preserve"> ликвидности.</w:t>
      </w:r>
    </w:p>
    <w:p w:rsidR="006346A7" w:rsidRPr="00C61AA4" w:rsidRDefault="006346A7" w:rsidP="006346A7">
      <w:pPr>
        <w:spacing w:line="240" w:lineRule="auto"/>
        <w:ind w:firstLine="708"/>
        <w:contextualSpacing/>
        <w:jc w:val="both"/>
        <w:rPr>
          <w:rFonts w:ascii="Times New Roman" w:hAnsi="Times New Roman"/>
          <w:sz w:val="24"/>
          <w:szCs w:val="24"/>
        </w:rPr>
      </w:pPr>
      <w:r w:rsidRPr="00C61AA4">
        <w:rPr>
          <w:rFonts w:ascii="Times New Roman" w:hAnsi="Times New Roman"/>
          <w:sz w:val="24"/>
          <w:szCs w:val="24"/>
        </w:rPr>
        <w:t xml:space="preserve">На протяжении 2016 года наблюдался значительный избыток ликвидности тенге в банковской системе, в связи с процессом конвертации депозитов и значительных расходов государственного и </w:t>
      </w:r>
      <w:proofErr w:type="spellStart"/>
      <w:r w:rsidRPr="00C61AA4">
        <w:rPr>
          <w:rFonts w:ascii="Times New Roman" w:hAnsi="Times New Roman"/>
          <w:sz w:val="24"/>
          <w:szCs w:val="24"/>
        </w:rPr>
        <w:t>квазигосударственного</w:t>
      </w:r>
      <w:proofErr w:type="spellEnd"/>
      <w:r w:rsidRPr="00C61AA4">
        <w:rPr>
          <w:rFonts w:ascii="Times New Roman" w:hAnsi="Times New Roman"/>
          <w:sz w:val="24"/>
          <w:szCs w:val="24"/>
        </w:rPr>
        <w:t xml:space="preserve"> секторов. </w:t>
      </w:r>
    </w:p>
    <w:p w:rsidR="006346A7" w:rsidRPr="00C61AA4" w:rsidRDefault="006346A7" w:rsidP="006346A7">
      <w:pPr>
        <w:spacing w:line="240" w:lineRule="auto"/>
        <w:ind w:firstLine="708"/>
        <w:contextualSpacing/>
        <w:jc w:val="both"/>
        <w:rPr>
          <w:rFonts w:ascii="Times New Roman" w:hAnsi="Times New Roman"/>
          <w:sz w:val="24"/>
          <w:szCs w:val="24"/>
        </w:rPr>
      </w:pPr>
      <w:r w:rsidRPr="00C61AA4">
        <w:rPr>
          <w:rFonts w:ascii="Times New Roman" w:hAnsi="Times New Roman"/>
          <w:sz w:val="24"/>
          <w:szCs w:val="24"/>
        </w:rPr>
        <w:t xml:space="preserve">Риск дефицита </w:t>
      </w:r>
      <w:proofErr w:type="spellStart"/>
      <w:r w:rsidRPr="00C61AA4">
        <w:rPr>
          <w:rFonts w:ascii="Times New Roman" w:hAnsi="Times New Roman"/>
          <w:sz w:val="24"/>
          <w:szCs w:val="24"/>
        </w:rPr>
        <w:t>тенговой</w:t>
      </w:r>
      <w:proofErr w:type="spellEnd"/>
      <w:r w:rsidRPr="00C61AA4">
        <w:rPr>
          <w:rFonts w:ascii="Times New Roman" w:hAnsi="Times New Roman"/>
          <w:sz w:val="24"/>
          <w:szCs w:val="24"/>
        </w:rPr>
        <w:t xml:space="preserve"> ликвидности не наступил, как следствие, принятие мер по управлению рисками не было востребовано. </w:t>
      </w:r>
    </w:p>
    <w:p w:rsidR="006346A7" w:rsidRPr="00C61AA4" w:rsidRDefault="006346A7" w:rsidP="006346A7">
      <w:pPr>
        <w:spacing w:line="240" w:lineRule="auto"/>
        <w:ind w:firstLine="708"/>
        <w:contextualSpacing/>
        <w:jc w:val="both"/>
        <w:rPr>
          <w:rFonts w:ascii="Times New Roman" w:hAnsi="Times New Roman"/>
          <w:color w:val="FF0000"/>
          <w:sz w:val="24"/>
          <w:szCs w:val="24"/>
        </w:rPr>
      </w:pPr>
    </w:p>
    <w:p w:rsidR="006346A7" w:rsidRPr="00C61AA4" w:rsidRDefault="006346A7" w:rsidP="006346A7">
      <w:pPr>
        <w:spacing w:line="240" w:lineRule="auto"/>
        <w:ind w:firstLine="709"/>
        <w:contextualSpacing/>
        <w:jc w:val="both"/>
        <w:rPr>
          <w:rFonts w:ascii="Times New Roman" w:hAnsi="Times New Roman"/>
          <w:b/>
          <w:i/>
          <w:sz w:val="24"/>
          <w:szCs w:val="24"/>
        </w:rPr>
      </w:pPr>
      <w:r w:rsidRPr="00C61AA4">
        <w:rPr>
          <w:rFonts w:ascii="Times New Roman" w:hAnsi="Times New Roman"/>
          <w:b/>
          <w:i/>
          <w:sz w:val="24"/>
          <w:szCs w:val="24"/>
        </w:rPr>
        <w:t>Ухудшение финансовой устойчивости банков.</w:t>
      </w:r>
    </w:p>
    <w:p w:rsidR="006346A7" w:rsidRPr="00C61AA4" w:rsidRDefault="006346A7" w:rsidP="006346A7">
      <w:pPr>
        <w:spacing w:line="240" w:lineRule="auto"/>
        <w:ind w:firstLine="709"/>
        <w:contextualSpacing/>
        <w:jc w:val="both"/>
        <w:rPr>
          <w:rFonts w:ascii="Times New Roman" w:hAnsi="Times New Roman"/>
          <w:b/>
          <w:i/>
          <w:sz w:val="24"/>
          <w:szCs w:val="24"/>
        </w:rPr>
      </w:pPr>
      <w:r w:rsidRPr="00C61AA4">
        <w:rPr>
          <w:rFonts w:ascii="Times New Roman" w:hAnsi="Times New Roman"/>
          <w:b/>
          <w:i/>
          <w:sz w:val="24"/>
          <w:szCs w:val="24"/>
        </w:rPr>
        <w:t>Возможные последствия в случае непринятия мер по управлению рисками:</w:t>
      </w:r>
    </w:p>
    <w:p w:rsidR="006346A7" w:rsidRPr="00C61AA4" w:rsidRDefault="006346A7" w:rsidP="006346A7">
      <w:pPr>
        <w:spacing w:line="240" w:lineRule="auto"/>
        <w:ind w:firstLine="709"/>
        <w:contextualSpacing/>
        <w:jc w:val="both"/>
        <w:rPr>
          <w:rFonts w:ascii="Times New Roman" w:hAnsi="Times New Roman"/>
          <w:i/>
          <w:sz w:val="24"/>
          <w:szCs w:val="24"/>
        </w:rPr>
      </w:pPr>
      <w:r w:rsidRPr="00C61AA4">
        <w:rPr>
          <w:rFonts w:ascii="Times New Roman" w:hAnsi="Times New Roman"/>
          <w:i/>
          <w:sz w:val="24"/>
          <w:szCs w:val="24"/>
        </w:rPr>
        <w:t>Развитие системного кризиса, ухудшение доверия населения к банкам.</w:t>
      </w:r>
    </w:p>
    <w:p w:rsidR="006346A7" w:rsidRPr="00C61AA4" w:rsidRDefault="006346A7" w:rsidP="006346A7">
      <w:pPr>
        <w:spacing w:line="240" w:lineRule="auto"/>
        <w:ind w:firstLine="709"/>
        <w:contextualSpacing/>
        <w:jc w:val="both"/>
        <w:rPr>
          <w:rFonts w:ascii="Times New Roman" w:hAnsi="Times New Roman"/>
          <w:i/>
          <w:sz w:val="24"/>
          <w:szCs w:val="24"/>
        </w:rPr>
      </w:pPr>
      <w:r w:rsidRPr="00C61AA4">
        <w:rPr>
          <w:rFonts w:ascii="Times New Roman" w:hAnsi="Times New Roman"/>
          <w:i/>
          <w:sz w:val="24"/>
          <w:szCs w:val="24"/>
        </w:rPr>
        <w:t>Дестабилизация финансовой системы Казахстана.</w:t>
      </w:r>
    </w:p>
    <w:p w:rsidR="006346A7" w:rsidRPr="00C61AA4" w:rsidRDefault="006346A7" w:rsidP="006346A7">
      <w:pPr>
        <w:spacing w:line="240" w:lineRule="auto"/>
        <w:ind w:firstLine="709"/>
        <w:contextualSpacing/>
        <w:jc w:val="both"/>
        <w:rPr>
          <w:rFonts w:ascii="Times New Roman" w:hAnsi="Times New Roman"/>
          <w:i/>
          <w:sz w:val="24"/>
          <w:szCs w:val="24"/>
        </w:rPr>
      </w:pPr>
      <w:r w:rsidRPr="00C61AA4">
        <w:rPr>
          <w:rFonts w:ascii="Times New Roman" w:hAnsi="Times New Roman"/>
          <w:i/>
          <w:sz w:val="24"/>
          <w:szCs w:val="24"/>
        </w:rPr>
        <w:t>Снижение объемов кредитования и, как следствие, снижение деловой активности.</w:t>
      </w:r>
    </w:p>
    <w:p w:rsidR="006346A7" w:rsidRPr="00C61AA4" w:rsidRDefault="006346A7" w:rsidP="006346A7">
      <w:pPr>
        <w:spacing w:line="240" w:lineRule="auto"/>
        <w:ind w:firstLine="709"/>
        <w:contextualSpacing/>
        <w:jc w:val="both"/>
        <w:rPr>
          <w:rFonts w:ascii="Times New Roman" w:hAnsi="Times New Roman"/>
          <w:b/>
          <w:i/>
          <w:sz w:val="24"/>
          <w:szCs w:val="24"/>
        </w:rPr>
      </w:pPr>
      <w:r w:rsidRPr="00C61AA4">
        <w:rPr>
          <w:rFonts w:ascii="Times New Roman" w:hAnsi="Times New Roman"/>
          <w:b/>
          <w:bCs/>
          <w:i/>
          <w:sz w:val="24"/>
          <w:szCs w:val="24"/>
        </w:rPr>
        <w:t>Мероприятия по управлению возможным риском:</w:t>
      </w:r>
    </w:p>
    <w:p w:rsidR="006346A7" w:rsidRPr="00C61AA4" w:rsidRDefault="006346A7" w:rsidP="006346A7">
      <w:pPr>
        <w:spacing w:line="240" w:lineRule="auto"/>
        <w:ind w:firstLine="709"/>
        <w:contextualSpacing/>
        <w:jc w:val="both"/>
        <w:rPr>
          <w:rFonts w:ascii="Times New Roman" w:hAnsi="Times New Roman"/>
          <w:i/>
          <w:sz w:val="24"/>
          <w:szCs w:val="24"/>
        </w:rPr>
      </w:pPr>
      <w:r w:rsidRPr="00C61AA4">
        <w:rPr>
          <w:rFonts w:ascii="Times New Roman" w:hAnsi="Times New Roman"/>
          <w:i/>
          <w:sz w:val="24"/>
          <w:szCs w:val="24"/>
        </w:rPr>
        <w:t xml:space="preserve">Совершенствование </w:t>
      </w:r>
      <w:proofErr w:type="spellStart"/>
      <w:r w:rsidRPr="00C61AA4">
        <w:rPr>
          <w:rFonts w:ascii="Times New Roman" w:hAnsi="Times New Roman"/>
          <w:i/>
          <w:sz w:val="24"/>
          <w:szCs w:val="24"/>
        </w:rPr>
        <w:t>пруденциального</w:t>
      </w:r>
      <w:proofErr w:type="spellEnd"/>
      <w:r w:rsidRPr="00C61AA4">
        <w:rPr>
          <w:rFonts w:ascii="Times New Roman" w:hAnsi="Times New Roman"/>
          <w:i/>
          <w:sz w:val="24"/>
          <w:szCs w:val="24"/>
        </w:rPr>
        <w:t xml:space="preserve"> регулирования банков.</w:t>
      </w:r>
    </w:p>
    <w:p w:rsidR="006346A7" w:rsidRPr="00C61AA4" w:rsidRDefault="006346A7" w:rsidP="006346A7">
      <w:pPr>
        <w:spacing w:line="240" w:lineRule="auto"/>
        <w:ind w:firstLine="709"/>
        <w:contextualSpacing/>
        <w:jc w:val="both"/>
        <w:rPr>
          <w:rFonts w:ascii="Times New Roman" w:hAnsi="Times New Roman"/>
          <w:sz w:val="24"/>
          <w:szCs w:val="24"/>
        </w:rPr>
      </w:pPr>
      <w:proofErr w:type="gramStart"/>
      <w:r w:rsidRPr="00C61AA4">
        <w:rPr>
          <w:rFonts w:ascii="Times New Roman" w:hAnsi="Times New Roman"/>
          <w:sz w:val="24"/>
          <w:szCs w:val="24"/>
        </w:rPr>
        <w:t xml:space="preserve">В 2016 году, в соответствии с рекомендациями </w:t>
      </w:r>
      <w:proofErr w:type="spellStart"/>
      <w:r w:rsidRPr="00C61AA4">
        <w:rPr>
          <w:rFonts w:ascii="Times New Roman" w:hAnsi="Times New Roman"/>
          <w:sz w:val="24"/>
          <w:szCs w:val="24"/>
        </w:rPr>
        <w:t>Базельского</w:t>
      </w:r>
      <w:proofErr w:type="spellEnd"/>
      <w:r w:rsidRPr="00C61AA4">
        <w:rPr>
          <w:rFonts w:ascii="Times New Roman" w:hAnsi="Times New Roman"/>
          <w:sz w:val="24"/>
          <w:szCs w:val="24"/>
        </w:rPr>
        <w:t xml:space="preserve"> комитета по банковскому надзору (Базель </w:t>
      </w:r>
      <w:r w:rsidRPr="00C61AA4">
        <w:rPr>
          <w:rFonts w:ascii="Times New Roman" w:hAnsi="Times New Roman"/>
          <w:sz w:val="24"/>
          <w:szCs w:val="24"/>
          <w:lang w:val="en-US"/>
        </w:rPr>
        <w:t>III</w:t>
      </w:r>
      <w:r w:rsidRPr="00C61AA4">
        <w:rPr>
          <w:rFonts w:ascii="Times New Roman" w:hAnsi="Times New Roman"/>
          <w:sz w:val="24"/>
          <w:szCs w:val="24"/>
        </w:rPr>
        <w:t>), в казахстанскую практику регулирования внедрены новые коэффициенты покрытия ликвидности (</w:t>
      </w:r>
      <w:r w:rsidRPr="00C61AA4">
        <w:rPr>
          <w:rFonts w:ascii="Times New Roman" w:hAnsi="Times New Roman"/>
          <w:sz w:val="24"/>
          <w:szCs w:val="24"/>
          <w:lang w:val="en-US"/>
        </w:rPr>
        <w:t>Liquidity</w:t>
      </w:r>
      <w:r w:rsidRPr="00C61AA4">
        <w:rPr>
          <w:rFonts w:ascii="Times New Roman" w:hAnsi="Times New Roman"/>
          <w:sz w:val="24"/>
          <w:szCs w:val="24"/>
        </w:rPr>
        <w:t xml:space="preserve"> </w:t>
      </w:r>
      <w:r w:rsidRPr="00C61AA4">
        <w:rPr>
          <w:rFonts w:ascii="Times New Roman" w:hAnsi="Times New Roman"/>
          <w:sz w:val="24"/>
          <w:szCs w:val="24"/>
          <w:lang w:val="en-US"/>
        </w:rPr>
        <w:t>Coverage</w:t>
      </w:r>
      <w:r w:rsidRPr="00C61AA4">
        <w:rPr>
          <w:rFonts w:ascii="Times New Roman" w:hAnsi="Times New Roman"/>
          <w:sz w:val="24"/>
          <w:szCs w:val="24"/>
        </w:rPr>
        <w:t xml:space="preserve"> </w:t>
      </w:r>
      <w:r w:rsidRPr="00C61AA4">
        <w:rPr>
          <w:rFonts w:ascii="Times New Roman" w:hAnsi="Times New Roman"/>
          <w:sz w:val="24"/>
          <w:szCs w:val="24"/>
          <w:lang w:val="en-US"/>
        </w:rPr>
        <w:t>Ratio</w:t>
      </w:r>
      <w:r w:rsidRPr="00C61AA4">
        <w:rPr>
          <w:rFonts w:ascii="Times New Roman" w:hAnsi="Times New Roman"/>
          <w:sz w:val="24"/>
          <w:szCs w:val="24"/>
        </w:rPr>
        <w:t>) и чистого стабильного фондирования (</w:t>
      </w:r>
      <w:r w:rsidRPr="00C61AA4">
        <w:rPr>
          <w:rFonts w:ascii="Times New Roman" w:hAnsi="Times New Roman"/>
          <w:sz w:val="24"/>
          <w:szCs w:val="24"/>
          <w:lang w:val="en-US"/>
        </w:rPr>
        <w:t>Net</w:t>
      </w:r>
      <w:r w:rsidRPr="00C61AA4">
        <w:rPr>
          <w:rFonts w:ascii="Times New Roman" w:hAnsi="Times New Roman"/>
          <w:sz w:val="24"/>
          <w:szCs w:val="24"/>
        </w:rPr>
        <w:t xml:space="preserve"> </w:t>
      </w:r>
      <w:r w:rsidRPr="00C61AA4">
        <w:rPr>
          <w:rFonts w:ascii="Times New Roman" w:hAnsi="Times New Roman"/>
          <w:sz w:val="24"/>
          <w:szCs w:val="24"/>
          <w:lang w:val="en-US"/>
        </w:rPr>
        <w:t>Stable</w:t>
      </w:r>
      <w:r w:rsidRPr="00C61AA4">
        <w:rPr>
          <w:rFonts w:ascii="Times New Roman" w:hAnsi="Times New Roman"/>
          <w:sz w:val="24"/>
          <w:szCs w:val="24"/>
        </w:rPr>
        <w:t xml:space="preserve"> </w:t>
      </w:r>
      <w:r w:rsidRPr="00C61AA4">
        <w:rPr>
          <w:rFonts w:ascii="Times New Roman" w:hAnsi="Times New Roman"/>
          <w:sz w:val="24"/>
          <w:szCs w:val="24"/>
          <w:lang w:val="en-US"/>
        </w:rPr>
        <w:t>Funding</w:t>
      </w:r>
      <w:r w:rsidRPr="00C61AA4">
        <w:rPr>
          <w:rFonts w:ascii="Times New Roman" w:hAnsi="Times New Roman"/>
          <w:sz w:val="24"/>
          <w:szCs w:val="24"/>
        </w:rPr>
        <w:t xml:space="preserve"> </w:t>
      </w:r>
      <w:r w:rsidRPr="00C61AA4">
        <w:rPr>
          <w:rFonts w:ascii="Times New Roman" w:hAnsi="Times New Roman"/>
          <w:sz w:val="24"/>
          <w:szCs w:val="24"/>
          <w:lang w:val="en-US"/>
        </w:rPr>
        <w:t>Ratio</w:t>
      </w:r>
      <w:r w:rsidRPr="00C61AA4">
        <w:rPr>
          <w:rFonts w:ascii="Times New Roman" w:hAnsi="Times New Roman"/>
          <w:sz w:val="24"/>
          <w:szCs w:val="24"/>
        </w:rPr>
        <w:t>), выполняющие взаимодополняющую роль в обеспечении устойчивости банка при потенциальном отсутствии источников ликвидности при неблагоприятных сценариях и ограничении зависимости от краткосрочного фондирования.</w:t>
      </w:r>
      <w:proofErr w:type="gramEnd"/>
    </w:p>
    <w:p w:rsidR="006346A7" w:rsidRPr="00C61AA4" w:rsidRDefault="006346A7" w:rsidP="006346A7">
      <w:pPr>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В целях ограничения концентрации депозитов физических лиц введено требование по вычету из собственного капитала положительной разницы между суммой депозитов физических лиц и 5,5-кратным размером собственного капитала по балансу.</w:t>
      </w:r>
    </w:p>
    <w:p w:rsidR="006346A7" w:rsidRPr="00C61AA4" w:rsidRDefault="006346A7" w:rsidP="006346A7">
      <w:pPr>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Введены повышенные уровни риска по потребительским необеспеченным займам. С 1 января 2016 года обязательным условием выдачи потребительского необеспеченного займа является проверка реальных доходов и кредитная история заемщика. В случае если по займу у заемщика имеется превышение ежемесячных расходов по погашению займов над 35% его совокупных доходов, либо наличия просрочки по погашению займов, по таким займам будут формироваться дополнительные капитальные резервы.</w:t>
      </w:r>
    </w:p>
    <w:p w:rsidR="006346A7" w:rsidRPr="00C61AA4" w:rsidRDefault="006346A7" w:rsidP="006346A7">
      <w:pPr>
        <w:spacing w:line="240" w:lineRule="auto"/>
        <w:ind w:firstLine="709"/>
        <w:contextualSpacing/>
        <w:jc w:val="both"/>
        <w:rPr>
          <w:rFonts w:ascii="Times New Roman" w:hAnsi="Times New Roman"/>
          <w:i/>
          <w:sz w:val="24"/>
          <w:szCs w:val="24"/>
        </w:rPr>
      </w:pPr>
      <w:r w:rsidRPr="00C61AA4">
        <w:rPr>
          <w:rFonts w:ascii="Times New Roman" w:hAnsi="Times New Roman"/>
          <w:i/>
          <w:sz w:val="24"/>
          <w:szCs w:val="24"/>
        </w:rPr>
        <w:t>Реализация процедур надзора в целях обеспечения банками требований законодательства.</w:t>
      </w:r>
    </w:p>
    <w:p w:rsidR="006346A7" w:rsidRPr="00C61AA4" w:rsidRDefault="006346A7" w:rsidP="006346A7">
      <w:pPr>
        <w:spacing w:line="240" w:lineRule="auto"/>
        <w:ind w:firstLine="709"/>
        <w:contextualSpacing/>
        <w:jc w:val="both"/>
        <w:rPr>
          <w:rFonts w:ascii="Times New Roman" w:hAnsi="Times New Roman"/>
          <w:sz w:val="24"/>
          <w:szCs w:val="26"/>
        </w:rPr>
      </w:pPr>
      <w:r w:rsidRPr="00C61AA4">
        <w:rPr>
          <w:rFonts w:ascii="Times New Roman" w:hAnsi="Times New Roman"/>
          <w:sz w:val="24"/>
          <w:szCs w:val="26"/>
        </w:rPr>
        <w:t xml:space="preserve">В отношении банков второго уровня </w:t>
      </w:r>
      <w:r w:rsidR="008F530E" w:rsidRPr="00C61AA4">
        <w:rPr>
          <w:rFonts w:ascii="Times New Roman" w:hAnsi="Times New Roman"/>
          <w:color w:val="000000"/>
          <w:sz w:val="24"/>
          <w:szCs w:val="24"/>
        </w:rPr>
        <w:t xml:space="preserve">НБРК </w:t>
      </w:r>
      <w:r w:rsidRPr="00C61AA4">
        <w:rPr>
          <w:rFonts w:ascii="Times New Roman" w:hAnsi="Times New Roman"/>
          <w:sz w:val="24"/>
          <w:szCs w:val="26"/>
        </w:rPr>
        <w:t>на постоянной основе принимаются меры надзорного реагирования, направленные на обеспечение финансовой устойчивости финансовой системы и качественное улучшение работы банков.</w:t>
      </w:r>
    </w:p>
    <w:p w:rsidR="006346A7" w:rsidRPr="00C61AA4" w:rsidRDefault="006346A7" w:rsidP="006346A7">
      <w:pPr>
        <w:spacing w:line="240" w:lineRule="auto"/>
        <w:ind w:firstLine="709"/>
        <w:contextualSpacing/>
        <w:jc w:val="both"/>
        <w:rPr>
          <w:rFonts w:ascii="Times New Roman" w:hAnsi="Times New Roman"/>
          <w:sz w:val="24"/>
          <w:szCs w:val="26"/>
        </w:rPr>
      </w:pPr>
      <w:r w:rsidRPr="00C61AA4">
        <w:rPr>
          <w:rFonts w:ascii="Times New Roman" w:hAnsi="Times New Roman"/>
          <w:sz w:val="24"/>
          <w:szCs w:val="26"/>
        </w:rPr>
        <w:t xml:space="preserve">В 2016 году </w:t>
      </w:r>
      <w:r w:rsidR="008F530E" w:rsidRPr="00C61AA4">
        <w:rPr>
          <w:rFonts w:ascii="Times New Roman" w:hAnsi="Times New Roman"/>
          <w:color w:val="000000"/>
          <w:sz w:val="24"/>
          <w:szCs w:val="24"/>
        </w:rPr>
        <w:t xml:space="preserve">НБРК </w:t>
      </w:r>
      <w:r w:rsidRPr="00C61AA4">
        <w:rPr>
          <w:rFonts w:ascii="Times New Roman" w:hAnsi="Times New Roman"/>
          <w:sz w:val="24"/>
          <w:szCs w:val="26"/>
        </w:rPr>
        <w:t xml:space="preserve">была продолжена работа по надзорному реагированию на выявление рисков в банковском секторе. </w:t>
      </w:r>
      <w:proofErr w:type="gramStart"/>
      <w:r w:rsidRPr="00C61AA4">
        <w:rPr>
          <w:rFonts w:ascii="Times New Roman" w:hAnsi="Times New Roman"/>
          <w:sz w:val="24"/>
          <w:szCs w:val="26"/>
        </w:rPr>
        <w:t xml:space="preserve">В частности, осуществлено 18 инспекторских проверок банков, из </w:t>
      </w:r>
      <w:r w:rsidRPr="00C61AA4">
        <w:rPr>
          <w:rFonts w:ascii="Times New Roman" w:hAnsi="Times New Roman"/>
          <w:sz w:val="24"/>
          <w:szCs w:val="26"/>
        </w:rPr>
        <w:lastRenderedPageBreak/>
        <w:t>которых 10 – плановых проверок на основе оценки рисков и 8 внеплановых проверок - по поручению Главы государства совместно с Антикоррупционной службой</w:t>
      </w:r>
      <w:r w:rsidRPr="00C61AA4">
        <w:rPr>
          <w:rStyle w:val="a8"/>
          <w:sz w:val="24"/>
          <w:szCs w:val="26"/>
        </w:rPr>
        <w:footnoteReference w:id="3"/>
      </w:r>
      <w:r w:rsidRPr="00C61AA4">
        <w:rPr>
          <w:rFonts w:ascii="Times New Roman" w:hAnsi="Times New Roman"/>
          <w:sz w:val="24"/>
          <w:szCs w:val="26"/>
        </w:rPr>
        <w:t>. Внеплановые проверки проводилась в 8 банках</w:t>
      </w:r>
      <w:r w:rsidRPr="00C61AA4">
        <w:rPr>
          <w:rStyle w:val="a8"/>
          <w:sz w:val="24"/>
          <w:szCs w:val="26"/>
        </w:rPr>
        <w:footnoteReference w:id="4"/>
      </w:r>
      <w:r w:rsidRPr="00C61AA4">
        <w:rPr>
          <w:rFonts w:ascii="Times New Roman" w:hAnsi="Times New Roman"/>
          <w:sz w:val="24"/>
          <w:szCs w:val="26"/>
        </w:rPr>
        <w:t xml:space="preserve"> на предмет наличия нарушений законодательства Республики Казахстан в операционной деятельности, в том числе в части кредитования юридических и физических лиц. </w:t>
      </w:r>
      <w:proofErr w:type="gramEnd"/>
    </w:p>
    <w:p w:rsidR="006346A7" w:rsidRPr="00C61AA4" w:rsidRDefault="006346A7" w:rsidP="006346A7">
      <w:pPr>
        <w:spacing w:line="240" w:lineRule="auto"/>
        <w:ind w:firstLine="709"/>
        <w:contextualSpacing/>
        <w:jc w:val="both"/>
        <w:rPr>
          <w:rFonts w:ascii="Times New Roman" w:hAnsi="Times New Roman"/>
          <w:sz w:val="24"/>
          <w:szCs w:val="26"/>
        </w:rPr>
      </w:pPr>
      <w:r w:rsidRPr="00C61AA4">
        <w:rPr>
          <w:rFonts w:ascii="Times New Roman" w:hAnsi="Times New Roman"/>
          <w:sz w:val="24"/>
          <w:szCs w:val="26"/>
        </w:rPr>
        <w:t>В ходе проведенной проверки выявлены такие риски, как слабые внутренние политики и процедуры по оценке и управлению рисками при кредитовании. Такая деятельность привела к агрессивному росту кредитных рисков по ссудному портфелю в ряде банков, необеспеченному качественными  залогами, в частности, залоги в основном представлены нереальными активами, а деньгами и имуществом, поступающими в будущем.</w:t>
      </w:r>
    </w:p>
    <w:p w:rsidR="006346A7" w:rsidRPr="00C61AA4" w:rsidRDefault="006346A7" w:rsidP="006346A7">
      <w:pPr>
        <w:spacing w:line="240" w:lineRule="auto"/>
        <w:ind w:firstLine="709"/>
        <w:contextualSpacing/>
        <w:jc w:val="both"/>
        <w:rPr>
          <w:rFonts w:ascii="Times New Roman" w:hAnsi="Times New Roman"/>
          <w:sz w:val="24"/>
          <w:szCs w:val="26"/>
        </w:rPr>
      </w:pPr>
      <w:r w:rsidRPr="00C61AA4">
        <w:rPr>
          <w:rFonts w:ascii="Times New Roman" w:hAnsi="Times New Roman"/>
          <w:sz w:val="24"/>
          <w:szCs w:val="26"/>
        </w:rPr>
        <w:t>По результатам проверок в отношении двух банков (АО «</w:t>
      </w:r>
      <w:proofErr w:type="spellStart"/>
      <w:r w:rsidRPr="00C61AA4">
        <w:rPr>
          <w:rFonts w:ascii="Times New Roman" w:hAnsi="Times New Roman"/>
          <w:sz w:val="24"/>
          <w:szCs w:val="26"/>
        </w:rPr>
        <w:t>Казинвестбанк</w:t>
      </w:r>
      <w:proofErr w:type="spellEnd"/>
      <w:r w:rsidRPr="00C61AA4">
        <w:rPr>
          <w:rFonts w:ascii="Times New Roman" w:hAnsi="Times New Roman"/>
          <w:sz w:val="24"/>
          <w:szCs w:val="26"/>
        </w:rPr>
        <w:t>», АО «</w:t>
      </w:r>
      <w:proofErr w:type="spellStart"/>
      <w:r w:rsidRPr="00C61AA4">
        <w:rPr>
          <w:rFonts w:ascii="Times New Roman" w:hAnsi="Times New Roman"/>
          <w:sz w:val="24"/>
          <w:szCs w:val="26"/>
        </w:rPr>
        <w:t>Delta</w:t>
      </w:r>
      <w:proofErr w:type="spellEnd"/>
      <w:r w:rsidRPr="00C61AA4">
        <w:rPr>
          <w:rFonts w:ascii="Times New Roman" w:hAnsi="Times New Roman"/>
          <w:sz w:val="24"/>
          <w:szCs w:val="26"/>
        </w:rPr>
        <w:t xml:space="preserve"> </w:t>
      </w:r>
      <w:proofErr w:type="spellStart"/>
      <w:r w:rsidRPr="00C61AA4">
        <w:rPr>
          <w:rFonts w:ascii="Times New Roman" w:hAnsi="Times New Roman"/>
          <w:sz w:val="24"/>
          <w:szCs w:val="26"/>
        </w:rPr>
        <w:t>Bank</w:t>
      </w:r>
      <w:proofErr w:type="spellEnd"/>
      <w:r w:rsidRPr="00C61AA4">
        <w:rPr>
          <w:rFonts w:ascii="Times New Roman" w:hAnsi="Times New Roman"/>
          <w:sz w:val="24"/>
          <w:szCs w:val="26"/>
        </w:rPr>
        <w:t>») приняты меры по приостановлению лицензии на прием депозитов физических лиц, открытие банковских счетов физических лиц сроком на три месяца. Более того, в связи с отсутствием финансовой поддержки со стороны акционеров АО «</w:t>
      </w:r>
      <w:proofErr w:type="spellStart"/>
      <w:r w:rsidRPr="00C61AA4">
        <w:rPr>
          <w:rFonts w:ascii="Times New Roman" w:hAnsi="Times New Roman"/>
          <w:sz w:val="24"/>
          <w:szCs w:val="26"/>
        </w:rPr>
        <w:t>Казинвестбанк</w:t>
      </w:r>
      <w:proofErr w:type="spellEnd"/>
      <w:r w:rsidRPr="00C61AA4">
        <w:rPr>
          <w:rFonts w:ascii="Times New Roman" w:hAnsi="Times New Roman"/>
          <w:sz w:val="24"/>
          <w:szCs w:val="26"/>
        </w:rPr>
        <w:t>»</w:t>
      </w:r>
      <w:r w:rsidRPr="00C61AA4">
        <w:rPr>
          <w:rFonts w:ascii="Times New Roman" w:hAnsi="Times New Roman"/>
        </w:rPr>
        <w:t xml:space="preserve"> </w:t>
      </w:r>
      <w:r w:rsidRPr="00C61AA4">
        <w:rPr>
          <w:rFonts w:ascii="Times New Roman" w:hAnsi="Times New Roman"/>
          <w:sz w:val="24"/>
          <w:szCs w:val="26"/>
        </w:rPr>
        <w:t>в условиях неадекватности его капитала принятым рискам и низких показателях ликвидности, Национальным Банком принято решение о лишен</w:t>
      </w:r>
      <w:proofErr w:type="gramStart"/>
      <w:r w:rsidRPr="00C61AA4">
        <w:rPr>
          <w:rFonts w:ascii="Times New Roman" w:hAnsi="Times New Roman"/>
          <w:sz w:val="24"/>
          <w:szCs w:val="26"/>
        </w:rPr>
        <w:t>ии АО</w:t>
      </w:r>
      <w:proofErr w:type="gramEnd"/>
      <w:r w:rsidRPr="00C61AA4">
        <w:rPr>
          <w:rFonts w:ascii="Times New Roman" w:hAnsi="Times New Roman"/>
          <w:sz w:val="24"/>
          <w:szCs w:val="26"/>
        </w:rPr>
        <w:t xml:space="preserve"> «</w:t>
      </w:r>
      <w:proofErr w:type="spellStart"/>
      <w:r w:rsidRPr="00C61AA4">
        <w:rPr>
          <w:rFonts w:ascii="Times New Roman" w:hAnsi="Times New Roman"/>
          <w:sz w:val="24"/>
          <w:szCs w:val="26"/>
        </w:rPr>
        <w:t>Казинвестбанк</w:t>
      </w:r>
      <w:proofErr w:type="spellEnd"/>
      <w:r w:rsidRPr="00C61AA4">
        <w:rPr>
          <w:rFonts w:ascii="Times New Roman" w:hAnsi="Times New Roman"/>
          <w:sz w:val="24"/>
          <w:szCs w:val="26"/>
        </w:rPr>
        <w:t>» лицензии на проведение банковских и иных операций и деятельности на рынке ценных бумаг.</w:t>
      </w:r>
    </w:p>
    <w:p w:rsidR="006346A7" w:rsidRPr="00C61AA4" w:rsidRDefault="006346A7" w:rsidP="006346A7">
      <w:pPr>
        <w:spacing w:line="240" w:lineRule="auto"/>
        <w:ind w:firstLine="709"/>
        <w:contextualSpacing/>
        <w:jc w:val="both"/>
        <w:rPr>
          <w:rFonts w:ascii="Times New Roman" w:hAnsi="Times New Roman"/>
          <w:sz w:val="24"/>
          <w:szCs w:val="26"/>
        </w:rPr>
      </w:pPr>
      <w:r w:rsidRPr="00C61AA4">
        <w:rPr>
          <w:rFonts w:ascii="Times New Roman" w:hAnsi="Times New Roman"/>
          <w:sz w:val="24"/>
          <w:szCs w:val="26"/>
        </w:rPr>
        <w:t xml:space="preserve">В адрес остальных 6-ти банков </w:t>
      </w:r>
      <w:r w:rsidR="008F530E" w:rsidRPr="00C61AA4">
        <w:rPr>
          <w:rFonts w:ascii="Times New Roman" w:hAnsi="Times New Roman"/>
          <w:color w:val="000000"/>
          <w:sz w:val="24"/>
          <w:szCs w:val="24"/>
        </w:rPr>
        <w:t xml:space="preserve">НБРК </w:t>
      </w:r>
      <w:r w:rsidRPr="00C61AA4">
        <w:rPr>
          <w:rFonts w:ascii="Times New Roman" w:hAnsi="Times New Roman"/>
          <w:sz w:val="24"/>
          <w:szCs w:val="26"/>
        </w:rPr>
        <w:t xml:space="preserve">направлены письменные предписания по ограничению </w:t>
      </w:r>
      <w:proofErr w:type="spellStart"/>
      <w:r w:rsidRPr="00C61AA4">
        <w:rPr>
          <w:rFonts w:ascii="Times New Roman" w:hAnsi="Times New Roman"/>
          <w:sz w:val="24"/>
          <w:szCs w:val="26"/>
        </w:rPr>
        <w:t>высокорискованных</w:t>
      </w:r>
      <w:proofErr w:type="spellEnd"/>
      <w:r w:rsidRPr="00C61AA4">
        <w:rPr>
          <w:rFonts w:ascii="Times New Roman" w:hAnsi="Times New Roman"/>
          <w:sz w:val="24"/>
          <w:szCs w:val="26"/>
        </w:rPr>
        <w:t xml:space="preserve"> операций (выдача бланковых займов, займов под «нетвердые» залоги) и совершенствованию кредитной политики, в части усиления </w:t>
      </w:r>
      <w:proofErr w:type="gramStart"/>
      <w:r w:rsidRPr="00C61AA4">
        <w:rPr>
          <w:rFonts w:ascii="Times New Roman" w:hAnsi="Times New Roman"/>
          <w:sz w:val="24"/>
          <w:szCs w:val="26"/>
        </w:rPr>
        <w:t>риск-менеджмента</w:t>
      </w:r>
      <w:proofErr w:type="gramEnd"/>
      <w:r w:rsidRPr="00C61AA4">
        <w:rPr>
          <w:rFonts w:ascii="Times New Roman" w:hAnsi="Times New Roman"/>
          <w:sz w:val="24"/>
          <w:szCs w:val="26"/>
        </w:rPr>
        <w:t xml:space="preserve"> банков и внутреннего аудита.</w:t>
      </w:r>
    </w:p>
    <w:p w:rsidR="009E2774" w:rsidRPr="00C61AA4" w:rsidRDefault="006346A7" w:rsidP="009E2774">
      <w:pPr>
        <w:spacing w:line="240" w:lineRule="auto"/>
        <w:ind w:firstLine="709"/>
        <w:contextualSpacing/>
        <w:jc w:val="both"/>
        <w:rPr>
          <w:rFonts w:ascii="Times New Roman" w:hAnsi="Times New Roman"/>
          <w:i/>
          <w:sz w:val="24"/>
          <w:szCs w:val="24"/>
        </w:rPr>
      </w:pPr>
      <w:r w:rsidRPr="00C61AA4">
        <w:rPr>
          <w:rFonts w:ascii="Times New Roman" w:hAnsi="Times New Roman"/>
          <w:i/>
          <w:sz w:val="24"/>
          <w:szCs w:val="24"/>
        </w:rPr>
        <w:t>Реализация мер по стимулированию снижения неработающих займов.</w:t>
      </w:r>
    </w:p>
    <w:p w:rsidR="006346A7" w:rsidRPr="00C61AA4" w:rsidRDefault="006346A7" w:rsidP="009E2774">
      <w:pPr>
        <w:spacing w:line="240" w:lineRule="auto"/>
        <w:ind w:firstLine="709"/>
        <w:contextualSpacing/>
        <w:jc w:val="both"/>
        <w:rPr>
          <w:rFonts w:ascii="Times New Roman" w:hAnsi="Times New Roman" w:cs="Times New Roman"/>
          <w:szCs w:val="28"/>
        </w:rPr>
      </w:pPr>
      <w:r w:rsidRPr="00C61AA4">
        <w:rPr>
          <w:rFonts w:ascii="Times New Roman" w:eastAsia="Calibri" w:hAnsi="Times New Roman" w:cs="Times New Roman"/>
          <w:color w:val="000000"/>
          <w:szCs w:val="28"/>
          <w:lang w:eastAsia="x-none"/>
        </w:rPr>
        <w:t>В 2016 году была продолжена работа по снижению доли неработающих займов</w:t>
      </w:r>
      <w:r w:rsidRPr="00C61AA4">
        <w:rPr>
          <w:rStyle w:val="a8"/>
          <w:rFonts w:ascii="Times New Roman" w:eastAsia="Calibri" w:hAnsi="Times New Roman" w:cs="Times New Roman"/>
        </w:rPr>
        <w:footnoteReference w:id="5"/>
      </w:r>
      <w:r w:rsidRPr="00C61AA4">
        <w:rPr>
          <w:rFonts w:ascii="Times New Roman" w:eastAsia="Calibri" w:hAnsi="Times New Roman" w:cs="Times New Roman"/>
          <w:color w:val="000000"/>
          <w:szCs w:val="28"/>
          <w:lang w:eastAsia="x-none"/>
        </w:rPr>
        <w:t xml:space="preserve"> (</w:t>
      </w:r>
      <w:r w:rsidRPr="00C61AA4">
        <w:rPr>
          <w:rFonts w:ascii="Times New Roman" w:hAnsi="Times New Roman" w:cs="Times New Roman"/>
          <w:color w:val="000000"/>
          <w:szCs w:val="28"/>
        </w:rPr>
        <w:t>NPL)</w:t>
      </w:r>
      <w:r w:rsidRPr="00C61AA4">
        <w:rPr>
          <w:rFonts w:ascii="Times New Roman" w:eastAsia="Calibri" w:hAnsi="Times New Roman" w:cs="Times New Roman"/>
          <w:color w:val="000000"/>
          <w:szCs w:val="28"/>
          <w:lang w:eastAsia="x-none"/>
        </w:rPr>
        <w:t xml:space="preserve"> в ссудном портфеле банков второго уровня.</w:t>
      </w:r>
    </w:p>
    <w:p w:rsidR="006346A7" w:rsidRPr="00C61AA4" w:rsidRDefault="006346A7" w:rsidP="006346A7">
      <w:pPr>
        <w:tabs>
          <w:tab w:val="left" w:pos="709"/>
        </w:tabs>
        <w:suppressAutoHyphens/>
        <w:spacing w:line="240" w:lineRule="auto"/>
        <w:ind w:firstLine="709"/>
        <w:contextualSpacing/>
        <w:jc w:val="both"/>
        <w:rPr>
          <w:rFonts w:ascii="Times New Roman" w:hAnsi="Times New Roman"/>
          <w:color w:val="000000"/>
          <w:sz w:val="24"/>
          <w:szCs w:val="28"/>
        </w:rPr>
      </w:pPr>
      <w:r w:rsidRPr="00C61AA4">
        <w:rPr>
          <w:rFonts w:ascii="Times New Roman" w:hAnsi="Times New Roman"/>
          <w:color w:val="000000"/>
          <w:sz w:val="24"/>
          <w:szCs w:val="28"/>
        </w:rPr>
        <w:t xml:space="preserve">В рамках требований действующего законодательства 7 банков, уровень </w:t>
      </w:r>
      <w:r w:rsidRPr="00C61AA4">
        <w:rPr>
          <w:rFonts w:ascii="Times New Roman" w:hAnsi="Times New Roman"/>
          <w:color w:val="000000"/>
          <w:sz w:val="24"/>
          <w:szCs w:val="28"/>
          <w:lang w:val="en-US"/>
        </w:rPr>
        <w:t>NPL</w:t>
      </w:r>
      <w:r w:rsidRPr="00C61AA4">
        <w:rPr>
          <w:rFonts w:ascii="Times New Roman" w:hAnsi="Times New Roman"/>
          <w:color w:val="000000"/>
          <w:sz w:val="24"/>
          <w:szCs w:val="28"/>
        </w:rPr>
        <w:t xml:space="preserve"> которых превышал </w:t>
      </w:r>
      <w:proofErr w:type="spellStart"/>
      <w:r w:rsidRPr="00C61AA4">
        <w:rPr>
          <w:rFonts w:ascii="Times New Roman" w:hAnsi="Times New Roman"/>
          <w:color w:val="000000"/>
          <w:sz w:val="24"/>
          <w:szCs w:val="28"/>
        </w:rPr>
        <w:t>таргетируемое</w:t>
      </w:r>
      <w:proofErr w:type="spellEnd"/>
      <w:r w:rsidRPr="00C61AA4">
        <w:rPr>
          <w:rFonts w:ascii="Times New Roman" w:hAnsi="Times New Roman"/>
          <w:color w:val="000000"/>
          <w:sz w:val="24"/>
          <w:szCs w:val="28"/>
        </w:rPr>
        <w:t xml:space="preserve"> значение (10%), представили планы мероприятий по снижению доли займов c просроченной задолженностью по основному долгу и (или) по начисленному вознаграждению свыше 90 календарных дней с конечным сроком исполнения 01.01.2018г. </w:t>
      </w:r>
    </w:p>
    <w:p w:rsidR="006346A7" w:rsidRPr="00C61AA4" w:rsidRDefault="006346A7" w:rsidP="006346A7">
      <w:pPr>
        <w:tabs>
          <w:tab w:val="left" w:pos="709"/>
        </w:tabs>
        <w:suppressAutoHyphens/>
        <w:spacing w:line="240" w:lineRule="auto"/>
        <w:ind w:firstLine="709"/>
        <w:contextualSpacing/>
        <w:jc w:val="both"/>
        <w:rPr>
          <w:rFonts w:ascii="Times New Roman" w:hAnsi="Times New Roman"/>
          <w:color w:val="000000"/>
          <w:sz w:val="24"/>
          <w:szCs w:val="28"/>
        </w:rPr>
      </w:pPr>
      <w:r w:rsidRPr="00C61AA4">
        <w:rPr>
          <w:rFonts w:ascii="Times New Roman" w:hAnsi="Times New Roman"/>
          <w:color w:val="000000"/>
          <w:sz w:val="24"/>
          <w:szCs w:val="28"/>
        </w:rPr>
        <w:t xml:space="preserve">В результате проведенных банками мероприятий по состоянию на 01.01.2017г. неработающие займы банковской системы составили 1042 млрд. тенге или 6,72 % (при кредитном портфеле 15511 млрд. тенге). </w:t>
      </w:r>
    </w:p>
    <w:p w:rsidR="009E2774" w:rsidRPr="00C61AA4" w:rsidRDefault="006346A7" w:rsidP="009E2774">
      <w:pPr>
        <w:tabs>
          <w:tab w:val="left" w:pos="709"/>
        </w:tabs>
        <w:suppressAutoHyphens/>
        <w:spacing w:line="240" w:lineRule="auto"/>
        <w:ind w:firstLine="709"/>
        <w:contextualSpacing/>
        <w:jc w:val="both"/>
        <w:rPr>
          <w:rFonts w:ascii="Times New Roman" w:hAnsi="Times New Roman"/>
          <w:color w:val="000000"/>
          <w:sz w:val="24"/>
          <w:szCs w:val="28"/>
        </w:rPr>
      </w:pPr>
      <w:r w:rsidRPr="00C61AA4">
        <w:rPr>
          <w:rFonts w:ascii="Times New Roman" w:hAnsi="Times New Roman"/>
          <w:color w:val="000000"/>
          <w:sz w:val="24"/>
          <w:szCs w:val="28"/>
        </w:rPr>
        <w:t>Ситуация с поддержанием уровня NPL находится под постоянным контролем Национального Банка.</w:t>
      </w:r>
    </w:p>
    <w:p w:rsidR="006346A7" w:rsidRPr="00C61AA4" w:rsidRDefault="006346A7" w:rsidP="009E2774">
      <w:pPr>
        <w:tabs>
          <w:tab w:val="left" w:pos="709"/>
        </w:tabs>
        <w:suppressAutoHyphens/>
        <w:spacing w:line="240" w:lineRule="auto"/>
        <w:ind w:firstLine="709"/>
        <w:contextualSpacing/>
        <w:jc w:val="both"/>
        <w:rPr>
          <w:rFonts w:ascii="Times New Roman" w:hAnsi="Times New Roman" w:cs="Times New Roman"/>
          <w:sz w:val="24"/>
          <w:szCs w:val="24"/>
        </w:rPr>
      </w:pPr>
      <w:proofErr w:type="gramStart"/>
      <w:r w:rsidRPr="00C61AA4">
        <w:rPr>
          <w:rFonts w:ascii="Times New Roman" w:hAnsi="Times New Roman" w:cs="Times New Roman"/>
          <w:sz w:val="24"/>
          <w:szCs w:val="24"/>
        </w:rPr>
        <w:t>В случае нарушения плана мероприятий к банку будут приняты меры надзорного реагирования в виде надзорной надбавки, составляющей 2 процентных пункта к значениям достаточности собственного капитала, а также санкций в виде отстранения от выполнения служебных обязанностей заместителя первого руководителя правления, ответственного за исполнение плана мероприятий и первого руководителя правления при последующем несвоевременном исполнении банком плана мероприятий в дополнение к надзорной надбавке.</w:t>
      </w:r>
      <w:proofErr w:type="gramEnd"/>
    </w:p>
    <w:p w:rsidR="006346A7" w:rsidRPr="00C61AA4" w:rsidRDefault="006346A7" w:rsidP="006346A7">
      <w:pPr>
        <w:spacing w:line="240" w:lineRule="auto"/>
        <w:ind w:firstLine="709"/>
        <w:contextualSpacing/>
        <w:jc w:val="both"/>
        <w:rPr>
          <w:rFonts w:ascii="Times New Roman" w:hAnsi="Times New Roman"/>
          <w:b/>
          <w:i/>
          <w:sz w:val="24"/>
          <w:szCs w:val="24"/>
        </w:rPr>
      </w:pPr>
    </w:p>
    <w:p w:rsidR="006346A7" w:rsidRPr="00C61AA4" w:rsidRDefault="006346A7" w:rsidP="006346A7">
      <w:pPr>
        <w:spacing w:line="240" w:lineRule="auto"/>
        <w:ind w:firstLine="709"/>
        <w:contextualSpacing/>
        <w:jc w:val="both"/>
        <w:rPr>
          <w:rFonts w:ascii="Times New Roman" w:hAnsi="Times New Roman"/>
          <w:b/>
          <w:i/>
          <w:sz w:val="24"/>
          <w:szCs w:val="24"/>
        </w:rPr>
      </w:pPr>
      <w:r w:rsidRPr="00C61AA4">
        <w:rPr>
          <w:rFonts w:ascii="Times New Roman" w:hAnsi="Times New Roman"/>
          <w:b/>
          <w:i/>
          <w:sz w:val="24"/>
          <w:szCs w:val="24"/>
        </w:rPr>
        <w:t>Валютный риск. Влияние высокой концентрации активов в иностранной валюте на уровень неработающих кредитов.</w:t>
      </w:r>
    </w:p>
    <w:p w:rsidR="006346A7" w:rsidRPr="00C61AA4" w:rsidRDefault="006346A7" w:rsidP="006346A7">
      <w:pPr>
        <w:spacing w:line="240" w:lineRule="auto"/>
        <w:ind w:firstLine="709"/>
        <w:contextualSpacing/>
        <w:jc w:val="both"/>
        <w:rPr>
          <w:rFonts w:ascii="Times New Roman" w:hAnsi="Times New Roman"/>
          <w:b/>
          <w:i/>
          <w:sz w:val="24"/>
          <w:szCs w:val="24"/>
        </w:rPr>
      </w:pPr>
      <w:r w:rsidRPr="00C61AA4">
        <w:rPr>
          <w:rFonts w:ascii="Times New Roman" w:hAnsi="Times New Roman"/>
          <w:b/>
          <w:i/>
          <w:sz w:val="24"/>
          <w:szCs w:val="24"/>
        </w:rPr>
        <w:t>Возможные последствия в случае непринятия мер по управлению рисками:</w:t>
      </w:r>
    </w:p>
    <w:p w:rsidR="006346A7" w:rsidRPr="00C61AA4" w:rsidRDefault="006346A7" w:rsidP="006346A7">
      <w:pPr>
        <w:spacing w:line="240" w:lineRule="auto"/>
        <w:ind w:firstLine="709"/>
        <w:contextualSpacing/>
        <w:jc w:val="both"/>
        <w:rPr>
          <w:rFonts w:ascii="Times New Roman" w:hAnsi="Times New Roman"/>
          <w:i/>
          <w:sz w:val="24"/>
          <w:szCs w:val="24"/>
        </w:rPr>
      </w:pPr>
      <w:proofErr w:type="gramStart"/>
      <w:r w:rsidRPr="00C61AA4">
        <w:rPr>
          <w:rFonts w:ascii="Times New Roman" w:hAnsi="Times New Roman"/>
          <w:i/>
          <w:sz w:val="24"/>
          <w:szCs w:val="24"/>
        </w:rPr>
        <w:t>Рост уровня неработающих кредитов в связи с высокой волатильностью курса иностранных валют, оказывающих мультипликативный эффект на долговую нагрузку заемщиков.</w:t>
      </w:r>
      <w:proofErr w:type="gramEnd"/>
    </w:p>
    <w:p w:rsidR="006346A7" w:rsidRPr="00C61AA4" w:rsidRDefault="006346A7" w:rsidP="006346A7">
      <w:pPr>
        <w:spacing w:line="240" w:lineRule="auto"/>
        <w:ind w:firstLine="709"/>
        <w:contextualSpacing/>
        <w:jc w:val="both"/>
        <w:rPr>
          <w:rFonts w:ascii="Times New Roman" w:hAnsi="Times New Roman"/>
          <w:b/>
          <w:i/>
          <w:sz w:val="24"/>
          <w:szCs w:val="24"/>
        </w:rPr>
      </w:pPr>
      <w:r w:rsidRPr="00C61AA4">
        <w:rPr>
          <w:rFonts w:ascii="Times New Roman" w:hAnsi="Times New Roman"/>
          <w:b/>
          <w:bCs/>
          <w:i/>
          <w:sz w:val="24"/>
          <w:szCs w:val="24"/>
        </w:rPr>
        <w:t>Мероприятия по управлению возможным риском:</w:t>
      </w:r>
    </w:p>
    <w:p w:rsidR="006346A7" w:rsidRPr="00C61AA4" w:rsidRDefault="006346A7" w:rsidP="006346A7">
      <w:pPr>
        <w:spacing w:line="240" w:lineRule="auto"/>
        <w:ind w:firstLine="709"/>
        <w:contextualSpacing/>
        <w:jc w:val="both"/>
        <w:rPr>
          <w:rFonts w:ascii="Times New Roman" w:hAnsi="Times New Roman"/>
          <w:i/>
          <w:sz w:val="24"/>
          <w:szCs w:val="24"/>
        </w:rPr>
      </w:pPr>
      <w:r w:rsidRPr="00C61AA4">
        <w:rPr>
          <w:rFonts w:ascii="Times New Roman" w:hAnsi="Times New Roman"/>
          <w:i/>
          <w:sz w:val="24"/>
          <w:szCs w:val="24"/>
        </w:rPr>
        <w:lastRenderedPageBreak/>
        <w:t xml:space="preserve">В целях </w:t>
      </w:r>
      <w:proofErr w:type="spellStart"/>
      <w:r w:rsidRPr="00C61AA4">
        <w:rPr>
          <w:rFonts w:ascii="Times New Roman" w:hAnsi="Times New Roman"/>
          <w:i/>
          <w:sz w:val="24"/>
          <w:szCs w:val="24"/>
        </w:rPr>
        <w:t>дестимулирования</w:t>
      </w:r>
      <w:proofErr w:type="spellEnd"/>
      <w:r w:rsidRPr="00C61AA4">
        <w:rPr>
          <w:rFonts w:ascii="Times New Roman" w:hAnsi="Times New Roman"/>
          <w:i/>
          <w:sz w:val="24"/>
          <w:szCs w:val="24"/>
        </w:rPr>
        <w:t xml:space="preserve"> выдачи займов в иностранной валюте установление повышенных требований к собственному капиталу по займам в иностранной валюте заемщикам, не имеющим соответствующей валютной выручки.</w:t>
      </w:r>
    </w:p>
    <w:p w:rsidR="006346A7" w:rsidRPr="00C61AA4" w:rsidRDefault="006346A7" w:rsidP="006346A7">
      <w:pPr>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 xml:space="preserve">С 1 января 2016 года принята мера по </w:t>
      </w:r>
      <w:proofErr w:type="spellStart"/>
      <w:r w:rsidRPr="00C61AA4">
        <w:rPr>
          <w:rFonts w:ascii="Times New Roman" w:hAnsi="Times New Roman"/>
          <w:sz w:val="24"/>
          <w:szCs w:val="24"/>
        </w:rPr>
        <w:t>дестимулированию</w:t>
      </w:r>
      <w:proofErr w:type="spellEnd"/>
      <w:r w:rsidRPr="00C61AA4">
        <w:rPr>
          <w:rFonts w:ascii="Times New Roman" w:hAnsi="Times New Roman"/>
          <w:sz w:val="24"/>
          <w:szCs w:val="24"/>
        </w:rPr>
        <w:t xml:space="preserve"> выдачи займов юридическим и физическим лицам на срок более 1 года в иностранной валюте (в том числе потребительских кредитов), не имеющим соответствующей валютной выручки и (или) валютные риски которых не покрыты соответствующими инструментами хеджирования со стороны заемщика. Такие займы отнесены к более высокой группе риска, что в свою очередь требует рисков капиталом банка. Указанные займы взвешиваются по степени кредитного риска, равного 200%.</w:t>
      </w:r>
    </w:p>
    <w:p w:rsidR="006346A7" w:rsidRPr="00C61AA4" w:rsidRDefault="006346A7" w:rsidP="006346A7">
      <w:pPr>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С начала 2016 года банкам законодательно установлен запрет на предоставление ипотечных займов в иностранной валюте физическим лицам, не имеющим доход в данной валюте в течение шести последовательных месяцев, предшествующих дате обращения.</w:t>
      </w:r>
    </w:p>
    <w:p w:rsidR="006346A7" w:rsidRPr="00C61AA4" w:rsidRDefault="006346A7" w:rsidP="006346A7">
      <w:pPr>
        <w:spacing w:line="240" w:lineRule="auto"/>
        <w:ind w:firstLine="709"/>
        <w:contextualSpacing/>
        <w:jc w:val="both"/>
        <w:rPr>
          <w:rFonts w:ascii="Times New Roman" w:hAnsi="Times New Roman"/>
          <w:sz w:val="24"/>
          <w:szCs w:val="24"/>
        </w:rPr>
      </w:pPr>
    </w:p>
    <w:p w:rsidR="006346A7" w:rsidRPr="00C61AA4" w:rsidRDefault="006346A7" w:rsidP="006346A7">
      <w:pPr>
        <w:spacing w:line="240" w:lineRule="auto"/>
        <w:ind w:firstLine="709"/>
        <w:contextualSpacing/>
        <w:jc w:val="both"/>
        <w:rPr>
          <w:rFonts w:ascii="Times New Roman" w:hAnsi="Times New Roman"/>
          <w:b/>
          <w:i/>
          <w:sz w:val="24"/>
          <w:szCs w:val="24"/>
        </w:rPr>
      </w:pPr>
      <w:r w:rsidRPr="00C61AA4">
        <w:rPr>
          <w:rFonts w:ascii="Times New Roman" w:hAnsi="Times New Roman"/>
          <w:b/>
          <w:i/>
          <w:sz w:val="24"/>
          <w:szCs w:val="24"/>
        </w:rPr>
        <w:t>Отток отечественных эмитентов на международные торговые площадки, в том числе стран - участниц ЕАЭС</w:t>
      </w:r>
    </w:p>
    <w:p w:rsidR="006346A7" w:rsidRPr="00C61AA4" w:rsidRDefault="006346A7" w:rsidP="006346A7">
      <w:pPr>
        <w:spacing w:line="240" w:lineRule="auto"/>
        <w:ind w:firstLine="709"/>
        <w:contextualSpacing/>
        <w:jc w:val="both"/>
        <w:rPr>
          <w:rFonts w:ascii="Times New Roman" w:hAnsi="Times New Roman"/>
          <w:b/>
          <w:sz w:val="24"/>
          <w:szCs w:val="24"/>
        </w:rPr>
      </w:pPr>
      <w:r w:rsidRPr="00C61AA4">
        <w:rPr>
          <w:rFonts w:ascii="Times New Roman" w:hAnsi="Times New Roman"/>
          <w:b/>
          <w:i/>
          <w:sz w:val="24"/>
          <w:szCs w:val="24"/>
        </w:rPr>
        <w:t>Возможные последствия в случае непринятия мер по управлению рисками</w:t>
      </w:r>
      <w:r w:rsidRPr="00C61AA4">
        <w:rPr>
          <w:rFonts w:ascii="Times New Roman" w:hAnsi="Times New Roman"/>
          <w:i/>
          <w:sz w:val="24"/>
          <w:szCs w:val="24"/>
        </w:rPr>
        <w:t>:</w:t>
      </w:r>
    </w:p>
    <w:p w:rsidR="006346A7" w:rsidRPr="00C61AA4" w:rsidRDefault="006346A7" w:rsidP="006346A7">
      <w:pPr>
        <w:spacing w:line="240" w:lineRule="auto"/>
        <w:ind w:firstLine="709"/>
        <w:contextualSpacing/>
        <w:jc w:val="both"/>
        <w:rPr>
          <w:rFonts w:ascii="Times New Roman" w:hAnsi="Times New Roman"/>
          <w:i/>
          <w:sz w:val="24"/>
          <w:szCs w:val="24"/>
        </w:rPr>
      </w:pPr>
      <w:r w:rsidRPr="00C61AA4">
        <w:rPr>
          <w:rFonts w:ascii="Times New Roman" w:hAnsi="Times New Roman"/>
          <w:i/>
          <w:sz w:val="24"/>
          <w:szCs w:val="24"/>
        </w:rPr>
        <w:t xml:space="preserve">Снижение ликвидности фондового рынка </w:t>
      </w:r>
    </w:p>
    <w:p w:rsidR="006346A7" w:rsidRPr="00C61AA4" w:rsidRDefault="006346A7" w:rsidP="006346A7">
      <w:pPr>
        <w:spacing w:line="240" w:lineRule="auto"/>
        <w:ind w:firstLine="709"/>
        <w:contextualSpacing/>
        <w:jc w:val="both"/>
        <w:rPr>
          <w:rFonts w:ascii="Times New Roman" w:hAnsi="Times New Roman"/>
          <w:b/>
          <w:i/>
          <w:sz w:val="24"/>
          <w:szCs w:val="24"/>
        </w:rPr>
      </w:pPr>
      <w:r w:rsidRPr="00C61AA4">
        <w:rPr>
          <w:rFonts w:ascii="Times New Roman" w:hAnsi="Times New Roman"/>
          <w:b/>
          <w:bCs/>
          <w:i/>
          <w:sz w:val="24"/>
          <w:szCs w:val="24"/>
        </w:rPr>
        <w:t>Мероприятия по управлению возможным риском:</w:t>
      </w:r>
    </w:p>
    <w:p w:rsidR="006346A7" w:rsidRPr="00C61AA4" w:rsidRDefault="006346A7" w:rsidP="006346A7">
      <w:pPr>
        <w:spacing w:line="240" w:lineRule="auto"/>
        <w:ind w:firstLine="709"/>
        <w:contextualSpacing/>
        <w:jc w:val="both"/>
        <w:rPr>
          <w:rFonts w:ascii="Times New Roman" w:hAnsi="Times New Roman"/>
          <w:sz w:val="24"/>
          <w:szCs w:val="24"/>
        </w:rPr>
      </w:pPr>
      <w:r w:rsidRPr="00C61AA4">
        <w:rPr>
          <w:rFonts w:ascii="Times New Roman" w:hAnsi="Times New Roman"/>
          <w:i/>
          <w:sz w:val="24"/>
          <w:szCs w:val="24"/>
        </w:rPr>
        <w:t>Снижение барьеров для выхода на рынок путем повышения привлекательности привлечения финансирования на рынке капитала.</w:t>
      </w:r>
    </w:p>
    <w:p w:rsidR="006346A7" w:rsidRPr="00C61AA4" w:rsidRDefault="006346A7" w:rsidP="006346A7">
      <w:pPr>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В целом, необходимо отметить улучшение показателей казахстанского рынка ценных бумаг. Так, на 1 января 2017 года капитализация отечественного фондового рынка составила 22 532,2 млрд. тенге при показателе на аналогичную дату прошлого года 21 525,3 млрд. тенге, т.е. наблюдается рост данного показателя за последний год на 4,7%.</w:t>
      </w:r>
    </w:p>
    <w:p w:rsidR="006346A7" w:rsidRPr="00C61AA4" w:rsidRDefault="006346A7" w:rsidP="006346A7">
      <w:pPr>
        <w:tabs>
          <w:tab w:val="num" w:pos="720"/>
        </w:tabs>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По итогам 2015 года количество эмитентов, находящихся в официальном списке фондовой биржи, составляло 137, при этом по состоянию на 1 января 2017 года количество  эмитентов, находящихся в официальном списке фондовой биржи составило 157, т.е. наблюдается рост данного показателя за 2016 год на 14,6%.</w:t>
      </w:r>
    </w:p>
    <w:p w:rsidR="006346A7" w:rsidRPr="00C61AA4" w:rsidRDefault="006346A7" w:rsidP="006346A7">
      <w:pPr>
        <w:tabs>
          <w:tab w:val="num" w:pos="720"/>
        </w:tabs>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За 2015 год уполномоченным органом было выдано 12 разрешений на размещение и выпуск эмиссионных ценных бумаг резидентами Республики Казахстан на территории иностранного государства, тогда как за 2016 год в целом было выдано 4 разрешения, то есть наблюдается снижение количества выданных разрешений данного вида за прошлый год на 67 %.</w:t>
      </w:r>
    </w:p>
    <w:p w:rsidR="006346A7" w:rsidRPr="00C61AA4" w:rsidRDefault="006346A7" w:rsidP="006346A7">
      <w:pPr>
        <w:tabs>
          <w:tab w:val="num" w:pos="720"/>
        </w:tabs>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 xml:space="preserve">В свою очередь, в течение 2016 года </w:t>
      </w:r>
      <w:r w:rsidR="008F530E" w:rsidRPr="00C61AA4">
        <w:rPr>
          <w:rFonts w:ascii="Times New Roman" w:hAnsi="Times New Roman"/>
          <w:color w:val="000000"/>
          <w:sz w:val="24"/>
          <w:szCs w:val="24"/>
        </w:rPr>
        <w:t xml:space="preserve">НБРК </w:t>
      </w:r>
      <w:r w:rsidRPr="00C61AA4">
        <w:rPr>
          <w:rFonts w:ascii="Times New Roman" w:hAnsi="Times New Roman"/>
          <w:sz w:val="24"/>
          <w:szCs w:val="24"/>
        </w:rPr>
        <w:t>принят ряд нормативных правовых актов, направленных на активизацию деятельности на фондовом рынке и созданию благоприятных условий для привлечения на рынок новых эмитентов, в том числе региональных.</w:t>
      </w:r>
    </w:p>
    <w:p w:rsidR="006346A7" w:rsidRPr="00C61AA4" w:rsidRDefault="006346A7" w:rsidP="006346A7">
      <w:pPr>
        <w:tabs>
          <w:tab w:val="num" w:pos="720"/>
        </w:tabs>
        <w:spacing w:line="240" w:lineRule="auto"/>
        <w:ind w:firstLine="709"/>
        <w:contextualSpacing/>
        <w:jc w:val="both"/>
        <w:rPr>
          <w:rFonts w:ascii="Times New Roman" w:hAnsi="Times New Roman"/>
          <w:sz w:val="24"/>
          <w:szCs w:val="24"/>
        </w:rPr>
      </w:pPr>
      <w:proofErr w:type="gramStart"/>
      <w:r w:rsidRPr="00C61AA4">
        <w:rPr>
          <w:rFonts w:ascii="Times New Roman" w:hAnsi="Times New Roman"/>
          <w:sz w:val="24"/>
          <w:szCs w:val="24"/>
        </w:rPr>
        <w:t>Упрощены процедуры для эмитентов по выходу на фондовый рынок, в частности оптимизированы требования в отношении регистрации выпуска ценных бумаг и раскрытия информации перед инвесторами, сокращен объем информации, подлежащей представлению эмитентами в уполномоченный орган и раскрываемый в проспектах выпуска ценных бумаг, сокращено количество разрешительных процедур, связанных с внесением изменений в проспекты выпуска ценных бумаг, облегчен и систематизирован доступ инвесторов к информации</w:t>
      </w:r>
      <w:proofErr w:type="gramEnd"/>
      <w:r w:rsidRPr="00C61AA4">
        <w:rPr>
          <w:rFonts w:ascii="Times New Roman" w:hAnsi="Times New Roman"/>
          <w:sz w:val="24"/>
          <w:szCs w:val="24"/>
        </w:rPr>
        <w:t xml:space="preserve"> о деятельности эмитентов.</w:t>
      </w:r>
    </w:p>
    <w:p w:rsidR="006346A7" w:rsidRPr="00C61AA4" w:rsidRDefault="006346A7" w:rsidP="006346A7">
      <w:pPr>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Вместе с тем, в октябре 2016 года на заседании Совета по финансовой стабильности и развитию финансового рынка Республики Казахстан при Президенте Республики Казахстан были рассмотрены и приняты ряд предложений, направленных на стимулирование эмитентов к привлечению финансирования на рынке ценных бумаг.</w:t>
      </w:r>
    </w:p>
    <w:p w:rsidR="006346A7" w:rsidRPr="00C61AA4" w:rsidRDefault="006346A7" w:rsidP="006346A7">
      <w:pPr>
        <w:tabs>
          <w:tab w:val="num" w:pos="720"/>
        </w:tabs>
        <w:spacing w:line="240" w:lineRule="auto"/>
        <w:ind w:firstLine="709"/>
        <w:contextualSpacing/>
        <w:jc w:val="both"/>
        <w:rPr>
          <w:rFonts w:ascii="Times New Roman" w:hAnsi="Times New Roman"/>
          <w:sz w:val="24"/>
          <w:szCs w:val="24"/>
        </w:rPr>
      </w:pPr>
    </w:p>
    <w:p w:rsidR="006346A7" w:rsidRPr="00C61AA4" w:rsidRDefault="006346A7" w:rsidP="006346A7">
      <w:pPr>
        <w:spacing w:line="240" w:lineRule="auto"/>
        <w:ind w:firstLine="709"/>
        <w:contextualSpacing/>
        <w:jc w:val="both"/>
        <w:rPr>
          <w:rFonts w:ascii="Times New Roman" w:hAnsi="Times New Roman"/>
          <w:b/>
          <w:i/>
          <w:sz w:val="24"/>
          <w:szCs w:val="24"/>
        </w:rPr>
      </w:pPr>
      <w:r w:rsidRPr="00C61AA4">
        <w:rPr>
          <w:rFonts w:ascii="Times New Roman" w:hAnsi="Times New Roman"/>
          <w:b/>
          <w:i/>
          <w:sz w:val="24"/>
          <w:szCs w:val="24"/>
        </w:rPr>
        <w:t>Недостаточный интерес эмитентов к привлечению средств посредством размещения ценных бумаг на организованном рынке ценных бумаг</w:t>
      </w:r>
    </w:p>
    <w:p w:rsidR="006346A7" w:rsidRPr="00C61AA4" w:rsidRDefault="006346A7" w:rsidP="006346A7">
      <w:pPr>
        <w:spacing w:line="240" w:lineRule="auto"/>
        <w:ind w:firstLine="709"/>
        <w:contextualSpacing/>
        <w:jc w:val="both"/>
        <w:rPr>
          <w:rFonts w:ascii="Times New Roman" w:hAnsi="Times New Roman"/>
          <w:b/>
          <w:sz w:val="24"/>
          <w:szCs w:val="24"/>
        </w:rPr>
      </w:pPr>
      <w:r w:rsidRPr="00C61AA4">
        <w:rPr>
          <w:rFonts w:ascii="Times New Roman" w:hAnsi="Times New Roman"/>
          <w:b/>
          <w:i/>
          <w:sz w:val="24"/>
          <w:szCs w:val="24"/>
        </w:rPr>
        <w:t>Возможные последствия в случае непринятия мер по управлению рисками</w:t>
      </w:r>
      <w:r w:rsidRPr="00C61AA4">
        <w:rPr>
          <w:rFonts w:ascii="Times New Roman" w:hAnsi="Times New Roman"/>
          <w:i/>
          <w:sz w:val="24"/>
          <w:szCs w:val="24"/>
        </w:rPr>
        <w:t>:</w:t>
      </w:r>
    </w:p>
    <w:p w:rsidR="006346A7" w:rsidRPr="00C61AA4" w:rsidRDefault="006346A7" w:rsidP="006346A7">
      <w:pPr>
        <w:spacing w:line="240" w:lineRule="auto"/>
        <w:ind w:firstLine="709"/>
        <w:contextualSpacing/>
        <w:jc w:val="both"/>
        <w:rPr>
          <w:rFonts w:ascii="Times New Roman" w:hAnsi="Times New Roman"/>
          <w:i/>
          <w:sz w:val="24"/>
          <w:szCs w:val="24"/>
        </w:rPr>
      </w:pPr>
      <w:r w:rsidRPr="00C61AA4">
        <w:rPr>
          <w:rFonts w:ascii="Times New Roman" w:hAnsi="Times New Roman"/>
          <w:i/>
          <w:sz w:val="24"/>
          <w:szCs w:val="24"/>
        </w:rPr>
        <w:t xml:space="preserve">Снижение ликвидности фондового рынка </w:t>
      </w:r>
    </w:p>
    <w:p w:rsidR="006346A7" w:rsidRPr="00C61AA4" w:rsidRDefault="006346A7" w:rsidP="006346A7">
      <w:pPr>
        <w:spacing w:line="240" w:lineRule="auto"/>
        <w:ind w:firstLine="709"/>
        <w:contextualSpacing/>
        <w:jc w:val="both"/>
        <w:rPr>
          <w:rFonts w:ascii="Times New Roman" w:hAnsi="Times New Roman"/>
          <w:b/>
          <w:i/>
          <w:sz w:val="24"/>
          <w:szCs w:val="24"/>
        </w:rPr>
      </w:pPr>
      <w:r w:rsidRPr="00C61AA4">
        <w:rPr>
          <w:rFonts w:ascii="Times New Roman" w:hAnsi="Times New Roman"/>
          <w:b/>
          <w:bCs/>
          <w:i/>
          <w:sz w:val="24"/>
          <w:szCs w:val="24"/>
        </w:rPr>
        <w:t>Мероприятия по управлению возможным риском:</w:t>
      </w:r>
    </w:p>
    <w:p w:rsidR="006346A7" w:rsidRPr="00C61AA4" w:rsidRDefault="006346A7" w:rsidP="006346A7">
      <w:pPr>
        <w:spacing w:line="240" w:lineRule="auto"/>
        <w:ind w:firstLine="709"/>
        <w:contextualSpacing/>
        <w:jc w:val="both"/>
        <w:rPr>
          <w:rFonts w:ascii="Times New Roman" w:hAnsi="Times New Roman"/>
          <w:i/>
          <w:sz w:val="24"/>
          <w:szCs w:val="24"/>
        </w:rPr>
      </w:pPr>
      <w:r w:rsidRPr="00C61AA4">
        <w:rPr>
          <w:rFonts w:ascii="Times New Roman" w:hAnsi="Times New Roman"/>
          <w:i/>
          <w:sz w:val="24"/>
          <w:szCs w:val="24"/>
        </w:rPr>
        <w:t>Снижение барьеров для выхода на рынок путем повышения привлекательности привлечения финансирования на рынке капитала.</w:t>
      </w:r>
    </w:p>
    <w:p w:rsidR="006346A7" w:rsidRPr="00C61AA4" w:rsidRDefault="006346A7" w:rsidP="006346A7">
      <w:pPr>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lastRenderedPageBreak/>
        <w:t>В целом, необходимо отметить улучшение показателей казахстанского рынка ценных бумаг. На 1 января 2017 года капитализация отечественного фондового рынка составила 22 532,2 млрд. тенге при показателе на аналогичную дату прошлого года 21 525,3 млрд. тенге, т.е. наблюдается рост данного показателя за последний год на 4,7%.</w:t>
      </w:r>
    </w:p>
    <w:p w:rsidR="006346A7" w:rsidRPr="00C61AA4" w:rsidRDefault="006346A7" w:rsidP="006346A7">
      <w:pPr>
        <w:tabs>
          <w:tab w:val="num" w:pos="720"/>
        </w:tabs>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На начало 2016 года количество выпусков облигаций, находящихся в обращении, составляло 393, при этом на начало 2017 года количество выпусков облигаций, находящихся в обращении, также составляет 393 с учетом того, что в течение данного периода было погашено 30 выпусков, аннулировано 12 выпусков и зарегистрировано 42 новых выпуска облигаций.</w:t>
      </w:r>
    </w:p>
    <w:p w:rsidR="006346A7" w:rsidRPr="00C61AA4" w:rsidRDefault="006346A7" w:rsidP="006346A7">
      <w:pPr>
        <w:tabs>
          <w:tab w:val="num" w:pos="720"/>
        </w:tabs>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Вместе с тем, по итогам 2015 года количество эмитентов, находящихся в официальном списке фондовой биржи, составляло 137, при этом по состоянию на 1 января 2017 года количество  эмитентов, находящихся в официальном списке фондовой биржи составило 157, т.е. наблюдается рост данного показателя за 2016 год на 14,6%.</w:t>
      </w:r>
    </w:p>
    <w:p w:rsidR="006346A7" w:rsidRPr="00C61AA4" w:rsidRDefault="006346A7" w:rsidP="006346A7">
      <w:pPr>
        <w:tabs>
          <w:tab w:val="num" w:pos="720"/>
        </w:tabs>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 xml:space="preserve">В свою очередь, в течение 2016 года </w:t>
      </w:r>
      <w:r w:rsidR="008F530E" w:rsidRPr="00C61AA4">
        <w:rPr>
          <w:rFonts w:ascii="Times New Roman" w:hAnsi="Times New Roman"/>
          <w:color w:val="000000"/>
          <w:sz w:val="24"/>
          <w:szCs w:val="24"/>
        </w:rPr>
        <w:t xml:space="preserve">НБРК </w:t>
      </w:r>
      <w:r w:rsidRPr="00C61AA4">
        <w:rPr>
          <w:rFonts w:ascii="Times New Roman" w:hAnsi="Times New Roman"/>
          <w:sz w:val="24"/>
          <w:szCs w:val="24"/>
        </w:rPr>
        <w:t>принят ряд нормативных правовых актов, направленных на активизацию деятельности на фондовом рынке и созданию благоприятных условий для привлечения на рынок новых эмитентов, в том числе региональных.</w:t>
      </w:r>
    </w:p>
    <w:p w:rsidR="006346A7" w:rsidRPr="00C61AA4" w:rsidRDefault="006346A7" w:rsidP="006138C3">
      <w:pPr>
        <w:tabs>
          <w:tab w:val="num" w:pos="720"/>
        </w:tabs>
        <w:spacing w:line="240" w:lineRule="auto"/>
        <w:ind w:firstLine="709"/>
        <w:contextualSpacing/>
        <w:jc w:val="both"/>
        <w:rPr>
          <w:rFonts w:ascii="Times New Roman" w:hAnsi="Times New Roman"/>
          <w:sz w:val="24"/>
          <w:szCs w:val="24"/>
        </w:rPr>
      </w:pPr>
      <w:proofErr w:type="gramStart"/>
      <w:r w:rsidRPr="00C61AA4">
        <w:rPr>
          <w:rFonts w:ascii="Times New Roman" w:hAnsi="Times New Roman"/>
          <w:sz w:val="24"/>
          <w:szCs w:val="24"/>
        </w:rPr>
        <w:t>Упрощены процедуры для эмитентов по выходу на фондовый рынок, в частности оптимизированы требования в отношении регистрации выпуска ценных бумаг и раскрытия информации перед инвесторами, сокращен объем информации, подлежащей представлению эмитентами в уполномоченный орган и раскрываемый в проспектах выпуска ценных бумаг, сокращено количество разрешительных процедур, связанных с внесение</w:t>
      </w:r>
      <w:r w:rsidR="006138C3" w:rsidRPr="00C61AA4">
        <w:rPr>
          <w:rFonts w:ascii="Times New Roman" w:hAnsi="Times New Roman"/>
          <w:sz w:val="24"/>
          <w:szCs w:val="24"/>
        </w:rPr>
        <w:t xml:space="preserve">м изменений в проспекты выпуска </w:t>
      </w:r>
      <w:r w:rsidRPr="00C61AA4">
        <w:rPr>
          <w:rFonts w:ascii="Times New Roman" w:hAnsi="Times New Roman"/>
          <w:sz w:val="24"/>
          <w:szCs w:val="24"/>
        </w:rPr>
        <w:t>ценных бумаг, облегчен и систематизирован доступ инвесторов к информации</w:t>
      </w:r>
      <w:proofErr w:type="gramEnd"/>
      <w:r w:rsidRPr="00C61AA4">
        <w:rPr>
          <w:rFonts w:ascii="Times New Roman" w:hAnsi="Times New Roman"/>
          <w:sz w:val="24"/>
          <w:szCs w:val="24"/>
        </w:rPr>
        <w:t xml:space="preserve"> о деятельности эмитентов.</w:t>
      </w:r>
    </w:p>
    <w:p w:rsidR="006346A7" w:rsidRPr="00C61AA4" w:rsidRDefault="006346A7" w:rsidP="006346A7">
      <w:pPr>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Вместе с тем, в октябре 2016 года на заседании Совета по финансовой стабильности и развитию финансового рынка Республики Казахстан при Президенте Республики Казахстан были рассмотрены и приняты ряд предложений, направленных на стимулирование эмитентов к привлечению финансирования на рынке ценных бумаг.</w:t>
      </w:r>
    </w:p>
    <w:p w:rsidR="006346A7" w:rsidRPr="00C61AA4" w:rsidRDefault="006346A7" w:rsidP="006346A7">
      <w:pPr>
        <w:spacing w:line="240" w:lineRule="auto"/>
        <w:ind w:firstLine="709"/>
        <w:contextualSpacing/>
        <w:jc w:val="both"/>
        <w:rPr>
          <w:rFonts w:ascii="Times New Roman" w:hAnsi="Times New Roman"/>
          <w:sz w:val="24"/>
          <w:szCs w:val="24"/>
        </w:rPr>
      </w:pPr>
    </w:p>
    <w:p w:rsidR="006346A7" w:rsidRPr="00C61AA4" w:rsidRDefault="006346A7" w:rsidP="006346A7">
      <w:pPr>
        <w:spacing w:line="240" w:lineRule="auto"/>
        <w:ind w:firstLine="709"/>
        <w:contextualSpacing/>
        <w:jc w:val="both"/>
        <w:rPr>
          <w:rFonts w:ascii="Times New Roman" w:hAnsi="Times New Roman"/>
          <w:b/>
          <w:i/>
          <w:sz w:val="24"/>
          <w:szCs w:val="24"/>
        </w:rPr>
      </w:pPr>
      <w:r w:rsidRPr="00C61AA4">
        <w:rPr>
          <w:rFonts w:ascii="Times New Roman" w:hAnsi="Times New Roman"/>
          <w:b/>
          <w:i/>
          <w:sz w:val="24"/>
          <w:szCs w:val="24"/>
        </w:rPr>
        <w:t>Чрезмерно жесткое регулирование профессиональных участников рынка ценных бумаг</w:t>
      </w:r>
    </w:p>
    <w:p w:rsidR="006346A7" w:rsidRPr="00C61AA4" w:rsidRDefault="006346A7" w:rsidP="006346A7">
      <w:pPr>
        <w:spacing w:line="240" w:lineRule="auto"/>
        <w:ind w:firstLine="709"/>
        <w:contextualSpacing/>
        <w:jc w:val="both"/>
        <w:rPr>
          <w:rFonts w:ascii="Times New Roman" w:hAnsi="Times New Roman"/>
          <w:b/>
          <w:sz w:val="24"/>
          <w:szCs w:val="24"/>
        </w:rPr>
      </w:pPr>
      <w:r w:rsidRPr="00C61AA4">
        <w:rPr>
          <w:rFonts w:ascii="Times New Roman" w:hAnsi="Times New Roman"/>
          <w:b/>
          <w:i/>
          <w:sz w:val="24"/>
          <w:szCs w:val="24"/>
        </w:rPr>
        <w:t>Возможные последствия в случае непринятия мер по управлению рисками</w:t>
      </w:r>
      <w:r w:rsidRPr="00C61AA4">
        <w:rPr>
          <w:rFonts w:ascii="Times New Roman" w:hAnsi="Times New Roman"/>
          <w:i/>
          <w:sz w:val="24"/>
          <w:szCs w:val="24"/>
        </w:rPr>
        <w:t>:</w:t>
      </w:r>
    </w:p>
    <w:p w:rsidR="006346A7" w:rsidRPr="00C61AA4" w:rsidRDefault="006346A7" w:rsidP="006346A7">
      <w:pPr>
        <w:spacing w:line="240" w:lineRule="auto"/>
        <w:ind w:firstLine="709"/>
        <w:contextualSpacing/>
        <w:jc w:val="both"/>
        <w:rPr>
          <w:rFonts w:ascii="Times New Roman" w:hAnsi="Times New Roman"/>
          <w:i/>
          <w:sz w:val="24"/>
          <w:szCs w:val="24"/>
        </w:rPr>
      </w:pPr>
      <w:r w:rsidRPr="00C61AA4">
        <w:rPr>
          <w:rFonts w:ascii="Times New Roman" w:hAnsi="Times New Roman"/>
          <w:i/>
          <w:sz w:val="24"/>
          <w:szCs w:val="24"/>
        </w:rPr>
        <w:t xml:space="preserve">Снижение ликвидности фондового рынка </w:t>
      </w:r>
    </w:p>
    <w:p w:rsidR="006346A7" w:rsidRPr="00C61AA4" w:rsidRDefault="006346A7" w:rsidP="006346A7">
      <w:pPr>
        <w:spacing w:line="240" w:lineRule="auto"/>
        <w:ind w:firstLine="709"/>
        <w:contextualSpacing/>
        <w:jc w:val="both"/>
        <w:rPr>
          <w:rFonts w:ascii="Times New Roman" w:hAnsi="Times New Roman"/>
          <w:b/>
          <w:i/>
          <w:sz w:val="24"/>
          <w:szCs w:val="24"/>
        </w:rPr>
      </w:pPr>
      <w:r w:rsidRPr="00C61AA4">
        <w:rPr>
          <w:rFonts w:ascii="Times New Roman" w:hAnsi="Times New Roman"/>
          <w:b/>
          <w:bCs/>
          <w:i/>
          <w:sz w:val="24"/>
          <w:szCs w:val="24"/>
        </w:rPr>
        <w:t>Мероприятия по управлению возможным риском:</w:t>
      </w:r>
    </w:p>
    <w:p w:rsidR="006346A7" w:rsidRPr="00C61AA4" w:rsidRDefault="006346A7" w:rsidP="006346A7">
      <w:pPr>
        <w:spacing w:line="240" w:lineRule="auto"/>
        <w:ind w:firstLine="709"/>
        <w:contextualSpacing/>
        <w:jc w:val="both"/>
        <w:rPr>
          <w:rFonts w:ascii="Times New Roman" w:hAnsi="Times New Roman"/>
          <w:i/>
          <w:sz w:val="24"/>
          <w:szCs w:val="24"/>
        </w:rPr>
      </w:pPr>
      <w:r w:rsidRPr="00C61AA4">
        <w:rPr>
          <w:rFonts w:ascii="Times New Roman" w:hAnsi="Times New Roman"/>
          <w:i/>
          <w:sz w:val="24"/>
          <w:szCs w:val="24"/>
        </w:rPr>
        <w:t>Либерализация регулирования профессиональных участников рынка ценных бумаг.</w:t>
      </w:r>
    </w:p>
    <w:p w:rsidR="006346A7" w:rsidRPr="00C61AA4" w:rsidRDefault="006346A7" w:rsidP="006346A7">
      <w:pPr>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 xml:space="preserve">В целом за последний год наблюдается улучшение основных показателей отечественного фондового рынка. Капитализация фондового рынка на 1 января текущего года по сравнению с аналогичной датой прошлого года увеличилась на 4,7% и составила 22.532,2 </w:t>
      </w:r>
      <w:proofErr w:type="spellStart"/>
      <w:r w:rsidRPr="00C61AA4">
        <w:rPr>
          <w:rFonts w:ascii="Times New Roman" w:hAnsi="Times New Roman"/>
          <w:sz w:val="24"/>
          <w:szCs w:val="24"/>
        </w:rPr>
        <w:t>млрд</w:t>
      </w:r>
      <w:proofErr w:type="gramStart"/>
      <w:r w:rsidRPr="00C61AA4">
        <w:rPr>
          <w:rFonts w:ascii="Times New Roman" w:hAnsi="Times New Roman"/>
          <w:sz w:val="24"/>
          <w:szCs w:val="24"/>
        </w:rPr>
        <w:t>.т</w:t>
      </w:r>
      <w:proofErr w:type="gramEnd"/>
      <w:r w:rsidRPr="00C61AA4">
        <w:rPr>
          <w:rFonts w:ascii="Times New Roman" w:hAnsi="Times New Roman"/>
          <w:sz w:val="24"/>
          <w:szCs w:val="24"/>
        </w:rPr>
        <w:t>енге</w:t>
      </w:r>
      <w:proofErr w:type="spellEnd"/>
      <w:r w:rsidRPr="00C61AA4">
        <w:rPr>
          <w:rFonts w:ascii="Times New Roman" w:hAnsi="Times New Roman"/>
          <w:sz w:val="24"/>
          <w:szCs w:val="24"/>
        </w:rPr>
        <w:t>. Индекс KASE, составив 1.357,87 пунктов на 1 января текущего года, также увеличился в течение последнего года на 58,1% при показателе на аналогичную дату прошлого года в 858,79 пунктов.</w:t>
      </w:r>
    </w:p>
    <w:p w:rsidR="006346A7" w:rsidRPr="00C61AA4" w:rsidRDefault="006346A7" w:rsidP="006346A7">
      <w:pPr>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 xml:space="preserve">В течение 2016 года </w:t>
      </w:r>
      <w:r w:rsidR="008F530E" w:rsidRPr="00C61AA4">
        <w:rPr>
          <w:rFonts w:ascii="Times New Roman" w:hAnsi="Times New Roman"/>
          <w:color w:val="000000"/>
          <w:sz w:val="24"/>
          <w:szCs w:val="24"/>
        </w:rPr>
        <w:t xml:space="preserve">НБРК </w:t>
      </w:r>
      <w:r w:rsidRPr="00C61AA4">
        <w:rPr>
          <w:rFonts w:ascii="Times New Roman" w:hAnsi="Times New Roman"/>
          <w:sz w:val="24"/>
          <w:szCs w:val="24"/>
        </w:rPr>
        <w:t>принят ряд нормативных правовых актов, направленных на активизацию деятельности на фондовом рынке и созданию благоприятных условий для привлечения на рынок новых игроков.</w:t>
      </w:r>
    </w:p>
    <w:p w:rsidR="006346A7" w:rsidRPr="00C61AA4" w:rsidRDefault="006346A7" w:rsidP="006346A7">
      <w:pPr>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 xml:space="preserve">В частности, </w:t>
      </w:r>
      <w:proofErr w:type="spellStart"/>
      <w:r w:rsidRPr="00C61AA4">
        <w:rPr>
          <w:rFonts w:ascii="Times New Roman" w:hAnsi="Times New Roman"/>
          <w:sz w:val="24"/>
          <w:szCs w:val="24"/>
        </w:rPr>
        <w:t>либерализованы</w:t>
      </w:r>
      <w:proofErr w:type="spellEnd"/>
      <w:r w:rsidRPr="00C61AA4">
        <w:rPr>
          <w:rFonts w:ascii="Times New Roman" w:hAnsi="Times New Roman"/>
          <w:sz w:val="24"/>
          <w:szCs w:val="24"/>
        </w:rPr>
        <w:t xml:space="preserve"> требования к брокерам при совершении операций с ценными бумагами, расширены их возможности по выходу на международные фондовые рынки. При этом сохранены требования в отношении защиты прав инвесторов и расширены возможности инвестора по получению информации о состоянии его активов, переданных на брокерское обслуживание.</w:t>
      </w:r>
    </w:p>
    <w:p w:rsidR="006346A7" w:rsidRPr="00C61AA4" w:rsidRDefault="006346A7" w:rsidP="006346A7">
      <w:pPr>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В целях привлечения на фондовый рынок инвесторов с использованием систем дистанционного доступа и упрощения условий торговли внедрена возможность предоставления брокерами электронных услуг клиентам, включая проведение торговых операций на основании электронной цифровой подписи клиента и предоставление брокером электронных услуг клиенту через личный кабинет.</w:t>
      </w:r>
    </w:p>
    <w:p w:rsidR="006346A7" w:rsidRPr="00C61AA4" w:rsidRDefault="006346A7" w:rsidP="006346A7">
      <w:pPr>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 xml:space="preserve">Вместе с тем, в октябре 2016 года на рассмотрение Совета по финансовой стабильности и развитию финансового рынка Республики Казахстан при Президенте Республики Казахстан были вынесены новые предложения Национального банка по повышению устойчивости и эффективности развития рынка ценных бумаг. </w:t>
      </w:r>
    </w:p>
    <w:p w:rsidR="006346A7" w:rsidRPr="00C61AA4" w:rsidRDefault="006346A7" w:rsidP="006346A7">
      <w:pPr>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lastRenderedPageBreak/>
        <w:t xml:space="preserve">Основные усилия </w:t>
      </w:r>
      <w:r w:rsidR="008F530E" w:rsidRPr="00C61AA4">
        <w:rPr>
          <w:rFonts w:ascii="Times New Roman" w:hAnsi="Times New Roman"/>
          <w:color w:val="000000"/>
          <w:sz w:val="24"/>
          <w:szCs w:val="24"/>
        </w:rPr>
        <w:t xml:space="preserve">НБРК </w:t>
      </w:r>
      <w:r w:rsidRPr="00C61AA4">
        <w:rPr>
          <w:rFonts w:ascii="Times New Roman" w:hAnsi="Times New Roman"/>
          <w:sz w:val="24"/>
          <w:szCs w:val="24"/>
        </w:rPr>
        <w:t xml:space="preserve">будут сконцентрированы на оптимизации инфраструктуры фондового рынка, расширении функционала брокерских организаций, а также либерализации процессов создания и функционирования коллективных форм инвестирования. </w:t>
      </w:r>
    </w:p>
    <w:p w:rsidR="006346A7" w:rsidRPr="00C61AA4" w:rsidRDefault="006346A7" w:rsidP="006346A7">
      <w:pPr>
        <w:spacing w:line="240" w:lineRule="auto"/>
        <w:ind w:firstLine="709"/>
        <w:contextualSpacing/>
        <w:jc w:val="both"/>
        <w:rPr>
          <w:rFonts w:ascii="Times New Roman" w:hAnsi="Times New Roman"/>
          <w:sz w:val="24"/>
          <w:szCs w:val="24"/>
        </w:rPr>
      </w:pPr>
    </w:p>
    <w:p w:rsidR="006346A7" w:rsidRPr="00C61AA4" w:rsidRDefault="006346A7" w:rsidP="006346A7">
      <w:pPr>
        <w:spacing w:line="240" w:lineRule="auto"/>
        <w:ind w:firstLine="709"/>
        <w:contextualSpacing/>
        <w:jc w:val="both"/>
        <w:rPr>
          <w:rFonts w:ascii="Times New Roman" w:hAnsi="Times New Roman"/>
          <w:b/>
          <w:i/>
          <w:sz w:val="24"/>
          <w:szCs w:val="24"/>
        </w:rPr>
      </w:pPr>
      <w:r w:rsidRPr="00C61AA4">
        <w:rPr>
          <w:rFonts w:ascii="Times New Roman" w:hAnsi="Times New Roman"/>
          <w:b/>
          <w:i/>
          <w:sz w:val="24"/>
          <w:szCs w:val="24"/>
        </w:rPr>
        <w:t>Ограниченность инвесторской базы и низкая степень вовлеченности населения в фондовый рынок</w:t>
      </w:r>
    </w:p>
    <w:p w:rsidR="006346A7" w:rsidRPr="00C61AA4" w:rsidRDefault="006346A7" w:rsidP="006346A7">
      <w:pPr>
        <w:spacing w:line="240" w:lineRule="auto"/>
        <w:ind w:firstLine="709"/>
        <w:contextualSpacing/>
        <w:jc w:val="both"/>
        <w:rPr>
          <w:rFonts w:ascii="Times New Roman" w:hAnsi="Times New Roman"/>
          <w:b/>
          <w:sz w:val="24"/>
          <w:szCs w:val="24"/>
        </w:rPr>
      </w:pPr>
      <w:r w:rsidRPr="00C61AA4">
        <w:rPr>
          <w:rFonts w:ascii="Times New Roman" w:hAnsi="Times New Roman"/>
          <w:b/>
          <w:i/>
          <w:sz w:val="24"/>
          <w:szCs w:val="24"/>
        </w:rPr>
        <w:t>Возможные последствия в случае непринятия мер по управлению рисками</w:t>
      </w:r>
      <w:r w:rsidRPr="00C61AA4">
        <w:rPr>
          <w:rFonts w:ascii="Times New Roman" w:hAnsi="Times New Roman"/>
          <w:i/>
          <w:sz w:val="24"/>
          <w:szCs w:val="24"/>
        </w:rPr>
        <w:t>:</w:t>
      </w:r>
    </w:p>
    <w:p w:rsidR="006346A7" w:rsidRPr="00C61AA4" w:rsidRDefault="006346A7" w:rsidP="006346A7">
      <w:pPr>
        <w:spacing w:line="240" w:lineRule="auto"/>
        <w:ind w:firstLine="709"/>
        <w:contextualSpacing/>
        <w:jc w:val="both"/>
        <w:rPr>
          <w:rFonts w:ascii="Times New Roman" w:hAnsi="Times New Roman"/>
          <w:i/>
          <w:sz w:val="24"/>
          <w:szCs w:val="24"/>
        </w:rPr>
      </w:pPr>
      <w:r w:rsidRPr="00C61AA4">
        <w:rPr>
          <w:rFonts w:ascii="Times New Roman" w:hAnsi="Times New Roman"/>
          <w:i/>
          <w:sz w:val="24"/>
          <w:szCs w:val="24"/>
        </w:rPr>
        <w:t xml:space="preserve">Снижение ликвидности фондового рынка </w:t>
      </w:r>
    </w:p>
    <w:p w:rsidR="006346A7" w:rsidRPr="00C61AA4" w:rsidRDefault="006346A7" w:rsidP="006346A7">
      <w:pPr>
        <w:spacing w:line="240" w:lineRule="auto"/>
        <w:ind w:firstLine="709"/>
        <w:contextualSpacing/>
        <w:jc w:val="both"/>
        <w:rPr>
          <w:rFonts w:ascii="Times New Roman" w:hAnsi="Times New Roman"/>
          <w:b/>
          <w:i/>
          <w:sz w:val="24"/>
          <w:szCs w:val="24"/>
        </w:rPr>
      </w:pPr>
      <w:r w:rsidRPr="00C61AA4">
        <w:rPr>
          <w:rFonts w:ascii="Times New Roman" w:hAnsi="Times New Roman"/>
          <w:b/>
          <w:bCs/>
          <w:i/>
          <w:sz w:val="24"/>
          <w:szCs w:val="24"/>
        </w:rPr>
        <w:t>Мероприятия по управлению возможным риском:</w:t>
      </w:r>
    </w:p>
    <w:p w:rsidR="006346A7" w:rsidRPr="00C61AA4" w:rsidRDefault="006346A7" w:rsidP="006346A7">
      <w:pPr>
        <w:spacing w:line="240" w:lineRule="auto"/>
        <w:ind w:firstLine="709"/>
        <w:contextualSpacing/>
        <w:jc w:val="both"/>
        <w:rPr>
          <w:rFonts w:ascii="Times New Roman" w:hAnsi="Times New Roman"/>
          <w:i/>
          <w:sz w:val="24"/>
          <w:szCs w:val="24"/>
        </w:rPr>
      </w:pPr>
      <w:r w:rsidRPr="00C61AA4">
        <w:rPr>
          <w:rFonts w:ascii="Times New Roman" w:hAnsi="Times New Roman"/>
          <w:i/>
          <w:sz w:val="24"/>
          <w:szCs w:val="24"/>
        </w:rPr>
        <w:t xml:space="preserve">Расширение местной инвесторской </w:t>
      </w:r>
      <w:proofErr w:type="gramStart"/>
      <w:r w:rsidRPr="00C61AA4">
        <w:rPr>
          <w:rFonts w:ascii="Times New Roman" w:hAnsi="Times New Roman"/>
          <w:i/>
          <w:sz w:val="24"/>
          <w:szCs w:val="24"/>
        </w:rPr>
        <w:t>базы за счет повышения степени вовлеченности сбережений населения</w:t>
      </w:r>
      <w:proofErr w:type="gramEnd"/>
      <w:r w:rsidRPr="00C61AA4">
        <w:rPr>
          <w:rFonts w:ascii="Times New Roman" w:hAnsi="Times New Roman"/>
          <w:i/>
          <w:sz w:val="24"/>
          <w:szCs w:val="24"/>
        </w:rPr>
        <w:t xml:space="preserve"> в инвестиционный процесс на фондовом рынке.</w:t>
      </w:r>
    </w:p>
    <w:p w:rsidR="006346A7" w:rsidRPr="00C61AA4" w:rsidRDefault="006346A7" w:rsidP="006346A7">
      <w:pPr>
        <w:tabs>
          <w:tab w:val="num" w:pos="720"/>
        </w:tabs>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В целях привлечения на фондовый рынок инвесторов с использованием систем дистанционного доступа и упрощения условий торговли внедрена возможность предоставления брокерами электронных услуг клиентам, включая проведение торговых операций на основании электронной цифровой подписи клиента и предоставление брокером электронных услуг клиенту через личный кабинет.</w:t>
      </w:r>
    </w:p>
    <w:p w:rsidR="006346A7" w:rsidRPr="00C61AA4" w:rsidRDefault="006346A7" w:rsidP="006346A7">
      <w:pPr>
        <w:tabs>
          <w:tab w:val="num" w:pos="720"/>
        </w:tabs>
        <w:spacing w:line="240" w:lineRule="auto"/>
        <w:ind w:firstLine="709"/>
        <w:contextualSpacing/>
        <w:jc w:val="both"/>
        <w:rPr>
          <w:rFonts w:ascii="Times New Roman" w:hAnsi="Times New Roman"/>
          <w:sz w:val="24"/>
          <w:szCs w:val="24"/>
        </w:rPr>
      </w:pPr>
      <w:proofErr w:type="spellStart"/>
      <w:r w:rsidRPr="00C61AA4">
        <w:rPr>
          <w:rFonts w:ascii="Times New Roman" w:hAnsi="Times New Roman"/>
          <w:sz w:val="24"/>
          <w:szCs w:val="24"/>
        </w:rPr>
        <w:t>Либерализованы</w:t>
      </w:r>
      <w:proofErr w:type="spellEnd"/>
      <w:r w:rsidRPr="00C61AA4">
        <w:rPr>
          <w:rFonts w:ascii="Times New Roman" w:hAnsi="Times New Roman"/>
          <w:sz w:val="24"/>
          <w:szCs w:val="24"/>
        </w:rPr>
        <w:t xml:space="preserve"> требования к брокерам при совершении операций с ценными бумагами, расширены их возможности по выходу на международные фондовые рынки. При этом сохранены требования в отношении защиты прав инвесторов и расширены возможности инвестора по получению информации о состоянии его активов, переданных на брокерское обслуживание.</w:t>
      </w:r>
    </w:p>
    <w:p w:rsidR="006346A7" w:rsidRPr="00C61AA4" w:rsidRDefault="006346A7" w:rsidP="006346A7">
      <w:pPr>
        <w:tabs>
          <w:tab w:val="num" w:pos="720"/>
        </w:tabs>
        <w:spacing w:line="240" w:lineRule="auto"/>
        <w:ind w:firstLine="709"/>
        <w:contextualSpacing/>
        <w:jc w:val="both"/>
        <w:rPr>
          <w:rFonts w:ascii="Times New Roman" w:hAnsi="Times New Roman"/>
          <w:sz w:val="24"/>
          <w:szCs w:val="24"/>
        </w:rPr>
      </w:pPr>
      <w:proofErr w:type="gramStart"/>
      <w:r w:rsidRPr="00C61AA4">
        <w:rPr>
          <w:rFonts w:ascii="Times New Roman" w:hAnsi="Times New Roman"/>
          <w:sz w:val="24"/>
          <w:szCs w:val="24"/>
        </w:rPr>
        <w:t>Помимо этого, в соответствии с Указом Президента Республики Казахстан от 19 мая 2015 года №24  Правительству Республики Казахстан совместно с Национальным Банком Республики Казахстан поручено определить 5 наиболее привлекательных в инвестиционном плане компаний АО «Фонд национального благосостояния «</w:t>
      </w:r>
      <w:proofErr w:type="spellStart"/>
      <w:r w:rsidRPr="00C61AA4">
        <w:rPr>
          <w:rFonts w:ascii="Times New Roman" w:hAnsi="Times New Roman"/>
          <w:sz w:val="24"/>
          <w:szCs w:val="24"/>
        </w:rPr>
        <w:t>Самрук-Казына</w:t>
      </w:r>
      <w:proofErr w:type="spellEnd"/>
      <w:r w:rsidRPr="00C61AA4">
        <w:rPr>
          <w:rFonts w:ascii="Times New Roman" w:hAnsi="Times New Roman"/>
          <w:sz w:val="24"/>
          <w:szCs w:val="24"/>
        </w:rPr>
        <w:t>» для проведения их IPO в размере не менее 25% к размещенным акциям для широкого круга инвесторов (отечественных и международных) на организованном рынке</w:t>
      </w:r>
      <w:proofErr w:type="gramEnd"/>
      <w:r w:rsidRPr="00C61AA4">
        <w:rPr>
          <w:rFonts w:ascii="Times New Roman" w:hAnsi="Times New Roman"/>
          <w:sz w:val="24"/>
          <w:szCs w:val="24"/>
        </w:rPr>
        <w:t xml:space="preserve"> Республики Казахстан. В настоящее время ведется подготовительная работа по данному направлению.</w:t>
      </w:r>
    </w:p>
    <w:p w:rsidR="006346A7" w:rsidRPr="00C61AA4" w:rsidRDefault="006346A7" w:rsidP="006346A7">
      <w:pPr>
        <w:tabs>
          <w:tab w:val="num" w:pos="720"/>
        </w:tabs>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Вместе с тем, в октябре 2016 года на рассмотрение Совета по финансовой стабильности и развитию финансового рынка Республики Казахстан при Президенте Республики Казахстан были вынесены новые предложения Национального банка по повышению устойчивости и эффективности развития рынка ценных бумаг.</w:t>
      </w:r>
    </w:p>
    <w:p w:rsidR="006346A7" w:rsidRPr="00C61AA4" w:rsidRDefault="006346A7" w:rsidP="006346A7">
      <w:pPr>
        <w:tabs>
          <w:tab w:val="num" w:pos="720"/>
        </w:tabs>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 xml:space="preserve">Основные усилия </w:t>
      </w:r>
      <w:r w:rsidR="00E20F8F" w:rsidRPr="00C61AA4">
        <w:rPr>
          <w:rFonts w:ascii="Times New Roman" w:hAnsi="Times New Roman"/>
          <w:sz w:val="24"/>
          <w:szCs w:val="24"/>
        </w:rPr>
        <w:t>НБРК</w:t>
      </w:r>
      <w:r w:rsidRPr="00C61AA4">
        <w:rPr>
          <w:rFonts w:ascii="Times New Roman" w:hAnsi="Times New Roman"/>
          <w:sz w:val="24"/>
          <w:szCs w:val="24"/>
        </w:rPr>
        <w:t xml:space="preserve"> в данном направлении будут сконцентрированы на повышении капитализации и ликвидности фондового рынка за счет расширения инвесторской базы, прежде всего за счет розничных инвесторов, а также создания благоприятной и безопасной среды для инвестиций.</w:t>
      </w:r>
    </w:p>
    <w:p w:rsidR="006346A7" w:rsidRPr="00C61AA4" w:rsidRDefault="006346A7" w:rsidP="006346A7">
      <w:pPr>
        <w:tabs>
          <w:tab w:val="num" w:pos="720"/>
        </w:tabs>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 xml:space="preserve"> </w:t>
      </w:r>
    </w:p>
    <w:p w:rsidR="00747F8E" w:rsidRPr="00C61AA4" w:rsidRDefault="00747F8E" w:rsidP="00747F8E">
      <w:pPr>
        <w:tabs>
          <w:tab w:val="num" w:pos="720"/>
        </w:tabs>
        <w:spacing w:line="240" w:lineRule="auto"/>
        <w:ind w:firstLine="709"/>
        <w:contextualSpacing/>
        <w:jc w:val="both"/>
        <w:rPr>
          <w:rFonts w:ascii="Times New Roman" w:hAnsi="Times New Roman" w:cs="Times New Roman"/>
          <w:sz w:val="24"/>
          <w:szCs w:val="24"/>
        </w:rPr>
      </w:pPr>
      <w:r w:rsidRPr="00C61AA4">
        <w:rPr>
          <w:rFonts w:ascii="Times New Roman" w:hAnsi="Times New Roman" w:cs="Times New Roman"/>
          <w:b/>
          <w:i/>
          <w:sz w:val="24"/>
          <w:szCs w:val="24"/>
        </w:rPr>
        <w:t>Ограничения инвестиционной политики банковских и страховых (финансовых) холдингов</w:t>
      </w:r>
      <w:r w:rsidRPr="00C61AA4">
        <w:rPr>
          <w:rFonts w:ascii="Times New Roman" w:hAnsi="Times New Roman" w:cs="Times New Roman"/>
          <w:sz w:val="24"/>
          <w:szCs w:val="24"/>
        </w:rPr>
        <w:t>.</w:t>
      </w:r>
    </w:p>
    <w:p w:rsidR="00747F8E" w:rsidRPr="00C61AA4" w:rsidRDefault="00747F8E" w:rsidP="00747F8E">
      <w:pPr>
        <w:spacing w:line="240" w:lineRule="auto"/>
        <w:ind w:firstLine="709"/>
        <w:contextualSpacing/>
        <w:jc w:val="both"/>
        <w:rPr>
          <w:rFonts w:ascii="Times New Roman" w:hAnsi="Times New Roman"/>
          <w:b/>
          <w:sz w:val="24"/>
          <w:szCs w:val="24"/>
        </w:rPr>
      </w:pPr>
      <w:r w:rsidRPr="00C61AA4">
        <w:rPr>
          <w:rFonts w:ascii="Times New Roman" w:hAnsi="Times New Roman"/>
          <w:b/>
          <w:i/>
          <w:sz w:val="24"/>
          <w:szCs w:val="24"/>
        </w:rPr>
        <w:t>Возможные последствия в случае непринятия мер по управлению рисками</w:t>
      </w:r>
      <w:r w:rsidRPr="00C61AA4">
        <w:rPr>
          <w:rFonts w:ascii="Times New Roman" w:hAnsi="Times New Roman"/>
          <w:i/>
          <w:sz w:val="24"/>
          <w:szCs w:val="24"/>
        </w:rPr>
        <w:t>:</w:t>
      </w:r>
    </w:p>
    <w:p w:rsidR="00747F8E" w:rsidRPr="00C61AA4" w:rsidRDefault="00747F8E" w:rsidP="00747F8E">
      <w:pPr>
        <w:tabs>
          <w:tab w:val="num" w:pos="720"/>
        </w:tabs>
        <w:spacing w:line="240" w:lineRule="auto"/>
        <w:ind w:firstLine="709"/>
        <w:contextualSpacing/>
        <w:jc w:val="both"/>
        <w:rPr>
          <w:rFonts w:ascii="Times New Roman" w:hAnsi="Times New Roman"/>
          <w:i/>
          <w:sz w:val="24"/>
          <w:szCs w:val="24"/>
        </w:rPr>
      </w:pPr>
      <w:r w:rsidRPr="00C61AA4">
        <w:rPr>
          <w:rFonts w:ascii="Times New Roman" w:hAnsi="Times New Roman"/>
          <w:i/>
          <w:sz w:val="24"/>
          <w:szCs w:val="24"/>
        </w:rPr>
        <w:t>Уменьшение деловой активности банковских и страховых (финансовых холдингов).</w:t>
      </w:r>
    </w:p>
    <w:p w:rsidR="00747F8E" w:rsidRPr="00C61AA4" w:rsidRDefault="00747F8E" w:rsidP="00747F8E">
      <w:pPr>
        <w:spacing w:line="240" w:lineRule="auto"/>
        <w:ind w:firstLine="709"/>
        <w:contextualSpacing/>
        <w:jc w:val="both"/>
        <w:rPr>
          <w:rFonts w:ascii="Times New Roman" w:hAnsi="Times New Roman"/>
          <w:b/>
          <w:bCs/>
          <w:i/>
          <w:sz w:val="24"/>
          <w:szCs w:val="24"/>
        </w:rPr>
      </w:pPr>
      <w:r w:rsidRPr="00C61AA4">
        <w:rPr>
          <w:rFonts w:ascii="Times New Roman" w:hAnsi="Times New Roman"/>
          <w:b/>
          <w:bCs/>
          <w:i/>
          <w:sz w:val="24"/>
          <w:szCs w:val="24"/>
        </w:rPr>
        <w:t>Мероприятия по управлению возможным риском:</w:t>
      </w:r>
    </w:p>
    <w:p w:rsidR="00747F8E" w:rsidRPr="00C61AA4" w:rsidRDefault="00747F8E" w:rsidP="00747F8E">
      <w:pPr>
        <w:spacing w:line="240" w:lineRule="auto"/>
        <w:ind w:firstLine="709"/>
        <w:contextualSpacing/>
        <w:jc w:val="both"/>
        <w:rPr>
          <w:rFonts w:ascii="Times New Roman" w:hAnsi="Times New Roman"/>
          <w:i/>
          <w:sz w:val="24"/>
          <w:szCs w:val="24"/>
        </w:rPr>
      </w:pPr>
      <w:r w:rsidRPr="00C61AA4">
        <w:rPr>
          <w:rFonts w:ascii="Times New Roman" w:hAnsi="Times New Roman"/>
          <w:i/>
          <w:sz w:val="24"/>
          <w:szCs w:val="24"/>
        </w:rPr>
        <w:t>Расширение перечня разрешенных к приобретению финансовых инструментов, а также долей в товариществах с ограниченной ответственностью в рамках приватизации.</w:t>
      </w:r>
    </w:p>
    <w:p w:rsidR="00747F8E" w:rsidRPr="00C61AA4" w:rsidRDefault="00747F8E" w:rsidP="00747F8E">
      <w:pPr>
        <w:tabs>
          <w:tab w:val="num" w:pos="720"/>
        </w:tabs>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Расширен перечень финансовых инструментов, разрешенных для приобретения страховыми организациями и холдингами. В частности, страховым холдингам дополнительно разрешено приобретать государственные ценные бумаги, выпущенные Министерство</w:t>
      </w:r>
      <w:r w:rsidR="004C09F5" w:rsidRPr="00C61AA4">
        <w:rPr>
          <w:rFonts w:ascii="Times New Roman" w:hAnsi="Times New Roman"/>
          <w:sz w:val="24"/>
          <w:szCs w:val="24"/>
        </w:rPr>
        <w:t>м финансов Республики Казахстан.</w:t>
      </w:r>
    </w:p>
    <w:p w:rsidR="00747F8E" w:rsidRPr="00C61AA4" w:rsidRDefault="00747F8E" w:rsidP="00747F8E">
      <w:pPr>
        <w:tabs>
          <w:tab w:val="num" w:pos="720"/>
        </w:tabs>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 xml:space="preserve">Национальному оператору почты дополнительно разрешено приобретать: акции организаций Республики Казахстан, имеющих долгосрочный кредитный рейтинг не ниже «В» по международной шкале агентства </w:t>
      </w:r>
      <w:proofErr w:type="spellStart"/>
      <w:r w:rsidRPr="00C61AA4">
        <w:rPr>
          <w:rFonts w:ascii="Times New Roman" w:hAnsi="Times New Roman"/>
          <w:sz w:val="24"/>
          <w:szCs w:val="24"/>
        </w:rPr>
        <w:t>Standard</w:t>
      </w:r>
      <w:proofErr w:type="spellEnd"/>
      <w:r w:rsidRPr="00C61AA4">
        <w:rPr>
          <w:rFonts w:ascii="Times New Roman" w:hAnsi="Times New Roman"/>
          <w:sz w:val="24"/>
          <w:szCs w:val="24"/>
        </w:rPr>
        <w:t xml:space="preserve"> &amp; </w:t>
      </w:r>
      <w:proofErr w:type="spellStart"/>
      <w:r w:rsidRPr="00C61AA4">
        <w:rPr>
          <w:rFonts w:ascii="Times New Roman" w:hAnsi="Times New Roman"/>
          <w:sz w:val="24"/>
          <w:szCs w:val="24"/>
        </w:rPr>
        <w:t>Poor’s</w:t>
      </w:r>
      <w:proofErr w:type="spellEnd"/>
      <w:r w:rsidRPr="00C61AA4">
        <w:rPr>
          <w:rFonts w:ascii="Times New Roman" w:hAnsi="Times New Roman"/>
          <w:sz w:val="24"/>
          <w:szCs w:val="24"/>
        </w:rPr>
        <w:t xml:space="preserve"> или рейтинг аналогичного уровня одного из других рейтинговых агентств, и депозитарные расписки на акции организаций Республики Казахстан; паи открытых паевых инвестиционных фондов и и</w:t>
      </w:r>
      <w:r w:rsidR="004C09F5" w:rsidRPr="00C61AA4">
        <w:rPr>
          <w:rFonts w:ascii="Times New Roman" w:hAnsi="Times New Roman"/>
          <w:sz w:val="24"/>
          <w:szCs w:val="24"/>
        </w:rPr>
        <w:t>сламские финансовые инструменты.</w:t>
      </w:r>
    </w:p>
    <w:p w:rsidR="004C09F5" w:rsidRPr="00C61AA4" w:rsidRDefault="00747F8E" w:rsidP="00747F8E">
      <w:pPr>
        <w:tabs>
          <w:tab w:val="num" w:pos="720"/>
        </w:tabs>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Планируется введение единого расширенного перечня финансовых инструментов для БВУ и банковских холдингов, а также для страховых организаций и страховых холдингов.</w:t>
      </w:r>
    </w:p>
    <w:p w:rsidR="006346A7" w:rsidRPr="00C61AA4" w:rsidRDefault="006346A7" w:rsidP="00747F8E">
      <w:pPr>
        <w:tabs>
          <w:tab w:val="num" w:pos="720"/>
        </w:tabs>
        <w:spacing w:line="240" w:lineRule="auto"/>
        <w:ind w:firstLine="709"/>
        <w:contextualSpacing/>
        <w:jc w:val="both"/>
        <w:rPr>
          <w:rFonts w:ascii="Times New Roman" w:hAnsi="Times New Roman"/>
          <w:sz w:val="24"/>
          <w:szCs w:val="24"/>
        </w:rPr>
      </w:pPr>
      <w:r w:rsidRPr="00C61AA4">
        <w:rPr>
          <w:rFonts w:ascii="Times New Roman" w:hAnsi="Times New Roman"/>
          <w:b/>
          <w:i/>
          <w:sz w:val="24"/>
          <w:szCs w:val="24"/>
        </w:rPr>
        <w:lastRenderedPageBreak/>
        <w:t>Сохранение низкой ликвидности отечественного фондового рынка</w:t>
      </w:r>
    </w:p>
    <w:p w:rsidR="006346A7" w:rsidRPr="00C61AA4" w:rsidRDefault="006346A7" w:rsidP="006346A7">
      <w:pPr>
        <w:spacing w:line="240" w:lineRule="auto"/>
        <w:ind w:firstLine="709"/>
        <w:contextualSpacing/>
        <w:jc w:val="both"/>
        <w:rPr>
          <w:rFonts w:ascii="Times New Roman" w:hAnsi="Times New Roman"/>
          <w:b/>
          <w:sz w:val="24"/>
          <w:szCs w:val="24"/>
        </w:rPr>
      </w:pPr>
      <w:r w:rsidRPr="00C61AA4">
        <w:rPr>
          <w:rFonts w:ascii="Times New Roman" w:hAnsi="Times New Roman"/>
          <w:b/>
          <w:i/>
          <w:sz w:val="24"/>
          <w:szCs w:val="24"/>
        </w:rPr>
        <w:t>Возможные последствия в случае непринятия мер по управлению рисками</w:t>
      </w:r>
      <w:r w:rsidRPr="00C61AA4">
        <w:rPr>
          <w:rFonts w:ascii="Times New Roman" w:hAnsi="Times New Roman"/>
          <w:i/>
          <w:sz w:val="24"/>
          <w:szCs w:val="24"/>
        </w:rPr>
        <w:t>:</w:t>
      </w:r>
    </w:p>
    <w:p w:rsidR="006346A7" w:rsidRPr="00C61AA4" w:rsidRDefault="006346A7" w:rsidP="006346A7">
      <w:pPr>
        <w:spacing w:line="240" w:lineRule="auto"/>
        <w:ind w:firstLine="709"/>
        <w:contextualSpacing/>
        <w:jc w:val="both"/>
        <w:rPr>
          <w:rFonts w:ascii="Times New Roman" w:hAnsi="Times New Roman"/>
          <w:i/>
          <w:sz w:val="24"/>
          <w:szCs w:val="24"/>
        </w:rPr>
      </w:pPr>
      <w:r w:rsidRPr="00C61AA4">
        <w:rPr>
          <w:rFonts w:ascii="Times New Roman" w:hAnsi="Times New Roman"/>
          <w:i/>
          <w:sz w:val="24"/>
          <w:szCs w:val="24"/>
        </w:rPr>
        <w:t xml:space="preserve">Снижение ликвидности фондового рынка </w:t>
      </w:r>
    </w:p>
    <w:p w:rsidR="006346A7" w:rsidRPr="00C61AA4" w:rsidRDefault="006346A7" w:rsidP="006346A7">
      <w:pPr>
        <w:spacing w:line="240" w:lineRule="auto"/>
        <w:ind w:firstLine="709"/>
        <w:contextualSpacing/>
        <w:jc w:val="both"/>
        <w:rPr>
          <w:rFonts w:ascii="Times New Roman" w:hAnsi="Times New Roman"/>
          <w:b/>
          <w:i/>
          <w:sz w:val="24"/>
          <w:szCs w:val="24"/>
        </w:rPr>
      </w:pPr>
      <w:r w:rsidRPr="00C61AA4">
        <w:rPr>
          <w:rFonts w:ascii="Times New Roman" w:hAnsi="Times New Roman"/>
          <w:b/>
          <w:bCs/>
          <w:i/>
          <w:sz w:val="24"/>
          <w:szCs w:val="24"/>
        </w:rPr>
        <w:t>Мероприятия по управлению возможным риском:</w:t>
      </w:r>
    </w:p>
    <w:p w:rsidR="006346A7" w:rsidRPr="00C61AA4" w:rsidRDefault="006346A7" w:rsidP="006346A7">
      <w:pPr>
        <w:spacing w:line="240" w:lineRule="auto"/>
        <w:ind w:firstLine="709"/>
        <w:contextualSpacing/>
        <w:jc w:val="both"/>
        <w:rPr>
          <w:rFonts w:ascii="Times New Roman" w:hAnsi="Times New Roman"/>
          <w:i/>
          <w:sz w:val="24"/>
          <w:szCs w:val="24"/>
        </w:rPr>
      </w:pPr>
      <w:r w:rsidRPr="00C61AA4">
        <w:rPr>
          <w:rFonts w:ascii="Times New Roman" w:hAnsi="Times New Roman"/>
          <w:i/>
          <w:sz w:val="24"/>
          <w:szCs w:val="24"/>
        </w:rPr>
        <w:t>Обеспечение условий для вывода на рынок новых инструментов, интересных для местных инвесторов, с целью их активации и повышения объемов торгов.</w:t>
      </w:r>
    </w:p>
    <w:p w:rsidR="006346A7" w:rsidRPr="00C61AA4" w:rsidRDefault="006346A7" w:rsidP="006346A7">
      <w:pPr>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 xml:space="preserve">В целом за последний год наблюдается улучшение основных показателей казахстанского фондового рынка. Капитализация отечественного фондового рынка на 1 января текущего года по сравнению с аналогичной датой прошлого года увеличилась на 4,7% и составила 22.532,2 </w:t>
      </w:r>
      <w:proofErr w:type="spellStart"/>
      <w:r w:rsidRPr="00C61AA4">
        <w:rPr>
          <w:rFonts w:ascii="Times New Roman" w:hAnsi="Times New Roman"/>
          <w:sz w:val="24"/>
          <w:szCs w:val="24"/>
        </w:rPr>
        <w:t>млрд</w:t>
      </w:r>
      <w:proofErr w:type="gramStart"/>
      <w:r w:rsidRPr="00C61AA4">
        <w:rPr>
          <w:rFonts w:ascii="Times New Roman" w:hAnsi="Times New Roman"/>
          <w:sz w:val="24"/>
          <w:szCs w:val="24"/>
        </w:rPr>
        <w:t>.т</w:t>
      </w:r>
      <w:proofErr w:type="gramEnd"/>
      <w:r w:rsidRPr="00C61AA4">
        <w:rPr>
          <w:rFonts w:ascii="Times New Roman" w:hAnsi="Times New Roman"/>
          <w:sz w:val="24"/>
          <w:szCs w:val="24"/>
        </w:rPr>
        <w:t>енге</w:t>
      </w:r>
      <w:proofErr w:type="spellEnd"/>
      <w:r w:rsidRPr="00C61AA4">
        <w:rPr>
          <w:rFonts w:ascii="Times New Roman" w:hAnsi="Times New Roman"/>
          <w:sz w:val="24"/>
          <w:szCs w:val="24"/>
        </w:rPr>
        <w:t>. Индекс KASE, составив 1.357,87 пунктов на 01 января текущего года, также увеличился в течение последнего года на 58,1% при показателе на аналогичную дату прошлого года в 858,79 пункта.</w:t>
      </w:r>
    </w:p>
    <w:p w:rsidR="006346A7" w:rsidRPr="00C61AA4" w:rsidRDefault="006346A7" w:rsidP="006346A7">
      <w:pPr>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Общий объем биржевых торгов за прошлый год достиг 94.552,3 млрд. тенге, увеличившись по сравнению с прошлым годом на 2,8% (в 2015 году – 91.971,8 млрд. тенге). Прирост достигнут в основном на рынке «</w:t>
      </w:r>
      <w:proofErr w:type="spellStart"/>
      <w:r w:rsidRPr="00C61AA4">
        <w:rPr>
          <w:rFonts w:ascii="Times New Roman" w:hAnsi="Times New Roman"/>
          <w:sz w:val="24"/>
          <w:szCs w:val="24"/>
        </w:rPr>
        <w:t>репо</w:t>
      </w:r>
      <w:proofErr w:type="spellEnd"/>
      <w:r w:rsidRPr="00C61AA4">
        <w:rPr>
          <w:rFonts w:ascii="Times New Roman" w:hAnsi="Times New Roman"/>
          <w:sz w:val="24"/>
          <w:szCs w:val="24"/>
        </w:rPr>
        <w:t xml:space="preserve">», который </w:t>
      </w:r>
      <w:proofErr w:type="gramStart"/>
      <w:r w:rsidRPr="00C61AA4">
        <w:rPr>
          <w:rFonts w:ascii="Times New Roman" w:hAnsi="Times New Roman"/>
          <w:sz w:val="24"/>
          <w:szCs w:val="24"/>
        </w:rPr>
        <w:t>по прежнему</w:t>
      </w:r>
      <w:proofErr w:type="gramEnd"/>
      <w:r w:rsidRPr="00C61AA4">
        <w:rPr>
          <w:rFonts w:ascii="Times New Roman" w:hAnsi="Times New Roman"/>
          <w:sz w:val="24"/>
          <w:szCs w:val="24"/>
        </w:rPr>
        <w:t xml:space="preserve"> остается одним из самых крупных секторов организованного фондового рынка (60,4 % объема всех биржевых торгов).</w:t>
      </w:r>
    </w:p>
    <w:p w:rsidR="006346A7" w:rsidRPr="00C61AA4" w:rsidRDefault="006346A7" w:rsidP="006346A7">
      <w:pPr>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 xml:space="preserve">В свою очередь, в течение 2016 года </w:t>
      </w:r>
      <w:r w:rsidR="008F530E" w:rsidRPr="00C61AA4">
        <w:rPr>
          <w:rFonts w:ascii="Times New Roman" w:hAnsi="Times New Roman"/>
          <w:color w:val="000000"/>
          <w:sz w:val="24"/>
          <w:szCs w:val="24"/>
        </w:rPr>
        <w:t xml:space="preserve">НБРК </w:t>
      </w:r>
      <w:r w:rsidRPr="00C61AA4">
        <w:rPr>
          <w:rFonts w:ascii="Times New Roman" w:hAnsi="Times New Roman"/>
          <w:sz w:val="24"/>
          <w:szCs w:val="24"/>
        </w:rPr>
        <w:t>принят ряд нормативных правовых актов, направленных на активизацию деятельности на фондовом рынке и созданию благоприятных условий для привлечения на рынок новых игроков.</w:t>
      </w:r>
    </w:p>
    <w:p w:rsidR="006346A7" w:rsidRPr="00C61AA4" w:rsidRDefault="006346A7" w:rsidP="006346A7">
      <w:pPr>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 xml:space="preserve">В частности, </w:t>
      </w:r>
      <w:proofErr w:type="spellStart"/>
      <w:r w:rsidRPr="00C61AA4">
        <w:rPr>
          <w:rFonts w:ascii="Times New Roman" w:hAnsi="Times New Roman"/>
          <w:sz w:val="24"/>
          <w:szCs w:val="24"/>
        </w:rPr>
        <w:t>либерализованы</w:t>
      </w:r>
      <w:proofErr w:type="spellEnd"/>
      <w:r w:rsidRPr="00C61AA4">
        <w:rPr>
          <w:rFonts w:ascii="Times New Roman" w:hAnsi="Times New Roman"/>
          <w:sz w:val="24"/>
          <w:szCs w:val="24"/>
        </w:rPr>
        <w:t xml:space="preserve"> требования к брокерам при совершении операций с ценными бумагами, расширены их возможности по выходу на международные фондовые рынки. При этом сохранены требования в отношении защиты прав инвесторов и расширены возможности инвестора по получению информации о состоянии его активов, переданных на брокерское обслуживание.</w:t>
      </w:r>
    </w:p>
    <w:p w:rsidR="006346A7" w:rsidRPr="00C61AA4" w:rsidRDefault="006346A7" w:rsidP="006346A7">
      <w:pPr>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Кроме того, в целях привлечения на фондовый рынок инвесторов с использованием систем дистанционного доступа и упрощения условий торговли внедрена возможность предоставления брокерами электронных услуг клиентам, включая проведение торговых операций на основании электронной цифровой подписи клиента и предоставление брокером электронных услуг клиенту через личный кабинет.</w:t>
      </w:r>
    </w:p>
    <w:p w:rsidR="006346A7" w:rsidRPr="00C61AA4" w:rsidRDefault="006346A7" w:rsidP="006346A7">
      <w:pPr>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 xml:space="preserve">Несмотря на положительную динамику основным вопросом развития фондового рынка, по-прежнему, остается вопрос присутствия на рынке интересных инвесторам эмитентов и построение системы, гарантирующей безопасную среду для инвестиций. В связи с чем, в октябре текущего года на рассмотрение Совета по финансовой стабильности и развитию финансового рынка Республики Казахстан при Президенте Республики Казахстан были вынесены новые предложения </w:t>
      </w:r>
      <w:r w:rsidR="00E20F8F" w:rsidRPr="00C61AA4">
        <w:rPr>
          <w:rFonts w:ascii="Times New Roman" w:hAnsi="Times New Roman"/>
          <w:sz w:val="24"/>
          <w:szCs w:val="24"/>
        </w:rPr>
        <w:t>НБРК</w:t>
      </w:r>
      <w:r w:rsidRPr="00C61AA4">
        <w:rPr>
          <w:rFonts w:ascii="Times New Roman" w:hAnsi="Times New Roman"/>
          <w:sz w:val="24"/>
          <w:szCs w:val="24"/>
        </w:rPr>
        <w:t xml:space="preserve"> по повышению устойчивости и эффективности развития рынка ценных бумаг.</w:t>
      </w:r>
    </w:p>
    <w:p w:rsidR="006346A7" w:rsidRPr="00C61AA4" w:rsidRDefault="006346A7" w:rsidP="006138C3">
      <w:pPr>
        <w:spacing w:line="240" w:lineRule="auto"/>
        <w:ind w:firstLine="709"/>
        <w:contextualSpacing/>
        <w:jc w:val="both"/>
        <w:rPr>
          <w:rFonts w:ascii="Times New Roman" w:hAnsi="Times New Roman"/>
          <w:sz w:val="24"/>
          <w:szCs w:val="24"/>
        </w:rPr>
      </w:pPr>
      <w:proofErr w:type="gramStart"/>
      <w:r w:rsidRPr="00C61AA4">
        <w:rPr>
          <w:rFonts w:ascii="Times New Roman" w:hAnsi="Times New Roman"/>
          <w:sz w:val="24"/>
          <w:szCs w:val="24"/>
        </w:rPr>
        <w:t xml:space="preserve">Основные усилия будут сконцентрированы на оптимизации инфраструктуры фондового рынка, стимулировании компаний к привлечению финансирования на рынке ценных бумаг путем внедрения программ поддержки эмитентов, повышении </w:t>
      </w:r>
      <w:r w:rsidR="006138C3" w:rsidRPr="00C61AA4">
        <w:rPr>
          <w:rFonts w:ascii="Times New Roman" w:hAnsi="Times New Roman"/>
          <w:sz w:val="24"/>
          <w:szCs w:val="24"/>
        </w:rPr>
        <w:t xml:space="preserve">прозрачности внебиржевого рынка </w:t>
      </w:r>
      <w:r w:rsidRPr="00C61AA4">
        <w:rPr>
          <w:rFonts w:ascii="Times New Roman" w:hAnsi="Times New Roman"/>
          <w:sz w:val="24"/>
          <w:szCs w:val="24"/>
        </w:rPr>
        <w:t xml:space="preserve">ценных бумаг, расширении функционала брокерских организаций, а также либерализации процессов создания и функционирования коллективных форм инвестирования. </w:t>
      </w:r>
      <w:proofErr w:type="gramEnd"/>
    </w:p>
    <w:p w:rsidR="006346A7" w:rsidRPr="00C61AA4" w:rsidRDefault="006346A7" w:rsidP="006346A7">
      <w:pPr>
        <w:spacing w:line="240" w:lineRule="auto"/>
        <w:ind w:firstLine="709"/>
        <w:contextualSpacing/>
        <w:jc w:val="both"/>
        <w:rPr>
          <w:rFonts w:ascii="Times New Roman" w:hAnsi="Times New Roman"/>
          <w:sz w:val="24"/>
          <w:szCs w:val="24"/>
        </w:rPr>
      </w:pPr>
    </w:p>
    <w:p w:rsidR="006346A7" w:rsidRPr="00C61AA4" w:rsidRDefault="006346A7" w:rsidP="006346A7">
      <w:pPr>
        <w:spacing w:line="240" w:lineRule="auto"/>
        <w:ind w:firstLine="709"/>
        <w:contextualSpacing/>
        <w:jc w:val="both"/>
        <w:rPr>
          <w:rFonts w:ascii="Times New Roman" w:hAnsi="Times New Roman"/>
          <w:b/>
          <w:i/>
          <w:sz w:val="24"/>
          <w:szCs w:val="24"/>
        </w:rPr>
      </w:pPr>
      <w:r w:rsidRPr="00C61AA4">
        <w:rPr>
          <w:rFonts w:ascii="Times New Roman" w:hAnsi="Times New Roman"/>
          <w:b/>
          <w:i/>
          <w:sz w:val="24"/>
          <w:szCs w:val="24"/>
        </w:rPr>
        <w:t xml:space="preserve">Неполное выполнение запланированных целей и задач по стимулированию развития рынка ценных бумаг, установленных Концепцией по развитию финансового сектора Республики Казахстан до 2030 года </w:t>
      </w:r>
    </w:p>
    <w:p w:rsidR="006346A7" w:rsidRPr="00C61AA4" w:rsidRDefault="006346A7" w:rsidP="006346A7">
      <w:pPr>
        <w:spacing w:line="240" w:lineRule="auto"/>
        <w:ind w:firstLine="709"/>
        <w:contextualSpacing/>
        <w:jc w:val="both"/>
        <w:rPr>
          <w:rFonts w:ascii="Times New Roman" w:hAnsi="Times New Roman"/>
          <w:b/>
          <w:sz w:val="24"/>
          <w:szCs w:val="24"/>
        </w:rPr>
      </w:pPr>
      <w:r w:rsidRPr="00C61AA4">
        <w:rPr>
          <w:rFonts w:ascii="Times New Roman" w:hAnsi="Times New Roman"/>
          <w:b/>
          <w:i/>
          <w:sz w:val="24"/>
          <w:szCs w:val="24"/>
        </w:rPr>
        <w:t>Возможные последствия в случае непринятия мер по управлению рисками</w:t>
      </w:r>
      <w:r w:rsidRPr="00C61AA4">
        <w:rPr>
          <w:rFonts w:ascii="Times New Roman" w:hAnsi="Times New Roman"/>
          <w:i/>
          <w:sz w:val="24"/>
          <w:szCs w:val="24"/>
        </w:rPr>
        <w:t>:</w:t>
      </w:r>
    </w:p>
    <w:p w:rsidR="006346A7" w:rsidRPr="00C61AA4" w:rsidRDefault="006346A7" w:rsidP="006346A7">
      <w:pPr>
        <w:spacing w:line="240" w:lineRule="auto"/>
        <w:ind w:firstLine="709"/>
        <w:contextualSpacing/>
        <w:jc w:val="both"/>
        <w:rPr>
          <w:rFonts w:ascii="Times New Roman" w:hAnsi="Times New Roman"/>
          <w:i/>
          <w:sz w:val="24"/>
          <w:szCs w:val="24"/>
        </w:rPr>
      </w:pPr>
      <w:r w:rsidRPr="00C61AA4">
        <w:rPr>
          <w:rFonts w:ascii="Times New Roman" w:hAnsi="Times New Roman"/>
          <w:i/>
          <w:sz w:val="24"/>
          <w:szCs w:val="24"/>
        </w:rPr>
        <w:t xml:space="preserve">Не достижение  целей и задач по стимулированию развития рынка ценных бумаг  </w:t>
      </w:r>
    </w:p>
    <w:p w:rsidR="006346A7" w:rsidRPr="00C61AA4" w:rsidRDefault="006346A7" w:rsidP="006346A7">
      <w:pPr>
        <w:spacing w:line="240" w:lineRule="auto"/>
        <w:ind w:firstLine="709"/>
        <w:contextualSpacing/>
        <w:jc w:val="both"/>
        <w:rPr>
          <w:rFonts w:ascii="Times New Roman" w:hAnsi="Times New Roman"/>
          <w:b/>
          <w:i/>
          <w:sz w:val="24"/>
          <w:szCs w:val="24"/>
        </w:rPr>
      </w:pPr>
      <w:r w:rsidRPr="00C61AA4">
        <w:rPr>
          <w:rFonts w:ascii="Times New Roman" w:hAnsi="Times New Roman"/>
          <w:b/>
          <w:bCs/>
          <w:i/>
          <w:sz w:val="24"/>
          <w:szCs w:val="24"/>
        </w:rPr>
        <w:t>Мероприятия по управлению возможным риском:</w:t>
      </w:r>
    </w:p>
    <w:p w:rsidR="006346A7" w:rsidRPr="00C61AA4" w:rsidRDefault="006346A7" w:rsidP="006346A7">
      <w:pPr>
        <w:spacing w:line="240" w:lineRule="auto"/>
        <w:ind w:firstLine="709"/>
        <w:contextualSpacing/>
        <w:jc w:val="both"/>
        <w:rPr>
          <w:rFonts w:ascii="Times New Roman" w:hAnsi="Times New Roman"/>
          <w:i/>
          <w:sz w:val="24"/>
          <w:szCs w:val="24"/>
        </w:rPr>
      </w:pPr>
      <w:r w:rsidRPr="00C61AA4">
        <w:rPr>
          <w:rFonts w:ascii="Times New Roman" w:hAnsi="Times New Roman"/>
          <w:i/>
          <w:sz w:val="24"/>
          <w:szCs w:val="24"/>
        </w:rPr>
        <w:t>Более тщательная проработка вопросов и мероприятий, исполнение которых зависит не только от Национального Банка, но и от других государственных органов.</w:t>
      </w:r>
    </w:p>
    <w:p w:rsidR="006346A7" w:rsidRPr="00C61AA4" w:rsidRDefault="006346A7" w:rsidP="006346A7">
      <w:pPr>
        <w:spacing w:line="240" w:lineRule="auto"/>
        <w:ind w:firstLine="709"/>
        <w:contextualSpacing/>
        <w:jc w:val="both"/>
        <w:rPr>
          <w:rFonts w:ascii="Times New Roman" w:hAnsi="Times New Roman"/>
          <w:sz w:val="24"/>
          <w:szCs w:val="24"/>
          <w:lang w:eastAsia="ru-RU"/>
        </w:rPr>
      </w:pPr>
      <w:r w:rsidRPr="00C61AA4">
        <w:rPr>
          <w:rFonts w:ascii="Times New Roman" w:hAnsi="Times New Roman"/>
          <w:sz w:val="24"/>
          <w:szCs w:val="24"/>
          <w:lang w:eastAsia="ru-RU"/>
        </w:rPr>
        <w:t>Концепция развития финансового сектора Республики Казахстан до 2030 года предполагает несколько этапов, в связи с чем, реализация запланированных мероприятий будет осуществляться до 2030 года.</w:t>
      </w:r>
    </w:p>
    <w:p w:rsidR="006346A7" w:rsidRPr="00C61AA4" w:rsidRDefault="006346A7" w:rsidP="006346A7">
      <w:pPr>
        <w:spacing w:line="240" w:lineRule="auto"/>
        <w:ind w:firstLine="709"/>
        <w:contextualSpacing/>
        <w:jc w:val="both"/>
        <w:rPr>
          <w:rFonts w:ascii="Times New Roman" w:hAnsi="Times New Roman"/>
          <w:sz w:val="24"/>
          <w:szCs w:val="24"/>
          <w:lang w:eastAsia="ru-RU"/>
        </w:rPr>
      </w:pPr>
      <w:r w:rsidRPr="00C61AA4">
        <w:rPr>
          <w:rFonts w:ascii="Times New Roman" w:hAnsi="Times New Roman"/>
          <w:sz w:val="24"/>
          <w:szCs w:val="24"/>
          <w:lang w:eastAsia="ru-RU"/>
        </w:rPr>
        <w:lastRenderedPageBreak/>
        <w:t xml:space="preserve">На сегодняшний день большинство мероприятий, предусмотренных Концепцией развития финансового сектора Республики Казахстан в части повышения эффективности рынка ценных бумаг были выполнены в той части, которую возможно было реализовать усилиями </w:t>
      </w:r>
      <w:r w:rsidR="00E20F8F" w:rsidRPr="00C61AA4">
        <w:rPr>
          <w:rFonts w:ascii="Times New Roman" w:hAnsi="Times New Roman"/>
          <w:sz w:val="24"/>
          <w:szCs w:val="24"/>
          <w:lang w:eastAsia="ru-RU"/>
        </w:rPr>
        <w:t>НБРК</w:t>
      </w:r>
      <w:r w:rsidRPr="00C61AA4">
        <w:rPr>
          <w:rFonts w:ascii="Times New Roman" w:hAnsi="Times New Roman"/>
          <w:sz w:val="24"/>
          <w:szCs w:val="24"/>
          <w:lang w:eastAsia="ru-RU"/>
        </w:rPr>
        <w:t>.</w:t>
      </w:r>
    </w:p>
    <w:p w:rsidR="006346A7" w:rsidRPr="00C61AA4" w:rsidRDefault="006346A7" w:rsidP="006346A7">
      <w:pPr>
        <w:spacing w:line="240" w:lineRule="auto"/>
        <w:ind w:firstLine="709"/>
        <w:contextualSpacing/>
        <w:jc w:val="both"/>
        <w:rPr>
          <w:rFonts w:ascii="Times New Roman" w:hAnsi="Times New Roman"/>
          <w:sz w:val="24"/>
          <w:szCs w:val="24"/>
          <w:lang w:eastAsia="ru-RU"/>
        </w:rPr>
      </w:pPr>
      <w:r w:rsidRPr="00C61AA4">
        <w:rPr>
          <w:rFonts w:ascii="Times New Roman" w:hAnsi="Times New Roman"/>
          <w:sz w:val="24"/>
          <w:szCs w:val="24"/>
          <w:lang w:eastAsia="ru-RU"/>
        </w:rPr>
        <w:t>Вместе с тем, в процессе реализации находятся мероприятия по вопросам:</w:t>
      </w:r>
    </w:p>
    <w:p w:rsidR="006346A7" w:rsidRPr="00C61AA4" w:rsidRDefault="006346A7" w:rsidP="006346A7">
      <w:pPr>
        <w:spacing w:line="240" w:lineRule="auto"/>
        <w:ind w:firstLine="709"/>
        <w:contextualSpacing/>
        <w:jc w:val="both"/>
        <w:rPr>
          <w:rFonts w:ascii="Times New Roman" w:hAnsi="Times New Roman"/>
          <w:sz w:val="24"/>
          <w:szCs w:val="24"/>
        </w:rPr>
      </w:pPr>
      <w:r w:rsidRPr="00C61AA4">
        <w:rPr>
          <w:rFonts w:ascii="Times New Roman" w:hAnsi="Times New Roman"/>
          <w:sz w:val="24"/>
          <w:szCs w:val="24"/>
          <w:lang w:eastAsia="ru-RU"/>
        </w:rPr>
        <w:t xml:space="preserve">- </w:t>
      </w:r>
      <w:r w:rsidRPr="00C61AA4">
        <w:rPr>
          <w:rFonts w:ascii="Times New Roman" w:hAnsi="Times New Roman"/>
          <w:sz w:val="24"/>
          <w:szCs w:val="24"/>
        </w:rPr>
        <w:t>установления запрета на предоставление казахстанским инвесторам услуг нерегулируемых субъектов для допуска на рынок FOREX для всех субъектов, не обладающих лицензией на брокерскую деятельность, а также усиление мониторинга и надзора за выполнением данных требований;</w:t>
      </w:r>
    </w:p>
    <w:p w:rsidR="006346A7" w:rsidRPr="00C61AA4" w:rsidRDefault="006346A7" w:rsidP="006346A7">
      <w:pPr>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 гарантирования участникам торгов завершенности и необратимости расчетов по сделкам с ценными бумагами на организованном рынке ценных бумаг, и установления ответственности за неосуществление расчетов по сделкам;</w:t>
      </w:r>
    </w:p>
    <w:p w:rsidR="006346A7" w:rsidRPr="00C61AA4" w:rsidRDefault="006346A7" w:rsidP="006346A7">
      <w:pPr>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 создания интегрированной информационной системы внебиржевого рынка ценных бумаг и котировочной организации внебиржевого рынка ценных бумаг;</w:t>
      </w:r>
    </w:p>
    <w:p w:rsidR="006346A7" w:rsidRPr="00C61AA4" w:rsidRDefault="006346A7" w:rsidP="006346A7">
      <w:pPr>
        <w:spacing w:line="240" w:lineRule="auto"/>
        <w:ind w:firstLine="709"/>
        <w:contextualSpacing/>
        <w:jc w:val="both"/>
        <w:rPr>
          <w:rFonts w:ascii="Times New Roman" w:hAnsi="Times New Roman"/>
          <w:sz w:val="24"/>
          <w:szCs w:val="24"/>
          <w:lang w:eastAsia="ru-RU"/>
        </w:rPr>
      </w:pPr>
      <w:r w:rsidRPr="00C61AA4">
        <w:rPr>
          <w:rFonts w:ascii="Times New Roman" w:hAnsi="Times New Roman"/>
          <w:sz w:val="24"/>
          <w:szCs w:val="24"/>
        </w:rPr>
        <w:t>- создания  института инвестиционного банкинга и другие.</w:t>
      </w:r>
      <w:r w:rsidRPr="00C61AA4">
        <w:rPr>
          <w:rFonts w:ascii="Times New Roman" w:hAnsi="Times New Roman"/>
          <w:sz w:val="24"/>
          <w:szCs w:val="24"/>
          <w:lang w:eastAsia="ru-RU"/>
        </w:rPr>
        <w:t xml:space="preserve"> </w:t>
      </w:r>
    </w:p>
    <w:p w:rsidR="006346A7" w:rsidRPr="00C61AA4" w:rsidRDefault="006346A7" w:rsidP="006346A7">
      <w:pPr>
        <w:spacing w:line="240" w:lineRule="auto"/>
        <w:ind w:firstLine="709"/>
        <w:contextualSpacing/>
        <w:jc w:val="both"/>
        <w:rPr>
          <w:rFonts w:ascii="Times New Roman" w:hAnsi="Times New Roman"/>
          <w:sz w:val="24"/>
          <w:szCs w:val="24"/>
          <w:lang w:eastAsia="ru-RU"/>
        </w:rPr>
      </w:pPr>
      <w:r w:rsidRPr="00C61AA4">
        <w:rPr>
          <w:rFonts w:ascii="Times New Roman" w:hAnsi="Times New Roman"/>
          <w:sz w:val="24"/>
          <w:szCs w:val="24"/>
          <w:lang w:eastAsia="ru-RU"/>
        </w:rPr>
        <w:t>По всем вышеуказанным мероприятиям подготовлены соответствующие поправки в законодательные акты Республики Казахстан, которые в настоящее время проходят процедуру согласования с заинтересованными сторонами.</w:t>
      </w:r>
    </w:p>
    <w:p w:rsidR="006346A7" w:rsidRPr="00C61AA4" w:rsidRDefault="006346A7" w:rsidP="006346A7">
      <w:pPr>
        <w:spacing w:line="240" w:lineRule="auto"/>
        <w:ind w:firstLine="709"/>
        <w:contextualSpacing/>
        <w:jc w:val="both"/>
        <w:rPr>
          <w:rFonts w:ascii="Times New Roman" w:hAnsi="Times New Roman"/>
          <w:sz w:val="24"/>
          <w:szCs w:val="24"/>
          <w:lang w:eastAsia="ru-RU"/>
        </w:rPr>
      </w:pPr>
      <w:r w:rsidRPr="00C61AA4">
        <w:rPr>
          <w:rFonts w:ascii="Times New Roman" w:hAnsi="Times New Roman"/>
          <w:sz w:val="24"/>
          <w:szCs w:val="24"/>
          <w:lang w:eastAsia="ru-RU"/>
        </w:rPr>
        <w:t xml:space="preserve">Также, в настоящее время усилия </w:t>
      </w:r>
      <w:r w:rsidR="00E20F8F" w:rsidRPr="00C61AA4">
        <w:rPr>
          <w:rFonts w:ascii="Times New Roman" w:hAnsi="Times New Roman"/>
          <w:sz w:val="24"/>
          <w:szCs w:val="24"/>
          <w:lang w:eastAsia="ru-RU"/>
        </w:rPr>
        <w:t>НБРК</w:t>
      </w:r>
      <w:r w:rsidRPr="00C61AA4">
        <w:rPr>
          <w:rFonts w:ascii="Times New Roman" w:hAnsi="Times New Roman"/>
          <w:sz w:val="24"/>
          <w:szCs w:val="24"/>
          <w:lang w:eastAsia="ru-RU"/>
        </w:rPr>
        <w:t xml:space="preserve"> в рамках развития фондового рынка сконцентрированы на оптимизации его инфраструктуры, повышении прозрачности внебиржевого рынка ценных бумаг, расширении функционала брокерских организаций, а также либерализации процессов создания и функционирования коллективных форм инвестирования. Одновременно будут созданы условия для стимулирования компаний к привлечению финансирования на рынке ценных бумаг путем внедрения программ поддержки эмитентов.</w:t>
      </w:r>
    </w:p>
    <w:p w:rsidR="006346A7" w:rsidRPr="00C61AA4" w:rsidRDefault="006346A7" w:rsidP="006346A7">
      <w:pPr>
        <w:spacing w:line="240" w:lineRule="auto"/>
        <w:ind w:firstLine="709"/>
        <w:contextualSpacing/>
        <w:jc w:val="both"/>
        <w:rPr>
          <w:rFonts w:ascii="Times New Roman" w:hAnsi="Times New Roman"/>
          <w:sz w:val="24"/>
          <w:szCs w:val="24"/>
          <w:lang w:eastAsia="ru-RU"/>
        </w:rPr>
      </w:pPr>
      <w:r w:rsidRPr="00C61AA4">
        <w:rPr>
          <w:rFonts w:ascii="Times New Roman" w:hAnsi="Times New Roman"/>
          <w:sz w:val="24"/>
          <w:szCs w:val="24"/>
          <w:lang w:eastAsia="ru-RU"/>
        </w:rPr>
        <w:t>Наряду с этим, эффективной мерой по развитию фондового рынка станет передача пенсионных активов частным управляющим компаниям, что позволит создать полноценный класс «якорных» инвесторов.</w:t>
      </w:r>
    </w:p>
    <w:p w:rsidR="006346A7" w:rsidRPr="00C61AA4" w:rsidRDefault="006346A7" w:rsidP="006346A7">
      <w:pPr>
        <w:spacing w:line="240" w:lineRule="auto"/>
        <w:ind w:firstLine="709"/>
        <w:contextualSpacing/>
        <w:jc w:val="both"/>
        <w:rPr>
          <w:rFonts w:ascii="Times New Roman" w:hAnsi="Times New Roman"/>
          <w:b/>
          <w:i/>
          <w:sz w:val="24"/>
          <w:szCs w:val="24"/>
        </w:rPr>
      </w:pPr>
    </w:p>
    <w:p w:rsidR="006346A7" w:rsidRPr="00C61AA4" w:rsidRDefault="006346A7" w:rsidP="006346A7">
      <w:pPr>
        <w:spacing w:line="240" w:lineRule="auto"/>
        <w:ind w:firstLine="709"/>
        <w:contextualSpacing/>
        <w:jc w:val="both"/>
        <w:rPr>
          <w:rFonts w:ascii="Times New Roman" w:hAnsi="Times New Roman"/>
          <w:b/>
          <w:i/>
          <w:sz w:val="24"/>
          <w:szCs w:val="24"/>
        </w:rPr>
      </w:pPr>
      <w:proofErr w:type="spellStart"/>
      <w:r w:rsidRPr="00C61AA4">
        <w:rPr>
          <w:rFonts w:ascii="Times New Roman" w:hAnsi="Times New Roman"/>
          <w:b/>
          <w:i/>
          <w:sz w:val="24"/>
          <w:szCs w:val="24"/>
        </w:rPr>
        <w:t>Нескоординированность</w:t>
      </w:r>
      <w:proofErr w:type="spellEnd"/>
      <w:r w:rsidRPr="00C61AA4">
        <w:rPr>
          <w:rFonts w:ascii="Times New Roman" w:hAnsi="Times New Roman"/>
          <w:b/>
          <w:i/>
          <w:sz w:val="24"/>
          <w:szCs w:val="24"/>
        </w:rPr>
        <w:t xml:space="preserve"> действий государственных органов в части мер, влияющих на мобильность капитала.</w:t>
      </w:r>
    </w:p>
    <w:p w:rsidR="006346A7" w:rsidRPr="00C61AA4" w:rsidRDefault="006346A7" w:rsidP="006346A7">
      <w:pPr>
        <w:tabs>
          <w:tab w:val="left" w:pos="993"/>
        </w:tabs>
        <w:spacing w:line="240" w:lineRule="auto"/>
        <w:ind w:firstLine="709"/>
        <w:contextualSpacing/>
        <w:jc w:val="both"/>
        <w:rPr>
          <w:rFonts w:ascii="Times New Roman" w:hAnsi="Times New Roman"/>
          <w:b/>
          <w:i/>
          <w:sz w:val="24"/>
          <w:szCs w:val="24"/>
        </w:rPr>
      </w:pPr>
      <w:r w:rsidRPr="00C61AA4">
        <w:rPr>
          <w:rFonts w:ascii="Times New Roman" w:hAnsi="Times New Roman"/>
          <w:b/>
          <w:i/>
          <w:sz w:val="24"/>
          <w:szCs w:val="24"/>
        </w:rPr>
        <w:t>Возможные последствия в случае непринятия мер по управлению рисками:</w:t>
      </w:r>
    </w:p>
    <w:p w:rsidR="006346A7" w:rsidRPr="00C61AA4" w:rsidRDefault="006346A7" w:rsidP="006346A7">
      <w:pPr>
        <w:tabs>
          <w:tab w:val="left" w:pos="993"/>
        </w:tabs>
        <w:spacing w:line="240" w:lineRule="auto"/>
        <w:ind w:firstLine="709"/>
        <w:contextualSpacing/>
        <w:jc w:val="both"/>
        <w:rPr>
          <w:rFonts w:ascii="Times New Roman" w:hAnsi="Times New Roman"/>
          <w:i/>
          <w:sz w:val="24"/>
          <w:szCs w:val="24"/>
        </w:rPr>
      </w:pPr>
      <w:r w:rsidRPr="00C61AA4">
        <w:rPr>
          <w:rFonts w:ascii="Times New Roman" w:hAnsi="Times New Roman"/>
          <w:i/>
          <w:sz w:val="24"/>
          <w:szCs w:val="24"/>
        </w:rPr>
        <w:t xml:space="preserve">Увеличение риска неконтролируемого вывода капитала из страны в результате принятия несогласованных мер в части налогового и таможенного администрирования, а также </w:t>
      </w:r>
      <w:proofErr w:type="spellStart"/>
      <w:r w:rsidRPr="00C61AA4">
        <w:rPr>
          <w:rFonts w:ascii="Times New Roman" w:hAnsi="Times New Roman"/>
          <w:i/>
          <w:sz w:val="24"/>
          <w:szCs w:val="24"/>
        </w:rPr>
        <w:t>пруденциального</w:t>
      </w:r>
      <w:proofErr w:type="spellEnd"/>
      <w:r w:rsidRPr="00C61AA4">
        <w:rPr>
          <w:rFonts w:ascii="Times New Roman" w:hAnsi="Times New Roman"/>
          <w:i/>
          <w:sz w:val="24"/>
          <w:szCs w:val="24"/>
        </w:rPr>
        <w:t xml:space="preserve"> регулирования финансовых организаций.</w:t>
      </w:r>
    </w:p>
    <w:p w:rsidR="006346A7" w:rsidRPr="00C61AA4" w:rsidRDefault="006346A7" w:rsidP="006346A7">
      <w:pPr>
        <w:spacing w:line="240" w:lineRule="auto"/>
        <w:ind w:firstLine="709"/>
        <w:contextualSpacing/>
        <w:jc w:val="both"/>
        <w:rPr>
          <w:rFonts w:ascii="Times New Roman" w:hAnsi="Times New Roman"/>
          <w:b/>
          <w:i/>
          <w:sz w:val="24"/>
          <w:szCs w:val="24"/>
        </w:rPr>
      </w:pPr>
      <w:r w:rsidRPr="00C61AA4">
        <w:rPr>
          <w:rFonts w:ascii="Times New Roman" w:hAnsi="Times New Roman"/>
          <w:b/>
          <w:bCs/>
          <w:i/>
          <w:sz w:val="24"/>
          <w:szCs w:val="24"/>
        </w:rPr>
        <w:t>Мероприятия по управлению возможным риском:</w:t>
      </w:r>
    </w:p>
    <w:p w:rsidR="006346A7" w:rsidRPr="00C61AA4" w:rsidRDefault="006346A7" w:rsidP="006346A7">
      <w:pPr>
        <w:tabs>
          <w:tab w:val="left" w:pos="993"/>
        </w:tabs>
        <w:spacing w:line="240" w:lineRule="auto"/>
        <w:ind w:firstLine="709"/>
        <w:contextualSpacing/>
        <w:jc w:val="both"/>
        <w:rPr>
          <w:rFonts w:ascii="Times New Roman" w:hAnsi="Times New Roman"/>
          <w:i/>
          <w:sz w:val="24"/>
          <w:szCs w:val="24"/>
        </w:rPr>
      </w:pPr>
      <w:r w:rsidRPr="00C61AA4">
        <w:rPr>
          <w:rFonts w:ascii="Times New Roman" w:hAnsi="Times New Roman"/>
          <w:i/>
          <w:sz w:val="24"/>
          <w:szCs w:val="24"/>
        </w:rPr>
        <w:t>Усиление межведомственной координации при разработке нормативной базы, принятие согласованных решений по мерам, влияющим на мобильность капитала.</w:t>
      </w:r>
    </w:p>
    <w:p w:rsidR="006346A7" w:rsidRPr="00C61AA4" w:rsidRDefault="006346A7" w:rsidP="006346A7">
      <w:pPr>
        <w:tabs>
          <w:tab w:val="left" w:pos="993"/>
        </w:tabs>
        <w:spacing w:line="240" w:lineRule="auto"/>
        <w:ind w:firstLine="709"/>
        <w:contextualSpacing/>
        <w:jc w:val="both"/>
        <w:rPr>
          <w:rFonts w:ascii="Times New Roman" w:hAnsi="Times New Roman"/>
          <w:i/>
          <w:sz w:val="24"/>
          <w:szCs w:val="24"/>
        </w:rPr>
      </w:pPr>
      <w:r w:rsidRPr="00C61AA4">
        <w:rPr>
          <w:rFonts w:ascii="Times New Roman" w:hAnsi="Times New Roman"/>
          <w:sz w:val="24"/>
          <w:szCs w:val="24"/>
        </w:rPr>
        <w:t>Усиление межведомственной координации при разработке нормативной базы, принятие согласованных решений по мерам, влияющим на мобильность капитала.</w:t>
      </w:r>
    </w:p>
    <w:p w:rsidR="006346A7" w:rsidRPr="00C61AA4" w:rsidRDefault="006346A7" w:rsidP="006346A7">
      <w:pPr>
        <w:tabs>
          <w:tab w:val="left" w:pos="993"/>
        </w:tabs>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Специальные меры не были востребованы.</w:t>
      </w:r>
    </w:p>
    <w:p w:rsidR="006346A7" w:rsidRPr="00C61AA4" w:rsidRDefault="006346A7" w:rsidP="006346A7">
      <w:pPr>
        <w:tabs>
          <w:tab w:val="left" w:pos="993"/>
        </w:tabs>
        <w:spacing w:line="240" w:lineRule="auto"/>
        <w:ind w:firstLine="709"/>
        <w:contextualSpacing/>
        <w:jc w:val="both"/>
        <w:rPr>
          <w:rFonts w:ascii="Times New Roman" w:hAnsi="Times New Roman"/>
          <w:i/>
          <w:sz w:val="24"/>
          <w:szCs w:val="24"/>
        </w:rPr>
      </w:pPr>
      <w:r w:rsidRPr="00C61AA4">
        <w:rPr>
          <w:rFonts w:ascii="Times New Roman" w:hAnsi="Times New Roman"/>
          <w:sz w:val="24"/>
          <w:szCs w:val="24"/>
        </w:rPr>
        <w:t>Вместе с тем, проведены следующие мероприятия:</w:t>
      </w:r>
    </w:p>
    <w:p w:rsidR="006346A7" w:rsidRPr="00C61AA4" w:rsidRDefault="006346A7" w:rsidP="006346A7">
      <w:pPr>
        <w:tabs>
          <w:tab w:val="left" w:pos="993"/>
        </w:tabs>
        <w:spacing w:line="240" w:lineRule="auto"/>
        <w:ind w:firstLine="709"/>
        <w:contextualSpacing/>
        <w:jc w:val="both"/>
        <w:rPr>
          <w:rFonts w:ascii="Times New Roman" w:hAnsi="Times New Roman"/>
          <w:i/>
          <w:sz w:val="24"/>
          <w:szCs w:val="24"/>
        </w:rPr>
      </w:pPr>
      <w:r w:rsidRPr="00C61AA4">
        <w:rPr>
          <w:rFonts w:ascii="Times New Roman" w:hAnsi="Times New Roman"/>
          <w:sz w:val="24"/>
          <w:szCs w:val="24"/>
        </w:rPr>
        <w:t xml:space="preserve">- Возобновлен обмен информацией по движению товаров по контрактам с учетным номером между банками, органами государственных доходов и </w:t>
      </w:r>
      <w:r w:rsidR="008F530E" w:rsidRPr="00C61AA4">
        <w:rPr>
          <w:rFonts w:ascii="Times New Roman" w:hAnsi="Times New Roman"/>
          <w:color w:val="000000"/>
          <w:sz w:val="24"/>
          <w:szCs w:val="24"/>
        </w:rPr>
        <w:t>НБРК</w:t>
      </w:r>
      <w:r w:rsidRPr="00C61AA4">
        <w:rPr>
          <w:rFonts w:ascii="Times New Roman" w:hAnsi="Times New Roman"/>
          <w:sz w:val="24"/>
          <w:szCs w:val="24"/>
        </w:rPr>
        <w:t>, прерванный 6 лет назад;</w:t>
      </w:r>
    </w:p>
    <w:p w:rsidR="006346A7" w:rsidRPr="00C61AA4" w:rsidRDefault="006346A7" w:rsidP="006346A7">
      <w:pPr>
        <w:tabs>
          <w:tab w:val="left" w:pos="993"/>
        </w:tabs>
        <w:spacing w:line="240" w:lineRule="auto"/>
        <w:ind w:firstLine="709"/>
        <w:contextualSpacing/>
        <w:jc w:val="both"/>
        <w:rPr>
          <w:rFonts w:ascii="Times New Roman" w:hAnsi="Times New Roman"/>
          <w:i/>
          <w:sz w:val="24"/>
          <w:szCs w:val="24"/>
        </w:rPr>
      </w:pPr>
      <w:r w:rsidRPr="00C61AA4">
        <w:rPr>
          <w:rFonts w:ascii="Times New Roman" w:hAnsi="Times New Roman"/>
          <w:sz w:val="24"/>
          <w:szCs w:val="24"/>
        </w:rPr>
        <w:t xml:space="preserve">- Внедрен механизм обмена между КГД, НБРК и банками информации о движении товаров внутри ЕАЭС в электронном виде, в целях совершенствования </w:t>
      </w:r>
      <w:proofErr w:type="gramStart"/>
      <w:r w:rsidRPr="00C61AA4">
        <w:rPr>
          <w:rFonts w:ascii="Times New Roman" w:hAnsi="Times New Roman"/>
          <w:sz w:val="24"/>
          <w:szCs w:val="24"/>
        </w:rPr>
        <w:t>контроля за</w:t>
      </w:r>
      <w:proofErr w:type="gramEnd"/>
      <w:r w:rsidRPr="00C61AA4">
        <w:rPr>
          <w:rFonts w:ascii="Times New Roman" w:hAnsi="Times New Roman"/>
          <w:sz w:val="24"/>
          <w:szCs w:val="24"/>
        </w:rPr>
        <w:t xml:space="preserve"> репатриацией валюты на территории ЕАЭС;</w:t>
      </w:r>
    </w:p>
    <w:p w:rsidR="006346A7" w:rsidRPr="00C61AA4" w:rsidRDefault="006346A7" w:rsidP="006346A7">
      <w:pPr>
        <w:tabs>
          <w:tab w:val="left" w:pos="993"/>
        </w:tabs>
        <w:spacing w:line="240" w:lineRule="auto"/>
        <w:ind w:firstLine="709"/>
        <w:contextualSpacing/>
        <w:jc w:val="both"/>
        <w:rPr>
          <w:rFonts w:ascii="Times New Roman" w:hAnsi="Times New Roman"/>
          <w:sz w:val="24"/>
          <w:szCs w:val="24"/>
        </w:rPr>
      </w:pPr>
      <w:proofErr w:type="gramStart"/>
      <w:r w:rsidRPr="00C61AA4">
        <w:rPr>
          <w:rFonts w:ascii="Times New Roman" w:hAnsi="Times New Roman"/>
          <w:sz w:val="24"/>
          <w:szCs w:val="24"/>
        </w:rPr>
        <w:t>- Проведены работы в рамках созданной межведомственной рабочей группы Национального Банка и Комитета государственных доходов Министерства финансов по вопросам информационного обмена в рамках экспортно-импортного валютного контроля;</w:t>
      </w:r>
      <w:proofErr w:type="gramEnd"/>
    </w:p>
    <w:p w:rsidR="006346A7" w:rsidRPr="00C61AA4" w:rsidRDefault="006346A7" w:rsidP="006346A7">
      <w:pPr>
        <w:tabs>
          <w:tab w:val="left" w:pos="993"/>
        </w:tabs>
        <w:spacing w:line="240" w:lineRule="auto"/>
        <w:ind w:firstLine="709"/>
        <w:contextualSpacing/>
        <w:jc w:val="both"/>
        <w:rPr>
          <w:rFonts w:ascii="Times New Roman" w:hAnsi="Times New Roman"/>
          <w:i/>
          <w:sz w:val="24"/>
          <w:szCs w:val="24"/>
        </w:rPr>
      </w:pPr>
      <w:r w:rsidRPr="00C61AA4">
        <w:rPr>
          <w:rFonts w:ascii="Times New Roman" w:hAnsi="Times New Roman"/>
          <w:sz w:val="24"/>
          <w:szCs w:val="24"/>
        </w:rPr>
        <w:t>- Принято активное участие в деятельности Рабочей группы по вопросам внесения изменений и дополнений в налоговое и таможенное законодательство.</w:t>
      </w:r>
    </w:p>
    <w:p w:rsidR="006346A7" w:rsidRPr="00C61AA4" w:rsidRDefault="006346A7" w:rsidP="006346A7">
      <w:pPr>
        <w:spacing w:line="240" w:lineRule="auto"/>
        <w:ind w:firstLine="709"/>
        <w:contextualSpacing/>
        <w:jc w:val="both"/>
        <w:rPr>
          <w:rFonts w:ascii="Times New Roman" w:hAnsi="Times New Roman"/>
          <w:sz w:val="24"/>
          <w:szCs w:val="24"/>
        </w:rPr>
      </w:pPr>
    </w:p>
    <w:p w:rsidR="006346A7" w:rsidRPr="00C61AA4" w:rsidRDefault="006346A7" w:rsidP="006346A7">
      <w:pPr>
        <w:spacing w:line="240" w:lineRule="auto"/>
        <w:ind w:firstLine="709"/>
        <w:contextualSpacing/>
        <w:jc w:val="both"/>
        <w:rPr>
          <w:rFonts w:ascii="Times New Roman" w:hAnsi="Times New Roman"/>
          <w:b/>
          <w:i/>
          <w:sz w:val="24"/>
          <w:szCs w:val="24"/>
        </w:rPr>
      </w:pPr>
      <w:r w:rsidRPr="00C61AA4">
        <w:rPr>
          <w:rFonts w:ascii="Times New Roman" w:hAnsi="Times New Roman"/>
          <w:b/>
          <w:i/>
          <w:sz w:val="24"/>
          <w:szCs w:val="24"/>
        </w:rPr>
        <w:t>Нестабильная ценовая ситуация на мировых рынках нефти, обесценение  национальной валюты может привести к дальнейшему усугублению положения валютных заемщиков, снижению их возможности обслуживать и погашать займы.</w:t>
      </w:r>
    </w:p>
    <w:p w:rsidR="006346A7" w:rsidRPr="00C61AA4" w:rsidRDefault="006346A7" w:rsidP="006346A7">
      <w:pPr>
        <w:spacing w:line="240" w:lineRule="auto"/>
        <w:ind w:firstLine="709"/>
        <w:contextualSpacing/>
        <w:jc w:val="both"/>
        <w:rPr>
          <w:rFonts w:ascii="Times New Roman" w:hAnsi="Times New Roman"/>
          <w:b/>
          <w:i/>
          <w:sz w:val="24"/>
          <w:szCs w:val="24"/>
        </w:rPr>
      </w:pPr>
      <w:r w:rsidRPr="00C61AA4">
        <w:rPr>
          <w:rFonts w:ascii="Times New Roman" w:hAnsi="Times New Roman"/>
          <w:b/>
          <w:bCs/>
          <w:i/>
          <w:sz w:val="24"/>
          <w:szCs w:val="24"/>
        </w:rPr>
        <w:lastRenderedPageBreak/>
        <w:t>Мероприятия по управлению возможным риском:</w:t>
      </w:r>
    </w:p>
    <w:p w:rsidR="006346A7" w:rsidRPr="00C61AA4" w:rsidRDefault="006346A7" w:rsidP="006346A7">
      <w:pPr>
        <w:tabs>
          <w:tab w:val="left" w:pos="993"/>
        </w:tabs>
        <w:spacing w:line="240" w:lineRule="auto"/>
        <w:ind w:firstLine="709"/>
        <w:contextualSpacing/>
        <w:jc w:val="both"/>
        <w:rPr>
          <w:rFonts w:ascii="Times New Roman" w:hAnsi="Times New Roman"/>
          <w:i/>
          <w:sz w:val="24"/>
          <w:szCs w:val="24"/>
        </w:rPr>
      </w:pPr>
      <w:r w:rsidRPr="00C61AA4">
        <w:rPr>
          <w:rFonts w:ascii="Times New Roman" w:hAnsi="Times New Roman"/>
          <w:i/>
          <w:sz w:val="24"/>
          <w:szCs w:val="24"/>
        </w:rPr>
        <w:t xml:space="preserve">Осуществление работы по реализации Программы рефинансирования ипотечных жилищных займов/ипотечных займов, утвержденной постановлением Правления </w:t>
      </w:r>
      <w:r w:rsidR="00E20F8F" w:rsidRPr="00C61AA4">
        <w:rPr>
          <w:rFonts w:ascii="Times New Roman" w:hAnsi="Times New Roman"/>
          <w:i/>
          <w:sz w:val="24"/>
          <w:szCs w:val="24"/>
        </w:rPr>
        <w:t>НБРК</w:t>
      </w:r>
      <w:r w:rsidRPr="00C61AA4">
        <w:rPr>
          <w:rFonts w:ascii="Times New Roman" w:hAnsi="Times New Roman"/>
          <w:i/>
          <w:sz w:val="24"/>
          <w:szCs w:val="24"/>
        </w:rPr>
        <w:t xml:space="preserve"> от 24 апреля 2015 года №69 (далее – Программа). Осуществление комплекса мероприятий по решению проблем ипотечных заемщиков, а также заемщиков, получивших потребительские займы.</w:t>
      </w:r>
    </w:p>
    <w:p w:rsidR="00976A30" w:rsidRPr="00C61AA4" w:rsidRDefault="00976A30" w:rsidP="00976A30">
      <w:pPr>
        <w:tabs>
          <w:tab w:val="left" w:pos="993"/>
        </w:tabs>
        <w:spacing w:line="240" w:lineRule="auto"/>
        <w:ind w:firstLine="709"/>
        <w:contextualSpacing/>
        <w:jc w:val="both"/>
        <w:rPr>
          <w:rFonts w:ascii="Times New Roman" w:hAnsi="Times New Roman"/>
          <w:sz w:val="24"/>
          <w:szCs w:val="24"/>
        </w:rPr>
      </w:pPr>
      <w:r w:rsidRPr="00C61AA4">
        <w:rPr>
          <w:rFonts w:ascii="Times New Roman" w:hAnsi="Times New Roman"/>
          <w:sz w:val="24"/>
          <w:szCs w:val="24"/>
          <w:lang w:val="kk-KZ"/>
        </w:rPr>
        <w:t>В</w:t>
      </w:r>
      <w:r w:rsidRPr="00C61AA4">
        <w:rPr>
          <w:rFonts w:ascii="Times New Roman" w:hAnsi="Times New Roman"/>
          <w:sz w:val="24"/>
          <w:szCs w:val="24"/>
        </w:rPr>
        <w:t xml:space="preserve"> 2016 году была продолжена реализация </w:t>
      </w:r>
      <w:proofErr w:type="spellStart"/>
      <w:r w:rsidRPr="00C61AA4">
        <w:rPr>
          <w:rFonts w:ascii="Times New Roman" w:hAnsi="Times New Roman"/>
          <w:sz w:val="24"/>
          <w:szCs w:val="24"/>
        </w:rPr>
        <w:t>социальн</w:t>
      </w:r>
      <w:proofErr w:type="spellEnd"/>
      <w:r w:rsidRPr="00C61AA4">
        <w:rPr>
          <w:rFonts w:ascii="Times New Roman" w:hAnsi="Times New Roman"/>
          <w:sz w:val="24"/>
          <w:szCs w:val="24"/>
          <w:lang w:val="kk-KZ"/>
        </w:rPr>
        <w:t>ой</w:t>
      </w:r>
      <w:r w:rsidRPr="00C61AA4">
        <w:rPr>
          <w:rFonts w:ascii="Times New Roman" w:hAnsi="Times New Roman"/>
          <w:sz w:val="24"/>
          <w:szCs w:val="24"/>
        </w:rPr>
        <w:t xml:space="preserve"> Программы, одним из приоритетных направлений которой является перевод займов в иностранной валюте в тенге и их рефинансирование под 3% годовых. Программа предусматривает конвертацию основного долга по курсу доллара к тенге по состоянию на 18 августа 2015 года для проблемных заемщиков, допустивших просрочку свыше 90 дней по состоянию на 01.01.2015г. По данным на 01.02.2017г. рефинансирован  17 971 заем на сумму 99,1 </w:t>
      </w:r>
      <w:proofErr w:type="spellStart"/>
      <w:r w:rsidRPr="00C61AA4">
        <w:rPr>
          <w:rFonts w:ascii="Times New Roman" w:hAnsi="Times New Roman"/>
          <w:sz w:val="24"/>
          <w:szCs w:val="24"/>
        </w:rPr>
        <w:t>млрд</w:t>
      </w:r>
      <w:proofErr w:type="gramStart"/>
      <w:r w:rsidRPr="00C61AA4">
        <w:rPr>
          <w:rFonts w:ascii="Times New Roman" w:hAnsi="Times New Roman"/>
          <w:sz w:val="24"/>
          <w:szCs w:val="24"/>
        </w:rPr>
        <w:t>.т</w:t>
      </w:r>
      <w:proofErr w:type="gramEnd"/>
      <w:r w:rsidRPr="00C61AA4">
        <w:rPr>
          <w:rFonts w:ascii="Times New Roman" w:hAnsi="Times New Roman"/>
          <w:sz w:val="24"/>
          <w:szCs w:val="24"/>
        </w:rPr>
        <w:t>енге</w:t>
      </w:r>
      <w:proofErr w:type="spellEnd"/>
      <w:r w:rsidRPr="00C61AA4">
        <w:rPr>
          <w:rFonts w:ascii="Times New Roman" w:hAnsi="Times New Roman"/>
          <w:sz w:val="24"/>
          <w:szCs w:val="24"/>
        </w:rPr>
        <w:t>.</w:t>
      </w:r>
    </w:p>
    <w:p w:rsidR="00976A30" w:rsidRPr="00C61AA4" w:rsidRDefault="00976A30" w:rsidP="00976A30">
      <w:pPr>
        <w:autoSpaceDE w:val="0"/>
        <w:autoSpaceDN w:val="0"/>
        <w:adjustRightInd w:val="0"/>
        <w:spacing w:after="0" w:line="240" w:lineRule="auto"/>
        <w:ind w:firstLine="708"/>
        <w:jc w:val="both"/>
        <w:rPr>
          <w:rFonts w:ascii="Times New Roman" w:hAnsi="Times New Roman"/>
          <w:sz w:val="24"/>
          <w:szCs w:val="24"/>
        </w:rPr>
      </w:pPr>
      <w:r w:rsidRPr="00C61AA4">
        <w:rPr>
          <w:rFonts w:ascii="Times New Roman" w:hAnsi="Times New Roman"/>
          <w:sz w:val="24"/>
          <w:szCs w:val="24"/>
        </w:rPr>
        <w:t>Для поддержки заемщиков, не соответствующих критериям Программы рефинансирования, и в целях недопущения социальной нестабильности среди населения, НБРК при поддержке местных исполнительных органов заключен Меморандум о взаимопонимании и сотрудничестве по решению вопросов, связанных с исполнением проблемными ипотечными заемщиками своих обязательств с банками и общественными объединениями.</w:t>
      </w:r>
    </w:p>
    <w:p w:rsidR="00976A30" w:rsidRPr="00C61AA4" w:rsidRDefault="00976A30" w:rsidP="00976A30">
      <w:pPr>
        <w:autoSpaceDE w:val="0"/>
        <w:autoSpaceDN w:val="0"/>
        <w:adjustRightInd w:val="0"/>
        <w:spacing w:after="0" w:line="240" w:lineRule="auto"/>
        <w:ind w:firstLine="709"/>
        <w:jc w:val="both"/>
        <w:rPr>
          <w:rFonts w:ascii="Times New Roman" w:hAnsi="Times New Roman"/>
          <w:sz w:val="24"/>
          <w:szCs w:val="24"/>
        </w:rPr>
      </w:pPr>
      <w:r w:rsidRPr="00C61AA4">
        <w:rPr>
          <w:rFonts w:ascii="Times New Roman" w:hAnsi="Times New Roman"/>
          <w:sz w:val="24"/>
          <w:szCs w:val="24"/>
          <w:lang w:val="kk-KZ"/>
        </w:rPr>
        <w:t>Кроме того</w:t>
      </w:r>
      <w:r w:rsidRPr="00C61AA4">
        <w:rPr>
          <w:rFonts w:ascii="Times New Roman" w:hAnsi="Times New Roman"/>
          <w:sz w:val="24"/>
          <w:szCs w:val="24"/>
        </w:rPr>
        <w:t>,</w:t>
      </w:r>
      <w:r w:rsidRPr="00C61AA4">
        <w:rPr>
          <w:rFonts w:ascii="Times New Roman" w:hAnsi="Times New Roman"/>
          <w:sz w:val="24"/>
          <w:szCs w:val="24"/>
          <w:lang w:val="kk-KZ"/>
        </w:rPr>
        <w:t xml:space="preserve"> в</w:t>
      </w:r>
      <w:r w:rsidRPr="00C61AA4">
        <w:rPr>
          <w:rFonts w:ascii="Times New Roman" w:hAnsi="Times New Roman"/>
          <w:sz w:val="24"/>
          <w:szCs w:val="24"/>
        </w:rPr>
        <w:t xml:space="preserve"> 2016 году проведен большой объем индивидуальной работы непосредственно с заемщиками по разрешению их проблемных вопросов. В частности, был осуществлен личный прием руководством НБРК и ответственного подразделения - 788 граждан. Предоставлены консультации и оказана правовая помощь более 1 600 гражданам, обратившимся в Общественную приемную НБРК.</w:t>
      </w:r>
    </w:p>
    <w:p w:rsidR="00976A30" w:rsidRPr="00C61AA4" w:rsidRDefault="00976A30" w:rsidP="00976A30">
      <w:pPr>
        <w:autoSpaceDE w:val="0"/>
        <w:autoSpaceDN w:val="0"/>
        <w:adjustRightInd w:val="0"/>
        <w:spacing w:after="0" w:line="240" w:lineRule="auto"/>
        <w:ind w:firstLine="709"/>
        <w:jc w:val="both"/>
        <w:rPr>
          <w:rFonts w:ascii="Times New Roman" w:hAnsi="Times New Roman"/>
          <w:sz w:val="24"/>
          <w:szCs w:val="24"/>
        </w:rPr>
      </w:pPr>
      <w:r w:rsidRPr="00C61AA4">
        <w:rPr>
          <w:rFonts w:ascii="Times New Roman" w:hAnsi="Times New Roman"/>
          <w:sz w:val="24"/>
          <w:szCs w:val="24"/>
        </w:rPr>
        <w:t>На постоянной основе во избежание конфликтных ситуаций и недопущения социального напряжения в обществе в индивидуальном порядке в 2016 году проведено более 1 500 встреч заемщиков и общественных объединений с представителями банков для решения вопросов погашения задолженности по займам, по итогам  которых заемщикам предоставлены возможные условия разрешения проблем.</w:t>
      </w:r>
    </w:p>
    <w:p w:rsidR="00976A30" w:rsidRPr="00C61AA4" w:rsidRDefault="00976A30" w:rsidP="00976A30">
      <w:pPr>
        <w:autoSpaceDE w:val="0"/>
        <w:autoSpaceDN w:val="0"/>
        <w:adjustRightInd w:val="0"/>
        <w:spacing w:after="0" w:line="240" w:lineRule="auto"/>
        <w:ind w:firstLine="709"/>
        <w:jc w:val="both"/>
        <w:rPr>
          <w:rFonts w:ascii="Times New Roman" w:hAnsi="Times New Roman"/>
          <w:sz w:val="24"/>
          <w:szCs w:val="24"/>
        </w:rPr>
      </w:pPr>
      <w:r w:rsidRPr="00C61AA4">
        <w:rPr>
          <w:rFonts w:ascii="Times New Roman" w:hAnsi="Times New Roman"/>
          <w:sz w:val="24"/>
          <w:szCs w:val="24"/>
        </w:rPr>
        <w:t>В настоящее время установлен открытый и конструктивный диалог между НБРК,  активистами общественных объединений и населением, позволяющий оперативно решать вопросы потребителей финансовых услуг, информировать население о текущей ситуации и актуальных вопросах социального значения.</w:t>
      </w:r>
    </w:p>
    <w:p w:rsidR="006346A7" w:rsidRPr="00C61AA4" w:rsidRDefault="006346A7" w:rsidP="006346A7">
      <w:pPr>
        <w:tabs>
          <w:tab w:val="left" w:pos="993"/>
        </w:tabs>
        <w:spacing w:line="240" w:lineRule="auto"/>
        <w:ind w:firstLine="709"/>
        <w:contextualSpacing/>
        <w:jc w:val="both"/>
        <w:rPr>
          <w:rFonts w:ascii="Times New Roman" w:hAnsi="Times New Roman"/>
          <w:sz w:val="24"/>
          <w:szCs w:val="24"/>
        </w:rPr>
      </w:pPr>
    </w:p>
    <w:p w:rsidR="006346A7" w:rsidRPr="00C61AA4" w:rsidRDefault="006346A7" w:rsidP="006346A7">
      <w:pPr>
        <w:spacing w:line="240" w:lineRule="auto"/>
        <w:ind w:firstLine="709"/>
        <w:contextualSpacing/>
        <w:jc w:val="both"/>
        <w:rPr>
          <w:rFonts w:ascii="Times New Roman" w:hAnsi="Times New Roman"/>
          <w:b/>
          <w:i/>
          <w:sz w:val="24"/>
          <w:szCs w:val="24"/>
        </w:rPr>
      </w:pPr>
      <w:r w:rsidRPr="00C61AA4">
        <w:rPr>
          <w:rFonts w:ascii="Times New Roman" w:hAnsi="Times New Roman"/>
          <w:b/>
          <w:i/>
          <w:sz w:val="24"/>
          <w:szCs w:val="24"/>
        </w:rPr>
        <w:t>Снижение доверия населения к финансовой системе.</w:t>
      </w:r>
    </w:p>
    <w:p w:rsidR="006346A7" w:rsidRPr="00C61AA4" w:rsidRDefault="006346A7" w:rsidP="006346A7">
      <w:pPr>
        <w:spacing w:line="240" w:lineRule="auto"/>
        <w:ind w:firstLine="709"/>
        <w:contextualSpacing/>
        <w:jc w:val="both"/>
        <w:rPr>
          <w:rFonts w:ascii="Times New Roman" w:hAnsi="Times New Roman"/>
          <w:b/>
          <w:i/>
          <w:sz w:val="24"/>
          <w:szCs w:val="24"/>
        </w:rPr>
      </w:pPr>
      <w:r w:rsidRPr="00C61AA4">
        <w:rPr>
          <w:rFonts w:ascii="Times New Roman" w:hAnsi="Times New Roman"/>
          <w:b/>
          <w:bCs/>
          <w:i/>
          <w:sz w:val="24"/>
          <w:szCs w:val="24"/>
        </w:rPr>
        <w:t>Мероприятия по управлению возможным риском:</w:t>
      </w:r>
    </w:p>
    <w:p w:rsidR="006346A7" w:rsidRPr="00C61AA4" w:rsidRDefault="006346A7" w:rsidP="006346A7">
      <w:pPr>
        <w:tabs>
          <w:tab w:val="left" w:pos="993"/>
        </w:tabs>
        <w:spacing w:line="240" w:lineRule="auto"/>
        <w:ind w:firstLine="709"/>
        <w:contextualSpacing/>
        <w:jc w:val="both"/>
        <w:rPr>
          <w:rFonts w:ascii="Times New Roman" w:hAnsi="Times New Roman"/>
          <w:i/>
          <w:sz w:val="24"/>
          <w:szCs w:val="24"/>
        </w:rPr>
      </w:pPr>
      <w:r w:rsidRPr="00C61AA4">
        <w:rPr>
          <w:rFonts w:ascii="Times New Roman" w:hAnsi="Times New Roman"/>
          <w:i/>
          <w:sz w:val="24"/>
          <w:szCs w:val="24"/>
        </w:rPr>
        <w:t>Проведение мероприятий по повышению финансовой грамотности населения.</w:t>
      </w:r>
    </w:p>
    <w:p w:rsidR="006346A7" w:rsidRPr="00C61AA4" w:rsidRDefault="006346A7" w:rsidP="006346A7">
      <w:pPr>
        <w:tabs>
          <w:tab w:val="left" w:pos="993"/>
        </w:tabs>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Меры оперативного реагирования не были востребованы.</w:t>
      </w:r>
    </w:p>
    <w:p w:rsidR="006346A7" w:rsidRPr="00C61AA4" w:rsidRDefault="006346A7" w:rsidP="006346A7">
      <w:pPr>
        <w:tabs>
          <w:tab w:val="left" w:pos="993"/>
        </w:tabs>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 xml:space="preserve">В свою очередь, в плановом порядке постановлением Правления </w:t>
      </w:r>
      <w:r w:rsidR="00E20F8F" w:rsidRPr="00C61AA4">
        <w:rPr>
          <w:rFonts w:ascii="Times New Roman" w:hAnsi="Times New Roman"/>
          <w:sz w:val="24"/>
          <w:szCs w:val="24"/>
        </w:rPr>
        <w:t>НБ</w:t>
      </w:r>
      <w:r w:rsidRPr="00C61AA4">
        <w:rPr>
          <w:rFonts w:ascii="Times New Roman" w:hAnsi="Times New Roman"/>
          <w:sz w:val="24"/>
          <w:szCs w:val="24"/>
        </w:rPr>
        <w:t xml:space="preserve">РК от 30 сентября 2016 года №244 утверждена «Программа по повышению финансовой грамотности населения на 2016-2018 годы» (далее – Программа). </w:t>
      </w:r>
    </w:p>
    <w:p w:rsidR="006346A7" w:rsidRPr="00C61AA4" w:rsidRDefault="006346A7" w:rsidP="006346A7">
      <w:pPr>
        <w:tabs>
          <w:tab w:val="left" w:pos="993"/>
        </w:tabs>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Программа разработана в соответствии с Концепцией развития финансового сектора, согласно которой одним из приоритетов развития финансового сектора является расширение охвата населения и субъектов экономики финансовыми услугами и повышение финансовой грамотности потребителей финансовых услуг.</w:t>
      </w:r>
    </w:p>
    <w:p w:rsidR="006346A7" w:rsidRPr="00C61AA4" w:rsidRDefault="006346A7" w:rsidP="006346A7">
      <w:pPr>
        <w:tabs>
          <w:tab w:val="left" w:pos="993"/>
        </w:tabs>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Кроме того, пунктом 7 Антикризисного плана действий Правительства РК и Национального Банка по обеспечению экономической и социальной стабильности на 2016-2018 годы, предусмотрено проведение масштабной программы по повышению финансовой грамотности населения совместно с БВУ.</w:t>
      </w:r>
    </w:p>
    <w:p w:rsidR="006346A7" w:rsidRPr="00C61AA4" w:rsidRDefault="006346A7" w:rsidP="006346A7">
      <w:pPr>
        <w:tabs>
          <w:tab w:val="left" w:pos="993"/>
        </w:tabs>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В целях должной реализации Программы создана рабочая группа совместно с БВУ и другими финансовыми организациями по вопросам реализации и взаимодействия в рамках указанной Программы.</w:t>
      </w:r>
    </w:p>
    <w:p w:rsidR="006346A7" w:rsidRPr="00C61AA4" w:rsidRDefault="006346A7" w:rsidP="006346A7">
      <w:pPr>
        <w:tabs>
          <w:tab w:val="left" w:pos="993"/>
        </w:tabs>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При этом</w:t>
      </w:r>
      <w:proofErr w:type="gramStart"/>
      <w:r w:rsidRPr="00C61AA4">
        <w:rPr>
          <w:rFonts w:ascii="Times New Roman" w:hAnsi="Times New Roman"/>
          <w:sz w:val="24"/>
          <w:szCs w:val="24"/>
        </w:rPr>
        <w:t>,</w:t>
      </w:r>
      <w:proofErr w:type="gramEnd"/>
      <w:r w:rsidRPr="00C61AA4">
        <w:rPr>
          <w:rFonts w:ascii="Times New Roman" w:hAnsi="Times New Roman"/>
          <w:sz w:val="24"/>
          <w:szCs w:val="24"/>
        </w:rPr>
        <w:t xml:space="preserve"> в 2016 году была начата реализация Программы, в рамках которой:</w:t>
      </w:r>
    </w:p>
    <w:p w:rsidR="006346A7" w:rsidRPr="00C61AA4" w:rsidRDefault="006346A7" w:rsidP="006346A7">
      <w:pPr>
        <w:tabs>
          <w:tab w:val="left" w:pos="993"/>
        </w:tabs>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 xml:space="preserve">- в эфире республиканского телеканала выходила образовательная телепрограмма, в которой в качестве спикеров активно выступали руководители подразделений </w:t>
      </w:r>
      <w:r w:rsidR="008F530E" w:rsidRPr="00C61AA4">
        <w:rPr>
          <w:rFonts w:ascii="Times New Roman" w:hAnsi="Times New Roman"/>
          <w:color w:val="000000"/>
          <w:sz w:val="24"/>
          <w:szCs w:val="24"/>
        </w:rPr>
        <w:t>НБРК</w:t>
      </w:r>
      <w:r w:rsidRPr="00C61AA4">
        <w:rPr>
          <w:rFonts w:ascii="Times New Roman" w:hAnsi="Times New Roman"/>
          <w:sz w:val="24"/>
          <w:szCs w:val="24"/>
        </w:rPr>
        <w:t>;</w:t>
      </w:r>
    </w:p>
    <w:p w:rsidR="006346A7" w:rsidRPr="00C61AA4" w:rsidRDefault="006346A7" w:rsidP="006346A7">
      <w:pPr>
        <w:tabs>
          <w:tab w:val="left" w:pos="993"/>
        </w:tabs>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 проведены открытые образовательные лекции для студентов выпускных курсов университетов, институтов, а также граждан регионов в крупнейших городах Казахстана;</w:t>
      </w:r>
    </w:p>
    <w:p w:rsidR="006346A7" w:rsidRPr="00C61AA4" w:rsidRDefault="006346A7" w:rsidP="006346A7">
      <w:pPr>
        <w:tabs>
          <w:tab w:val="left" w:pos="993"/>
        </w:tabs>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lastRenderedPageBreak/>
        <w:t>- разработан единый Интернет-портал, посвященный финансовому образованию населения. В настоящее время Интернет-портал наполняется контентом;</w:t>
      </w:r>
    </w:p>
    <w:p w:rsidR="006346A7" w:rsidRPr="00C61AA4" w:rsidRDefault="006346A7" w:rsidP="006346A7">
      <w:pPr>
        <w:tabs>
          <w:tab w:val="left" w:pos="993"/>
        </w:tabs>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 разработаны и созданы информационные буклеты по финансовым услугам;</w:t>
      </w:r>
    </w:p>
    <w:p w:rsidR="006346A7" w:rsidRPr="00C61AA4" w:rsidRDefault="006346A7" w:rsidP="006346A7">
      <w:pPr>
        <w:tabs>
          <w:tab w:val="left" w:pos="993"/>
        </w:tabs>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 xml:space="preserve">- на постоянной основе размещается информация в разделе «Защита прав потребителей финансовых услуг» на официальном ресурсе </w:t>
      </w:r>
      <w:r w:rsidR="008F530E" w:rsidRPr="00C61AA4">
        <w:rPr>
          <w:rFonts w:ascii="Times New Roman" w:hAnsi="Times New Roman"/>
          <w:color w:val="000000"/>
          <w:sz w:val="24"/>
          <w:szCs w:val="24"/>
        </w:rPr>
        <w:t>НБРК</w:t>
      </w:r>
      <w:r w:rsidRPr="00C61AA4">
        <w:rPr>
          <w:rFonts w:ascii="Times New Roman" w:hAnsi="Times New Roman"/>
          <w:sz w:val="24"/>
          <w:szCs w:val="24"/>
        </w:rPr>
        <w:t>.</w:t>
      </w:r>
    </w:p>
    <w:p w:rsidR="006346A7" w:rsidRPr="00C61AA4" w:rsidRDefault="006346A7" w:rsidP="006346A7">
      <w:pPr>
        <w:spacing w:line="240" w:lineRule="auto"/>
        <w:ind w:firstLine="709"/>
        <w:contextualSpacing/>
        <w:jc w:val="both"/>
        <w:rPr>
          <w:rFonts w:ascii="Times New Roman" w:hAnsi="Times New Roman"/>
          <w:sz w:val="24"/>
          <w:szCs w:val="24"/>
        </w:rPr>
      </w:pPr>
    </w:p>
    <w:p w:rsidR="006346A7" w:rsidRPr="00C61AA4" w:rsidRDefault="006346A7" w:rsidP="006346A7">
      <w:pPr>
        <w:spacing w:line="240" w:lineRule="auto"/>
        <w:ind w:firstLine="709"/>
        <w:contextualSpacing/>
        <w:jc w:val="both"/>
        <w:rPr>
          <w:rFonts w:ascii="Times New Roman" w:hAnsi="Times New Roman"/>
          <w:b/>
          <w:i/>
          <w:sz w:val="24"/>
          <w:szCs w:val="24"/>
        </w:rPr>
      </w:pPr>
      <w:r w:rsidRPr="00C61AA4">
        <w:rPr>
          <w:rFonts w:ascii="Times New Roman" w:hAnsi="Times New Roman"/>
          <w:b/>
          <w:i/>
          <w:sz w:val="24"/>
          <w:szCs w:val="24"/>
        </w:rPr>
        <w:t>Операционные риски (сбой оборудования, ошибки персонала, нарушение физической и информационной безопасности).</w:t>
      </w:r>
    </w:p>
    <w:p w:rsidR="006346A7" w:rsidRPr="00C61AA4" w:rsidRDefault="006346A7" w:rsidP="006346A7">
      <w:pPr>
        <w:spacing w:line="240" w:lineRule="auto"/>
        <w:ind w:firstLine="709"/>
        <w:contextualSpacing/>
        <w:jc w:val="both"/>
        <w:rPr>
          <w:rFonts w:ascii="Times New Roman" w:hAnsi="Times New Roman"/>
          <w:b/>
          <w:i/>
          <w:sz w:val="24"/>
          <w:szCs w:val="24"/>
        </w:rPr>
      </w:pPr>
      <w:r w:rsidRPr="00C61AA4">
        <w:rPr>
          <w:rFonts w:ascii="Times New Roman" w:hAnsi="Times New Roman"/>
          <w:b/>
          <w:i/>
          <w:sz w:val="24"/>
          <w:szCs w:val="24"/>
        </w:rPr>
        <w:t>Возможные последствия в случае непринятия мер по управлению рисками:</w:t>
      </w:r>
    </w:p>
    <w:p w:rsidR="006346A7" w:rsidRPr="00C61AA4" w:rsidRDefault="006346A7" w:rsidP="006346A7">
      <w:pPr>
        <w:spacing w:line="240" w:lineRule="auto"/>
        <w:ind w:firstLine="709"/>
        <w:contextualSpacing/>
        <w:jc w:val="both"/>
        <w:rPr>
          <w:rFonts w:ascii="Times New Roman" w:hAnsi="Times New Roman"/>
          <w:i/>
          <w:sz w:val="24"/>
          <w:szCs w:val="24"/>
        </w:rPr>
      </w:pPr>
      <w:r w:rsidRPr="00C61AA4">
        <w:rPr>
          <w:rFonts w:ascii="Times New Roman" w:hAnsi="Times New Roman"/>
          <w:i/>
          <w:sz w:val="24"/>
          <w:szCs w:val="24"/>
        </w:rPr>
        <w:t xml:space="preserve">Нарушение работоспособности национальных платежных систем, оператором которых является </w:t>
      </w:r>
      <w:r w:rsidR="00E20F8F" w:rsidRPr="00C61AA4">
        <w:rPr>
          <w:rFonts w:ascii="Times New Roman" w:hAnsi="Times New Roman"/>
          <w:i/>
          <w:sz w:val="24"/>
          <w:szCs w:val="24"/>
        </w:rPr>
        <w:t>НБРК</w:t>
      </w:r>
      <w:r w:rsidRPr="00C61AA4">
        <w:rPr>
          <w:rFonts w:ascii="Times New Roman" w:hAnsi="Times New Roman"/>
          <w:i/>
          <w:sz w:val="24"/>
          <w:szCs w:val="24"/>
        </w:rPr>
        <w:t>.</w:t>
      </w:r>
    </w:p>
    <w:p w:rsidR="006346A7" w:rsidRPr="00C61AA4" w:rsidRDefault="006346A7" w:rsidP="006346A7">
      <w:pPr>
        <w:spacing w:line="240" w:lineRule="auto"/>
        <w:ind w:firstLine="709"/>
        <w:contextualSpacing/>
        <w:jc w:val="both"/>
        <w:rPr>
          <w:rFonts w:ascii="Times New Roman" w:hAnsi="Times New Roman"/>
          <w:b/>
          <w:i/>
          <w:sz w:val="24"/>
          <w:szCs w:val="24"/>
        </w:rPr>
      </w:pPr>
      <w:r w:rsidRPr="00C61AA4">
        <w:rPr>
          <w:rFonts w:ascii="Times New Roman" w:hAnsi="Times New Roman"/>
          <w:b/>
          <w:bCs/>
          <w:i/>
          <w:sz w:val="24"/>
          <w:szCs w:val="24"/>
        </w:rPr>
        <w:t>Мероприятия по управлению возможным риском:</w:t>
      </w:r>
    </w:p>
    <w:p w:rsidR="006346A7" w:rsidRPr="00C61AA4" w:rsidRDefault="006346A7" w:rsidP="006346A7">
      <w:pPr>
        <w:spacing w:line="240" w:lineRule="auto"/>
        <w:ind w:firstLine="709"/>
        <w:contextualSpacing/>
        <w:jc w:val="both"/>
        <w:rPr>
          <w:rFonts w:ascii="Times New Roman" w:hAnsi="Times New Roman"/>
          <w:i/>
          <w:sz w:val="24"/>
          <w:szCs w:val="24"/>
        </w:rPr>
      </w:pPr>
      <w:proofErr w:type="gramStart"/>
      <w:r w:rsidRPr="00C61AA4">
        <w:rPr>
          <w:rFonts w:ascii="Times New Roman" w:hAnsi="Times New Roman"/>
          <w:i/>
          <w:sz w:val="24"/>
          <w:szCs w:val="24"/>
        </w:rPr>
        <w:t>Применение комплекса мер (в том числе, действуют внутренние документы по управлению рисками), предусматривающих проведение плановых (тестовых) мероприятий по переводу платежных систем на программно-технический комплекс резервного центра; постоянный мониторинг работоспособности оборудования; обеспечение необходимого уровня квалификации персонала, его обучение; защита от несанкционированного доступа; обеспечение информационной безопасности посредством ряда установленных мероприятий; управление физическим доступом посредства ряда мер и иные меры.</w:t>
      </w:r>
      <w:proofErr w:type="gramEnd"/>
    </w:p>
    <w:p w:rsidR="006346A7" w:rsidRPr="00C61AA4" w:rsidRDefault="006346A7" w:rsidP="006346A7">
      <w:pPr>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 xml:space="preserve">1. В целях обеспечения беспрерывного функционирования платежных систем и поддержания резервного центра в постоянной готовности </w:t>
      </w:r>
      <w:r w:rsidR="00E20F8F" w:rsidRPr="00C61AA4">
        <w:rPr>
          <w:rFonts w:ascii="Times New Roman" w:hAnsi="Times New Roman"/>
          <w:sz w:val="24"/>
          <w:szCs w:val="24"/>
        </w:rPr>
        <w:t>КЦМР</w:t>
      </w:r>
      <w:r w:rsidRPr="00C61AA4">
        <w:rPr>
          <w:rFonts w:ascii="Times New Roman" w:hAnsi="Times New Roman"/>
          <w:sz w:val="24"/>
          <w:szCs w:val="24"/>
        </w:rPr>
        <w:t xml:space="preserve"> за 2016 год дважды был осуществлен плановый перевод работы платежных систем на программно-технический комплекс резервного центра.</w:t>
      </w:r>
    </w:p>
    <w:p w:rsidR="006346A7" w:rsidRPr="00C61AA4" w:rsidRDefault="006346A7" w:rsidP="006346A7">
      <w:pPr>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 xml:space="preserve">2. В целях недопущения сбоев в коммуникационном оборудовании была проведена ревизия критичных соединений, выполнена замена необходимых </w:t>
      </w:r>
      <w:proofErr w:type="spellStart"/>
      <w:r w:rsidRPr="00C61AA4">
        <w:rPr>
          <w:rFonts w:ascii="Times New Roman" w:hAnsi="Times New Roman"/>
          <w:sz w:val="24"/>
          <w:szCs w:val="24"/>
        </w:rPr>
        <w:t>патч</w:t>
      </w:r>
      <w:proofErr w:type="spellEnd"/>
      <w:r w:rsidRPr="00C61AA4">
        <w:rPr>
          <w:rFonts w:ascii="Times New Roman" w:hAnsi="Times New Roman"/>
          <w:sz w:val="24"/>
          <w:szCs w:val="24"/>
        </w:rPr>
        <w:t xml:space="preserve">-панелей и сетевых соединений, осуществлена дополнительная маркировка кабелей критичных соединений, были введены в эксплуатацию новые сетевые коммутаторы </w:t>
      </w:r>
      <w:proofErr w:type="spellStart"/>
      <w:r w:rsidRPr="00C61AA4">
        <w:rPr>
          <w:rFonts w:ascii="Times New Roman" w:hAnsi="Times New Roman"/>
          <w:sz w:val="24"/>
          <w:szCs w:val="24"/>
        </w:rPr>
        <w:t>Cisco</w:t>
      </w:r>
      <w:proofErr w:type="spellEnd"/>
      <w:r w:rsidRPr="00C61AA4">
        <w:rPr>
          <w:rFonts w:ascii="Times New Roman" w:hAnsi="Times New Roman"/>
          <w:sz w:val="24"/>
          <w:szCs w:val="24"/>
        </w:rPr>
        <w:t xml:space="preserve">. </w:t>
      </w:r>
    </w:p>
    <w:p w:rsidR="00E87F8C" w:rsidRPr="00C61AA4" w:rsidRDefault="006346A7" w:rsidP="00747F8E">
      <w:pPr>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Кроме того, была создана специальная схема мониторинга критичных соединений с визуальным отображением в реальном режиме времени их статуса, а также настроено автоматическое оповещение при возникновении проблем или сбоев ответственных лиц по электронной почте.</w:t>
      </w:r>
    </w:p>
    <w:p w:rsidR="004C09F5" w:rsidRPr="00C61AA4" w:rsidRDefault="004C09F5" w:rsidP="00E20F8F">
      <w:pPr>
        <w:spacing w:line="240" w:lineRule="auto"/>
        <w:ind w:firstLine="709"/>
        <w:contextualSpacing/>
        <w:jc w:val="center"/>
        <w:rPr>
          <w:rFonts w:ascii="Times New Roman" w:hAnsi="Times New Roman"/>
          <w:sz w:val="24"/>
          <w:szCs w:val="24"/>
        </w:rPr>
      </w:pPr>
    </w:p>
    <w:p w:rsidR="006346A7" w:rsidRPr="00C61AA4" w:rsidRDefault="006346A7" w:rsidP="00E20F8F">
      <w:pPr>
        <w:spacing w:line="240" w:lineRule="auto"/>
        <w:ind w:firstLine="709"/>
        <w:contextualSpacing/>
        <w:jc w:val="center"/>
        <w:rPr>
          <w:rFonts w:ascii="Times New Roman" w:hAnsi="Times New Roman"/>
          <w:b/>
          <w:sz w:val="24"/>
          <w:szCs w:val="24"/>
        </w:rPr>
      </w:pPr>
      <w:r w:rsidRPr="00C61AA4">
        <w:rPr>
          <w:rFonts w:ascii="Times New Roman" w:hAnsi="Times New Roman"/>
          <w:b/>
          <w:sz w:val="24"/>
          <w:szCs w:val="24"/>
        </w:rPr>
        <w:t>Раздел 2. Достижение целей и целевых индикаторов</w:t>
      </w:r>
    </w:p>
    <w:p w:rsidR="006346A7" w:rsidRPr="00C61AA4" w:rsidRDefault="006346A7" w:rsidP="00E20F8F">
      <w:pPr>
        <w:spacing w:line="240" w:lineRule="auto"/>
        <w:ind w:firstLine="709"/>
        <w:contextualSpacing/>
        <w:jc w:val="center"/>
        <w:rPr>
          <w:rFonts w:ascii="Times New Roman" w:hAnsi="Times New Roman"/>
          <w:b/>
          <w:sz w:val="24"/>
          <w:szCs w:val="24"/>
        </w:rPr>
      </w:pPr>
    </w:p>
    <w:p w:rsidR="006346A7" w:rsidRPr="00C61AA4" w:rsidRDefault="006346A7" w:rsidP="00E20F8F">
      <w:pPr>
        <w:spacing w:line="240" w:lineRule="auto"/>
        <w:ind w:firstLine="709"/>
        <w:contextualSpacing/>
        <w:jc w:val="center"/>
        <w:rPr>
          <w:rFonts w:ascii="Times New Roman" w:hAnsi="Times New Roman"/>
          <w:b/>
          <w:sz w:val="24"/>
          <w:szCs w:val="24"/>
          <w:u w:val="single"/>
        </w:rPr>
      </w:pPr>
      <w:r w:rsidRPr="00C61AA4">
        <w:rPr>
          <w:rFonts w:ascii="Times New Roman" w:hAnsi="Times New Roman"/>
          <w:b/>
          <w:sz w:val="24"/>
          <w:szCs w:val="24"/>
          <w:u w:val="single"/>
        </w:rPr>
        <w:t>Стратегическое направление 1.</w:t>
      </w:r>
    </w:p>
    <w:p w:rsidR="006346A7" w:rsidRPr="00C61AA4" w:rsidRDefault="006346A7" w:rsidP="00E20F8F">
      <w:pPr>
        <w:spacing w:line="240" w:lineRule="auto"/>
        <w:ind w:firstLine="709"/>
        <w:contextualSpacing/>
        <w:jc w:val="center"/>
        <w:rPr>
          <w:rFonts w:ascii="Times New Roman" w:hAnsi="Times New Roman"/>
          <w:b/>
          <w:sz w:val="24"/>
          <w:szCs w:val="24"/>
          <w:u w:val="single"/>
        </w:rPr>
      </w:pPr>
      <w:r w:rsidRPr="00C61AA4">
        <w:rPr>
          <w:rFonts w:ascii="Times New Roman" w:hAnsi="Times New Roman"/>
          <w:b/>
          <w:sz w:val="24"/>
          <w:szCs w:val="24"/>
          <w:u w:val="single"/>
        </w:rPr>
        <w:t>Обеспечение стабильности цен</w:t>
      </w:r>
    </w:p>
    <w:p w:rsidR="006346A7" w:rsidRPr="00C61AA4" w:rsidRDefault="006346A7" w:rsidP="006346A7">
      <w:pPr>
        <w:spacing w:line="240" w:lineRule="auto"/>
        <w:ind w:firstLine="709"/>
        <w:contextualSpacing/>
        <w:jc w:val="both"/>
        <w:rPr>
          <w:rFonts w:ascii="Times New Roman" w:hAnsi="Times New Roman"/>
          <w:b/>
          <w:i/>
          <w:sz w:val="24"/>
          <w:szCs w:val="24"/>
        </w:rPr>
      </w:pPr>
    </w:p>
    <w:p w:rsidR="006346A7" w:rsidRPr="00C61AA4" w:rsidRDefault="006346A7" w:rsidP="006346A7">
      <w:pPr>
        <w:spacing w:line="240" w:lineRule="auto"/>
        <w:ind w:firstLine="709"/>
        <w:contextualSpacing/>
        <w:jc w:val="both"/>
        <w:rPr>
          <w:rFonts w:ascii="Times New Roman" w:hAnsi="Times New Roman"/>
          <w:b/>
          <w:i/>
          <w:sz w:val="24"/>
          <w:szCs w:val="24"/>
        </w:rPr>
      </w:pPr>
      <w:r w:rsidRPr="00C61AA4">
        <w:rPr>
          <w:rFonts w:ascii="Times New Roman" w:hAnsi="Times New Roman"/>
          <w:b/>
          <w:i/>
          <w:sz w:val="24"/>
          <w:szCs w:val="24"/>
        </w:rPr>
        <w:t>Цель 1.1. Удержание инфляции в целевом коридоре</w:t>
      </w:r>
    </w:p>
    <w:p w:rsidR="004C09F5" w:rsidRPr="00C61AA4" w:rsidRDefault="004C09F5" w:rsidP="006346A7">
      <w:pPr>
        <w:spacing w:line="240" w:lineRule="auto"/>
        <w:ind w:firstLine="709"/>
        <w:contextualSpacing/>
        <w:jc w:val="both"/>
        <w:rPr>
          <w:rFonts w:ascii="Times New Roman" w:hAnsi="Times New Roman"/>
          <w:b/>
          <w:i/>
          <w:sz w:val="24"/>
          <w:szCs w:val="24"/>
        </w:rPr>
      </w:pPr>
    </w:p>
    <w:p w:rsidR="006346A7" w:rsidRPr="00C61AA4" w:rsidRDefault="006346A7" w:rsidP="006346A7">
      <w:pPr>
        <w:spacing w:line="240" w:lineRule="auto"/>
        <w:ind w:firstLine="709"/>
        <w:contextualSpacing/>
        <w:jc w:val="both"/>
        <w:rPr>
          <w:rFonts w:ascii="Times New Roman" w:hAnsi="Times New Roman"/>
          <w:i/>
          <w:sz w:val="24"/>
          <w:szCs w:val="24"/>
        </w:rPr>
      </w:pPr>
      <w:r w:rsidRPr="00C61AA4">
        <w:rPr>
          <w:rFonts w:ascii="Times New Roman" w:hAnsi="Times New Roman"/>
          <w:b/>
          <w:i/>
          <w:sz w:val="24"/>
          <w:szCs w:val="24"/>
        </w:rPr>
        <w:t xml:space="preserve">Целевой индикатор: показатель «Среднегодовой темп инфляции, %» Глобального индекса конкурентоспособности </w:t>
      </w:r>
      <w:r w:rsidRPr="00C61AA4">
        <w:rPr>
          <w:rFonts w:ascii="Times New Roman" w:hAnsi="Times New Roman"/>
          <w:i/>
          <w:sz w:val="24"/>
          <w:szCs w:val="24"/>
        </w:rPr>
        <w:t>(115 место в рейтинге ГИК ВЭФ)</w:t>
      </w:r>
    </w:p>
    <w:p w:rsidR="006346A7" w:rsidRPr="00C61AA4" w:rsidRDefault="006346A7" w:rsidP="006346A7">
      <w:pPr>
        <w:spacing w:line="240" w:lineRule="auto"/>
        <w:ind w:firstLine="709"/>
        <w:contextualSpacing/>
        <w:jc w:val="both"/>
        <w:rPr>
          <w:rFonts w:ascii="Times New Roman" w:hAnsi="Times New Roman"/>
          <w:b/>
          <w:i/>
          <w:sz w:val="24"/>
        </w:rPr>
      </w:pPr>
      <w:r w:rsidRPr="00C61AA4">
        <w:rPr>
          <w:rFonts w:ascii="Times New Roman" w:hAnsi="Times New Roman"/>
          <w:sz w:val="24"/>
        </w:rPr>
        <w:t xml:space="preserve">За 2016 год инфляция (декабрь к декабрю предыдущего года) составила 8,5%, снизившись с двухзначного значения 13,6% по итогам 2015 года до однозначной цифры, что в целом соответствует оценкам </w:t>
      </w:r>
      <w:r w:rsidR="00E20F8F" w:rsidRPr="00C61AA4">
        <w:rPr>
          <w:rFonts w:ascii="Times New Roman" w:hAnsi="Times New Roman"/>
          <w:sz w:val="24"/>
        </w:rPr>
        <w:t>НБРК</w:t>
      </w:r>
      <w:r w:rsidRPr="00C61AA4">
        <w:rPr>
          <w:rFonts w:ascii="Times New Roman" w:hAnsi="Times New Roman"/>
          <w:sz w:val="24"/>
        </w:rPr>
        <w:t>. Незначительное превышение целевого ориентира было связано с изменениями цен на отдельные товары в 4 квартале 2016 года, которые имели кратковременный характер. В течение года наблюдалось замедление инфляционных процессов и постепенное нивелирование эффекта переноса обменного курса на уровень цен в стране, а также снижение инфляционных ожиданий с начала года.</w:t>
      </w:r>
    </w:p>
    <w:p w:rsidR="006346A7" w:rsidRPr="00C61AA4" w:rsidRDefault="006346A7" w:rsidP="006346A7">
      <w:pPr>
        <w:spacing w:line="240" w:lineRule="auto"/>
        <w:ind w:firstLine="709"/>
        <w:contextualSpacing/>
        <w:jc w:val="both"/>
        <w:rPr>
          <w:rFonts w:ascii="Times New Roman" w:hAnsi="Times New Roman"/>
          <w:b/>
          <w:i/>
          <w:sz w:val="24"/>
        </w:rPr>
      </w:pPr>
      <w:r w:rsidRPr="00C61AA4">
        <w:rPr>
          <w:rFonts w:ascii="Times New Roman" w:hAnsi="Times New Roman"/>
          <w:b/>
          <w:bCs/>
          <w:i/>
          <w:iCs/>
          <w:sz w:val="24"/>
        </w:rPr>
        <w:t>Мероприятия для достижения  целевого индикатора:</w:t>
      </w:r>
    </w:p>
    <w:p w:rsidR="006346A7" w:rsidRPr="00C61AA4" w:rsidRDefault="006346A7" w:rsidP="006346A7">
      <w:pPr>
        <w:spacing w:line="240" w:lineRule="auto"/>
        <w:ind w:firstLine="709"/>
        <w:contextualSpacing/>
        <w:jc w:val="both"/>
        <w:rPr>
          <w:rFonts w:ascii="Times New Roman" w:hAnsi="Times New Roman"/>
          <w:i/>
          <w:sz w:val="24"/>
        </w:rPr>
      </w:pPr>
      <w:r w:rsidRPr="00C61AA4">
        <w:rPr>
          <w:rFonts w:ascii="Times New Roman" w:hAnsi="Times New Roman"/>
          <w:i/>
          <w:sz w:val="24"/>
        </w:rPr>
        <w:t xml:space="preserve">Установление базовой ставки </w:t>
      </w:r>
    </w:p>
    <w:p w:rsidR="006346A7" w:rsidRPr="00C61AA4" w:rsidRDefault="006346A7" w:rsidP="006138C3">
      <w:pPr>
        <w:spacing w:line="240" w:lineRule="auto"/>
        <w:ind w:firstLine="709"/>
        <w:contextualSpacing/>
        <w:jc w:val="both"/>
        <w:rPr>
          <w:rFonts w:ascii="Times New Roman" w:hAnsi="Times New Roman"/>
          <w:sz w:val="24"/>
        </w:rPr>
      </w:pPr>
      <w:r w:rsidRPr="00C61AA4">
        <w:rPr>
          <w:rFonts w:ascii="Times New Roman" w:hAnsi="Times New Roman"/>
          <w:sz w:val="24"/>
        </w:rPr>
        <w:t xml:space="preserve">Со 2 февраля 2016 года </w:t>
      </w:r>
      <w:r w:rsidR="00E20F8F" w:rsidRPr="00C61AA4">
        <w:rPr>
          <w:rFonts w:ascii="Times New Roman" w:hAnsi="Times New Roman"/>
          <w:sz w:val="24"/>
        </w:rPr>
        <w:t>НБРК</w:t>
      </w:r>
      <w:r w:rsidRPr="00C61AA4">
        <w:rPr>
          <w:rFonts w:ascii="Times New Roman" w:hAnsi="Times New Roman"/>
          <w:sz w:val="24"/>
        </w:rPr>
        <w:t xml:space="preserve"> возобновил практику установления базовой ставки и проведение ежедневных операций постоянного доступа для регулирования ликвидности</w:t>
      </w:r>
      <w:r w:rsidR="006138C3" w:rsidRPr="00C61AA4">
        <w:rPr>
          <w:rFonts w:ascii="Times New Roman" w:hAnsi="Times New Roman"/>
          <w:sz w:val="24"/>
        </w:rPr>
        <w:t xml:space="preserve"> </w:t>
      </w:r>
      <w:r w:rsidRPr="00C61AA4">
        <w:rPr>
          <w:rFonts w:ascii="Times New Roman" w:hAnsi="Times New Roman"/>
          <w:sz w:val="24"/>
        </w:rPr>
        <w:t xml:space="preserve">банковской системы, а также влияния на </w:t>
      </w:r>
      <w:proofErr w:type="spellStart"/>
      <w:r w:rsidRPr="00C61AA4">
        <w:rPr>
          <w:rFonts w:ascii="Times New Roman" w:hAnsi="Times New Roman"/>
          <w:sz w:val="24"/>
        </w:rPr>
        <w:t>таргетируемую</w:t>
      </w:r>
      <w:proofErr w:type="spellEnd"/>
      <w:r w:rsidRPr="00C61AA4">
        <w:rPr>
          <w:rFonts w:ascii="Times New Roman" w:hAnsi="Times New Roman"/>
          <w:sz w:val="24"/>
        </w:rPr>
        <w:t xml:space="preserve"> ставку. Установленная первоначально на высоком уровне базовая ставка (17%), а также операции по абсорбированию ликвидности на </w:t>
      </w:r>
      <w:r w:rsidRPr="00C61AA4">
        <w:rPr>
          <w:rFonts w:ascii="Times New Roman" w:hAnsi="Times New Roman"/>
          <w:sz w:val="24"/>
        </w:rPr>
        <w:lastRenderedPageBreak/>
        <w:t xml:space="preserve">денежном рынке в течение года, способствовали стабилизации валютного и денежного рынков. Постепенное восстановление доверия к тенге, снижение уровня </w:t>
      </w:r>
      <w:proofErr w:type="spellStart"/>
      <w:r w:rsidRPr="00C61AA4">
        <w:rPr>
          <w:rFonts w:ascii="Times New Roman" w:hAnsi="Times New Roman"/>
          <w:sz w:val="24"/>
        </w:rPr>
        <w:t>долларизации</w:t>
      </w:r>
      <w:proofErr w:type="spellEnd"/>
      <w:r w:rsidRPr="00C61AA4">
        <w:rPr>
          <w:rFonts w:ascii="Times New Roman" w:hAnsi="Times New Roman"/>
          <w:sz w:val="24"/>
        </w:rPr>
        <w:t>, а также стабилизация ситуации на валютном рынке вели к дальнейшему снижению инфляционных ожиданий и стабилизации инфляционных процессов в течение года. Это позволило Национальному Банку снижать базовую ставку четыре раза в течение 2016 года (до 12% с 15 ноября 2016 года).</w:t>
      </w:r>
    </w:p>
    <w:p w:rsidR="006346A7" w:rsidRPr="00C61AA4" w:rsidRDefault="006346A7" w:rsidP="006346A7">
      <w:pPr>
        <w:spacing w:line="240" w:lineRule="auto"/>
        <w:ind w:firstLine="709"/>
        <w:contextualSpacing/>
        <w:jc w:val="both"/>
        <w:rPr>
          <w:rFonts w:ascii="Times New Roman" w:hAnsi="Times New Roman"/>
          <w:i/>
          <w:sz w:val="24"/>
        </w:rPr>
      </w:pPr>
      <w:r w:rsidRPr="00C61AA4">
        <w:rPr>
          <w:rFonts w:ascii="Times New Roman" w:hAnsi="Times New Roman"/>
          <w:i/>
          <w:sz w:val="24"/>
        </w:rPr>
        <w:t>Применение минимальных резервных требований</w:t>
      </w:r>
    </w:p>
    <w:p w:rsidR="006346A7" w:rsidRPr="00C61AA4" w:rsidRDefault="006346A7" w:rsidP="006346A7">
      <w:pPr>
        <w:spacing w:line="240" w:lineRule="auto"/>
        <w:ind w:firstLine="709"/>
        <w:contextualSpacing/>
        <w:jc w:val="both"/>
        <w:rPr>
          <w:rFonts w:ascii="Times New Roman" w:hAnsi="Times New Roman"/>
          <w:sz w:val="24"/>
        </w:rPr>
      </w:pPr>
      <w:r w:rsidRPr="00C61AA4">
        <w:rPr>
          <w:rFonts w:ascii="Times New Roman" w:hAnsi="Times New Roman"/>
          <w:sz w:val="24"/>
        </w:rPr>
        <w:t xml:space="preserve">С целью снижения нагрузки на банки и высвобождения ликвидности Национальным Банком в январе 2016 года отменены ограничения в части использования наличной кассы банков в тенге при выполнении минимальных резервных требований.  </w:t>
      </w:r>
    </w:p>
    <w:p w:rsidR="006346A7" w:rsidRPr="00C61AA4" w:rsidRDefault="006346A7" w:rsidP="006346A7">
      <w:pPr>
        <w:spacing w:line="240" w:lineRule="auto"/>
        <w:ind w:firstLine="709"/>
        <w:contextualSpacing/>
        <w:jc w:val="both"/>
        <w:rPr>
          <w:rFonts w:ascii="Times New Roman" w:hAnsi="Times New Roman"/>
          <w:sz w:val="24"/>
        </w:rPr>
      </w:pPr>
      <w:r w:rsidRPr="00C61AA4">
        <w:rPr>
          <w:rFonts w:ascii="Times New Roman" w:hAnsi="Times New Roman"/>
          <w:sz w:val="24"/>
        </w:rPr>
        <w:t>С марта 2015 года для банков второго уровня действуют следующие нормативы минимальных резервных требований:</w:t>
      </w:r>
    </w:p>
    <w:p w:rsidR="006346A7" w:rsidRPr="00C61AA4" w:rsidRDefault="006346A7" w:rsidP="006346A7">
      <w:pPr>
        <w:spacing w:line="240" w:lineRule="auto"/>
        <w:ind w:firstLine="709"/>
        <w:contextualSpacing/>
        <w:jc w:val="both"/>
        <w:rPr>
          <w:rFonts w:ascii="Times New Roman" w:hAnsi="Times New Roman"/>
          <w:sz w:val="24"/>
        </w:rPr>
      </w:pPr>
      <w:r w:rsidRPr="00C61AA4">
        <w:rPr>
          <w:rFonts w:ascii="Times New Roman" w:hAnsi="Times New Roman"/>
          <w:sz w:val="24"/>
        </w:rPr>
        <w:t>1) для долгосрочных внутренних обязательств банка в национальной и  иностранной валюте 0,0%;</w:t>
      </w:r>
    </w:p>
    <w:p w:rsidR="006346A7" w:rsidRPr="00C61AA4" w:rsidRDefault="006346A7" w:rsidP="006346A7">
      <w:pPr>
        <w:spacing w:line="240" w:lineRule="auto"/>
        <w:ind w:firstLine="709"/>
        <w:contextualSpacing/>
        <w:jc w:val="both"/>
        <w:rPr>
          <w:rFonts w:ascii="Times New Roman" w:hAnsi="Times New Roman"/>
          <w:sz w:val="24"/>
        </w:rPr>
      </w:pPr>
      <w:r w:rsidRPr="00C61AA4">
        <w:rPr>
          <w:rFonts w:ascii="Times New Roman" w:hAnsi="Times New Roman"/>
          <w:sz w:val="24"/>
        </w:rPr>
        <w:t>2) для долгосрочных внешних обязательств банка в национальной и иностранной валюте 2,0%;</w:t>
      </w:r>
    </w:p>
    <w:p w:rsidR="006346A7" w:rsidRPr="00C61AA4" w:rsidRDefault="006346A7" w:rsidP="006346A7">
      <w:pPr>
        <w:spacing w:line="240" w:lineRule="auto"/>
        <w:ind w:firstLine="709"/>
        <w:contextualSpacing/>
        <w:jc w:val="both"/>
        <w:rPr>
          <w:rFonts w:ascii="Times New Roman" w:hAnsi="Times New Roman"/>
          <w:sz w:val="24"/>
        </w:rPr>
      </w:pPr>
      <w:r w:rsidRPr="00C61AA4">
        <w:rPr>
          <w:rFonts w:ascii="Times New Roman" w:hAnsi="Times New Roman"/>
          <w:sz w:val="24"/>
        </w:rPr>
        <w:t>3) для краткосрочных внутренних обязательств банка в национальной и иностранной валюте 2,0%;</w:t>
      </w:r>
    </w:p>
    <w:p w:rsidR="006346A7" w:rsidRPr="00C61AA4" w:rsidRDefault="006346A7" w:rsidP="006346A7">
      <w:pPr>
        <w:shd w:val="clear" w:color="auto" w:fill="FFFFFF"/>
        <w:spacing w:line="240" w:lineRule="auto"/>
        <w:ind w:firstLine="709"/>
        <w:contextualSpacing/>
        <w:jc w:val="both"/>
        <w:rPr>
          <w:rFonts w:ascii="Times New Roman" w:hAnsi="Times New Roman"/>
          <w:sz w:val="24"/>
        </w:rPr>
      </w:pPr>
      <w:r w:rsidRPr="00C61AA4">
        <w:rPr>
          <w:rFonts w:ascii="Times New Roman" w:hAnsi="Times New Roman"/>
          <w:sz w:val="24"/>
        </w:rPr>
        <w:t>4) для краткосрочных внешних обязательств банка в национальной валюте 4,0% и  в иностранной валюте 6,0%.</w:t>
      </w:r>
    </w:p>
    <w:p w:rsidR="006346A7" w:rsidRPr="00C61AA4" w:rsidRDefault="006346A7" w:rsidP="006346A7">
      <w:pPr>
        <w:shd w:val="clear" w:color="auto" w:fill="FFFFFF"/>
        <w:spacing w:line="240" w:lineRule="auto"/>
        <w:ind w:firstLine="709"/>
        <w:contextualSpacing/>
        <w:jc w:val="both"/>
        <w:rPr>
          <w:rFonts w:ascii="Times New Roman" w:hAnsi="Times New Roman"/>
          <w:b/>
          <w:i/>
          <w:sz w:val="24"/>
          <w:szCs w:val="24"/>
        </w:rPr>
      </w:pPr>
    </w:p>
    <w:p w:rsidR="006346A7" w:rsidRPr="00C61AA4" w:rsidRDefault="006346A7" w:rsidP="006346A7">
      <w:pPr>
        <w:shd w:val="clear" w:color="auto" w:fill="FFFFFF"/>
        <w:spacing w:line="240" w:lineRule="auto"/>
        <w:ind w:firstLine="709"/>
        <w:contextualSpacing/>
        <w:jc w:val="both"/>
        <w:rPr>
          <w:rFonts w:ascii="Times New Roman" w:hAnsi="Times New Roman"/>
          <w:sz w:val="24"/>
        </w:rPr>
      </w:pPr>
      <w:r w:rsidRPr="00C61AA4">
        <w:rPr>
          <w:rFonts w:ascii="Times New Roman" w:hAnsi="Times New Roman"/>
          <w:b/>
          <w:i/>
          <w:sz w:val="24"/>
          <w:szCs w:val="24"/>
        </w:rPr>
        <w:t>Цель 1.2. Обеспечение сохранности золотовалютных активов Национального Банка</w:t>
      </w:r>
    </w:p>
    <w:p w:rsidR="004C09F5" w:rsidRPr="00C61AA4" w:rsidRDefault="004C09F5" w:rsidP="006346A7">
      <w:pPr>
        <w:spacing w:line="240" w:lineRule="auto"/>
        <w:ind w:firstLine="709"/>
        <w:contextualSpacing/>
        <w:jc w:val="both"/>
        <w:rPr>
          <w:rFonts w:ascii="Times New Roman" w:hAnsi="Times New Roman"/>
          <w:b/>
          <w:i/>
          <w:sz w:val="24"/>
          <w:szCs w:val="24"/>
        </w:rPr>
      </w:pPr>
    </w:p>
    <w:p w:rsidR="006346A7" w:rsidRPr="00C61AA4" w:rsidRDefault="006346A7" w:rsidP="006346A7">
      <w:pPr>
        <w:spacing w:line="240" w:lineRule="auto"/>
        <w:ind w:firstLine="709"/>
        <w:contextualSpacing/>
        <w:jc w:val="both"/>
        <w:rPr>
          <w:rFonts w:ascii="Times New Roman" w:hAnsi="Times New Roman"/>
          <w:i/>
          <w:sz w:val="24"/>
          <w:szCs w:val="24"/>
        </w:rPr>
      </w:pPr>
      <w:r w:rsidRPr="00C61AA4">
        <w:rPr>
          <w:rFonts w:ascii="Times New Roman" w:hAnsi="Times New Roman"/>
          <w:b/>
          <w:i/>
          <w:sz w:val="24"/>
          <w:szCs w:val="24"/>
        </w:rPr>
        <w:t>Целевой индикатор:</w:t>
      </w:r>
      <w:r w:rsidRPr="00C61AA4">
        <w:rPr>
          <w:rFonts w:ascii="Times New Roman" w:hAnsi="Times New Roman"/>
          <w:i/>
          <w:sz w:val="24"/>
          <w:szCs w:val="24"/>
        </w:rPr>
        <w:t xml:space="preserve"> </w:t>
      </w:r>
      <w:r w:rsidRPr="00C61AA4">
        <w:rPr>
          <w:rFonts w:ascii="Times New Roman" w:hAnsi="Times New Roman"/>
          <w:b/>
          <w:i/>
          <w:sz w:val="24"/>
          <w:szCs w:val="24"/>
          <w:lang w:val="kk-KZ"/>
        </w:rPr>
        <w:t>Объем золотовалютных резервов Национального Банка</w:t>
      </w:r>
      <w:r w:rsidRPr="00C61AA4">
        <w:rPr>
          <w:rFonts w:ascii="Times New Roman" w:hAnsi="Times New Roman"/>
          <w:b/>
          <w:i/>
          <w:sz w:val="24"/>
          <w:szCs w:val="24"/>
        </w:rPr>
        <w:t xml:space="preserve"> </w:t>
      </w:r>
      <w:r w:rsidRPr="00C61AA4">
        <w:rPr>
          <w:rFonts w:ascii="Times New Roman" w:hAnsi="Times New Roman"/>
          <w:i/>
          <w:sz w:val="24"/>
          <w:szCs w:val="24"/>
        </w:rPr>
        <w:t>(покрытие объема трех месяцев импорта товаров и услуг («1» покрывает, «0» не покрывает).</w:t>
      </w:r>
    </w:p>
    <w:p w:rsidR="006346A7" w:rsidRPr="00C61AA4" w:rsidRDefault="006346A7" w:rsidP="006346A7">
      <w:pPr>
        <w:suppressAutoHyphens/>
        <w:spacing w:line="240" w:lineRule="auto"/>
        <w:ind w:firstLine="709"/>
        <w:contextualSpacing/>
        <w:jc w:val="both"/>
        <w:rPr>
          <w:rFonts w:ascii="Times New Roman" w:hAnsi="Times New Roman"/>
          <w:sz w:val="24"/>
          <w:szCs w:val="28"/>
          <w:lang w:val="kk-KZ" w:eastAsia="ru-RU"/>
        </w:rPr>
      </w:pPr>
      <w:r w:rsidRPr="00C61AA4">
        <w:rPr>
          <w:rFonts w:ascii="Times New Roman" w:hAnsi="Times New Roman"/>
          <w:sz w:val="24"/>
          <w:szCs w:val="28"/>
          <w:lang w:eastAsia="ru-RU"/>
        </w:rPr>
        <w:t>По состоянию на</w:t>
      </w:r>
      <w:r w:rsidRPr="00C61AA4">
        <w:rPr>
          <w:rFonts w:ascii="Times New Roman" w:hAnsi="Times New Roman"/>
          <w:sz w:val="24"/>
          <w:szCs w:val="28"/>
          <w:lang w:val="kk-KZ" w:eastAsia="ru-RU"/>
        </w:rPr>
        <w:t xml:space="preserve"> 30 </w:t>
      </w:r>
      <w:r w:rsidRPr="00C61AA4">
        <w:rPr>
          <w:rFonts w:ascii="Times New Roman" w:hAnsi="Times New Roman"/>
          <w:sz w:val="24"/>
          <w:szCs w:val="28"/>
          <w:lang w:eastAsia="ru-RU"/>
        </w:rPr>
        <w:t>сентября</w:t>
      </w:r>
      <w:r w:rsidRPr="00C61AA4">
        <w:rPr>
          <w:rFonts w:ascii="Times New Roman" w:hAnsi="Times New Roman"/>
          <w:sz w:val="24"/>
          <w:szCs w:val="28"/>
          <w:lang w:val="kk-KZ" w:eastAsia="ru-RU"/>
        </w:rPr>
        <w:t xml:space="preserve"> 2016 </w:t>
      </w:r>
      <w:r w:rsidRPr="00C61AA4">
        <w:rPr>
          <w:rFonts w:ascii="Times New Roman" w:hAnsi="Times New Roman"/>
          <w:sz w:val="24"/>
          <w:szCs w:val="28"/>
          <w:lang w:eastAsia="ru-RU"/>
        </w:rPr>
        <w:t>года</w:t>
      </w:r>
      <w:r w:rsidRPr="00C61AA4">
        <w:rPr>
          <w:rFonts w:ascii="Times New Roman" w:hAnsi="Times New Roman"/>
          <w:sz w:val="24"/>
          <w:szCs w:val="28"/>
          <w:lang w:val="kk-KZ" w:eastAsia="ru-RU"/>
        </w:rPr>
        <w:t xml:space="preserve"> </w:t>
      </w:r>
      <w:r w:rsidRPr="00C61AA4">
        <w:rPr>
          <w:rFonts w:ascii="Times New Roman" w:hAnsi="Times New Roman"/>
          <w:sz w:val="24"/>
          <w:szCs w:val="28"/>
          <w:lang w:eastAsia="ru-RU"/>
        </w:rPr>
        <w:t xml:space="preserve">международные резервы </w:t>
      </w:r>
      <w:r w:rsidRPr="00C61AA4">
        <w:rPr>
          <w:rFonts w:ascii="Times New Roman" w:hAnsi="Times New Roman"/>
          <w:sz w:val="24"/>
          <w:szCs w:val="28"/>
          <w:lang w:val="kk-KZ" w:eastAsia="ru-RU"/>
        </w:rPr>
        <w:t xml:space="preserve">(без </w:t>
      </w:r>
      <w:r w:rsidRPr="00C61AA4">
        <w:rPr>
          <w:rFonts w:ascii="Times New Roman" w:hAnsi="Times New Roman"/>
          <w:sz w:val="24"/>
          <w:szCs w:val="28"/>
          <w:lang w:eastAsia="ru-RU"/>
        </w:rPr>
        <w:t>учета активов Национального</w:t>
      </w:r>
      <w:r w:rsidRPr="00C61AA4">
        <w:rPr>
          <w:rFonts w:ascii="Times New Roman" w:hAnsi="Times New Roman"/>
          <w:sz w:val="24"/>
          <w:szCs w:val="28"/>
          <w:lang w:val="kk-KZ" w:eastAsia="ru-RU"/>
        </w:rPr>
        <w:t xml:space="preserve"> Фонда) </w:t>
      </w:r>
      <w:r w:rsidRPr="00C61AA4">
        <w:rPr>
          <w:rFonts w:ascii="Times New Roman" w:hAnsi="Times New Roman"/>
          <w:sz w:val="24"/>
          <w:szCs w:val="28"/>
          <w:lang w:eastAsia="ru-RU"/>
        </w:rPr>
        <w:t>оценивались</w:t>
      </w:r>
      <w:r w:rsidRPr="00C61AA4">
        <w:rPr>
          <w:rFonts w:ascii="Times New Roman" w:hAnsi="Times New Roman"/>
          <w:sz w:val="24"/>
          <w:szCs w:val="28"/>
          <w:lang w:val="kk-KZ" w:eastAsia="ru-RU"/>
        </w:rPr>
        <w:t xml:space="preserve"> в 31,2 млрд. </w:t>
      </w:r>
      <w:proofErr w:type="spellStart"/>
      <w:r w:rsidRPr="00C61AA4">
        <w:rPr>
          <w:rFonts w:ascii="Times New Roman" w:hAnsi="Times New Roman"/>
          <w:sz w:val="24"/>
          <w:szCs w:val="28"/>
          <w:lang w:eastAsia="ru-RU"/>
        </w:rPr>
        <w:t>долл</w:t>
      </w:r>
      <w:proofErr w:type="spellEnd"/>
      <w:r w:rsidRPr="00C61AA4">
        <w:rPr>
          <w:rFonts w:ascii="Times New Roman" w:hAnsi="Times New Roman"/>
          <w:sz w:val="24"/>
          <w:szCs w:val="28"/>
          <w:lang w:val="kk-KZ" w:eastAsia="ru-RU"/>
        </w:rPr>
        <w:t xml:space="preserve">. (27,9 млрд. долл. </w:t>
      </w:r>
      <w:proofErr w:type="gramStart"/>
      <w:r w:rsidRPr="00C61AA4">
        <w:rPr>
          <w:rFonts w:ascii="Times New Roman" w:hAnsi="Times New Roman"/>
          <w:sz w:val="24"/>
          <w:szCs w:val="28"/>
          <w:lang w:eastAsia="ru-RU"/>
        </w:rPr>
        <w:t>на конец</w:t>
      </w:r>
      <w:proofErr w:type="gramEnd"/>
      <w:r w:rsidRPr="00C61AA4">
        <w:rPr>
          <w:rFonts w:ascii="Times New Roman" w:hAnsi="Times New Roman"/>
          <w:sz w:val="24"/>
          <w:szCs w:val="28"/>
          <w:lang w:eastAsia="ru-RU"/>
        </w:rPr>
        <w:t xml:space="preserve"> </w:t>
      </w:r>
      <w:r w:rsidRPr="00C61AA4">
        <w:rPr>
          <w:rFonts w:ascii="Times New Roman" w:hAnsi="Times New Roman"/>
          <w:sz w:val="24"/>
          <w:szCs w:val="28"/>
          <w:lang w:val="kk-KZ" w:eastAsia="ru-RU"/>
        </w:rPr>
        <w:t xml:space="preserve">2015 </w:t>
      </w:r>
      <w:r w:rsidRPr="00C61AA4">
        <w:rPr>
          <w:rFonts w:ascii="Times New Roman" w:hAnsi="Times New Roman"/>
          <w:sz w:val="24"/>
          <w:szCs w:val="28"/>
          <w:lang w:eastAsia="ru-RU"/>
        </w:rPr>
        <w:t>года</w:t>
      </w:r>
      <w:r w:rsidRPr="00C61AA4">
        <w:rPr>
          <w:rFonts w:ascii="Times New Roman" w:hAnsi="Times New Roman"/>
          <w:sz w:val="24"/>
          <w:szCs w:val="28"/>
          <w:lang w:val="kk-KZ" w:eastAsia="ru-RU"/>
        </w:rPr>
        <w:t xml:space="preserve">), </w:t>
      </w:r>
      <w:r w:rsidRPr="00C61AA4">
        <w:rPr>
          <w:rFonts w:ascii="Times New Roman" w:hAnsi="Times New Roman"/>
          <w:sz w:val="24"/>
          <w:szCs w:val="28"/>
          <w:lang w:eastAsia="ru-RU"/>
        </w:rPr>
        <w:t>что</w:t>
      </w:r>
      <w:r w:rsidRPr="00C61AA4">
        <w:rPr>
          <w:rFonts w:ascii="Times New Roman" w:hAnsi="Times New Roman"/>
          <w:sz w:val="24"/>
          <w:szCs w:val="28"/>
          <w:lang w:val="kk-KZ" w:eastAsia="ru-RU"/>
        </w:rPr>
        <w:t xml:space="preserve"> </w:t>
      </w:r>
      <w:r w:rsidRPr="00C61AA4">
        <w:rPr>
          <w:rFonts w:ascii="Times New Roman" w:hAnsi="Times New Roman"/>
          <w:sz w:val="24"/>
          <w:szCs w:val="28"/>
          <w:lang w:eastAsia="ru-RU"/>
        </w:rPr>
        <w:t>обеспечивало</w:t>
      </w:r>
      <w:r w:rsidRPr="00C61AA4">
        <w:rPr>
          <w:rFonts w:ascii="Times New Roman" w:hAnsi="Times New Roman"/>
          <w:sz w:val="24"/>
          <w:szCs w:val="28"/>
          <w:lang w:val="kk-KZ" w:eastAsia="ru-RU"/>
        </w:rPr>
        <w:t xml:space="preserve"> </w:t>
      </w:r>
      <w:r w:rsidRPr="00C61AA4">
        <w:rPr>
          <w:rFonts w:ascii="Times New Roman" w:hAnsi="Times New Roman"/>
          <w:sz w:val="24"/>
          <w:szCs w:val="28"/>
          <w:lang w:eastAsia="ru-RU"/>
        </w:rPr>
        <w:t>финансирование</w:t>
      </w:r>
      <w:r w:rsidRPr="00C61AA4">
        <w:rPr>
          <w:rFonts w:ascii="Times New Roman" w:hAnsi="Times New Roman"/>
          <w:sz w:val="24"/>
          <w:szCs w:val="28"/>
          <w:lang w:val="kk-KZ" w:eastAsia="ru-RU"/>
        </w:rPr>
        <w:t xml:space="preserve"> 9,7 </w:t>
      </w:r>
      <w:r w:rsidRPr="00C61AA4">
        <w:rPr>
          <w:rFonts w:ascii="Times New Roman" w:hAnsi="Times New Roman"/>
          <w:sz w:val="24"/>
          <w:szCs w:val="28"/>
          <w:lang w:eastAsia="ru-RU"/>
        </w:rPr>
        <w:t>месяцев казахстанского импорта товаров</w:t>
      </w:r>
      <w:r w:rsidRPr="00C61AA4">
        <w:rPr>
          <w:rFonts w:ascii="Times New Roman" w:hAnsi="Times New Roman"/>
          <w:sz w:val="24"/>
          <w:szCs w:val="28"/>
          <w:lang w:val="kk-KZ" w:eastAsia="ru-RU"/>
        </w:rPr>
        <w:t xml:space="preserve"> и </w:t>
      </w:r>
      <w:r w:rsidRPr="00C61AA4">
        <w:rPr>
          <w:rFonts w:ascii="Times New Roman" w:hAnsi="Times New Roman"/>
          <w:sz w:val="24"/>
          <w:szCs w:val="28"/>
          <w:lang w:eastAsia="ru-RU"/>
        </w:rPr>
        <w:t>услуг</w:t>
      </w:r>
      <w:r w:rsidRPr="00C61AA4">
        <w:rPr>
          <w:rFonts w:ascii="Times New Roman" w:hAnsi="Times New Roman"/>
          <w:sz w:val="24"/>
          <w:szCs w:val="28"/>
          <w:lang w:val="kk-KZ" w:eastAsia="ru-RU"/>
        </w:rPr>
        <w:t>.</w:t>
      </w:r>
    </w:p>
    <w:p w:rsidR="006346A7" w:rsidRPr="00C61AA4" w:rsidRDefault="006346A7" w:rsidP="006346A7">
      <w:pPr>
        <w:spacing w:line="240" w:lineRule="auto"/>
        <w:ind w:firstLine="709"/>
        <w:contextualSpacing/>
        <w:jc w:val="both"/>
        <w:rPr>
          <w:rFonts w:ascii="Times New Roman" w:hAnsi="Times New Roman"/>
          <w:i/>
          <w:sz w:val="24"/>
          <w:szCs w:val="24"/>
        </w:rPr>
      </w:pPr>
      <w:r w:rsidRPr="00C61AA4">
        <w:rPr>
          <w:rFonts w:ascii="Times New Roman" w:hAnsi="Times New Roman"/>
          <w:b/>
          <w:i/>
          <w:sz w:val="24"/>
          <w:szCs w:val="24"/>
        </w:rPr>
        <w:t>Мероприятия для достижения целевого индикатора:</w:t>
      </w:r>
    </w:p>
    <w:p w:rsidR="006346A7" w:rsidRPr="00C61AA4" w:rsidRDefault="006346A7" w:rsidP="006346A7">
      <w:pPr>
        <w:autoSpaceDE w:val="0"/>
        <w:autoSpaceDN w:val="0"/>
        <w:adjustRightInd w:val="0"/>
        <w:spacing w:line="240" w:lineRule="auto"/>
        <w:ind w:firstLine="709"/>
        <w:contextualSpacing/>
        <w:jc w:val="both"/>
        <w:rPr>
          <w:rFonts w:ascii="Times New Roman" w:hAnsi="Times New Roman"/>
          <w:color w:val="000000"/>
          <w:sz w:val="24"/>
          <w:szCs w:val="24"/>
          <w:lang w:eastAsia="ru-RU"/>
        </w:rPr>
      </w:pPr>
      <w:r w:rsidRPr="00C61AA4">
        <w:rPr>
          <w:rFonts w:ascii="Times New Roman" w:hAnsi="Times New Roman"/>
          <w:i/>
          <w:iCs/>
          <w:sz w:val="24"/>
          <w:szCs w:val="24"/>
        </w:rPr>
        <w:t xml:space="preserve">Расчет объема портфеля ликвидности к объему платежей по обслуживанию внешнего государственного долга </w:t>
      </w:r>
      <w:proofErr w:type="gramStart"/>
      <w:r w:rsidRPr="00C61AA4">
        <w:rPr>
          <w:rFonts w:ascii="Times New Roman" w:hAnsi="Times New Roman"/>
          <w:i/>
          <w:iCs/>
          <w:sz w:val="24"/>
          <w:szCs w:val="24"/>
        </w:rPr>
        <w:t>на</w:t>
      </w:r>
      <w:proofErr w:type="gramEnd"/>
      <w:r w:rsidRPr="00C61AA4">
        <w:rPr>
          <w:rFonts w:ascii="Times New Roman" w:hAnsi="Times New Roman"/>
          <w:i/>
          <w:iCs/>
          <w:sz w:val="24"/>
          <w:szCs w:val="24"/>
        </w:rPr>
        <w:t xml:space="preserve"> предстоящие 6 месяцев.</w:t>
      </w:r>
    </w:p>
    <w:p w:rsidR="006346A7" w:rsidRPr="00C61AA4" w:rsidRDefault="006346A7" w:rsidP="006346A7">
      <w:pPr>
        <w:spacing w:line="240" w:lineRule="auto"/>
        <w:ind w:firstLine="709"/>
        <w:contextualSpacing/>
        <w:jc w:val="both"/>
        <w:rPr>
          <w:rFonts w:ascii="Times New Roman" w:hAnsi="Times New Roman"/>
          <w:sz w:val="24"/>
          <w:szCs w:val="24"/>
        </w:rPr>
      </w:pPr>
      <w:r w:rsidRPr="00C61AA4">
        <w:rPr>
          <w:rFonts w:ascii="Times New Roman" w:hAnsi="Times New Roman"/>
          <w:iCs/>
          <w:sz w:val="24"/>
          <w:szCs w:val="24"/>
        </w:rPr>
        <w:t xml:space="preserve">Объем портфеля ликвидности к объему платежей по обслуживанию внешнего государственного долга </w:t>
      </w:r>
      <w:proofErr w:type="gramStart"/>
      <w:r w:rsidRPr="00C61AA4">
        <w:rPr>
          <w:rFonts w:ascii="Times New Roman" w:hAnsi="Times New Roman"/>
          <w:iCs/>
          <w:sz w:val="24"/>
          <w:szCs w:val="24"/>
        </w:rPr>
        <w:t>на</w:t>
      </w:r>
      <w:proofErr w:type="gramEnd"/>
      <w:r w:rsidRPr="00C61AA4">
        <w:rPr>
          <w:rFonts w:ascii="Times New Roman" w:hAnsi="Times New Roman"/>
          <w:iCs/>
          <w:sz w:val="24"/>
          <w:szCs w:val="24"/>
        </w:rPr>
        <w:t xml:space="preserve"> предстоящие 6 месяцев на 31 декабря 2016 года по предварительным данным составил 24,66 </w:t>
      </w:r>
      <w:r w:rsidRPr="00C61AA4">
        <w:rPr>
          <w:rFonts w:ascii="Times New Roman" w:hAnsi="Times New Roman"/>
          <w:sz w:val="24"/>
          <w:szCs w:val="24"/>
        </w:rPr>
        <w:t>при целевом показателе не менее 1.</w:t>
      </w:r>
    </w:p>
    <w:p w:rsidR="006346A7" w:rsidRPr="00C61AA4" w:rsidRDefault="006346A7" w:rsidP="006346A7">
      <w:pPr>
        <w:spacing w:line="240" w:lineRule="auto"/>
        <w:ind w:firstLine="709"/>
        <w:contextualSpacing/>
        <w:jc w:val="both"/>
        <w:rPr>
          <w:rFonts w:ascii="Times New Roman" w:hAnsi="Times New Roman"/>
          <w:iCs/>
          <w:sz w:val="24"/>
          <w:szCs w:val="24"/>
        </w:rPr>
      </w:pPr>
      <w:r w:rsidRPr="00C61AA4">
        <w:rPr>
          <w:rFonts w:ascii="Times New Roman" w:hAnsi="Times New Roman"/>
          <w:i/>
          <w:iCs/>
          <w:sz w:val="24"/>
          <w:szCs w:val="24"/>
        </w:rPr>
        <w:t>Совершение операций с активами для поддержания на должном уровне объема портфеля ликвидности</w:t>
      </w:r>
    </w:p>
    <w:p w:rsidR="006346A7" w:rsidRPr="00C61AA4" w:rsidRDefault="006346A7" w:rsidP="00E9059E">
      <w:pPr>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Портфель ликвидности предназначен для проведения операций в целях реализации денежно-кредитной политики, поддержания высокого уровня ликвидности, удовлетворения краткосрочного спроса на валюту и обслуживанию внешнего государственного долга. В течение отчетного периода Национальный Банк проводил операци</w:t>
      </w:r>
      <w:r w:rsidR="00390096" w:rsidRPr="00C61AA4">
        <w:rPr>
          <w:rFonts w:ascii="Times New Roman" w:hAnsi="Times New Roman"/>
          <w:sz w:val="24"/>
          <w:szCs w:val="24"/>
        </w:rPr>
        <w:t>и</w:t>
      </w:r>
      <w:r w:rsidR="00E9059E" w:rsidRPr="00C61AA4">
        <w:rPr>
          <w:rFonts w:ascii="Times New Roman" w:hAnsi="Times New Roman"/>
          <w:sz w:val="24"/>
          <w:szCs w:val="24"/>
        </w:rPr>
        <w:t xml:space="preserve"> для обеспечения достаточности </w:t>
      </w:r>
      <w:r w:rsidRPr="00C61AA4">
        <w:rPr>
          <w:rFonts w:ascii="Times New Roman" w:hAnsi="Times New Roman"/>
          <w:sz w:val="24"/>
          <w:szCs w:val="24"/>
        </w:rPr>
        <w:t>средств портфеля ликвидности, в том числе для поддержания на должном уровне объема портфеля ликвидности.</w:t>
      </w:r>
    </w:p>
    <w:p w:rsidR="006346A7" w:rsidRPr="00C61AA4" w:rsidRDefault="006346A7" w:rsidP="006346A7">
      <w:pPr>
        <w:spacing w:line="240" w:lineRule="auto"/>
        <w:ind w:firstLine="709"/>
        <w:contextualSpacing/>
        <w:jc w:val="both"/>
        <w:rPr>
          <w:rFonts w:ascii="Times New Roman" w:hAnsi="Times New Roman"/>
          <w:sz w:val="24"/>
          <w:szCs w:val="24"/>
        </w:rPr>
      </w:pPr>
      <w:r w:rsidRPr="00C61AA4">
        <w:rPr>
          <w:rFonts w:ascii="Times New Roman" w:hAnsi="Times New Roman"/>
          <w:i/>
          <w:sz w:val="24"/>
          <w:szCs w:val="24"/>
        </w:rPr>
        <w:t>Совершение операций с активами для поддержания уровня межд</w:t>
      </w:r>
      <w:r w:rsidR="00456328" w:rsidRPr="00C61AA4">
        <w:rPr>
          <w:rFonts w:ascii="Times New Roman" w:hAnsi="Times New Roman"/>
          <w:i/>
          <w:sz w:val="24"/>
          <w:szCs w:val="24"/>
        </w:rPr>
        <w:t>ународных резервов к объему кра</w:t>
      </w:r>
      <w:r w:rsidRPr="00C61AA4">
        <w:rPr>
          <w:rFonts w:ascii="Times New Roman" w:hAnsi="Times New Roman"/>
          <w:i/>
          <w:sz w:val="24"/>
          <w:szCs w:val="24"/>
        </w:rPr>
        <w:t>ткосрочного (до 1 года) внешнего долга</w:t>
      </w:r>
    </w:p>
    <w:p w:rsidR="006346A7" w:rsidRPr="00C61AA4" w:rsidRDefault="006346A7" w:rsidP="006346A7">
      <w:pPr>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 xml:space="preserve">По состоянию на 30 сентября 2016 года отношение резервных активов </w:t>
      </w:r>
      <w:r w:rsidR="00E20F8F" w:rsidRPr="00C61AA4">
        <w:rPr>
          <w:rFonts w:ascii="Times New Roman" w:hAnsi="Times New Roman"/>
          <w:sz w:val="24"/>
          <w:szCs w:val="24"/>
        </w:rPr>
        <w:t>НБ</w:t>
      </w:r>
      <w:r w:rsidRPr="00C61AA4">
        <w:rPr>
          <w:rFonts w:ascii="Times New Roman" w:hAnsi="Times New Roman"/>
          <w:sz w:val="24"/>
          <w:szCs w:val="24"/>
        </w:rPr>
        <w:t xml:space="preserve">РК к краткосрочному внешнему долгу по сроку, оставшемуся до погашения, составило 128,8%. Данный показатель является основным индикатором подверженности риску ликвидности, то есть простым </w:t>
      </w:r>
      <w:proofErr w:type="gramStart"/>
      <w:r w:rsidRPr="00C61AA4">
        <w:rPr>
          <w:rFonts w:ascii="Times New Roman" w:hAnsi="Times New Roman"/>
          <w:sz w:val="24"/>
          <w:szCs w:val="24"/>
        </w:rPr>
        <w:t>стресс-тестом</w:t>
      </w:r>
      <w:proofErr w:type="gramEnd"/>
      <w:r w:rsidRPr="00C61AA4">
        <w:rPr>
          <w:rFonts w:ascii="Times New Roman" w:hAnsi="Times New Roman"/>
          <w:sz w:val="24"/>
          <w:szCs w:val="24"/>
        </w:rPr>
        <w:t xml:space="preserve"> на устойчивость долговой нагрузки в краткосрочной перспективе. Превышение показателя в 100% означает, что при наступлении кризисной ситуации страна способна обслуживать свои долговые обязательства, по крайней мере, в течение одного года. Данный показатель рассчитывается ежеквартально и публикуется на 110 день после отчетного периода.</w:t>
      </w:r>
    </w:p>
    <w:p w:rsidR="006346A7" w:rsidRPr="00C61AA4" w:rsidRDefault="006346A7" w:rsidP="006346A7">
      <w:pPr>
        <w:spacing w:line="240" w:lineRule="auto"/>
        <w:ind w:firstLine="709"/>
        <w:contextualSpacing/>
        <w:jc w:val="both"/>
        <w:rPr>
          <w:rFonts w:ascii="Times New Roman" w:hAnsi="Times New Roman"/>
          <w:sz w:val="24"/>
          <w:szCs w:val="24"/>
        </w:rPr>
      </w:pPr>
      <w:r w:rsidRPr="00C61AA4">
        <w:rPr>
          <w:rFonts w:ascii="Times New Roman" w:hAnsi="Times New Roman"/>
          <w:i/>
          <w:sz w:val="24"/>
          <w:szCs w:val="24"/>
        </w:rPr>
        <w:t>Осуществление доверительного управления активами Национального фонда Республики Казахстан</w:t>
      </w:r>
    </w:p>
    <w:p w:rsidR="006346A7" w:rsidRPr="00C61AA4" w:rsidRDefault="00E20F8F" w:rsidP="006346A7">
      <w:pPr>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lastRenderedPageBreak/>
        <w:t xml:space="preserve">НБРК </w:t>
      </w:r>
      <w:r w:rsidR="006346A7" w:rsidRPr="00C61AA4">
        <w:rPr>
          <w:rFonts w:ascii="Times New Roman" w:hAnsi="Times New Roman"/>
          <w:sz w:val="24"/>
          <w:szCs w:val="24"/>
        </w:rPr>
        <w:t>в отчетном периоде осуществлял доверительное управление активами Национального фонда Республики Казахстан. Активы Национального фонда инвестированы в долговые ценные бумаги развитых рынков, долевые ценные бумаги развитых рынков, высоколиквидные финансовые инструменты.</w:t>
      </w:r>
    </w:p>
    <w:p w:rsidR="006346A7" w:rsidRPr="00C61AA4" w:rsidRDefault="006346A7" w:rsidP="006346A7">
      <w:pPr>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По состоянию на 31 декабря 2016 года активы Национального фонда по предварительным данным составили 61,</w:t>
      </w:r>
      <w:r w:rsidR="00390096" w:rsidRPr="00C61AA4">
        <w:rPr>
          <w:rFonts w:ascii="Times New Roman" w:hAnsi="Times New Roman"/>
          <w:sz w:val="24"/>
          <w:szCs w:val="24"/>
        </w:rPr>
        <w:t>2</w:t>
      </w:r>
      <w:r w:rsidRPr="00C61AA4">
        <w:rPr>
          <w:rFonts w:ascii="Times New Roman" w:hAnsi="Times New Roman"/>
          <w:sz w:val="24"/>
          <w:szCs w:val="24"/>
        </w:rPr>
        <w:t xml:space="preserve"> млрд. долларов США. По предварительным данным, общая доходность активов Национального фонда составила 0,84%.</w:t>
      </w:r>
    </w:p>
    <w:p w:rsidR="006346A7" w:rsidRPr="00C61AA4" w:rsidRDefault="006346A7" w:rsidP="006346A7">
      <w:pPr>
        <w:autoSpaceDE w:val="0"/>
        <w:autoSpaceDN w:val="0"/>
        <w:adjustRightInd w:val="0"/>
        <w:spacing w:line="240" w:lineRule="auto"/>
        <w:ind w:firstLine="709"/>
        <w:contextualSpacing/>
        <w:jc w:val="both"/>
        <w:rPr>
          <w:rFonts w:ascii="Times New Roman" w:eastAsia="SimSun" w:hAnsi="Times New Roman"/>
          <w:sz w:val="24"/>
          <w:szCs w:val="24"/>
          <w:lang w:eastAsia="ru-RU"/>
        </w:rPr>
      </w:pPr>
    </w:p>
    <w:p w:rsidR="006346A7" w:rsidRPr="00C61AA4" w:rsidRDefault="006346A7" w:rsidP="006346A7">
      <w:pPr>
        <w:spacing w:line="240" w:lineRule="auto"/>
        <w:ind w:firstLine="709"/>
        <w:contextualSpacing/>
        <w:jc w:val="both"/>
        <w:rPr>
          <w:rFonts w:ascii="Times New Roman" w:hAnsi="Times New Roman"/>
          <w:b/>
          <w:sz w:val="24"/>
          <w:szCs w:val="24"/>
          <w:u w:val="single"/>
        </w:rPr>
      </w:pPr>
      <w:r w:rsidRPr="00C61AA4">
        <w:rPr>
          <w:rFonts w:ascii="Times New Roman" w:hAnsi="Times New Roman"/>
          <w:b/>
          <w:sz w:val="24"/>
          <w:szCs w:val="24"/>
          <w:u w:val="single"/>
        </w:rPr>
        <w:t>Стратегическое направление 2.</w:t>
      </w:r>
    </w:p>
    <w:p w:rsidR="006346A7" w:rsidRPr="00C61AA4" w:rsidRDefault="006346A7" w:rsidP="006346A7">
      <w:pPr>
        <w:spacing w:line="240" w:lineRule="auto"/>
        <w:ind w:firstLine="709"/>
        <w:contextualSpacing/>
        <w:jc w:val="both"/>
        <w:rPr>
          <w:rFonts w:ascii="Times New Roman" w:hAnsi="Times New Roman"/>
          <w:b/>
          <w:sz w:val="24"/>
          <w:szCs w:val="24"/>
          <w:u w:val="single"/>
        </w:rPr>
      </w:pPr>
      <w:r w:rsidRPr="00C61AA4">
        <w:rPr>
          <w:rFonts w:ascii="Times New Roman" w:hAnsi="Times New Roman"/>
          <w:b/>
          <w:sz w:val="24"/>
          <w:szCs w:val="24"/>
          <w:u w:val="single"/>
        </w:rPr>
        <w:t>Обеспечение финансовой стабильности</w:t>
      </w:r>
    </w:p>
    <w:p w:rsidR="006346A7" w:rsidRPr="00C61AA4" w:rsidRDefault="006346A7" w:rsidP="006346A7">
      <w:pPr>
        <w:spacing w:line="240" w:lineRule="auto"/>
        <w:ind w:firstLine="709"/>
        <w:contextualSpacing/>
        <w:jc w:val="both"/>
        <w:rPr>
          <w:rFonts w:ascii="Times New Roman" w:hAnsi="Times New Roman"/>
          <w:b/>
          <w:i/>
          <w:color w:val="000000"/>
          <w:sz w:val="24"/>
          <w:szCs w:val="24"/>
        </w:rPr>
      </w:pPr>
    </w:p>
    <w:p w:rsidR="006346A7" w:rsidRPr="00C61AA4" w:rsidRDefault="006346A7" w:rsidP="006346A7">
      <w:pPr>
        <w:spacing w:line="240" w:lineRule="auto"/>
        <w:ind w:firstLine="709"/>
        <w:contextualSpacing/>
        <w:jc w:val="both"/>
        <w:rPr>
          <w:rFonts w:ascii="Times New Roman" w:hAnsi="Times New Roman"/>
          <w:i/>
          <w:color w:val="000000"/>
          <w:sz w:val="24"/>
          <w:szCs w:val="24"/>
        </w:rPr>
      </w:pPr>
      <w:r w:rsidRPr="00C61AA4">
        <w:rPr>
          <w:rFonts w:ascii="Times New Roman" w:hAnsi="Times New Roman"/>
          <w:b/>
          <w:i/>
          <w:color w:val="000000"/>
          <w:sz w:val="24"/>
          <w:szCs w:val="24"/>
        </w:rPr>
        <w:t>Цель 2.1.</w:t>
      </w:r>
      <w:r w:rsidRPr="00C61AA4">
        <w:rPr>
          <w:rFonts w:ascii="Times New Roman" w:hAnsi="Times New Roman"/>
          <w:i/>
          <w:color w:val="000000"/>
          <w:sz w:val="24"/>
          <w:szCs w:val="24"/>
        </w:rPr>
        <w:t xml:space="preserve"> </w:t>
      </w:r>
      <w:r w:rsidRPr="00C61AA4">
        <w:rPr>
          <w:rFonts w:ascii="Times New Roman" w:hAnsi="Times New Roman"/>
          <w:b/>
          <w:i/>
          <w:color w:val="000000"/>
          <w:sz w:val="24"/>
          <w:szCs w:val="24"/>
        </w:rPr>
        <w:t>Повышение финансовой устойчивости и конкурентоспособности банковского сектора</w:t>
      </w:r>
    </w:p>
    <w:p w:rsidR="004C09F5" w:rsidRPr="00C61AA4" w:rsidRDefault="004C09F5" w:rsidP="006346A7">
      <w:pPr>
        <w:spacing w:line="240" w:lineRule="auto"/>
        <w:ind w:firstLine="709"/>
        <w:contextualSpacing/>
        <w:jc w:val="both"/>
        <w:rPr>
          <w:rFonts w:ascii="Times New Roman" w:hAnsi="Times New Roman"/>
          <w:b/>
          <w:i/>
          <w:sz w:val="24"/>
          <w:szCs w:val="24"/>
        </w:rPr>
      </w:pPr>
    </w:p>
    <w:p w:rsidR="006346A7" w:rsidRPr="00C61AA4" w:rsidRDefault="006346A7" w:rsidP="006346A7">
      <w:pPr>
        <w:spacing w:line="240" w:lineRule="auto"/>
        <w:ind w:firstLine="709"/>
        <w:contextualSpacing/>
        <w:jc w:val="both"/>
        <w:rPr>
          <w:rFonts w:ascii="Times New Roman" w:hAnsi="Times New Roman"/>
          <w:i/>
          <w:sz w:val="24"/>
          <w:szCs w:val="24"/>
          <w:lang w:val="kk-KZ"/>
        </w:rPr>
      </w:pPr>
      <w:r w:rsidRPr="00C61AA4">
        <w:rPr>
          <w:rFonts w:ascii="Times New Roman" w:hAnsi="Times New Roman"/>
          <w:b/>
          <w:i/>
          <w:sz w:val="24"/>
          <w:szCs w:val="24"/>
        </w:rPr>
        <w:t>Целевой индикатор 1:</w:t>
      </w:r>
      <w:r w:rsidRPr="00C61AA4">
        <w:rPr>
          <w:rFonts w:ascii="Times New Roman" w:hAnsi="Times New Roman"/>
          <w:i/>
          <w:sz w:val="24"/>
          <w:szCs w:val="24"/>
        </w:rPr>
        <w:t xml:space="preserve"> </w:t>
      </w:r>
      <w:r w:rsidRPr="00C61AA4">
        <w:rPr>
          <w:rFonts w:ascii="Times New Roman" w:hAnsi="Times New Roman"/>
          <w:b/>
          <w:i/>
          <w:sz w:val="24"/>
          <w:szCs w:val="24"/>
          <w:lang w:val="kk-KZ"/>
        </w:rPr>
        <w:t xml:space="preserve">Показатель «Надежность банков» Глобального индекса конкурентоспособности </w:t>
      </w:r>
      <w:r w:rsidRPr="00C61AA4">
        <w:rPr>
          <w:rFonts w:ascii="Times New Roman" w:hAnsi="Times New Roman"/>
          <w:i/>
          <w:sz w:val="24"/>
          <w:szCs w:val="24"/>
          <w:lang w:val="kk-KZ"/>
        </w:rPr>
        <w:t>(107 место в рейтинге ГИК ВЭФ)</w:t>
      </w:r>
    </w:p>
    <w:p w:rsidR="006346A7" w:rsidRPr="00C61AA4" w:rsidRDefault="006346A7" w:rsidP="006346A7">
      <w:pPr>
        <w:autoSpaceDE w:val="0"/>
        <w:autoSpaceDN w:val="0"/>
        <w:adjustRightInd w:val="0"/>
        <w:spacing w:line="240" w:lineRule="auto"/>
        <w:ind w:firstLine="709"/>
        <w:contextualSpacing/>
        <w:jc w:val="both"/>
        <w:rPr>
          <w:rFonts w:ascii="Times New Roman" w:hAnsi="Times New Roman"/>
          <w:i/>
          <w:iCs/>
          <w:color w:val="000000"/>
          <w:sz w:val="24"/>
          <w:szCs w:val="24"/>
        </w:rPr>
      </w:pPr>
      <w:r w:rsidRPr="00C61AA4">
        <w:rPr>
          <w:rFonts w:ascii="Times New Roman" w:hAnsi="Times New Roman"/>
          <w:color w:val="000000"/>
          <w:sz w:val="24"/>
          <w:szCs w:val="24"/>
        </w:rPr>
        <w:t xml:space="preserve">В соответствии с опубликованной информацией Всемирного экономического форума (ГИК ВЭФ) за </w:t>
      </w:r>
      <w:r w:rsidRPr="00C61AA4">
        <w:rPr>
          <w:rFonts w:ascii="Times New Roman" w:hAnsi="Times New Roman"/>
          <w:bCs/>
          <w:color w:val="000000"/>
          <w:sz w:val="24"/>
          <w:szCs w:val="24"/>
        </w:rPr>
        <w:t>2016-2017</w:t>
      </w:r>
      <w:r w:rsidRPr="00C61AA4">
        <w:rPr>
          <w:rFonts w:ascii="Times New Roman" w:hAnsi="Times New Roman"/>
          <w:color w:val="000000"/>
          <w:sz w:val="24"/>
          <w:szCs w:val="24"/>
        </w:rPr>
        <w:t xml:space="preserve"> гг. Казахстан в рейтинге по показателю «Надежность банков» по итогам года поднялся на 2 позиции по сравнению с </w:t>
      </w:r>
      <w:r w:rsidRPr="00C61AA4">
        <w:rPr>
          <w:rFonts w:ascii="Times New Roman" w:hAnsi="Times New Roman"/>
          <w:bCs/>
          <w:color w:val="000000"/>
          <w:sz w:val="24"/>
          <w:szCs w:val="24"/>
        </w:rPr>
        <w:t>2015-2016</w:t>
      </w:r>
      <w:r w:rsidRPr="00C61AA4">
        <w:rPr>
          <w:rFonts w:ascii="Times New Roman" w:hAnsi="Times New Roman"/>
          <w:color w:val="000000"/>
          <w:sz w:val="24"/>
          <w:szCs w:val="24"/>
        </w:rPr>
        <w:t xml:space="preserve"> гг. и занял 105 место (план – 107). Таким образом, ц</w:t>
      </w:r>
      <w:r w:rsidR="00D14D17" w:rsidRPr="00C61AA4">
        <w:rPr>
          <w:rFonts w:ascii="Times New Roman" w:hAnsi="Times New Roman"/>
          <w:color w:val="000000"/>
          <w:sz w:val="24"/>
          <w:szCs w:val="24"/>
        </w:rPr>
        <w:t xml:space="preserve">елевой индикатор был достигнут </w:t>
      </w:r>
      <w:r w:rsidRPr="00C61AA4">
        <w:rPr>
          <w:rFonts w:ascii="Times New Roman" w:hAnsi="Times New Roman"/>
          <w:i/>
          <w:iCs/>
          <w:color w:val="000000"/>
          <w:sz w:val="24"/>
          <w:szCs w:val="24"/>
        </w:rPr>
        <w:t xml:space="preserve">(присвоенный РК средний балл по итогам проведенного опроса руководителей компаний составил 4,2, такой </w:t>
      </w:r>
      <w:proofErr w:type="gramStart"/>
      <w:r w:rsidRPr="00C61AA4">
        <w:rPr>
          <w:rFonts w:ascii="Times New Roman" w:hAnsi="Times New Roman"/>
          <w:i/>
          <w:iCs/>
          <w:color w:val="000000"/>
          <w:sz w:val="24"/>
          <w:szCs w:val="24"/>
        </w:rPr>
        <w:t>же</w:t>
      </w:r>
      <w:proofErr w:type="gramEnd"/>
      <w:r w:rsidRPr="00C61AA4">
        <w:rPr>
          <w:rFonts w:ascii="Times New Roman" w:hAnsi="Times New Roman"/>
          <w:i/>
          <w:iCs/>
          <w:color w:val="000000"/>
          <w:sz w:val="24"/>
          <w:szCs w:val="24"/>
        </w:rPr>
        <w:t xml:space="preserve"> как и в 2015г.)</w:t>
      </w:r>
      <w:r w:rsidR="00D14D17" w:rsidRPr="00C61AA4">
        <w:rPr>
          <w:rFonts w:ascii="Times New Roman" w:hAnsi="Times New Roman"/>
          <w:i/>
          <w:iCs/>
          <w:color w:val="000000"/>
          <w:sz w:val="24"/>
          <w:szCs w:val="24"/>
        </w:rPr>
        <w:t>.</w:t>
      </w:r>
    </w:p>
    <w:p w:rsidR="006346A7" w:rsidRPr="00C61AA4" w:rsidRDefault="006346A7" w:rsidP="006346A7">
      <w:pPr>
        <w:spacing w:line="240" w:lineRule="auto"/>
        <w:ind w:firstLine="709"/>
        <w:contextualSpacing/>
        <w:jc w:val="both"/>
        <w:rPr>
          <w:rFonts w:ascii="Times New Roman" w:hAnsi="Times New Roman"/>
          <w:b/>
          <w:i/>
          <w:sz w:val="24"/>
        </w:rPr>
      </w:pPr>
      <w:r w:rsidRPr="00C61AA4">
        <w:rPr>
          <w:rFonts w:ascii="Times New Roman" w:hAnsi="Times New Roman"/>
          <w:b/>
          <w:bCs/>
          <w:i/>
          <w:iCs/>
          <w:sz w:val="24"/>
        </w:rPr>
        <w:t>Мероприятия для достижения  целевого индикатора:</w:t>
      </w:r>
    </w:p>
    <w:p w:rsidR="006346A7" w:rsidRPr="00C61AA4" w:rsidRDefault="006346A7" w:rsidP="00E9059E">
      <w:pPr>
        <w:spacing w:line="240" w:lineRule="auto"/>
        <w:ind w:firstLine="709"/>
        <w:contextualSpacing/>
        <w:jc w:val="both"/>
        <w:rPr>
          <w:rFonts w:ascii="Times New Roman" w:hAnsi="Times New Roman"/>
          <w:color w:val="000000"/>
          <w:sz w:val="24"/>
          <w:szCs w:val="24"/>
          <w:lang w:eastAsia="ru-RU"/>
        </w:rPr>
      </w:pPr>
      <w:r w:rsidRPr="00C61AA4">
        <w:rPr>
          <w:rFonts w:ascii="Times New Roman" w:hAnsi="Times New Roman"/>
          <w:i/>
          <w:sz w:val="24"/>
          <w:szCs w:val="24"/>
        </w:rPr>
        <w:t>Проведение обследования параметров кредитного рынка.</w:t>
      </w:r>
    </w:p>
    <w:p w:rsidR="00E9059E" w:rsidRPr="00C61AA4" w:rsidRDefault="006346A7" w:rsidP="00E9059E">
      <w:pPr>
        <w:spacing w:line="240" w:lineRule="auto"/>
        <w:ind w:firstLine="708"/>
        <w:contextualSpacing/>
        <w:jc w:val="both"/>
        <w:rPr>
          <w:rFonts w:ascii="Times New Roman" w:hAnsi="Times New Roman"/>
          <w:sz w:val="24"/>
          <w:szCs w:val="24"/>
        </w:rPr>
      </w:pPr>
      <w:r w:rsidRPr="00C61AA4">
        <w:rPr>
          <w:rFonts w:ascii="Times New Roman" w:hAnsi="Times New Roman"/>
          <w:color w:val="000000"/>
          <w:sz w:val="24"/>
          <w:szCs w:val="24"/>
          <w:lang w:eastAsia="ru-RU"/>
        </w:rPr>
        <w:t>По итогам 2016 года было проведено 4 ежеквартальных обследования банков «Состояние и прогноз параметров кредитного рынка» в форме анкетирования с последующим интервьюированием представителей банков, в</w:t>
      </w:r>
      <w:r w:rsidRPr="00C61AA4">
        <w:rPr>
          <w:rFonts w:ascii="Times New Roman" w:hAnsi="Times New Roman"/>
          <w:sz w:val="24"/>
          <w:szCs w:val="24"/>
        </w:rPr>
        <w:t xml:space="preserve"> феврале, мае, августе и ноябре 2016 года на интернет - ресурсе НБРК были размещены 4 публикации.</w:t>
      </w:r>
    </w:p>
    <w:p w:rsidR="00E9059E" w:rsidRPr="00C61AA4" w:rsidRDefault="006346A7" w:rsidP="00E9059E">
      <w:pPr>
        <w:spacing w:line="240" w:lineRule="auto"/>
        <w:ind w:firstLine="708"/>
        <w:contextualSpacing/>
        <w:jc w:val="both"/>
        <w:rPr>
          <w:rFonts w:ascii="Times New Roman" w:hAnsi="Times New Roman"/>
          <w:color w:val="000000"/>
          <w:sz w:val="24"/>
          <w:szCs w:val="24"/>
          <w:lang w:eastAsia="ru-RU"/>
        </w:rPr>
      </w:pPr>
      <w:r w:rsidRPr="00C61AA4">
        <w:rPr>
          <w:rFonts w:ascii="Times New Roman" w:hAnsi="Times New Roman"/>
          <w:color w:val="000000"/>
          <w:sz w:val="24"/>
          <w:szCs w:val="24"/>
          <w:lang w:eastAsia="ru-RU"/>
        </w:rPr>
        <w:t>В 2016 году наблюдалось ужесточение кредитной политики банков. Банки в своих ответах ссылаются на низкую платежеспособность заемщиков, высокий кредитный риск и высокую стоимость привлекаемых средств.</w:t>
      </w:r>
    </w:p>
    <w:p w:rsidR="00E9059E" w:rsidRPr="00C61AA4" w:rsidRDefault="006346A7" w:rsidP="00E9059E">
      <w:pPr>
        <w:spacing w:line="240" w:lineRule="auto"/>
        <w:ind w:firstLine="708"/>
        <w:contextualSpacing/>
        <w:jc w:val="both"/>
        <w:rPr>
          <w:rFonts w:ascii="Times New Roman" w:hAnsi="Times New Roman"/>
          <w:color w:val="000000"/>
          <w:sz w:val="24"/>
          <w:szCs w:val="24"/>
          <w:lang w:eastAsia="ru-RU"/>
        </w:rPr>
      </w:pPr>
      <w:r w:rsidRPr="00C61AA4">
        <w:rPr>
          <w:rFonts w:ascii="Times New Roman" w:hAnsi="Times New Roman"/>
          <w:color w:val="000000"/>
          <w:sz w:val="24"/>
          <w:szCs w:val="24"/>
          <w:lang w:eastAsia="ru-RU"/>
        </w:rPr>
        <w:t>На фоне жестких условий кредитования (как ценовых, так и неценовых) спрос населения на банковские кредиты в 2016 году продолжил замедляться, в то время как в нефинансовом секторе сохранялся незначительный ро</w:t>
      </w:r>
      <w:proofErr w:type="gramStart"/>
      <w:r w:rsidRPr="00C61AA4">
        <w:rPr>
          <w:rFonts w:ascii="Times New Roman" w:hAnsi="Times New Roman"/>
          <w:color w:val="000000"/>
          <w:sz w:val="24"/>
          <w:szCs w:val="24"/>
          <w:lang w:eastAsia="ru-RU"/>
        </w:rPr>
        <w:t>ст спр</w:t>
      </w:r>
      <w:proofErr w:type="gramEnd"/>
      <w:r w:rsidRPr="00C61AA4">
        <w:rPr>
          <w:rFonts w:ascii="Times New Roman" w:hAnsi="Times New Roman"/>
          <w:color w:val="000000"/>
          <w:sz w:val="24"/>
          <w:szCs w:val="24"/>
          <w:lang w:eastAsia="ru-RU"/>
        </w:rPr>
        <w:t>оса, который в основном поддерживался за счет государственных программ кредитования.</w:t>
      </w:r>
    </w:p>
    <w:p w:rsidR="004C09F5" w:rsidRPr="00C61AA4" w:rsidRDefault="006346A7" w:rsidP="004C09F5">
      <w:pPr>
        <w:spacing w:line="240" w:lineRule="auto"/>
        <w:ind w:firstLine="708"/>
        <w:contextualSpacing/>
        <w:jc w:val="both"/>
        <w:rPr>
          <w:rFonts w:ascii="Times New Roman" w:hAnsi="Times New Roman"/>
          <w:color w:val="000000"/>
          <w:sz w:val="24"/>
          <w:szCs w:val="24"/>
          <w:lang w:eastAsia="ru-RU"/>
        </w:rPr>
      </w:pPr>
      <w:r w:rsidRPr="00C61AA4">
        <w:rPr>
          <w:rFonts w:ascii="Times New Roman" w:hAnsi="Times New Roman"/>
          <w:color w:val="000000"/>
          <w:sz w:val="24"/>
          <w:szCs w:val="24"/>
          <w:lang w:eastAsia="ru-RU"/>
        </w:rPr>
        <w:t xml:space="preserve">Сегмент ипотечного кредитования характеризуется низкой активностью и дальнейшие перспективы его развития в краткосрочном периоде, по мнению банков, ограничены в виду отсутствия факторов роста и дефицита длинного </w:t>
      </w:r>
      <w:proofErr w:type="spellStart"/>
      <w:r w:rsidRPr="00C61AA4">
        <w:rPr>
          <w:rFonts w:ascii="Times New Roman" w:hAnsi="Times New Roman"/>
          <w:color w:val="000000"/>
          <w:sz w:val="24"/>
          <w:szCs w:val="24"/>
          <w:lang w:eastAsia="ru-RU"/>
        </w:rPr>
        <w:t>тенгового</w:t>
      </w:r>
      <w:proofErr w:type="spellEnd"/>
      <w:r w:rsidRPr="00C61AA4">
        <w:rPr>
          <w:rFonts w:ascii="Times New Roman" w:hAnsi="Times New Roman"/>
          <w:color w:val="000000"/>
          <w:sz w:val="24"/>
          <w:szCs w:val="24"/>
          <w:lang w:eastAsia="ru-RU"/>
        </w:rPr>
        <w:t xml:space="preserve"> фондирования.</w:t>
      </w:r>
    </w:p>
    <w:p w:rsidR="003C4827" w:rsidRPr="00C61AA4" w:rsidRDefault="003C4827" w:rsidP="00D14D17">
      <w:pPr>
        <w:autoSpaceDE w:val="0"/>
        <w:autoSpaceDN w:val="0"/>
        <w:adjustRightInd w:val="0"/>
        <w:spacing w:line="240" w:lineRule="auto"/>
        <w:ind w:firstLine="709"/>
        <w:contextualSpacing/>
        <w:jc w:val="both"/>
        <w:rPr>
          <w:rFonts w:ascii="Times New Roman" w:hAnsi="Times New Roman"/>
          <w:b/>
          <w:i/>
          <w:sz w:val="24"/>
          <w:szCs w:val="27"/>
        </w:rPr>
      </w:pPr>
      <w:r w:rsidRPr="00C61AA4">
        <w:rPr>
          <w:rFonts w:ascii="Times New Roman" w:hAnsi="Times New Roman"/>
          <w:b/>
          <w:i/>
          <w:sz w:val="24"/>
          <w:szCs w:val="27"/>
        </w:rPr>
        <w:t>Дополнительно:</w:t>
      </w:r>
    </w:p>
    <w:p w:rsidR="00D14D17" w:rsidRPr="00C61AA4" w:rsidRDefault="003C4827" w:rsidP="00D14D17">
      <w:pPr>
        <w:autoSpaceDE w:val="0"/>
        <w:autoSpaceDN w:val="0"/>
        <w:adjustRightInd w:val="0"/>
        <w:spacing w:line="240" w:lineRule="auto"/>
        <w:ind w:firstLine="709"/>
        <w:contextualSpacing/>
        <w:jc w:val="both"/>
        <w:rPr>
          <w:rFonts w:ascii="Times New Roman" w:hAnsi="Times New Roman"/>
          <w:sz w:val="24"/>
          <w:szCs w:val="27"/>
        </w:rPr>
      </w:pPr>
      <w:r w:rsidRPr="00C61AA4">
        <w:rPr>
          <w:rFonts w:ascii="Times New Roman" w:hAnsi="Times New Roman"/>
          <w:sz w:val="24"/>
          <w:szCs w:val="27"/>
        </w:rPr>
        <w:t>И</w:t>
      </w:r>
      <w:r w:rsidR="00D14D17" w:rsidRPr="00C61AA4">
        <w:rPr>
          <w:rFonts w:ascii="Times New Roman" w:hAnsi="Times New Roman"/>
          <w:sz w:val="24"/>
          <w:szCs w:val="27"/>
        </w:rPr>
        <w:t xml:space="preserve">ндикатор  «восприятие надежности» основан на опросе клиентов банковской системы (руководителей предприятий), ограниченных в доступе к информации и в ресурсах для ее анализа. Кроме фундаментальных факторов, он отражает влияние внешнего информационного шума, общественных настроений, и страдает значительной инерционностью. Это иллюстрирует недостатки индикатора «восприятие надежности». Он может быть полезным для международных инвесторов, но его полезность для выработки финансовой политики и направлений развития рынка крайне ограничена. Более того, из-за многолетних лагов, а также из-за отсутствия диагностики возникающих проблем, использование этого индикатора крайне нежелательно для целей выработки финансовой политики и стратегии развития финансового рынка. </w:t>
      </w:r>
    </w:p>
    <w:p w:rsidR="006346A7" w:rsidRPr="00C61AA4" w:rsidRDefault="00D14D17" w:rsidP="00D14D17">
      <w:pPr>
        <w:autoSpaceDE w:val="0"/>
        <w:autoSpaceDN w:val="0"/>
        <w:adjustRightInd w:val="0"/>
        <w:spacing w:line="240" w:lineRule="auto"/>
        <w:ind w:firstLine="709"/>
        <w:contextualSpacing/>
        <w:jc w:val="both"/>
        <w:rPr>
          <w:rFonts w:ascii="Times New Roman" w:hAnsi="Times New Roman"/>
          <w:sz w:val="24"/>
          <w:szCs w:val="27"/>
        </w:rPr>
      </w:pPr>
      <w:r w:rsidRPr="00C61AA4">
        <w:rPr>
          <w:rFonts w:ascii="Times New Roman" w:hAnsi="Times New Roman"/>
          <w:sz w:val="24"/>
          <w:szCs w:val="27"/>
        </w:rPr>
        <w:t>Более профессиональным является мнение международных финансовых мониторов и регуляторов – МВФ и Банка международных платежей. Но и эти оценки также недостаточно информативны для диагностики состояния финансовой системы и выработки механизмов государственных интервенций. Для этих целей мы считаем необходимым создание более многосторонних индикаторов уровня развития финансовой системы и финансовых институтов.</w:t>
      </w:r>
      <w:r w:rsidR="006346A7" w:rsidRPr="00C61AA4">
        <w:rPr>
          <w:rFonts w:ascii="Times New Roman" w:hAnsi="Times New Roman"/>
          <w:color w:val="000000"/>
          <w:sz w:val="24"/>
          <w:szCs w:val="24"/>
          <w:lang w:eastAsia="ru-RU"/>
        </w:rPr>
        <w:t xml:space="preserve"> </w:t>
      </w:r>
    </w:p>
    <w:p w:rsidR="004C09F5" w:rsidRPr="00C61AA4" w:rsidRDefault="004C09F5" w:rsidP="006346A7">
      <w:pPr>
        <w:spacing w:line="240" w:lineRule="auto"/>
        <w:ind w:firstLine="709"/>
        <w:contextualSpacing/>
        <w:jc w:val="both"/>
        <w:rPr>
          <w:rFonts w:ascii="Times New Roman" w:hAnsi="Times New Roman"/>
          <w:b/>
          <w:i/>
          <w:color w:val="000000"/>
          <w:sz w:val="24"/>
          <w:szCs w:val="24"/>
        </w:rPr>
      </w:pPr>
    </w:p>
    <w:p w:rsidR="006346A7" w:rsidRPr="00C61AA4" w:rsidRDefault="006346A7" w:rsidP="006346A7">
      <w:pPr>
        <w:spacing w:line="240" w:lineRule="auto"/>
        <w:ind w:firstLine="709"/>
        <w:contextualSpacing/>
        <w:jc w:val="both"/>
        <w:rPr>
          <w:rFonts w:ascii="Times New Roman" w:hAnsi="Times New Roman"/>
          <w:i/>
          <w:sz w:val="24"/>
          <w:szCs w:val="24"/>
          <w:lang w:val="kk-KZ"/>
        </w:rPr>
      </w:pPr>
      <w:r w:rsidRPr="00C61AA4">
        <w:rPr>
          <w:rFonts w:ascii="Times New Roman" w:hAnsi="Times New Roman"/>
          <w:b/>
          <w:i/>
          <w:sz w:val="24"/>
          <w:szCs w:val="24"/>
        </w:rPr>
        <w:lastRenderedPageBreak/>
        <w:t>Целевой индикатор 2:</w:t>
      </w:r>
      <w:r w:rsidRPr="00C61AA4">
        <w:rPr>
          <w:rFonts w:ascii="Times New Roman" w:hAnsi="Times New Roman"/>
          <w:i/>
          <w:sz w:val="24"/>
          <w:szCs w:val="24"/>
        </w:rPr>
        <w:t xml:space="preserve"> </w:t>
      </w:r>
      <w:r w:rsidRPr="00C61AA4">
        <w:rPr>
          <w:rFonts w:ascii="Times New Roman" w:hAnsi="Times New Roman"/>
          <w:b/>
          <w:i/>
          <w:sz w:val="24"/>
          <w:szCs w:val="24"/>
          <w:lang w:val="kk-KZ"/>
        </w:rPr>
        <w:t xml:space="preserve">Показатель «Внутренняя норма сбережений, % ВВП» Глобального индекса конкурентоспособности </w:t>
      </w:r>
      <w:r w:rsidRPr="00C61AA4">
        <w:rPr>
          <w:rFonts w:ascii="Times New Roman" w:hAnsi="Times New Roman"/>
          <w:i/>
          <w:sz w:val="24"/>
          <w:szCs w:val="24"/>
          <w:lang w:val="kk-KZ"/>
        </w:rPr>
        <w:t>(31 место в рейтинге ГИК ВЭФ)</w:t>
      </w:r>
    </w:p>
    <w:p w:rsidR="006346A7" w:rsidRPr="00C61AA4" w:rsidRDefault="008B5E8A" w:rsidP="006346A7">
      <w:pPr>
        <w:spacing w:line="240" w:lineRule="auto"/>
        <w:ind w:firstLine="709"/>
        <w:contextualSpacing/>
        <w:jc w:val="both"/>
        <w:rPr>
          <w:rFonts w:ascii="Times New Roman" w:hAnsi="Times New Roman"/>
          <w:b/>
          <w:i/>
          <w:sz w:val="24"/>
        </w:rPr>
      </w:pPr>
      <w:r w:rsidRPr="00C61AA4">
        <w:rPr>
          <w:rFonts w:ascii="Times New Roman" w:hAnsi="Times New Roman"/>
          <w:sz w:val="24"/>
        </w:rPr>
        <w:t xml:space="preserve">НБРК проводил меры по обеспечению стабильности цен, в том числе в целях защиты сбережений и сохранения привлекательности </w:t>
      </w:r>
      <w:proofErr w:type="spellStart"/>
      <w:r w:rsidRPr="00C61AA4">
        <w:rPr>
          <w:rFonts w:ascii="Times New Roman" w:hAnsi="Times New Roman"/>
          <w:sz w:val="24"/>
        </w:rPr>
        <w:t>тенговых</w:t>
      </w:r>
      <w:proofErr w:type="spellEnd"/>
      <w:r w:rsidRPr="00C61AA4">
        <w:rPr>
          <w:rFonts w:ascii="Times New Roman" w:hAnsi="Times New Roman"/>
          <w:sz w:val="24"/>
        </w:rPr>
        <w:t xml:space="preserve"> инструментов. </w:t>
      </w:r>
      <w:r w:rsidR="006346A7" w:rsidRPr="00C61AA4">
        <w:rPr>
          <w:rFonts w:ascii="Times New Roman" w:hAnsi="Times New Roman"/>
          <w:sz w:val="24"/>
        </w:rPr>
        <w:t xml:space="preserve">За 2016 год инфляция (декабрь к декабрю предыдущего года) составила 8,5%, снизившись с двухзначного значения 13,6% по итогам 2015 года до однозначной цифры, что в целом соответствует оценкам </w:t>
      </w:r>
      <w:r w:rsidR="00152409" w:rsidRPr="00C61AA4">
        <w:rPr>
          <w:rFonts w:ascii="Times New Roman" w:hAnsi="Times New Roman"/>
          <w:sz w:val="24"/>
        </w:rPr>
        <w:t>НБРК</w:t>
      </w:r>
      <w:r w:rsidR="006346A7" w:rsidRPr="00C61AA4">
        <w:rPr>
          <w:rFonts w:ascii="Times New Roman" w:hAnsi="Times New Roman"/>
          <w:sz w:val="24"/>
        </w:rPr>
        <w:t>. Незначительное превышение целевого ориентира было связано с изменениями цен на отдельные товары в 4 квартале 2016 года, которые имели кратковременный характер. В течение года наблюдалось замедление инфляционных процессов и постепенное нивелирование эффекта переноса обменного курса на уровень цен в стране, а также снижение инфляционных ожиданий с начала года.</w:t>
      </w:r>
    </w:p>
    <w:p w:rsidR="006346A7" w:rsidRPr="00C61AA4" w:rsidRDefault="006346A7" w:rsidP="006346A7">
      <w:pPr>
        <w:spacing w:line="240" w:lineRule="auto"/>
        <w:ind w:firstLine="709"/>
        <w:contextualSpacing/>
        <w:jc w:val="both"/>
        <w:rPr>
          <w:rFonts w:ascii="Times New Roman" w:hAnsi="Times New Roman"/>
          <w:b/>
          <w:i/>
          <w:sz w:val="24"/>
        </w:rPr>
      </w:pPr>
      <w:r w:rsidRPr="00C61AA4">
        <w:rPr>
          <w:rFonts w:ascii="Times New Roman" w:hAnsi="Times New Roman"/>
          <w:b/>
          <w:bCs/>
          <w:i/>
          <w:iCs/>
          <w:sz w:val="24"/>
        </w:rPr>
        <w:t>Мероприятия для достижения  целевого индикатора:</w:t>
      </w:r>
    </w:p>
    <w:p w:rsidR="006346A7" w:rsidRPr="00C61AA4" w:rsidRDefault="006346A7" w:rsidP="006346A7">
      <w:pPr>
        <w:spacing w:line="240" w:lineRule="auto"/>
        <w:ind w:firstLine="709"/>
        <w:contextualSpacing/>
        <w:jc w:val="both"/>
        <w:rPr>
          <w:rFonts w:ascii="Times New Roman" w:hAnsi="Times New Roman"/>
          <w:i/>
          <w:sz w:val="24"/>
        </w:rPr>
      </w:pPr>
      <w:r w:rsidRPr="00C61AA4">
        <w:rPr>
          <w:rFonts w:ascii="Times New Roman" w:hAnsi="Times New Roman"/>
          <w:i/>
          <w:sz w:val="24"/>
        </w:rPr>
        <w:t xml:space="preserve">Установление базовой ставки </w:t>
      </w:r>
    </w:p>
    <w:p w:rsidR="006346A7" w:rsidRPr="00C61AA4" w:rsidRDefault="006346A7" w:rsidP="006346A7">
      <w:pPr>
        <w:spacing w:line="240" w:lineRule="auto"/>
        <w:ind w:firstLine="709"/>
        <w:contextualSpacing/>
        <w:jc w:val="both"/>
        <w:rPr>
          <w:rFonts w:ascii="Times New Roman" w:hAnsi="Times New Roman"/>
          <w:sz w:val="24"/>
        </w:rPr>
      </w:pPr>
      <w:r w:rsidRPr="00C61AA4">
        <w:rPr>
          <w:rFonts w:ascii="Times New Roman" w:hAnsi="Times New Roman"/>
          <w:sz w:val="24"/>
        </w:rPr>
        <w:t xml:space="preserve">Со 2 февраля 2016 года </w:t>
      </w:r>
      <w:r w:rsidR="00152409" w:rsidRPr="00C61AA4">
        <w:rPr>
          <w:rFonts w:ascii="Times New Roman" w:hAnsi="Times New Roman"/>
          <w:sz w:val="24"/>
        </w:rPr>
        <w:t>НБРК</w:t>
      </w:r>
      <w:r w:rsidRPr="00C61AA4">
        <w:rPr>
          <w:rFonts w:ascii="Times New Roman" w:hAnsi="Times New Roman"/>
          <w:sz w:val="24"/>
        </w:rPr>
        <w:t xml:space="preserve"> возобновил практику установления базовой ставки и проведение ежедневных операций постоянного доступа для регулирования ликвидности банковской системы, а также влияния на </w:t>
      </w:r>
      <w:proofErr w:type="spellStart"/>
      <w:r w:rsidRPr="00C61AA4">
        <w:rPr>
          <w:rFonts w:ascii="Times New Roman" w:hAnsi="Times New Roman"/>
          <w:sz w:val="24"/>
        </w:rPr>
        <w:t>таргетируемую</w:t>
      </w:r>
      <w:proofErr w:type="spellEnd"/>
      <w:r w:rsidRPr="00C61AA4">
        <w:rPr>
          <w:rFonts w:ascii="Times New Roman" w:hAnsi="Times New Roman"/>
          <w:sz w:val="24"/>
        </w:rPr>
        <w:t xml:space="preserve"> ставку. Установленная первоначально на высоком уровне базовая ставка (17%), а также операции по абсорбированию ликвидности на денежном рынке в течение года, способствовали стабилизации валютного и денежного рынков. Постепенное восстановление доверия к тенге, снижение уровня </w:t>
      </w:r>
      <w:proofErr w:type="spellStart"/>
      <w:r w:rsidRPr="00C61AA4">
        <w:rPr>
          <w:rFonts w:ascii="Times New Roman" w:hAnsi="Times New Roman"/>
          <w:sz w:val="24"/>
        </w:rPr>
        <w:t>долларизации</w:t>
      </w:r>
      <w:proofErr w:type="spellEnd"/>
      <w:r w:rsidRPr="00C61AA4">
        <w:rPr>
          <w:rFonts w:ascii="Times New Roman" w:hAnsi="Times New Roman"/>
          <w:sz w:val="24"/>
        </w:rPr>
        <w:t>, а также стабилизация ситуации на валютном рынке вели к дальнейшему снижению инфляционных ожиданий и стабилизации инфляционных процессов в течение года. Это позволило Национальному Банку снижать базовую ставку четыре раза в течение 2016 года (до 12% с 15 ноября 2016 года).</w:t>
      </w:r>
    </w:p>
    <w:p w:rsidR="008B5E8A" w:rsidRPr="00C61AA4" w:rsidRDefault="008B5E8A" w:rsidP="008B5E8A">
      <w:pPr>
        <w:spacing w:line="240" w:lineRule="auto"/>
        <w:ind w:firstLine="709"/>
        <w:contextualSpacing/>
        <w:jc w:val="both"/>
        <w:rPr>
          <w:rFonts w:ascii="Times New Roman" w:hAnsi="Times New Roman"/>
          <w:i/>
          <w:sz w:val="24"/>
        </w:rPr>
      </w:pPr>
      <w:r w:rsidRPr="00C61AA4">
        <w:rPr>
          <w:rFonts w:ascii="Times New Roman" w:hAnsi="Times New Roman"/>
          <w:i/>
          <w:sz w:val="24"/>
        </w:rPr>
        <w:t xml:space="preserve">Повышение привлекательности </w:t>
      </w:r>
      <w:proofErr w:type="spellStart"/>
      <w:r w:rsidRPr="00C61AA4">
        <w:rPr>
          <w:rFonts w:ascii="Times New Roman" w:hAnsi="Times New Roman"/>
          <w:i/>
          <w:sz w:val="24"/>
        </w:rPr>
        <w:t>тенговых</w:t>
      </w:r>
      <w:proofErr w:type="spellEnd"/>
      <w:r w:rsidRPr="00C61AA4">
        <w:rPr>
          <w:rFonts w:ascii="Times New Roman" w:hAnsi="Times New Roman"/>
          <w:i/>
          <w:sz w:val="24"/>
        </w:rPr>
        <w:t xml:space="preserve"> инструментов</w:t>
      </w:r>
    </w:p>
    <w:p w:rsidR="008B5E8A" w:rsidRPr="00C61AA4" w:rsidRDefault="008B5E8A" w:rsidP="008B5E8A">
      <w:pPr>
        <w:spacing w:line="240" w:lineRule="auto"/>
        <w:ind w:firstLine="709"/>
        <w:contextualSpacing/>
        <w:jc w:val="both"/>
        <w:rPr>
          <w:rFonts w:ascii="Times New Roman" w:hAnsi="Times New Roman"/>
          <w:sz w:val="24"/>
        </w:rPr>
      </w:pPr>
      <w:r w:rsidRPr="00C61AA4">
        <w:rPr>
          <w:rFonts w:ascii="Times New Roman" w:hAnsi="Times New Roman"/>
          <w:sz w:val="24"/>
        </w:rPr>
        <w:t xml:space="preserve">Снижению уровня </w:t>
      </w:r>
      <w:proofErr w:type="spellStart"/>
      <w:r w:rsidRPr="00C61AA4">
        <w:rPr>
          <w:rFonts w:ascii="Times New Roman" w:hAnsi="Times New Roman"/>
          <w:sz w:val="24"/>
        </w:rPr>
        <w:t>долларизации</w:t>
      </w:r>
      <w:proofErr w:type="spellEnd"/>
      <w:r w:rsidRPr="00C61AA4">
        <w:rPr>
          <w:rFonts w:ascii="Times New Roman" w:hAnsi="Times New Roman"/>
          <w:sz w:val="24"/>
        </w:rPr>
        <w:t xml:space="preserve"> депозитов способствовали стабилизация на валютном рынке и меры Национального Банка по повышению привлекательности </w:t>
      </w:r>
      <w:proofErr w:type="spellStart"/>
      <w:r w:rsidRPr="00C61AA4">
        <w:rPr>
          <w:rFonts w:ascii="Times New Roman" w:hAnsi="Times New Roman"/>
          <w:sz w:val="24"/>
        </w:rPr>
        <w:t>тенговых</w:t>
      </w:r>
      <w:proofErr w:type="spellEnd"/>
      <w:r w:rsidRPr="00C61AA4">
        <w:rPr>
          <w:rFonts w:ascii="Times New Roman" w:hAnsi="Times New Roman"/>
          <w:sz w:val="24"/>
        </w:rPr>
        <w:t xml:space="preserve"> инструментов. Ставки по депозитам в национальной валюте были повышены с февраля 2016 года с 10% до 14% и снижены по депозитам в иностранной валюте – с 3% до 2%. </w:t>
      </w:r>
    </w:p>
    <w:p w:rsidR="008B5E8A" w:rsidRPr="00C61AA4" w:rsidRDefault="008B5E8A" w:rsidP="008B5E8A">
      <w:pPr>
        <w:spacing w:line="240" w:lineRule="auto"/>
        <w:ind w:firstLine="709"/>
        <w:contextualSpacing/>
        <w:jc w:val="both"/>
        <w:rPr>
          <w:rFonts w:ascii="Times New Roman" w:hAnsi="Times New Roman"/>
          <w:sz w:val="24"/>
        </w:rPr>
      </w:pPr>
      <w:r w:rsidRPr="00C61AA4">
        <w:rPr>
          <w:rFonts w:ascii="Times New Roman" w:hAnsi="Times New Roman"/>
          <w:sz w:val="24"/>
        </w:rPr>
        <w:t xml:space="preserve">Вместе с тем с 1 января 2016 года банкам законодательно запрещено предоставление ипотечных займов в иностранной валюте физическим лицам, не имеющим доход в данной валюте в течение шести последовательных месяцев, предшествующих дате обращения. </w:t>
      </w:r>
      <w:proofErr w:type="gramStart"/>
      <w:r w:rsidRPr="00C61AA4">
        <w:rPr>
          <w:rFonts w:ascii="Times New Roman" w:hAnsi="Times New Roman"/>
          <w:sz w:val="24"/>
        </w:rPr>
        <w:t xml:space="preserve">Помимо этого, в рамках </w:t>
      </w:r>
      <w:proofErr w:type="spellStart"/>
      <w:r w:rsidRPr="00C61AA4">
        <w:rPr>
          <w:rFonts w:ascii="Times New Roman" w:hAnsi="Times New Roman"/>
          <w:sz w:val="24"/>
        </w:rPr>
        <w:t>пруденциального</w:t>
      </w:r>
      <w:proofErr w:type="spellEnd"/>
      <w:r w:rsidRPr="00C61AA4">
        <w:rPr>
          <w:rFonts w:ascii="Times New Roman" w:hAnsi="Times New Roman"/>
          <w:sz w:val="24"/>
        </w:rPr>
        <w:t xml:space="preserve"> регулирования с 1 января 2016 года принята мера по </w:t>
      </w:r>
      <w:proofErr w:type="spellStart"/>
      <w:r w:rsidRPr="00C61AA4">
        <w:rPr>
          <w:rFonts w:ascii="Times New Roman" w:hAnsi="Times New Roman"/>
          <w:sz w:val="24"/>
        </w:rPr>
        <w:t>дестимулированию</w:t>
      </w:r>
      <w:proofErr w:type="spellEnd"/>
      <w:r w:rsidRPr="00C61AA4">
        <w:rPr>
          <w:rFonts w:ascii="Times New Roman" w:hAnsi="Times New Roman"/>
          <w:sz w:val="24"/>
        </w:rPr>
        <w:t xml:space="preserve"> выдачи займов юридическим лицам и физическим лицам на срок более 1 года в иностранной валюте (в том числе потребительских кредитов),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roofErr w:type="gramEnd"/>
      <w:r w:rsidRPr="00C61AA4">
        <w:rPr>
          <w:rFonts w:ascii="Times New Roman" w:hAnsi="Times New Roman"/>
          <w:sz w:val="24"/>
        </w:rPr>
        <w:t xml:space="preserve"> Такие займы отнесены к более высокой группе риска, что в свою очередь требует соответствующего покрытия рисков капиталом банка.</w:t>
      </w:r>
    </w:p>
    <w:p w:rsidR="008B5E8A" w:rsidRPr="00C61AA4" w:rsidRDefault="008B5E8A" w:rsidP="008B5E8A">
      <w:pPr>
        <w:spacing w:line="240" w:lineRule="auto"/>
        <w:ind w:firstLine="709"/>
        <w:contextualSpacing/>
        <w:jc w:val="both"/>
        <w:rPr>
          <w:rFonts w:ascii="Times New Roman" w:hAnsi="Times New Roman"/>
          <w:sz w:val="24"/>
        </w:rPr>
      </w:pPr>
      <w:r w:rsidRPr="00C61AA4">
        <w:rPr>
          <w:rFonts w:ascii="Times New Roman" w:hAnsi="Times New Roman"/>
          <w:sz w:val="24"/>
        </w:rPr>
        <w:t xml:space="preserve">В целях повышения роли национальной валюты как меры стоимости Национальным Банком проработан вопрос по законодательному введению требования на установление цены на товары, работы и услуги, реализуемые на территории Республики Казахстан, только в национальной валюте. </w:t>
      </w:r>
    </w:p>
    <w:p w:rsidR="006346A7" w:rsidRPr="00C61AA4" w:rsidRDefault="006346A7" w:rsidP="006346A7">
      <w:pPr>
        <w:spacing w:line="240" w:lineRule="auto"/>
        <w:ind w:firstLine="709"/>
        <w:contextualSpacing/>
        <w:jc w:val="both"/>
        <w:rPr>
          <w:rFonts w:ascii="Times New Roman" w:hAnsi="Times New Roman"/>
          <w:i/>
          <w:sz w:val="24"/>
          <w:szCs w:val="24"/>
        </w:rPr>
      </w:pPr>
    </w:p>
    <w:p w:rsidR="006346A7" w:rsidRPr="00C61AA4" w:rsidRDefault="006346A7" w:rsidP="006346A7">
      <w:pPr>
        <w:spacing w:line="240" w:lineRule="auto"/>
        <w:ind w:firstLine="709"/>
        <w:contextualSpacing/>
        <w:jc w:val="both"/>
        <w:rPr>
          <w:rFonts w:ascii="Times New Roman" w:hAnsi="Times New Roman"/>
          <w:sz w:val="24"/>
          <w:szCs w:val="24"/>
        </w:rPr>
      </w:pPr>
      <w:r w:rsidRPr="00C61AA4">
        <w:rPr>
          <w:rFonts w:ascii="Times New Roman" w:hAnsi="Times New Roman"/>
          <w:b/>
          <w:i/>
          <w:sz w:val="24"/>
          <w:szCs w:val="24"/>
        </w:rPr>
        <w:t>Целевой индикатор 3:</w:t>
      </w:r>
      <w:r w:rsidRPr="00C61AA4">
        <w:rPr>
          <w:rFonts w:ascii="Times New Roman" w:hAnsi="Times New Roman"/>
          <w:i/>
          <w:sz w:val="24"/>
          <w:szCs w:val="24"/>
        </w:rPr>
        <w:t xml:space="preserve"> </w:t>
      </w:r>
      <w:r w:rsidRPr="00C61AA4">
        <w:rPr>
          <w:rFonts w:ascii="Times New Roman" w:hAnsi="Times New Roman"/>
          <w:b/>
          <w:i/>
          <w:sz w:val="24"/>
          <w:szCs w:val="24"/>
          <w:lang w:val="kk-KZ"/>
        </w:rPr>
        <w:t xml:space="preserve">Показатель «Доступность финансовых услуг» Глобального индекса конкурентоспособности </w:t>
      </w:r>
      <w:r w:rsidRPr="00C61AA4">
        <w:rPr>
          <w:rFonts w:ascii="Times New Roman" w:hAnsi="Times New Roman"/>
          <w:i/>
          <w:sz w:val="24"/>
          <w:szCs w:val="24"/>
          <w:lang w:val="kk-KZ"/>
        </w:rPr>
        <w:t>(68 место в рейтинге ГИК ВЭФ)</w:t>
      </w:r>
    </w:p>
    <w:p w:rsidR="006346A7" w:rsidRPr="00C61AA4" w:rsidRDefault="006346A7" w:rsidP="006346A7">
      <w:pPr>
        <w:spacing w:line="240" w:lineRule="auto"/>
        <w:ind w:firstLine="709"/>
        <w:contextualSpacing/>
        <w:jc w:val="both"/>
        <w:rPr>
          <w:rFonts w:ascii="Times New Roman" w:hAnsi="Times New Roman"/>
          <w:b/>
          <w:i/>
          <w:sz w:val="24"/>
        </w:rPr>
      </w:pPr>
      <w:r w:rsidRPr="00C61AA4">
        <w:rPr>
          <w:rFonts w:ascii="Times New Roman" w:hAnsi="Times New Roman"/>
          <w:sz w:val="24"/>
          <w:szCs w:val="24"/>
        </w:rPr>
        <w:t xml:space="preserve">В соответствии с Отчетом о глобальной конкурентоспособности по показателю «Доступность финансовых услуг» позиция Казахстана по сравнению с 2015 годом понизилась на 17 пунктов и составила 80 место. </w:t>
      </w:r>
      <w:r w:rsidR="00A72FCB" w:rsidRPr="00C61AA4">
        <w:rPr>
          <w:rFonts w:ascii="Times New Roman" w:hAnsi="Times New Roman"/>
          <w:sz w:val="24"/>
          <w:szCs w:val="24"/>
        </w:rPr>
        <w:t xml:space="preserve">Принимая во внимание, что данный индикатор ГИК ВЭФ оценивался опросным путем, как общее место республики, оценить влияние принимаемых мер не представляется возможным. </w:t>
      </w:r>
    </w:p>
    <w:p w:rsidR="006346A7" w:rsidRPr="00C61AA4" w:rsidRDefault="006346A7" w:rsidP="006346A7">
      <w:pPr>
        <w:spacing w:line="240" w:lineRule="auto"/>
        <w:ind w:firstLine="709"/>
        <w:contextualSpacing/>
        <w:jc w:val="both"/>
        <w:rPr>
          <w:rFonts w:ascii="Times New Roman" w:hAnsi="Times New Roman"/>
          <w:b/>
          <w:i/>
          <w:sz w:val="24"/>
        </w:rPr>
      </w:pPr>
      <w:r w:rsidRPr="00C61AA4">
        <w:rPr>
          <w:rFonts w:ascii="Times New Roman" w:hAnsi="Times New Roman"/>
          <w:b/>
          <w:bCs/>
          <w:i/>
          <w:iCs/>
          <w:sz w:val="24"/>
        </w:rPr>
        <w:t>Мероприятия для достижения  целевого индикатора:</w:t>
      </w:r>
    </w:p>
    <w:p w:rsidR="006346A7" w:rsidRPr="00C61AA4" w:rsidRDefault="006346A7" w:rsidP="006346A7">
      <w:pPr>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 xml:space="preserve">30 сентября 2016 года Правлением </w:t>
      </w:r>
      <w:r w:rsidR="00152409" w:rsidRPr="00C61AA4">
        <w:rPr>
          <w:rFonts w:ascii="Times New Roman" w:hAnsi="Times New Roman"/>
          <w:sz w:val="24"/>
          <w:szCs w:val="24"/>
        </w:rPr>
        <w:t>НБРК</w:t>
      </w:r>
      <w:r w:rsidRPr="00C61AA4">
        <w:rPr>
          <w:rFonts w:ascii="Times New Roman" w:hAnsi="Times New Roman"/>
          <w:sz w:val="24"/>
          <w:szCs w:val="24"/>
        </w:rPr>
        <w:t xml:space="preserve"> было принято постановление №244 «Об утверждении Программы повышения финансовой грамотности населения на 2016-2018 гг.» (далее - Программа). Данная Программа является одной из эффективных форм защиты потребителей. </w:t>
      </w:r>
      <w:proofErr w:type="gramStart"/>
      <w:r w:rsidRPr="00C61AA4">
        <w:rPr>
          <w:rFonts w:ascii="Times New Roman" w:hAnsi="Times New Roman"/>
          <w:sz w:val="24"/>
          <w:szCs w:val="24"/>
        </w:rPr>
        <w:t xml:space="preserve">Реализация данной Программы включает обучающие, </w:t>
      </w:r>
      <w:proofErr w:type="spellStart"/>
      <w:r w:rsidRPr="00C61AA4">
        <w:rPr>
          <w:rFonts w:ascii="Times New Roman" w:hAnsi="Times New Roman"/>
          <w:sz w:val="24"/>
          <w:szCs w:val="24"/>
        </w:rPr>
        <w:t>медийные</w:t>
      </w:r>
      <w:proofErr w:type="spellEnd"/>
      <w:r w:rsidRPr="00C61AA4">
        <w:rPr>
          <w:rFonts w:ascii="Times New Roman" w:hAnsi="Times New Roman"/>
          <w:sz w:val="24"/>
          <w:szCs w:val="24"/>
        </w:rPr>
        <w:t xml:space="preserve">, специальные мероприятия </w:t>
      </w:r>
      <w:r w:rsidRPr="00C61AA4">
        <w:rPr>
          <w:rFonts w:ascii="Times New Roman" w:hAnsi="Times New Roman"/>
          <w:sz w:val="24"/>
          <w:szCs w:val="24"/>
        </w:rPr>
        <w:lastRenderedPageBreak/>
        <w:t xml:space="preserve">(организация семинаров, круглых столов, выпуск брошюр и др.), запуск специализированного обучающего </w:t>
      </w:r>
      <w:proofErr w:type="spellStart"/>
      <w:r w:rsidRPr="00C61AA4">
        <w:rPr>
          <w:rFonts w:ascii="Times New Roman" w:hAnsi="Times New Roman"/>
          <w:sz w:val="24"/>
          <w:szCs w:val="24"/>
        </w:rPr>
        <w:t>интернет-ресурса</w:t>
      </w:r>
      <w:proofErr w:type="spellEnd"/>
      <w:r w:rsidRPr="00C61AA4">
        <w:rPr>
          <w:rFonts w:ascii="Times New Roman" w:hAnsi="Times New Roman"/>
          <w:sz w:val="24"/>
          <w:szCs w:val="24"/>
        </w:rPr>
        <w:t xml:space="preserve">, телевизионных программ и др. </w:t>
      </w:r>
      <w:proofErr w:type="gramEnd"/>
    </w:p>
    <w:p w:rsidR="006346A7" w:rsidRPr="00C61AA4" w:rsidRDefault="006346A7" w:rsidP="006346A7">
      <w:pPr>
        <w:spacing w:line="240" w:lineRule="auto"/>
        <w:ind w:firstLine="709"/>
        <w:contextualSpacing/>
        <w:jc w:val="both"/>
        <w:rPr>
          <w:rFonts w:ascii="Times New Roman" w:hAnsi="Times New Roman"/>
          <w:b/>
          <w:i/>
          <w:sz w:val="24"/>
        </w:rPr>
      </w:pPr>
      <w:r w:rsidRPr="00C61AA4">
        <w:rPr>
          <w:rFonts w:ascii="Times New Roman" w:hAnsi="Times New Roman"/>
          <w:sz w:val="24"/>
          <w:szCs w:val="24"/>
        </w:rPr>
        <w:t xml:space="preserve">В частности в рамках Программы </w:t>
      </w:r>
      <w:r w:rsidRPr="00C61AA4">
        <w:rPr>
          <w:rFonts w:ascii="Times New Roman" w:hAnsi="Times New Roman"/>
          <w:bCs/>
          <w:sz w:val="24"/>
          <w:szCs w:val="24"/>
        </w:rPr>
        <w:t>финансовой грамотности</w:t>
      </w:r>
      <w:r w:rsidRPr="00C61AA4">
        <w:rPr>
          <w:rFonts w:ascii="Times New Roman" w:hAnsi="Times New Roman"/>
          <w:sz w:val="24"/>
          <w:szCs w:val="24"/>
        </w:rPr>
        <w:t xml:space="preserve"> в 2016 году:</w:t>
      </w:r>
    </w:p>
    <w:p w:rsidR="006346A7" w:rsidRPr="00C61AA4" w:rsidRDefault="006346A7" w:rsidP="006346A7">
      <w:pPr>
        <w:spacing w:line="240" w:lineRule="auto"/>
        <w:ind w:firstLine="709"/>
        <w:contextualSpacing/>
        <w:jc w:val="both"/>
        <w:rPr>
          <w:rFonts w:ascii="Times New Roman" w:hAnsi="Times New Roman"/>
          <w:b/>
          <w:i/>
          <w:sz w:val="24"/>
        </w:rPr>
      </w:pPr>
      <w:r w:rsidRPr="00C61AA4">
        <w:rPr>
          <w:rFonts w:ascii="Times New Roman" w:hAnsi="Times New Roman"/>
          <w:b/>
          <w:i/>
          <w:sz w:val="24"/>
        </w:rPr>
        <w:t xml:space="preserve">- </w:t>
      </w:r>
      <w:r w:rsidRPr="00C61AA4">
        <w:rPr>
          <w:rFonts w:ascii="Times New Roman" w:hAnsi="Times New Roman"/>
          <w:sz w:val="24"/>
          <w:szCs w:val="24"/>
        </w:rPr>
        <w:t>в эфире телеканала с республиканским вещанием осуществлен запуск образовательной телепрограммы, в которой в качестве спикеров выступали руководители подразделений Национального Банка;</w:t>
      </w:r>
    </w:p>
    <w:p w:rsidR="006346A7" w:rsidRPr="00C61AA4" w:rsidRDefault="006346A7" w:rsidP="006346A7">
      <w:pPr>
        <w:spacing w:line="240" w:lineRule="auto"/>
        <w:ind w:firstLine="709"/>
        <w:contextualSpacing/>
        <w:jc w:val="both"/>
        <w:rPr>
          <w:rFonts w:ascii="Times New Roman" w:hAnsi="Times New Roman"/>
          <w:b/>
          <w:i/>
          <w:sz w:val="24"/>
        </w:rPr>
      </w:pPr>
      <w:r w:rsidRPr="00C61AA4">
        <w:rPr>
          <w:rFonts w:ascii="Times New Roman" w:hAnsi="Times New Roman"/>
          <w:b/>
          <w:i/>
          <w:sz w:val="24"/>
        </w:rPr>
        <w:t>-</w:t>
      </w:r>
      <w:r w:rsidRPr="00C61AA4">
        <w:rPr>
          <w:rFonts w:ascii="Times New Roman" w:hAnsi="Times New Roman"/>
          <w:sz w:val="24"/>
          <w:szCs w:val="24"/>
        </w:rPr>
        <w:t xml:space="preserve"> проведены открытые образовательные лекции для студентов выпускных курсов университетов, институтов, а также граждан регионов в крупнейших городах Казахстана;</w:t>
      </w:r>
    </w:p>
    <w:p w:rsidR="006346A7" w:rsidRPr="00C61AA4" w:rsidRDefault="006346A7" w:rsidP="006346A7">
      <w:pPr>
        <w:spacing w:line="240" w:lineRule="auto"/>
        <w:ind w:firstLine="709"/>
        <w:contextualSpacing/>
        <w:jc w:val="both"/>
        <w:rPr>
          <w:rFonts w:ascii="Times New Roman" w:hAnsi="Times New Roman"/>
          <w:b/>
          <w:i/>
          <w:sz w:val="24"/>
        </w:rPr>
      </w:pPr>
      <w:r w:rsidRPr="00C61AA4">
        <w:rPr>
          <w:rFonts w:ascii="Times New Roman" w:hAnsi="Times New Roman"/>
          <w:b/>
          <w:i/>
          <w:sz w:val="24"/>
        </w:rPr>
        <w:t>-</w:t>
      </w:r>
      <w:r w:rsidRPr="00C61AA4">
        <w:rPr>
          <w:rFonts w:ascii="Times New Roman" w:hAnsi="Times New Roman"/>
          <w:sz w:val="24"/>
          <w:szCs w:val="24"/>
        </w:rPr>
        <w:t xml:space="preserve"> разработан и запущен единый Интернет-портал, посвященный финансовому образованию населения. В настоящее время на </w:t>
      </w:r>
      <w:proofErr w:type="gramStart"/>
      <w:r w:rsidRPr="00C61AA4">
        <w:rPr>
          <w:rFonts w:ascii="Times New Roman" w:hAnsi="Times New Roman"/>
          <w:sz w:val="24"/>
          <w:szCs w:val="24"/>
        </w:rPr>
        <w:t>данном</w:t>
      </w:r>
      <w:proofErr w:type="gramEnd"/>
      <w:r w:rsidRPr="00C61AA4">
        <w:rPr>
          <w:rFonts w:ascii="Times New Roman" w:hAnsi="Times New Roman"/>
          <w:sz w:val="24"/>
          <w:szCs w:val="24"/>
        </w:rPr>
        <w:t xml:space="preserve"> </w:t>
      </w:r>
      <w:proofErr w:type="spellStart"/>
      <w:r w:rsidRPr="00C61AA4">
        <w:rPr>
          <w:rFonts w:ascii="Times New Roman" w:hAnsi="Times New Roman"/>
          <w:sz w:val="24"/>
          <w:szCs w:val="24"/>
        </w:rPr>
        <w:t>интернет-ресурсе</w:t>
      </w:r>
      <w:proofErr w:type="spellEnd"/>
      <w:r w:rsidRPr="00C61AA4">
        <w:rPr>
          <w:rFonts w:ascii="Times New Roman" w:hAnsi="Times New Roman"/>
          <w:sz w:val="24"/>
          <w:szCs w:val="24"/>
        </w:rPr>
        <w:t xml:space="preserve"> запущен опрос по определению уровня финансовой грамотности населения, а также ведется работа по его наполнению актуальной информацией;</w:t>
      </w:r>
    </w:p>
    <w:p w:rsidR="006346A7" w:rsidRPr="00C61AA4" w:rsidRDefault="006346A7" w:rsidP="006346A7">
      <w:pPr>
        <w:spacing w:line="240" w:lineRule="auto"/>
        <w:ind w:firstLine="709"/>
        <w:contextualSpacing/>
        <w:jc w:val="both"/>
        <w:rPr>
          <w:rFonts w:ascii="Times New Roman" w:hAnsi="Times New Roman"/>
          <w:b/>
          <w:i/>
          <w:sz w:val="24"/>
        </w:rPr>
      </w:pPr>
      <w:r w:rsidRPr="00C61AA4">
        <w:rPr>
          <w:rFonts w:ascii="Times New Roman" w:hAnsi="Times New Roman"/>
          <w:b/>
          <w:i/>
          <w:sz w:val="24"/>
        </w:rPr>
        <w:t>-</w:t>
      </w:r>
      <w:r w:rsidRPr="00C61AA4">
        <w:rPr>
          <w:rFonts w:ascii="Times New Roman" w:hAnsi="Times New Roman"/>
          <w:sz w:val="24"/>
          <w:szCs w:val="24"/>
        </w:rPr>
        <w:t xml:space="preserve"> разработаны и выпущены информационные буклеты по финансовым услугам;</w:t>
      </w:r>
    </w:p>
    <w:p w:rsidR="006346A7" w:rsidRPr="00C61AA4" w:rsidRDefault="006346A7" w:rsidP="006346A7">
      <w:pPr>
        <w:spacing w:line="240" w:lineRule="auto"/>
        <w:ind w:firstLine="709"/>
        <w:contextualSpacing/>
        <w:jc w:val="both"/>
        <w:rPr>
          <w:rFonts w:ascii="Times New Roman" w:hAnsi="Times New Roman"/>
          <w:b/>
          <w:i/>
          <w:sz w:val="24"/>
        </w:rPr>
      </w:pPr>
      <w:r w:rsidRPr="00C61AA4">
        <w:rPr>
          <w:rFonts w:ascii="Times New Roman" w:hAnsi="Times New Roman"/>
          <w:b/>
          <w:i/>
          <w:sz w:val="24"/>
        </w:rPr>
        <w:t>-</w:t>
      </w:r>
      <w:r w:rsidRPr="00C61AA4">
        <w:rPr>
          <w:rFonts w:ascii="Times New Roman" w:hAnsi="Times New Roman"/>
          <w:sz w:val="24"/>
          <w:szCs w:val="24"/>
        </w:rPr>
        <w:t xml:space="preserve"> в рамках мероприятия «Публикация информационных материалов на наиболее актуальные темы о финансовых услугах для потребителей» за 2016 год на </w:t>
      </w:r>
      <w:proofErr w:type="spellStart"/>
      <w:r w:rsidRPr="00C61AA4">
        <w:rPr>
          <w:rFonts w:ascii="Times New Roman" w:hAnsi="Times New Roman"/>
          <w:sz w:val="24"/>
          <w:szCs w:val="24"/>
        </w:rPr>
        <w:t>интернет-ресурсе</w:t>
      </w:r>
      <w:proofErr w:type="spellEnd"/>
      <w:r w:rsidRPr="00C61AA4">
        <w:rPr>
          <w:rFonts w:ascii="Times New Roman" w:hAnsi="Times New Roman"/>
          <w:sz w:val="24"/>
          <w:szCs w:val="24"/>
        </w:rPr>
        <w:t xml:space="preserve"> Национального Банка было размещено более 250 материалов по наиболее актуальным темам по финансовым услугам;</w:t>
      </w:r>
    </w:p>
    <w:p w:rsidR="006346A7" w:rsidRPr="00C61AA4" w:rsidRDefault="006346A7" w:rsidP="006346A7">
      <w:pPr>
        <w:spacing w:line="240" w:lineRule="auto"/>
        <w:ind w:firstLine="709"/>
        <w:contextualSpacing/>
        <w:jc w:val="both"/>
        <w:rPr>
          <w:rFonts w:ascii="Times New Roman" w:hAnsi="Times New Roman"/>
          <w:b/>
          <w:i/>
          <w:sz w:val="24"/>
        </w:rPr>
      </w:pPr>
      <w:r w:rsidRPr="00C61AA4">
        <w:rPr>
          <w:rFonts w:ascii="Times New Roman" w:hAnsi="Times New Roman"/>
          <w:b/>
          <w:i/>
          <w:sz w:val="24"/>
        </w:rPr>
        <w:t>-</w:t>
      </w:r>
      <w:r w:rsidR="00944C42" w:rsidRPr="00C61AA4">
        <w:rPr>
          <w:rFonts w:ascii="Times New Roman" w:hAnsi="Times New Roman"/>
          <w:sz w:val="24"/>
          <w:szCs w:val="24"/>
        </w:rPr>
        <w:t xml:space="preserve"> на </w:t>
      </w:r>
      <w:proofErr w:type="spellStart"/>
      <w:r w:rsidR="00944C42" w:rsidRPr="00C61AA4">
        <w:rPr>
          <w:rFonts w:ascii="Times New Roman" w:hAnsi="Times New Roman"/>
          <w:sz w:val="24"/>
          <w:szCs w:val="24"/>
        </w:rPr>
        <w:t>интернет-ресурсе</w:t>
      </w:r>
      <w:proofErr w:type="spellEnd"/>
      <w:r w:rsidR="00944C42" w:rsidRPr="00C61AA4">
        <w:rPr>
          <w:rFonts w:ascii="Times New Roman" w:hAnsi="Times New Roman"/>
          <w:sz w:val="24"/>
          <w:szCs w:val="24"/>
        </w:rPr>
        <w:t xml:space="preserve"> </w:t>
      </w:r>
      <w:r w:rsidRPr="00C61AA4">
        <w:rPr>
          <w:rFonts w:ascii="Times New Roman" w:hAnsi="Times New Roman"/>
          <w:sz w:val="24"/>
          <w:szCs w:val="24"/>
        </w:rPr>
        <w:t>Национального Банка на постоянной основе размещается информация о ставках и тарифах по кредитам и депозитам;</w:t>
      </w:r>
    </w:p>
    <w:p w:rsidR="006346A7" w:rsidRPr="00C61AA4" w:rsidRDefault="006346A7" w:rsidP="006346A7">
      <w:pPr>
        <w:spacing w:line="240" w:lineRule="auto"/>
        <w:ind w:firstLine="709"/>
        <w:contextualSpacing/>
        <w:jc w:val="both"/>
        <w:rPr>
          <w:rFonts w:ascii="Times New Roman" w:hAnsi="Times New Roman"/>
          <w:b/>
          <w:i/>
          <w:sz w:val="24"/>
        </w:rPr>
      </w:pPr>
      <w:r w:rsidRPr="00C61AA4">
        <w:rPr>
          <w:rFonts w:ascii="Times New Roman" w:hAnsi="Times New Roman"/>
          <w:b/>
          <w:i/>
          <w:sz w:val="24"/>
        </w:rPr>
        <w:t>-</w:t>
      </w:r>
      <w:r w:rsidRPr="00C61AA4">
        <w:rPr>
          <w:rFonts w:ascii="Times New Roman" w:hAnsi="Times New Roman"/>
          <w:sz w:val="24"/>
          <w:szCs w:val="24"/>
        </w:rPr>
        <w:t xml:space="preserve"> параллельно, отдельным направлением деятельности Национального Банка является работа по предоставлению консультаций по финансовым услугам и оказанию правовой помощи. На протяжении 2016 года </w:t>
      </w:r>
      <w:r w:rsidR="00152409" w:rsidRPr="00C61AA4">
        <w:rPr>
          <w:rFonts w:ascii="Times New Roman" w:hAnsi="Times New Roman"/>
          <w:sz w:val="24"/>
          <w:szCs w:val="24"/>
        </w:rPr>
        <w:t>НБРК</w:t>
      </w:r>
      <w:r w:rsidRPr="00C61AA4">
        <w:rPr>
          <w:rFonts w:ascii="Times New Roman" w:hAnsi="Times New Roman"/>
          <w:sz w:val="24"/>
          <w:szCs w:val="24"/>
        </w:rPr>
        <w:t xml:space="preserve"> в рамках предоставления консультационной помощи потребителям финансовых услуг </w:t>
      </w:r>
      <w:proofErr w:type="gramStart"/>
      <w:r w:rsidRPr="00C61AA4">
        <w:rPr>
          <w:rFonts w:ascii="Times New Roman" w:hAnsi="Times New Roman"/>
          <w:sz w:val="24"/>
          <w:szCs w:val="24"/>
        </w:rPr>
        <w:t>предоставлялась</w:t>
      </w:r>
      <w:proofErr w:type="gramEnd"/>
      <w:r w:rsidRPr="00C61AA4">
        <w:rPr>
          <w:rFonts w:ascii="Times New Roman" w:hAnsi="Times New Roman"/>
          <w:sz w:val="24"/>
          <w:szCs w:val="24"/>
        </w:rPr>
        <w:t xml:space="preserve"> в том числе разъяснительная информация о действующих финансовых продуктах. В рамках данной работы осуществлен прием (в том числе в Общественной приемной НБРК) и предоставлены консультации более 1900 гражданам. </w:t>
      </w:r>
    </w:p>
    <w:p w:rsidR="006346A7" w:rsidRPr="00C61AA4" w:rsidRDefault="006346A7" w:rsidP="006346A7">
      <w:pPr>
        <w:spacing w:line="240" w:lineRule="auto"/>
        <w:ind w:firstLine="709"/>
        <w:contextualSpacing/>
        <w:jc w:val="both"/>
        <w:rPr>
          <w:rFonts w:ascii="Times New Roman" w:hAnsi="Times New Roman"/>
          <w:b/>
          <w:i/>
          <w:sz w:val="24"/>
        </w:rPr>
      </w:pPr>
      <w:r w:rsidRPr="00C61AA4">
        <w:rPr>
          <w:rFonts w:ascii="Times New Roman" w:hAnsi="Times New Roman"/>
          <w:sz w:val="24"/>
          <w:szCs w:val="24"/>
        </w:rPr>
        <w:t>Также необходимо учитывать то, что результаты по реализации мероприятий по повышению финансовой грамотности имеют долгосрочный характер. В этой связи оценка результатов вышеперечисленных мероприятий предполагается возможной по итогам завершения реализации Программы.</w:t>
      </w:r>
    </w:p>
    <w:p w:rsidR="006346A7" w:rsidRPr="00C61AA4" w:rsidRDefault="006346A7" w:rsidP="006346A7">
      <w:pPr>
        <w:spacing w:line="240" w:lineRule="auto"/>
        <w:ind w:firstLine="709"/>
        <w:contextualSpacing/>
        <w:jc w:val="both"/>
        <w:rPr>
          <w:rFonts w:ascii="Times New Roman" w:hAnsi="Times New Roman"/>
          <w:b/>
          <w:i/>
          <w:color w:val="000000"/>
          <w:sz w:val="24"/>
          <w:szCs w:val="24"/>
        </w:rPr>
      </w:pPr>
    </w:p>
    <w:p w:rsidR="006346A7" w:rsidRPr="00C61AA4" w:rsidRDefault="006346A7" w:rsidP="006346A7">
      <w:pPr>
        <w:spacing w:line="240" w:lineRule="auto"/>
        <w:ind w:firstLine="709"/>
        <w:contextualSpacing/>
        <w:jc w:val="both"/>
        <w:rPr>
          <w:rFonts w:ascii="Times New Roman" w:hAnsi="Times New Roman"/>
          <w:i/>
          <w:sz w:val="24"/>
          <w:szCs w:val="24"/>
          <w:lang w:val="kk-KZ"/>
        </w:rPr>
      </w:pPr>
      <w:r w:rsidRPr="00C61AA4">
        <w:rPr>
          <w:rFonts w:ascii="Times New Roman" w:hAnsi="Times New Roman"/>
          <w:b/>
          <w:i/>
          <w:sz w:val="24"/>
          <w:szCs w:val="24"/>
        </w:rPr>
        <w:t>Целевой индикатор 4:</w:t>
      </w:r>
      <w:r w:rsidRPr="00C61AA4">
        <w:rPr>
          <w:rFonts w:ascii="Times New Roman" w:hAnsi="Times New Roman"/>
          <w:i/>
          <w:sz w:val="24"/>
          <w:szCs w:val="24"/>
        </w:rPr>
        <w:t xml:space="preserve"> </w:t>
      </w:r>
      <w:r w:rsidRPr="00C61AA4">
        <w:rPr>
          <w:rFonts w:ascii="Times New Roman" w:hAnsi="Times New Roman"/>
          <w:b/>
          <w:i/>
          <w:sz w:val="24"/>
          <w:szCs w:val="24"/>
          <w:lang w:val="kk-KZ"/>
        </w:rPr>
        <w:t xml:space="preserve">Показатель «Стоимость финансовых услуг» Глобального индекса конкурентоспособности </w:t>
      </w:r>
      <w:r w:rsidRPr="00C61AA4">
        <w:rPr>
          <w:rFonts w:ascii="Times New Roman" w:hAnsi="Times New Roman"/>
          <w:i/>
          <w:sz w:val="24"/>
          <w:szCs w:val="24"/>
          <w:lang w:val="kk-KZ"/>
        </w:rPr>
        <w:t>(60 место в рейтинге ГИК ВЭФ)</w:t>
      </w:r>
    </w:p>
    <w:p w:rsidR="006346A7" w:rsidRPr="00C61AA4" w:rsidRDefault="006346A7" w:rsidP="006346A7">
      <w:pPr>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 xml:space="preserve">В соответствии с Отчетом о глобальной конкурентоспособности по показателю «Стоимость финансовых услуг» позиция Казахстана по сравнению с 2015 годом понизилась на 23 пунктов и составила 76 место. </w:t>
      </w:r>
      <w:r w:rsidR="00A72FCB" w:rsidRPr="00C61AA4">
        <w:rPr>
          <w:rFonts w:ascii="Times New Roman" w:hAnsi="Times New Roman"/>
          <w:sz w:val="24"/>
          <w:szCs w:val="24"/>
        </w:rPr>
        <w:t xml:space="preserve">Принимая во внимание, что данный индикатор ГИК ВЭФ оценивался опросным путем, как общее место республики, оценить влияние принимаемых мер не представляется возможным. </w:t>
      </w:r>
    </w:p>
    <w:p w:rsidR="00933030" w:rsidRPr="00C61AA4" w:rsidRDefault="00933030" w:rsidP="00933030">
      <w:pPr>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 xml:space="preserve">В течение 2016 года посредством установления базовой ставки и возобновления операций постоянного доступа </w:t>
      </w:r>
      <w:r w:rsidR="00152409" w:rsidRPr="00C61AA4">
        <w:rPr>
          <w:rFonts w:ascii="Times New Roman" w:hAnsi="Times New Roman"/>
          <w:sz w:val="24"/>
          <w:szCs w:val="24"/>
        </w:rPr>
        <w:t>НБРК</w:t>
      </w:r>
      <w:r w:rsidRPr="00C61AA4">
        <w:rPr>
          <w:rFonts w:ascii="Times New Roman" w:hAnsi="Times New Roman"/>
          <w:sz w:val="24"/>
          <w:szCs w:val="24"/>
        </w:rPr>
        <w:t xml:space="preserve"> удалось усилить </w:t>
      </w:r>
      <w:proofErr w:type="gramStart"/>
      <w:r w:rsidRPr="00C61AA4">
        <w:rPr>
          <w:rFonts w:ascii="Times New Roman" w:hAnsi="Times New Roman"/>
          <w:sz w:val="24"/>
          <w:szCs w:val="24"/>
        </w:rPr>
        <w:t>контроль за</w:t>
      </w:r>
      <w:proofErr w:type="gramEnd"/>
      <w:r w:rsidRPr="00C61AA4">
        <w:rPr>
          <w:rFonts w:ascii="Times New Roman" w:hAnsi="Times New Roman"/>
          <w:sz w:val="24"/>
          <w:szCs w:val="24"/>
        </w:rPr>
        <w:t xml:space="preserve"> процентными ставками и устранить сложившийся в конце 2015 года дисбаланс на денежном рынке. Средневзвешенные ставки денежного рынка снизились с 42,9% в январе 2016 года до 11,4% в декабре 2016 года, обеспечив их формирование внутри процентного коридора базовой ставки.</w:t>
      </w:r>
    </w:p>
    <w:p w:rsidR="00933030" w:rsidRPr="00C61AA4" w:rsidRDefault="00933030" w:rsidP="00933030">
      <w:pPr>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Вместе с тем, были предприняты меры по расширению дифференциала рекомендуемых КФГД ставок по депозитам в тенге и иностранной валюте (депозиты в иностранной валюте снижены с 69,9% до 54,6%, средневзвешенные ставки вознаграждения по депозитам юридических лиц в национальной валюте снизились с 29,3% до 10,4%).</w:t>
      </w:r>
    </w:p>
    <w:p w:rsidR="00933030" w:rsidRPr="00C61AA4" w:rsidRDefault="00933030" w:rsidP="006346A7">
      <w:pPr>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 xml:space="preserve">Такие мероприятия позволили банкам возобновить процесс кредитования экономики со 2 полугодия 2016 года. Основной прирост нового кредитования обеспечен за счет роста объемов выдачи субъектам малого бизнеса (рост объемов выдачи на 55% выше значения прошлого года). В частности рост наблюдался в секторе торговли и обрабатывающей промышленности. Кроме того, в течение 2016 года отмечалось постепенное снижение средневзвешенной ставки по кредитным ресурсам в национальной валюте с 23,7% до 15,5%.  </w:t>
      </w:r>
    </w:p>
    <w:p w:rsidR="006346A7" w:rsidRPr="00C61AA4" w:rsidRDefault="006346A7" w:rsidP="006346A7">
      <w:pPr>
        <w:spacing w:line="240" w:lineRule="auto"/>
        <w:ind w:firstLine="709"/>
        <w:contextualSpacing/>
        <w:jc w:val="both"/>
        <w:rPr>
          <w:rFonts w:ascii="Times New Roman" w:hAnsi="Times New Roman"/>
          <w:b/>
          <w:i/>
          <w:sz w:val="24"/>
        </w:rPr>
      </w:pPr>
      <w:r w:rsidRPr="00C61AA4">
        <w:rPr>
          <w:rFonts w:ascii="Times New Roman" w:hAnsi="Times New Roman"/>
          <w:b/>
          <w:bCs/>
          <w:i/>
          <w:iCs/>
          <w:sz w:val="24"/>
        </w:rPr>
        <w:t>Мероприятия для достижения  целевого индикатора:</w:t>
      </w:r>
    </w:p>
    <w:p w:rsidR="006346A7" w:rsidRPr="00C61AA4" w:rsidRDefault="006346A7" w:rsidP="006346A7">
      <w:pPr>
        <w:spacing w:line="240" w:lineRule="auto"/>
        <w:ind w:firstLine="709"/>
        <w:contextualSpacing/>
        <w:jc w:val="both"/>
        <w:rPr>
          <w:rFonts w:ascii="Times New Roman" w:hAnsi="Times New Roman"/>
          <w:i/>
          <w:sz w:val="24"/>
          <w:szCs w:val="24"/>
          <w:lang w:val="kk-KZ"/>
        </w:rPr>
      </w:pPr>
      <w:r w:rsidRPr="00C61AA4">
        <w:rPr>
          <w:rFonts w:ascii="Times New Roman" w:hAnsi="Times New Roman"/>
          <w:sz w:val="24"/>
          <w:szCs w:val="24"/>
        </w:rPr>
        <w:lastRenderedPageBreak/>
        <w:t>Для решения правовых проблем в рамках показателя «Стоимость финансовых услуг» был принят ряд нормативных правовых актов</w:t>
      </w:r>
      <w:r w:rsidR="00E87F8C" w:rsidRPr="00C61AA4">
        <w:rPr>
          <w:rFonts w:ascii="Times New Roman" w:hAnsi="Times New Roman"/>
          <w:sz w:val="24"/>
          <w:szCs w:val="24"/>
        </w:rPr>
        <w:t>:</w:t>
      </w:r>
    </w:p>
    <w:p w:rsidR="00E87F8C" w:rsidRPr="00C61AA4" w:rsidRDefault="00E87F8C" w:rsidP="00E87F8C">
      <w:pPr>
        <w:spacing w:line="240" w:lineRule="auto"/>
        <w:ind w:firstLine="709"/>
        <w:contextualSpacing/>
        <w:jc w:val="both"/>
        <w:rPr>
          <w:rFonts w:ascii="Times New Roman" w:hAnsi="Times New Roman"/>
          <w:i/>
          <w:sz w:val="24"/>
          <w:szCs w:val="24"/>
          <w:lang w:val="kk-KZ"/>
        </w:rPr>
      </w:pPr>
      <w:r w:rsidRPr="00C61AA4">
        <w:rPr>
          <w:rFonts w:ascii="Times New Roman" w:hAnsi="Times New Roman"/>
          <w:sz w:val="24"/>
          <w:szCs w:val="24"/>
        </w:rPr>
        <w:t xml:space="preserve">- установление перечня комиссий и иных платежей, учитываемых банками и </w:t>
      </w:r>
      <w:proofErr w:type="spellStart"/>
      <w:r w:rsidRPr="00C61AA4">
        <w:rPr>
          <w:rFonts w:ascii="Times New Roman" w:hAnsi="Times New Roman"/>
          <w:sz w:val="24"/>
          <w:szCs w:val="24"/>
        </w:rPr>
        <w:t>микрофинансовыми</w:t>
      </w:r>
      <w:proofErr w:type="spellEnd"/>
      <w:r w:rsidRPr="00C61AA4">
        <w:rPr>
          <w:rFonts w:ascii="Times New Roman" w:hAnsi="Times New Roman"/>
          <w:sz w:val="24"/>
          <w:szCs w:val="24"/>
        </w:rPr>
        <w:t xml:space="preserve"> организациями при расчете годовой эффективной ставки вознаграждения по займу и </w:t>
      </w:r>
      <w:proofErr w:type="spellStart"/>
      <w:r w:rsidRPr="00C61AA4">
        <w:rPr>
          <w:rFonts w:ascii="Times New Roman" w:hAnsi="Times New Roman"/>
          <w:sz w:val="24"/>
          <w:szCs w:val="24"/>
        </w:rPr>
        <w:t>микрокредиту</w:t>
      </w:r>
      <w:proofErr w:type="spellEnd"/>
      <w:r w:rsidRPr="00C61AA4">
        <w:rPr>
          <w:rFonts w:ascii="Times New Roman" w:hAnsi="Times New Roman"/>
          <w:sz w:val="24"/>
          <w:szCs w:val="24"/>
        </w:rPr>
        <w:t xml:space="preserve"> (ПП НБРК №134 от 30.05.16г.). Данное мероприятие обеспечит прозрачность стоимости услуг банка и </w:t>
      </w:r>
      <w:proofErr w:type="spellStart"/>
      <w:r w:rsidRPr="00C61AA4">
        <w:rPr>
          <w:rFonts w:ascii="Times New Roman" w:hAnsi="Times New Roman"/>
          <w:sz w:val="24"/>
          <w:szCs w:val="24"/>
        </w:rPr>
        <w:t>микрофинансовой</w:t>
      </w:r>
      <w:proofErr w:type="spellEnd"/>
      <w:r w:rsidRPr="00C61AA4">
        <w:rPr>
          <w:rFonts w:ascii="Times New Roman" w:hAnsi="Times New Roman"/>
          <w:sz w:val="24"/>
          <w:szCs w:val="24"/>
        </w:rPr>
        <w:t xml:space="preserve"> организации при предоставлении и обслуживании банковских займов (</w:t>
      </w:r>
      <w:proofErr w:type="spellStart"/>
      <w:r w:rsidRPr="00C61AA4">
        <w:rPr>
          <w:rFonts w:ascii="Times New Roman" w:hAnsi="Times New Roman"/>
          <w:sz w:val="24"/>
          <w:szCs w:val="24"/>
        </w:rPr>
        <w:t>микрокредитов</w:t>
      </w:r>
      <w:proofErr w:type="spellEnd"/>
      <w:r w:rsidRPr="00C61AA4">
        <w:rPr>
          <w:rFonts w:ascii="Times New Roman" w:hAnsi="Times New Roman"/>
          <w:sz w:val="24"/>
          <w:szCs w:val="24"/>
        </w:rPr>
        <w:t>) физических лиц, поскольку в расчет годовой эффективной ставки вознаграждения, которая отражает реальную стоимость кредита, будут включаться комиссии/платежи, указанные в перечне;</w:t>
      </w:r>
      <w:r w:rsidRPr="00C61AA4">
        <w:rPr>
          <w:rFonts w:ascii="Times New Roman" w:hAnsi="Times New Roman"/>
          <w:i/>
          <w:sz w:val="24"/>
          <w:szCs w:val="24"/>
          <w:lang w:val="kk-KZ"/>
        </w:rPr>
        <w:t xml:space="preserve"> </w:t>
      </w:r>
    </w:p>
    <w:p w:rsidR="00E87F8C" w:rsidRPr="00C61AA4" w:rsidRDefault="00E87F8C" w:rsidP="00E87F8C">
      <w:pPr>
        <w:spacing w:line="240" w:lineRule="auto"/>
        <w:ind w:firstLine="709"/>
        <w:contextualSpacing/>
        <w:jc w:val="both"/>
        <w:rPr>
          <w:rFonts w:ascii="Times New Roman" w:hAnsi="Times New Roman"/>
          <w:i/>
          <w:sz w:val="24"/>
          <w:szCs w:val="24"/>
          <w:lang w:val="kk-KZ"/>
        </w:rPr>
      </w:pPr>
      <w:r w:rsidRPr="00C61AA4">
        <w:rPr>
          <w:rFonts w:ascii="Times New Roman" w:hAnsi="Times New Roman"/>
          <w:i/>
          <w:sz w:val="24"/>
          <w:szCs w:val="24"/>
          <w:lang w:val="kk-KZ"/>
        </w:rPr>
        <w:t xml:space="preserve">- </w:t>
      </w:r>
      <w:r w:rsidRPr="00C61AA4">
        <w:rPr>
          <w:rFonts w:ascii="Times New Roman" w:hAnsi="Times New Roman"/>
          <w:sz w:val="24"/>
          <w:szCs w:val="24"/>
        </w:rPr>
        <w:t xml:space="preserve">разработку Методики расчета регулярных платежей по займам и </w:t>
      </w:r>
      <w:proofErr w:type="spellStart"/>
      <w:r w:rsidRPr="00C61AA4">
        <w:rPr>
          <w:rFonts w:ascii="Times New Roman" w:hAnsi="Times New Roman"/>
          <w:sz w:val="24"/>
          <w:szCs w:val="24"/>
        </w:rPr>
        <w:t>микрокредитам</w:t>
      </w:r>
      <w:proofErr w:type="spellEnd"/>
      <w:r w:rsidRPr="00C61AA4">
        <w:rPr>
          <w:rFonts w:ascii="Times New Roman" w:hAnsi="Times New Roman"/>
          <w:sz w:val="24"/>
          <w:szCs w:val="24"/>
        </w:rPr>
        <w:t xml:space="preserve">, выдаваемым банками, организациями, осуществляющими отдельные виды банковских операций, и </w:t>
      </w:r>
      <w:proofErr w:type="spellStart"/>
      <w:r w:rsidRPr="00C61AA4">
        <w:rPr>
          <w:rFonts w:ascii="Times New Roman" w:hAnsi="Times New Roman"/>
          <w:sz w:val="24"/>
          <w:szCs w:val="24"/>
        </w:rPr>
        <w:t>микрофинансовыми</w:t>
      </w:r>
      <w:proofErr w:type="spellEnd"/>
      <w:r w:rsidRPr="00C61AA4">
        <w:rPr>
          <w:rFonts w:ascii="Times New Roman" w:hAnsi="Times New Roman"/>
          <w:sz w:val="24"/>
          <w:szCs w:val="24"/>
        </w:rPr>
        <w:t xml:space="preserve">  организациями физическим лицам и предусматривающим наличие графика погашения, а также временные базы для расчета вознаграждения по таким займам (</w:t>
      </w:r>
      <w:proofErr w:type="spellStart"/>
      <w:r w:rsidRPr="00C61AA4">
        <w:rPr>
          <w:rFonts w:ascii="Times New Roman" w:hAnsi="Times New Roman"/>
          <w:sz w:val="24"/>
          <w:szCs w:val="24"/>
        </w:rPr>
        <w:t>микрокредитам</w:t>
      </w:r>
      <w:proofErr w:type="spellEnd"/>
      <w:r w:rsidRPr="00C61AA4">
        <w:rPr>
          <w:rFonts w:ascii="Times New Roman" w:hAnsi="Times New Roman"/>
          <w:sz w:val="24"/>
          <w:szCs w:val="24"/>
        </w:rPr>
        <w:t xml:space="preserve">) (ПП НБРК №8 от 28.01.16г.). </w:t>
      </w:r>
    </w:p>
    <w:p w:rsidR="006346A7" w:rsidRPr="00C61AA4" w:rsidRDefault="006346A7" w:rsidP="006346A7">
      <w:pPr>
        <w:spacing w:line="240" w:lineRule="auto"/>
        <w:ind w:firstLine="709"/>
        <w:contextualSpacing/>
        <w:jc w:val="both"/>
        <w:rPr>
          <w:rFonts w:ascii="Times New Roman" w:hAnsi="Times New Roman"/>
          <w:i/>
          <w:sz w:val="24"/>
          <w:szCs w:val="24"/>
          <w:lang w:val="kk-KZ"/>
        </w:rPr>
      </w:pPr>
      <w:r w:rsidRPr="00C61AA4">
        <w:rPr>
          <w:rFonts w:ascii="Times New Roman" w:hAnsi="Times New Roman"/>
          <w:sz w:val="24"/>
          <w:szCs w:val="24"/>
        </w:rPr>
        <w:t xml:space="preserve">До настоящего времени формула расчета вознаграждения определялась каждым банком самостоятельно (исходя из экономической теории), равно как и временные базы (количество дней в месяце и в году), используемые для его расчета. </w:t>
      </w:r>
    </w:p>
    <w:p w:rsidR="006346A7" w:rsidRPr="00C61AA4" w:rsidRDefault="006346A7" w:rsidP="006346A7">
      <w:pPr>
        <w:spacing w:line="240" w:lineRule="auto"/>
        <w:ind w:firstLine="709"/>
        <w:contextualSpacing/>
        <w:jc w:val="both"/>
        <w:rPr>
          <w:rFonts w:ascii="Times New Roman" w:hAnsi="Times New Roman"/>
          <w:i/>
          <w:sz w:val="24"/>
          <w:szCs w:val="24"/>
          <w:lang w:val="kk-KZ"/>
        </w:rPr>
      </w:pPr>
      <w:r w:rsidRPr="00C61AA4">
        <w:rPr>
          <w:rFonts w:ascii="Times New Roman" w:hAnsi="Times New Roman"/>
          <w:sz w:val="24"/>
          <w:szCs w:val="24"/>
        </w:rPr>
        <w:t xml:space="preserve">Отсутствие единых методик расчета регулярных платежей и  временной базы (360 или 365 дней в году) приводило к тому, что при равных условиях кредитования в разных банках размеры и итоговая сумма </w:t>
      </w:r>
      <w:proofErr w:type="gramStart"/>
      <w:r w:rsidRPr="00C61AA4">
        <w:rPr>
          <w:rFonts w:ascii="Times New Roman" w:hAnsi="Times New Roman"/>
          <w:sz w:val="24"/>
          <w:szCs w:val="24"/>
        </w:rPr>
        <w:t>выплат заемщика</w:t>
      </w:r>
      <w:proofErr w:type="gramEnd"/>
      <w:r w:rsidRPr="00C61AA4">
        <w:rPr>
          <w:rFonts w:ascii="Times New Roman" w:hAnsi="Times New Roman"/>
          <w:sz w:val="24"/>
          <w:szCs w:val="24"/>
        </w:rPr>
        <w:t xml:space="preserve"> банку по вознаграждению различаются. </w:t>
      </w:r>
    </w:p>
    <w:p w:rsidR="006346A7" w:rsidRPr="00C61AA4" w:rsidRDefault="006346A7" w:rsidP="006346A7">
      <w:pPr>
        <w:spacing w:line="240" w:lineRule="auto"/>
        <w:ind w:firstLine="709"/>
        <w:contextualSpacing/>
        <w:jc w:val="both"/>
        <w:rPr>
          <w:rFonts w:ascii="Times New Roman" w:hAnsi="Times New Roman"/>
          <w:i/>
          <w:sz w:val="24"/>
          <w:szCs w:val="24"/>
          <w:lang w:val="kk-KZ"/>
        </w:rPr>
      </w:pPr>
      <w:r w:rsidRPr="00C61AA4">
        <w:rPr>
          <w:rFonts w:ascii="Times New Roman" w:hAnsi="Times New Roman"/>
          <w:sz w:val="24"/>
          <w:szCs w:val="24"/>
        </w:rPr>
        <w:t>В целях установления единого подхода к расчету вознаграждения по займам разработана указанная методика.</w:t>
      </w:r>
    </w:p>
    <w:p w:rsidR="006346A7" w:rsidRPr="00C61AA4" w:rsidRDefault="006346A7" w:rsidP="006346A7">
      <w:pPr>
        <w:spacing w:line="240" w:lineRule="auto"/>
        <w:ind w:firstLine="709"/>
        <w:contextualSpacing/>
        <w:jc w:val="both"/>
        <w:rPr>
          <w:rFonts w:ascii="Times New Roman" w:hAnsi="Times New Roman"/>
          <w:i/>
          <w:sz w:val="24"/>
          <w:szCs w:val="24"/>
        </w:rPr>
      </w:pPr>
      <w:r w:rsidRPr="00C61AA4">
        <w:rPr>
          <w:rFonts w:ascii="Times New Roman" w:hAnsi="Times New Roman"/>
          <w:sz w:val="24"/>
          <w:szCs w:val="24"/>
        </w:rPr>
        <w:t>Кроме того, Национальным Банком реализуется эффективная система рефинансирования ипотечных займов путем уменьшения стоимости до 3%, что также должно положительно отразиться на показателе «Стоимость финансовых услуг» (ПП НБРК №69 от 24.04.15г.).</w:t>
      </w:r>
    </w:p>
    <w:p w:rsidR="006346A7" w:rsidRPr="00C61AA4" w:rsidRDefault="006346A7" w:rsidP="006346A7">
      <w:pPr>
        <w:spacing w:line="240" w:lineRule="auto"/>
        <w:ind w:firstLine="709"/>
        <w:contextualSpacing/>
        <w:jc w:val="both"/>
        <w:rPr>
          <w:rFonts w:ascii="Times New Roman" w:hAnsi="Times New Roman"/>
          <w:i/>
          <w:sz w:val="24"/>
          <w:szCs w:val="24"/>
          <w:lang w:val="kk-KZ"/>
        </w:rPr>
      </w:pPr>
      <w:r w:rsidRPr="00C61AA4">
        <w:rPr>
          <w:rFonts w:ascii="Times New Roman" w:hAnsi="Times New Roman"/>
          <w:sz w:val="24"/>
          <w:szCs w:val="24"/>
        </w:rPr>
        <w:t>Вместе с тем, 30 ноября 2016 года Правлением Национального Банка принято постановление №288 «Об утверждении Правил оказания услуг банку по привлечению клиентов, осуществлению проверки на соответствие требованиям банка, передаче документов клиентов банку».</w:t>
      </w:r>
    </w:p>
    <w:p w:rsidR="006346A7" w:rsidRPr="00C61AA4" w:rsidRDefault="006346A7" w:rsidP="006346A7">
      <w:pPr>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Расширение круга услуг, предоставляемых АО «</w:t>
      </w:r>
      <w:proofErr w:type="spellStart"/>
      <w:r w:rsidRPr="00C61AA4">
        <w:rPr>
          <w:rFonts w:ascii="Times New Roman" w:hAnsi="Times New Roman"/>
          <w:sz w:val="24"/>
          <w:szCs w:val="24"/>
        </w:rPr>
        <w:t>Казпочта</w:t>
      </w:r>
      <w:proofErr w:type="spellEnd"/>
      <w:r w:rsidRPr="00C61AA4">
        <w:rPr>
          <w:rFonts w:ascii="Times New Roman" w:hAnsi="Times New Roman"/>
          <w:sz w:val="24"/>
          <w:szCs w:val="24"/>
        </w:rPr>
        <w:t>» составит конкуренцию в предоставлении банковских услуг частным клиентам (услуги по текущему счету, оплата процентов по вкладам, предоставление инвестиционных и пенсионных консультаций), и предоставлению финансовых услуг профессиональному сектору. Наличие разветвленной сети отделений позволит стать АО «</w:t>
      </w:r>
      <w:proofErr w:type="spellStart"/>
      <w:r w:rsidRPr="00C61AA4">
        <w:rPr>
          <w:rFonts w:ascii="Times New Roman" w:hAnsi="Times New Roman"/>
          <w:sz w:val="24"/>
          <w:szCs w:val="24"/>
        </w:rPr>
        <w:t>Казпочта</w:t>
      </w:r>
      <w:proofErr w:type="spellEnd"/>
      <w:r w:rsidRPr="00C61AA4">
        <w:rPr>
          <w:rFonts w:ascii="Times New Roman" w:hAnsi="Times New Roman"/>
          <w:sz w:val="24"/>
          <w:szCs w:val="24"/>
        </w:rPr>
        <w:t>» заметным игроком в сфере предоставления недорогих  финансовых  услуг в отдаленных регионах.</w:t>
      </w:r>
    </w:p>
    <w:p w:rsidR="00A72FCB" w:rsidRPr="00C61AA4" w:rsidRDefault="00A72FCB" w:rsidP="00A72FCB">
      <w:pPr>
        <w:spacing w:line="240" w:lineRule="auto"/>
        <w:ind w:firstLine="709"/>
        <w:contextualSpacing/>
        <w:jc w:val="both"/>
        <w:rPr>
          <w:rFonts w:ascii="Times New Roman" w:hAnsi="Times New Roman"/>
          <w:sz w:val="24"/>
          <w:szCs w:val="24"/>
        </w:rPr>
      </w:pPr>
    </w:p>
    <w:p w:rsidR="006346A7" w:rsidRPr="00C61AA4" w:rsidRDefault="006346A7" w:rsidP="006346A7">
      <w:pPr>
        <w:spacing w:line="240" w:lineRule="auto"/>
        <w:ind w:firstLine="709"/>
        <w:contextualSpacing/>
        <w:jc w:val="both"/>
        <w:rPr>
          <w:rFonts w:ascii="Times New Roman" w:hAnsi="Times New Roman"/>
          <w:i/>
          <w:sz w:val="24"/>
          <w:szCs w:val="24"/>
          <w:lang w:val="kk-KZ"/>
        </w:rPr>
      </w:pPr>
      <w:r w:rsidRPr="00C61AA4">
        <w:rPr>
          <w:rFonts w:ascii="Times New Roman" w:hAnsi="Times New Roman"/>
          <w:b/>
          <w:i/>
          <w:sz w:val="24"/>
          <w:szCs w:val="24"/>
        </w:rPr>
        <w:t>Целевой индикатор 5:</w:t>
      </w:r>
      <w:r w:rsidRPr="00C61AA4">
        <w:rPr>
          <w:rFonts w:ascii="Times New Roman" w:hAnsi="Times New Roman"/>
          <w:i/>
          <w:sz w:val="24"/>
          <w:szCs w:val="24"/>
        </w:rPr>
        <w:t xml:space="preserve"> </w:t>
      </w:r>
      <w:r w:rsidRPr="00C61AA4">
        <w:rPr>
          <w:rFonts w:ascii="Times New Roman" w:hAnsi="Times New Roman"/>
          <w:b/>
          <w:i/>
          <w:sz w:val="24"/>
          <w:szCs w:val="24"/>
          <w:lang w:val="kk-KZ"/>
        </w:rPr>
        <w:t xml:space="preserve">Показатель «Легкость получения заемных средств» Глобального индекса конкурентоспособности </w:t>
      </w:r>
      <w:r w:rsidRPr="00C61AA4">
        <w:rPr>
          <w:rFonts w:ascii="Times New Roman" w:hAnsi="Times New Roman"/>
          <w:i/>
          <w:sz w:val="24"/>
          <w:szCs w:val="24"/>
          <w:lang w:val="kk-KZ"/>
        </w:rPr>
        <w:t>(47 место в рейтинге ГИК ВЭФ)</w:t>
      </w:r>
    </w:p>
    <w:p w:rsidR="006346A7" w:rsidRPr="00C61AA4" w:rsidRDefault="006346A7" w:rsidP="006346A7">
      <w:pPr>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В соответствии с Отчетом о глобальной конкурентоспособности по показателю «Легкость получения заемных средств» Казахстан занимает 89 место, ухудшив свою позицию за 2016 год на 45 пунктов.</w:t>
      </w:r>
    </w:p>
    <w:p w:rsidR="00D660A1" w:rsidRPr="00C61AA4" w:rsidRDefault="00D660A1" w:rsidP="00D660A1">
      <w:pPr>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К существующим в республике преградам для улучшения показателя «Легкость получения заемных средств» можно отнести:</w:t>
      </w:r>
    </w:p>
    <w:p w:rsidR="00D660A1" w:rsidRPr="00C61AA4" w:rsidRDefault="00D660A1" w:rsidP="00D660A1">
      <w:pPr>
        <w:spacing w:line="240" w:lineRule="auto"/>
        <w:ind w:firstLine="709"/>
        <w:contextualSpacing/>
        <w:jc w:val="both"/>
        <w:rPr>
          <w:rFonts w:ascii="Times New Roman" w:hAnsi="Times New Roman"/>
          <w:i/>
          <w:sz w:val="24"/>
          <w:szCs w:val="24"/>
          <w:lang w:val="kk-KZ"/>
        </w:rPr>
      </w:pPr>
      <w:r w:rsidRPr="00C61AA4">
        <w:rPr>
          <w:rFonts w:ascii="Times New Roman" w:hAnsi="Times New Roman"/>
          <w:sz w:val="24"/>
          <w:szCs w:val="24"/>
        </w:rPr>
        <w:t xml:space="preserve">- дороговизну заемных средств. Ввиду ограниченного доступа на внешний рынок, основой базы фондирования банковской системы являются депозиты клиентов. Депозиты не могут рассматриваться как стабильный источник фондирования, поскольку могут быть истребованы вкладчиками досрочно. Это делает ресурсную базу банков </w:t>
      </w:r>
      <w:proofErr w:type="spellStart"/>
      <w:r w:rsidRPr="00C61AA4">
        <w:rPr>
          <w:rFonts w:ascii="Times New Roman" w:hAnsi="Times New Roman"/>
          <w:sz w:val="24"/>
          <w:szCs w:val="24"/>
        </w:rPr>
        <w:t>волатильной</w:t>
      </w:r>
      <w:proofErr w:type="spellEnd"/>
      <w:r w:rsidRPr="00C61AA4">
        <w:rPr>
          <w:rFonts w:ascii="Times New Roman" w:hAnsi="Times New Roman"/>
          <w:sz w:val="24"/>
          <w:szCs w:val="24"/>
        </w:rPr>
        <w:t xml:space="preserve"> и дорогостоящей, а также ограничивает возможности для полноценного долгосрочного кредитования банками экономики и населения, особенно в национальной валюте;</w:t>
      </w:r>
    </w:p>
    <w:p w:rsidR="00D660A1" w:rsidRPr="00C61AA4" w:rsidRDefault="00D660A1" w:rsidP="00D660A1">
      <w:pPr>
        <w:spacing w:line="240" w:lineRule="auto"/>
        <w:ind w:firstLine="709"/>
        <w:contextualSpacing/>
        <w:jc w:val="both"/>
        <w:rPr>
          <w:rFonts w:ascii="Times New Roman" w:hAnsi="Times New Roman"/>
          <w:i/>
          <w:sz w:val="24"/>
          <w:szCs w:val="24"/>
          <w:lang w:val="kk-KZ"/>
        </w:rPr>
      </w:pPr>
      <w:r w:rsidRPr="00C61AA4">
        <w:rPr>
          <w:rFonts w:ascii="Times New Roman" w:hAnsi="Times New Roman"/>
          <w:sz w:val="24"/>
          <w:szCs w:val="24"/>
        </w:rPr>
        <w:t>- невозможность получения займа при отсутствии ликвидного залогового обеспечения. Как и прежде, основной акцент банковским сектором ставится на ликвидный залог, без бизнес-плана, идей заемщиков;</w:t>
      </w:r>
    </w:p>
    <w:p w:rsidR="00D660A1" w:rsidRPr="00C61AA4" w:rsidRDefault="00D660A1" w:rsidP="00D660A1">
      <w:pPr>
        <w:spacing w:line="240" w:lineRule="auto"/>
        <w:ind w:firstLine="709"/>
        <w:contextualSpacing/>
        <w:jc w:val="both"/>
        <w:rPr>
          <w:rFonts w:ascii="Times New Roman" w:hAnsi="Times New Roman"/>
          <w:i/>
          <w:sz w:val="24"/>
          <w:szCs w:val="24"/>
          <w:lang w:val="kk-KZ"/>
        </w:rPr>
      </w:pPr>
      <w:r w:rsidRPr="00C61AA4">
        <w:rPr>
          <w:rFonts w:ascii="Times New Roman" w:hAnsi="Times New Roman"/>
          <w:sz w:val="24"/>
          <w:szCs w:val="24"/>
        </w:rPr>
        <w:t>- большой пакет требуемых для получения кредита документов;</w:t>
      </w:r>
    </w:p>
    <w:p w:rsidR="00D660A1" w:rsidRPr="00C61AA4" w:rsidRDefault="00D660A1" w:rsidP="00D660A1">
      <w:pPr>
        <w:spacing w:line="240" w:lineRule="auto"/>
        <w:ind w:firstLine="709"/>
        <w:contextualSpacing/>
        <w:jc w:val="both"/>
        <w:rPr>
          <w:rFonts w:ascii="Times New Roman" w:hAnsi="Times New Roman"/>
          <w:i/>
          <w:sz w:val="24"/>
          <w:szCs w:val="24"/>
          <w:lang w:val="kk-KZ"/>
        </w:rPr>
      </w:pPr>
      <w:r w:rsidRPr="00C61AA4">
        <w:rPr>
          <w:rFonts w:ascii="Times New Roman" w:hAnsi="Times New Roman"/>
          <w:sz w:val="24"/>
          <w:szCs w:val="24"/>
        </w:rPr>
        <w:t>- скорость принятия решения банками;</w:t>
      </w:r>
    </w:p>
    <w:p w:rsidR="00D660A1" w:rsidRPr="00C61AA4" w:rsidRDefault="00D660A1" w:rsidP="00D660A1">
      <w:pPr>
        <w:spacing w:line="240" w:lineRule="auto"/>
        <w:ind w:firstLine="709"/>
        <w:contextualSpacing/>
        <w:jc w:val="both"/>
        <w:rPr>
          <w:rFonts w:ascii="Times New Roman" w:hAnsi="Times New Roman"/>
          <w:i/>
          <w:sz w:val="24"/>
          <w:szCs w:val="24"/>
          <w:lang w:val="kk-KZ"/>
        </w:rPr>
      </w:pPr>
      <w:r w:rsidRPr="00C61AA4">
        <w:rPr>
          <w:rFonts w:ascii="Times New Roman" w:hAnsi="Times New Roman"/>
          <w:sz w:val="24"/>
          <w:szCs w:val="24"/>
        </w:rPr>
        <w:lastRenderedPageBreak/>
        <w:t>- трудность пролонгации, реструктуризации и рефинансирования банковских займов;</w:t>
      </w:r>
    </w:p>
    <w:p w:rsidR="00D660A1" w:rsidRPr="00C61AA4" w:rsidRDefault="00D660A1" w:rsidP="00D660A1">
      <w:pPr>
        <w:spacing w:line="240" w:lineRule="auto"/>
        <w:ind w:firstLine="709"/>
        <w:contextualSpacing/>
        <w:jc w:val="both"/>
        <w:rPr>
          <w:rFonts w:ascii="Times New Roman" w:hAnsi="Times New Roman"/>
          <w:i/>
          <w:sz w:val="24"/>
          <w:szCs w:val="24"/>
          <w:lang w:val="kk-KZ"/>
        </w:rPr>
      </w:pPr>
      <w:r w:rsidRPr="00C61AA4">
        <w:rPr>
          <w:rFonts w:ascii="Times New Roman" w:hAnsi="Times New Roman"/>
          <w:sz w:val="24"/>
          <w:szCs w:val="24"/>
        </w:rPr>
        <w:t>- недостаточный уровень финансовой грамотности, что выражается в незнании законодательства и своих прав как потребителей финансовых услуг;</w:t>
      </w:r>
    </w:p>
    <w:p w:rsidR="00D660A1" w:rsidRPr="00C61AA4" w:rsidRDefault="00D660A1" w:rsidP="006346A7">
      <w:pPr>
        <w:spacing w:line="240" w:lineRule="auto"/>
        <w:ind w:firstLine="709"/>
        <w:contextualSpacing/>
        <w:jc w:val="both"/>
        <w:rPr>
          <w:rFonts w:ascii="Times New Roman" w:hAnsi="Times New Roman"/>
          <w:i/>
          <w:sz w:val="24"/>
          <w:szCs w:val="24"/>
        </w:rPr>
      </w:pPr>
      <w:r w:rsidRPr="00C61AA4">
        <w:rPr>
          <w:rFonts w:ascii="Times New Roman" w:hAnsi="Times New Roman"/>
          <w:sz w:val="24"/>
          <w:szCs w:val="24"/>
        </w:rPr>
        <w:t>- незнание проводимых государственных программ по поддержке малого и среднего бизнеса в республике.</w:t>
      </w:r>
    </w:p>
    <w:p w:rsidR="00F60B69" w:rsidRPr="00C61AA4" w:rsidRDefault="00F60B69" w:rsidP="006346A7">
      <w:pPr>
        <w:spacing w:line="240" w:lineRule="auto"/>
        <w:ind w:firstLine="709"/>
        <w:contextualSpacing/>
        <w:jc w:val="both"/>
        <w:rPr>
          <w:rFonts w:ascii="Times New Roman" w:hAnsi="Times New Roman"/>
          <w:b/>
          <w:i/>
          <w:sz w:val="24"/>
        </w:rPr>
      </w:pPr>
      <w:r w:rsidRPr="00C61AA4">
        <w:rPr>
          <w:rFonts w:ascii="Times New Roman" w:hAnsi="Times New Roman"/>
          <w:b/>
          <w:bCs/>
          <w:i/>
          <w:iCs/>
          <w:sz w:val="24"/>
        </w:rPr>
        <w:t>Мероприятия для достижения  целевого индикатора:</w:t>
      </w:r>
    </w:p>
    <w:p w:rsidR="00D660A1" w:rsidRPr="00C61AA4" w:rsidRDefault="00D660A1" w:rsidP="00D660A1">
      <w:pPr>
        <w:spacing w:line="240" w:lineRule="auto"/>
        <w:ind w:firstLine="708"/>
        <w:contextualSpacing/>
        <w:jc w:val="both"/>
        <w:rPr>
          <w:rFonts w:ascii="Times New Roman" w:hAnsi="Times New Roman"/>
          <w:sz w:val="24"/>
          <w:szCs w:val="24"/>
        </w:rPr>
      </w:pPr>
      <w:r w:rsidRPr="00C61AA4">
        <w:rPr>
          <w:rFonts w:ascii="Times New Roman" w:hAnsi="Times New Roman"/>
          <w:sz w:val="24"/>
          <w:szCs w:val="24"/>
          <w:lang w:val="kk-KZ"/>
        </w:rPr>
        <w:t>Для улучшения данного индикатора НБРК</w:t>
      </w:r>
      <w:r w:rsidRPr="00C61AA4">
        <w:rPr>
          <w:rFonts w:ascii="Times New Roman" w:hAnsi="Times New Roman"/>
          <w:sz w:val="24"/>
          <w:szCs w:val="24"/>
        </w:rPr>
        <w:t xml:space="preserve"> проведена работа по совершенствованию законодательства Республики Казахстан, направленная на расширение возможности заемщика по получению кредита путем упрощения процедур оформления залога (статья 307 Кодекса</w:t>
      </w:r>
      <w:r w:rsidRPr="00C61AA4">
        <w:rPr>
          <w:rFonts w:ascii="Times New Roman" w:hAnsi="Times New Roman"/>
          <w:sz w:val="24"/>
          <w:szCs w:val="24"/>
          <w:vertAlign w:val="superscript"/>
        </w:rPr>
        <w:footnoteReference w:id="6"/>
      </w:r>
      <w:r w:rsidRPr="00C61AA4">
        <w:rPr>
          <w:rFonts w:ascii="Times New Roman" w:hAnsi="Times New Roman"/>
          <w:sz w:val="24"/>
          <w:szCs w:val="24"/>
        </w:rPr>
        <w:t>), законодательно закреплена возможность получения третьими лицами сведений о залоговых ценных бумагах, составляющих коммерческую тайну на рынке ценных бумаг (пункт 2 статьи 43 Закона о РЦБ), кредитное бюро с государственным участием и частные бюро должны получать базовую кредитную информацию от коммунальных предприятий (Закон о КБ</w:t>
      </w:r>
      <w:r w:rsidRPr="00C61AA4">
        <w:rPr>
          <w:rStyle w:val="a8"/>
          <w:rFonts w:ascii="Times New Roman" w:hAnsi="Times New Roman"/>
          <w:sz w:val="24"/>
          <w:szCs w:val="24"/>
        </w:rPr>
        <w:footnoteReference w:id="7"/>
      </w:r>
      <w:r w:rsidRPr="00C61AA4">
        <w:rPr>
          <w:rFonts w:ascii="Times New Roman" w:hAnsi="Times New Roman"/>
          <w:sz w:val="24"/>
          <w:szCs w:val="24"/>
        </w:rPr>
        <w:t>).</w:t>
      </w:r>
    </w:p>
    <w:p w:rsidR="00D660A1" w:rsidRPr="00C61AA4" w:rsidRDefault="00D660A1" w:rsidP="00D660A1">
      <w:pPr>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Кроме того, в настоящее время в рамках очередного (5-го) пакета поправок в законодательство предусматриваются следующие реформы:</w:t>
      </w:r>
    </w:p>
    <w:p w:rsidR="00D660A1" w:rsidRPr="00C61AA4" w:rsidRDefault="00D660A1" w:rsidP="00D660A1">
      <w:pPr>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автоматизация бизнес-процесса государственной регистрации юридического лица с одновременным открытием банковского счета и заключения договора обязательного страхования работника от несчастных случаев при исполнении им трудовых (служебных) обязанностей;</w:t>
      </w:r>
    </w:p>
    <w:p w:rsidR="00D660A1" w:rsidRPr="00C61AA4" w:rsidRDefault="00D660A1" w:rsidP="00D660A1">
      <w:pPr>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исключение обязательного указания оценки в договоре о залоге движимого имущества, а также общего условия, запрещающего уменьшение стоимости товаров в обороте;</w:t>
      </w:r>
    </w:p>
    <w:p w:rsidR="00D660A1" w:rsidRPr="00C61AA4" w:rsidRDefault="00D660A1" w:rsidP="00D660A1">
      <w:pPr>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функционирование единого окна доступа информации по залогу движимого имущества и предоставление возможности регистрации залога ценных бумаг через веб-портал «электронного правительства»;</w:t>
      </w:r>
    </w:p>
    <w:p w:rsidR="00D660A1" w:rsidRPr="00C61AA4" w:rsidRDefault="00D660A1" w:rsidP="00D660A1">
      <w:pPr>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раскрытие критериев сделок, подлежащих раскрытию обществом;</w:t>
      </w:r>
    </w:p>
    <w:p w:rsidR="00D660A1" w:rsidRPr="00C61AA4" w:rsidRDefault="00D660A1" w:rsidP="00D660A1">
      <w:pPr>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 xml:space="preserve">оптимизация порядка и условий </w:t>
      </w:r>
      <w:proofErr w:type="gramStart"/>
      <w:r w:rsidRPr="00C61AA4">
        <w:rPr>
          <w:rFonts w:ascii="Times New Roman" w:hAnsi="Times New Roman"/>
          <w:sz w:val="24"/>
          <w:szCs w:val="24"/>
        </w:rPr>
        <w:t>создания комитетов совета директоров общества</w:t>
      </w:r>
      <w:proofErr w:type="gramEnd"/>
      <w:r w:rsidRPr="00C61AA4">
        <w:rPr>
          <w:rFonts w:ascii="Times New Roman" w:hAnsi="Times New Roman"/>
          <w:sz w:val="24"/>
          <w:szCs w:val="24"/>
        </w:rPr>
        <w:t>;</w:t>
      </w:r>
    </w:p>
    <w:p w:rsidR="00D660A1" w:rsidRPr="00C61AA4" w:rsidRDefault="00D660A1" w:rsidP="00D660A1">
      <w:pPr>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совершенствование условий по корпоративному управлению товарищества с ограниченной ответственностью по аналогии с акционерным обществом и механизма получения инвесторами, в том числе миноритарными инвесторами, дивидендов.</w:t>
      </w:r>
    </w:p>
    <w:p w:rsidR="006346A7" w:rsidRPr="00C61AA4" w:rsidRDefault="00D660A1" w:rsidP="006346A7">
      <w:pPr>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 xml:space="preserve">Реализация данных норм, а также проводимые точечные реформы позволят в целом снизить нагрузку на предпринимателей и благоприятно отразятся на </w:t>
      </w:r>
      <w:proofErr w:type="gramStart"/>
      <w:r w:rsidRPr="00C61AA4">
        <w:rPr>
          <w:rFonts w:ascii="Times New Roman" w:hAnsi="Times New Roman"/>
          <w:sz w:val="24"/>
          <w:szCs w:val="24"/>
        </w:rPr>
        <w:t>бизнес-климате</w:t>
      </w:r>
      <w:proofErr w:type="gramEnd"/>
      <w:r w:rsidRPr="00C61AA4">
        <w:rPr>
          <w:rFonts w:ascii="Times New Roman" w:hAnsi="Times New Roman"/>
          <w:sz w:val="24"/>
          <w:szCs w:val="24"/>
        </w:rPr>
        <w:t xml:space="preserve"> страны.</w:t>
      </w:r>
    </w:p>
    <w:p w:rsidR="00D660A1" w:rsidRPr="00C61AA4" w:rsidRDefault="00D660A1" w:rsidP="006346A7">
      <w:pPr>
        <w:spacing w:line="240" w:lineRule="auto"/>
        <w:ind w:firstLine="709"/>
        <w:contextualSpacing/>
        <w:jc w:val="both"/>
        <w:rPr>
          <w:rFonts w:ascii="Times New Roman" w:hAnsi="Times New Roman"/>
          <w:sz w:val="24"/>
          <w:szCs w:val="24"/>
        </w:rPr>
      </w:pPr>
    </w:p>
    <w:p w:rsidR="006346A7" w:rsidRPr="00C61AA4" w:rsidRDefault="006346A7" w:rsidP="006346A7">
      <w:pPr>
        <w:spacing w:line="240" w:lineRule="auto"/>
        <w:ind w:firstLine="709"/>
        <w:contextualSpacing/>
        <w:jc w:val="both"/>
        <w:rPr>
          <w:rFonts w:ascii="Times New Roman" w:hAnsi="Times New Roman"/>
          <w:i/>
          <w:sz w:val="24"/>
          <w:szCs w:val="24"/>
          <w:lang w:val="kk-KZ"/>
        </w:rPr>
      </w:pPr>
      <w:r w:rsidRPr="00C61AA4">
        <w:rPr>
          <w:rFonts w:ascii="Times New Roman" w:hAnsi="Times New Roman"/>
          <w:b/>
          <w:i/>
          <w:sz w:val="24"/>
          <w:szCs w:val="24"/>
        </w:rPr>
        <w:t>Целевой индикатор 6:</w:t>
      </w:r>
      <w:r w:rsidRPr="00C61AA4">
        <w:rPr>
          <w:rFonts w:ascii="Times New Roman" w:hAnsi="Times New Roman"/>
          <w:i/>
          <w:sz w:val="24"/>
          <w:szCs w:val="24"/>
        </w:rPr>
        <w:t xml:space="preserve"> </w:t>
      </w:r>
      <w:r w:rsidRPr="00C61AA4">
        <w:rPr>
          <w:rFonts w:ascii="Times New Roman" w:hAnsi="Times New Roman"/>
          <w:b/>
          <w:i/>
          <w:sz w:val="24"/>
          <w:szCs w:val="24"/>
          <w:lang w:val="kk-KZ"/>
        </w:rPr>
        <w:t xml:space="preserve">Показатель «Доля неработающих займов в ссудном портфеле БВУ», % </w:t>
      </w:r>
      <w:r w:rsidRPr="00C61AA4">
        <w:rPr>
          <w:rFonts w:ascii="Times New Roman" w:hAnsi="Times New Roman"/>
          <w:i/>
          <w:sz w:val="24"/>
          <w:szCs w:val="24"/>
          <w:lang w:val="kk-KZ"/>
        </w:rPr>
        <w:t>(не более 10%)</w:t>
      </w:r>
    </w:p>
    <w:p w:rsidR="006346A7" w:rsidRPr="00C61AA4" w:rsidRDefault="006346A7" w:rsidP="006346A7">
      <w:pPr>
        <w:spacing w:line="240" w:lineRule="auto"/>
        <w:ind w:firstLine="708"/>
        <w:contextualSpacing/>
        <w:jc w:val="both"/>
        <w:rPr>
          <w:rFonts w:ascii="Times New Roman" w:hAnsi="Times New Roman"/>
          <w:sz w:val="24"/>
          <w:szCs w:val="24"/>
        </w:rPr>
      </w:pPr>
      <w:r w:rsidRPr="00C61AA4">
        <w:rPr>
          <w:rFonts w:ascii="Times New Roman" w:hAnsi="Times New Roman"/>
          <w:sz w:val="24"/>
          <w:szCs w:val="24"/>
        </w:rPr>
        <w:t>По итогам 2016 года доля неработающих займов в ссудном портфеле БВУ составила 6,7%, снизившись с 8% на начало года.</w:t>
      </w:r>
    </w:p>
    <w:p w:rsidR="006346A7" w:rsidRPr="00C61AA4" w:rsidRDefault="006346A7" w:rsidP="006346A7">
      <w:pPr>
        <w:spacing w:line="240" w:lineRule="auto"/>
        <w:ind w:firstLine="708"/>
        <w:contextualSpacing/>
        <w:jc w:val="both"/>
        <w:rPr>
          <w:rFonts w:ascii="Times New Roman" w:hAnsi="Times New Roman"/>
          <w:sz w:val="24"/>
          <w:szCs w:val="24"/>
        </w:rPr>
      </w:pPr>
      <w:proofErr w:type="gramStart"/>
      <w:r w:rsidRPr="00C61AA4">
        <w:rPr>
          <w:rFonts w:ascii="Times New Roman" w:hAnsi="Times New Roman"/>
          <w:sz w:val="24"/>
          <w:szCs w:val="24"/>
        </w:rPr>
        <w:t>Снижение уровня неработающих займов было достигнуто в основном за счет самостоятельной работы банков по снижению уровня неработающих займов (списание/прощение и т.д.) в рамках требований Национального Банка по поддержанию уровня неработающих займов ниже 10%. При превышении данного порогового значения банк подготавливает План мероприятий по снижению неработающих займов и отрабатывает его с регулятором в индивидуальном порядке.</w:t>
      </w:r>
      <w:proofErr w:type="gramEnd"/>
      <w:r w:rsidRPr="00C61AA4">
        <w:rPr>
          <w:rFonts w:ascii="Times New Roman" w:hAnsi="Times New Roman"/>
          <w:sz w:val="24"/>
          <w:szCs w:val="24"/>
        </w:rPr>
        <w:t xml:space="preserve"> Кроме того, определенный вклад в снижение, точнее размытие доли неработающих займов в ссудном портфеле банков, внесли средства, выделенные банкам в рамках государственных программ по поддержке кредитования экономики. </w:t>
      </w:r>
    </w:p>
    <w:p w:rsidR="006346A7" w:rsidRPr="00C61AA4" w:rsidRDefault="006346A7" w:rsidP="006346A7">
      <w:pPr>
        <w:spacing w:line="240" w:lineRule="auto"/>
        <w:ind w:firstLine="709"/>
        <w:contextualSpacing/>
        <w:jc w:val="both"/>
        <w:rPr>
          <w:rFonts w:ascii="Times New Roman" w:hAnsi="Times New Roman"/>
          <w:sz w:val="24"/>
          <w:szCs w:val="28"/>
        </w:rPr>
      </w:pPr>
      <w:r w:rsidRPr="00C61AA4">
        <w:rPr>
          <w:rFonts w:ascii="Times New Roman" w:hAnsi="Times New Roman"/>
          <w:b/>
          <w:bCs/>
          <w:i/>
          <w:sz w:val="24"/>
          <w:szCs w:val="28"/>
        </w:rPr>
        <w:t>Мероприятие для достижения целевого индикатора:</w:t>
      </w:r>
      <w:r w:rsidRPr="00C61AA4">
        <w:rPr>
          <w:rFonts w:ascii="Times New Roman" w:hAnsi="Times New Roman"/>
          <w:sz w:val="24"/>
          <w:szCs w:val="28"/>
        </w:rPr>
        <w:t xml:space="preserve"> </w:t>
      </w:r>
    </w:p>
    <w:p w:rsidR="006346A7" w:rsidRPr="00C61AA4" w:rsidRDefault="006346A7" w:rsidP="006346A7">
      <w:pPr>
        <w:spacing w:line="240" w:lineRule="auto"/>
        <w:ind w:firstLine="709"/>
        <w:contextualSpacing/>
        <w:jc w:val="both"/>
        <w:rPr>
          <w:rFonts w:ascii="Times New Roman" w:hAnsi="Times New Roman"/>
          <w:bCs/>
          <w:i/>
          <w:sz w:val="24"/>
          <w:szCs w:val="28"/>
        </w:rPr>
      </w:pPr>
      <w:r w:rsidRPr="00C61AA4">
        <w:rPr>
          <w:rFonts w:ascii="Times New Roman" w:hAnsi="Times New Roman"/>
          <w:bCs/>
          <w:i/>
          <w:sz w:val="24"/>
          <w:szCs w:val="28"/>
        </w:rPr>
        <w:t>Осуществление мониторинга деятельности банков по снижению неработающих займов в рамках надзорного процесса.</w:t>
      </w:r>
    </w:p>
    <w:p w:rsidR="006346A7" w:rsidRPr="00C61AA4" w:rsidRDefault="006346A7" w:rsidP="006346A7">
      <w:pPr>
        <w:tabs>
          <w:tab w:val="left" w:pos="709"/>
        </w:tabs>
        <w:suppressAutoHyphens/>
        <w:spacing w:line="240" w:lineRule="auto"/>
        <w:ind w:firstLine="709"/>
        <w:contextualSpacing/>
        <w:jc w:val="both"/>
        <w:rPr>
          <w:rFonts w:ascii="Times New Roman" w:hAnsi="Times New Roman"/>
          <w:color w:val="000000"/>
          <w:sz w:val="24"/>
          <w:szCs w:val="28"/>
        </w:rPr>
      </w:pPr>
      <w:r w:rsidRPr="00C61AA4">
        <w:rPr>
          <w:rFonts w:ascii="Times New Roman" w:hAnsi="Times New Roman"/>
          <w:color w:val="000000"/>
          <w:sz w:val="24"/>
          <w:szCs w:val="28"/>
        </w:rPr>
        <w:t xml:space="preserve">Ситуация с поддержанием уровня </w:t>
      </w:r>
      <w:r w:rsidRPr="00C61AA4">
        <w:rPr>
          <w:rFonts w:ascii="Times New Roman" w:eastAsia="Calibri" w:hAnsi="Times New Roman"/>
          <w:color w:val="000000"/>
          <w:sz w:val="24"/>
          <w:szCs w:val="28"/>
          <w:lang w:eastAsia="x-none"/>
        </w:rPr>
        <w:t>доли неработающих займов</w:t>
      </w:r>
      <w:r w:rsidRPr="00C61AA4">
        <w:rPr>
          <w:rStyle w:val="a8"/>
          <w:rFonts w:eastAsia="Calibri"/>
          <w:sz w:val="24"/>
        </w:rPr>
        <w:footnoteReference w:id="8"/>
      </w:r>
      <w:r w:rsidRPr="00C61AA4">
        <w:rPr>
          <w:rFonts w:ascii="Times New Roman" w:eastAsia="Calibri" w:hAnsi="Times New Roman"/>
          <w:color w:val="000000"/>
          <w:sz w:val="24"/>
          <w:szCs w:val="28"/>
          <w:lang w:eastAsia="x-none"/>
        </w:rPr>
        <w:t xml:space="preserve"> (</w:t>
      </w:r>
      <w:r w:rsidRPr="00C61AA4">
        <w:rPr>
          <w:rFonts w:ascii="Times New Roman" w:hAnsi="Times New Roman"/>
          <w:color w:val="000000"/>
          <w:sz w:val="24"/>
          <w:szCs w:val="28"/>
        </w:rPr>
        <w:t>NPL)</w:t>
      </w:r>
      <w:r w:rsidRPr="00C61AA4">
        <w:rPr>
          <w:rFonts w:ascii="Times New Roman" w:eastAsia="Calibri" w:hAnsi="Times New Roman"/>
          <w:color w:val="000000"/>
          <w:sz w:val="24"/>
          <w:szCs w:val="28"/>
          <w:lang w:eastAsia="x-none"/>
        </w:rPr>
        <w:t xml:space="preserve"> в ссудном портфеле банков второго уровня</w:t>
      </w:r>
      <w:r w:rsidRPr="00C61AA4">
        <w:rPr>
          <w:rFonts w:ascii="Times New Roman" w:hAnsi="Times New Roman"/>
          <w:color w:val="000000"/>
          <w:sz w:val="24"/>
          <w:szCs w:val="28"/>
        </w:rPr>
        <w:t xml:space="preserve"> находится под постоянным контролем и мониторингом Национального Банка. </w:t>
      </w:r>
    </w:p>
    <w:p w:rsidR="006346A7" w:rsidRPr="00C61AA4" w:rsidRDefault="006346A7" w:rsidP="006346A7">
      <w:pPr>
        <w:tabs>
          <w:tab w:val="left" w:pos="709"/>
        </w:tabs>
        <w:suppressAutoHyphens/>
        <w:spacing w:line="240" w:lineRule="auto"/>
        <w:ind w:firstLine="709"/>
        <w:contextualSpacing/>
        <w:jc w:val="both"/>
        <w:rPr>
          <w:rFonts w:ascii="Times New Roman" w:hAnsi="Times New Roman"/>
          <w:sz w:val="24"/>
          <w:szCs w:val="28"/>
        </w:rPr>
      </w:pPr>
      <w:r w:rsidRPr="00C61AA4">
        <w:rPr>
          <w:rFonts w:ascii="Times New Roman" w:hAnsi="Times New Roman"/>
          <w:sz w:val="24"/>
          <w:szCs w:val="28"/>
        </w:rPr>
        <w:lastRenderedPageBreak/>
        <w:t xml:space="preserve">Информационный материал «Текущее состояние банковского сектора Республики Казахстан», размещенный на официальном сайте Национального Банка содержит, в том числе, результаты указанного мониторинга. </w:t>
      </w:r>
    </w:p>
    <w:p w:rsidR="006346A7" w:rsidRPr="00C61AA4" w:rsidRDefault="006346A7" w:rsidP="006346A7">
      <w:pPr>
        <w:tabs>
          <w:tab w:val="left" w:pos="709"/>
        </w:tabs>
        <w:suppressAutoHyphens/>
        <w:spacing w:line="240" w:lineRule="auto"/>
        <w:ind w:firstLine="709"/>
        <w:contextualSpacing/>
        <w:jc w:val="both"/>
        <w:rPr>
          <w:rFonts w:ascii="Times New Roman" w:hAnsi="Times New Roman"/>
          <w:sz w:val="24"/>
          <w:szCs w:val="28"/>
        </w:rPr>
      </w:pPr>
      <w:r w:rsidRPr="00C61AA4">
        <w:rPr>
          <w:rFonts w:ascii="Times New Roman" w:hAnsi="Times New Roman"/>
          <w:color w:val="000000"/>
          <w:sz w:val="24"/>
          <w:szCs w:val="28"/>
        </w:rPr>
        <w:t xml:space="preserve">7 (семь) банков второго уровня, уровень </w:t>
      </w:r>
      <w:r w:rsidRPr="00C61AA4">
        <w:rPr>
          <w:rFonts w:ascii="Times New Roman" w:hAnsi="Times New Roman"/>
          <w:color w:val="000000"/>
          <w:sz w:val="24"/>
          <w:szCs w:val="28"/>
          <w:lang w:val="en-US"/>
        </w:rPr>
        <w:t>NPL</w:t>
      </w:r>
      <w:r w:rsidRPr="00C61AA4">
        <w:rPr>
          <w:rFonts w:ascii="Times New Roman" w:hAnsi="Times New Roman"/>
          <w:color w:val="000000"/>
          <w:sz w:val="24"/>
          <w:szCs w:val="28"/>
        </w:rPr>
        <w:t xml:space="preserve"> которых превышал </w:t>
      </w:r>
      <w:proofErr w:type="spellStart"/>
      <w:r w:rsidRPr="00C61AA4">
        <w:rPr>
          <w:rFonts w:ascii="Times New Roman" w:hAnsi="Times New Roman"/>
          <w:color w:val="000000"/>
          <w:sz w:val="24"/>
          <w:szCs w:val="28"/>
        </w:rPr>
        <w:t>таргетируемое</w:t>
      </w:r>
      <w:proofErr w:type="spellEnd"/>
      <w:r w:rsidRPr="00C61AA4">
        <w:rPr>
          <w:rFonts w:ascii="Times New Roman" w:hAnsi="Times New Roman"/>
          <w:color w:val="000000"/>
          <w:sz w:val="24"/>
          <w:szCs w:val="28"/>
        </w:rPr>
        <w:t xml:space="preserve"> значение (10%), представили в Национальный Банк планы мероприятий по снижению доли займов c просроченной задолженностью по основному долгу и (или) по начисленному вознаграждению свыше 90 календарных дней с конечным сроком исполнения 01.01.2018г.</w:t>
      </w:r>
    </w:p>
    <w:p w:rsidR="006346A7" w:rsidRPr="00C61AA4" w:rsidRDefault="006346A7" w:rsidP="006346A7">
      <w:pPr>
        <w:spacing w:line="240" w:lineRule="auto"/>
        <w:ind w:firstLine="709"/>
        <w:contextualSpacing/>
        <w:jc w:val="both"/>
        <w:rPr>
          <w:rFonts w:ascii="Times New Roman" w:hAnsi="Times New Roman"/>
          <w:b/>
          <w:i/>
          <w:color w:val="000000"/>
          <w:sz w:val="24"/>
          <w:szCs w:val="24"/>
        </w:rPr>
      </w:pPr>
    </w:p>
    <w:p w:rsidR="006346A7" w:rsidRPr="00C61AA4" w:rsidRDefault="006346A7" w:rsidP="006346A7">
      <w:pPr>
        <w:spacing w:line="240" w:lineRule="auto"/>
        <w:ind w:firstLine="709"/>
        <w:contextualSpacing/>
        <w:jc w:val="both"/>
        <w:rPr>
          <w:rFonts w:ascii="Times New Roman" w:hAnsi="Times New Roman"/>
          <w:i/>
          <w:sz w:val="24"/>
          <w:szCs w:val="24"/>
          <w:lang w:val="kk-KZ"/>
        </w:rPr>
      </w:pPr>
      <w:r w:rsidRPr="00C61AA4">
        <w:rPr>
          <w:rFonts w:ascii="Times New Roman" w:hAnsi="Times New Roman"/>
          <w:b/>
          <w:i/>
          <w:sz w:val="24"/>
          <w:szCs w:val="24"/>
        </w:rPr>
        <w:t>Целевой индикатор 7:</w:t>
      </w:r>
      <w:r w:rsidRPr="00C61AA4">
        <w:rPr>
          <w:rFonts w:ascii="Times New Roman" w:hAnsi="Times New Roman"/>
          <w:i/>
          <w:sz w:val="24"/>
          <w:szCs w:val="24"/>
        </w:rPr>
        <w:t xml:space="preserve"> </w:t>
      </w:r>
      <w:r w:rsidRPr="00C61AA4">
        <w:rPr>
          <w:rFonts w:ascii="Times New Roman" w:hAnsi="Times New Roman"/>
          <w:b/>
          <w:i/>
          <w:sz w:val="24"/>
          <w:szCs w:val="24"/>
          <w:lang w:val="kk-KZ"/>
        </w:rPr>
        <w:t xml:space="preserve">Показатель «Увеличение уставного капитала АО «Казахстанский фонд гарантирования депозитов», % </w:t>
      </w:r>
      <w:r w:rsidRPr="00C61AA4">
        <w:rPr>
          <w:rFonts w:ascii="Times New Roman" w:hAnsi="Times New Roman"/>
          <w:i/>
          <w:sz w:val="24"/>
          <w:szCs w:val="24"/>
          <w:lang w:val="kk-KZ"/>
        </w:rPr>
        <w:t>(10%)</w:t>
      </w:r>
    </w:p>
    <w:p w:rsidR="006346A7" w:rsidRPr="00C61AA4" w:rsidRDefault="006346A7" w:rsidP="006346A7">
      <w:pPr>
        <w:autoSpaceDE w:val="0"/>
        <w:autoSpaceDN w:val="0"/>
        <w:adjustRightInd w:val="0"/>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В соответствии со стратегическим Планом НБРК на 2014-2018 годы запланировано увеличение уставного капитала АО «Казахстанский фонд гарантирования депозитов» (далее – Фонд) в 2016 году на 10%.</w:t>
      </w:r>
    </w:p>
    <w:p w:rsidR="00F60B69" w:rsidRPr="00C61AA4" w:rsidRDefault="00F60B69" w:rsidP="00F60B69">
      <w:pPr>
        <w:spacing w:line="240" w:lineRule="auto"/>
        <w:ind w:firstLine="709"/>
        <w:contextualSpacing/>
        <w:jc w:val="both"/>
        <w:rPr>
          <w:rFonts w:ascii="Times New Roman" w:hAnsi="Times New Roman"/>
          <w:b/>
          <w:i/>
          <w:sz w:val="24"/>
        </w:rPr>
      </w:pPr>
      <w:r w:rsidRPr="00C61AA4">
        <w:rPr>
          <w:rFonts w:ascii="Times New Roman" w:hAnsi="Times New Roman"/>
          <w:b/>
          <w:bCs/>
          <w:i/>
          <w:iCs/>
          <w:sz w:val="24"/>
        </w:rPr>
        <w:t>Мероприятия для достижения  целевого индикатора:</w:t>
      </w:r>
    </w:p>
    <w:p w:rsidR="006346A7" w:rsidRPr="00C61AA4" w:rsidRDefault="006346A7" w:rsidP="006346A7">
      <w:pPr>
        <w:autoSpaceDE w:val="0"/>
        <w:autoSpaceDN w:val="0"/>
        <w:adjustRightInd w:val="0"/>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Пункт исполнен в соответствии с постановлением Правления Национального Банка Республики Казахстан от 17 марта 2016 года №84 «О согласии на увеличение уставного капитала акционерного общества «Казахстанский фонд гарантирования депозитов».</w:t>
      </w:r>
    </w:p>
    <w:p w:rsidR="006346A7" w:rsidRPr="00C61AA4" w:rsidRDefault="006346A7" w:rsidP="006346A7">
      <w:pPr>
        <w:autoSpaceDE w:val="0"/>
        <w:autoSpaceDN w:val="0"/>
        <w:adjustRightInd w:val="0"/>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Уставной капитал Фонда пополнен на сумму девятнадцать миллиардов четыреста восемьдесят семь миллионов тенге (10% от уставного капитала Фонда).</w:t>
      </w:r>
    </w:p>
    <w:p w:rsidR="006346A7" w:rsidRPr="00C61AA4" w:rsidRDefault="006346A7" w:rsidP="006346A7">
      <w:pPr>
        <w:autoSpaceDE w:val="0"/>
        <w:autoSpaceDN w:val="0"/>
        <w:adjustRightInd w:val="0"/>
        <w:spacing w:line="240" w:lineRule="auto"/>
        <w:ind w:firstLine="709"/>
        <w:contextualSpacing/>
        <w:jc w:val="both"/>
        <w:rPr>
          <w:rFonts w:ascii="Times New Roman" w:hAnsi="Times New Roman"/>
          <w:b/>
          <w:bCs/>
          <w:sz w:val="24"/>
          <w:szCs w:val="24"/>
          <w:u w:val="single"/>
        </w:rPr>
      </w:pPr>
      <w:r w:rsidRPr="00C61AA4">
        <w:rPr>
          <w:rFonts w:ascii="Times New Roman" w:hAnsi="Times New Roman"/>
          <w:sz w:val="24"/>
          <w:szCs w:val="24"/>
        </w:rPr>
        <w:t>Увеличение уставного капитала Фонда осуществляется в целях обеспечения стабильности финансовой системы и защиты интересов депозиторов.</w:t>
      </w:r>
    </w:p>
    <w:p w:rsidR="006346A7" w:rsidRPr="00C61AA4" w:rsidRDefault="006346A7" w:rsidP="006346A7">
      <w:pPr>
        <w:spacing w:line="240" w:lineRule="auto"/>
        <w:ind w:firstLine="709"/>
        <w:contextualSpacing/>
        <w:jc w:val="both"/>
        <w:rPr>
          <w:rFonts w:ascii="Times New Roman" w:hAnsi="Times New Roman"/>
          <w:b/>
          <w:i/>
          <w:color w:val="000000"/>
          <w:sz w:val="24"/>
          <w:szCs w:val="24"/>
        </w:rPr>
      </w:pPr>
    </w:p>
    <w:p w:rsidR="006346A7" w:rsidRPr="00C61AA4" w:rsidRDefault="006346A7" w:rsidP="006346A7">
      <w:pPr>
        <w:spacing w:line="240" w:lineRule="auto"/>
        <w:ind w:firstLine="709"/>
        <w:contextualSpacing/>
        <w:jc w:val="both"/>
        <w:rPr>
          <w:rFonts w:ascii="Times New Roman" w:hAnsi="Times New Roman"/>
          <w:i/>
          <w:color w:val="000000"/>
          <w:sz w:val="24"/>
          <w:szCs w:val="24"/>
        </w:rPr>
      </w:pPr>
      <w:r w:rsidRPr="00C61AA4">
        <w:rPr>
          <w:rFonts w:ascii="Times New Roman" w:hAnsi="Times New Roman"/>
          <w:b/>
          <w:i/>
          <w:color w:val="000000"/>
          <w:sz w:val="24"/>
          <w:szCs w:val="24"/>
        </w:rPr>
        <w:t>Цель 2.2.</w:t>
      </w:r>
      <w:r w:rsidRPr="00C61AA4">
        <w:rPr>
          <w:rFonts w:ascii="Times New Roman" w:hAnsi="Times New Roman"/>
          <w:i/>
          <w:color w:val="000000"/>
          <w:sz w:val="24"/>
          <w:szCs w:val="24"/>
        </w:rPr>
        <w:t xml:space="preserve"> </w:t>
      </w:r>
      <w:r w:rsidRPr="00C61AA4">
        <w:rPr>
          <w:rFonts w:ascii="Times New Roman" w:hAnsi="Times New Roman"/>
          <w:b/>
          <w:i/>
          <w:color w:val="000000"/>
          <w:sz w:val="24"/>
          <w:szCs w:val="24"/>
        </w:rPr>
        <w:t>Повышение финансовой устойчивости и создание необходимых условий для дальнейшего развития страхового рынка</w:t>
      </w:r>
    </w:p>
    <w:p w:rsidR="004C09F5" w:rsidRPr="00C61AA4" w:rsidRDefault="004C09F5" w:rsidP="006346A7">
      <w:pPr>
        <w:spacing w:line="240" w:lineRule="auto"/>
        <w:ind w:firstLine="709"/>
        <w:contextualSpacing/>
        <w:jc w:val="both"/>
        <w:rPr>
          <w:rFonts w:ascii="Times New Roman" w:hAnsi="Times New Roman"/>
          <w:b/>
          <w:i/>
          <w:sz w:val="24"/>
          <w:szCs w:val="24"/>
        </w:rPr>
      </w:pPr>
    </w:p>
    <w:p w:rsidR="006346A7" w:rsidRPr="00C61AA4" w:rsidRDefault="006346A7" w:rsidP="006346A7">
      <w:pPr>
        <w:spacing w:line="240" w:lineRule="auto"/>
        <w:ind w:firstLine="709"/>
        <w:contextualSpacing/>
        <w:jc w:val="both"/>
        <w:rPr>
          <w:rFonts w:ascii="Times New Roman" w:hAnsi="Times New Roman"/>
          <w:i/>
          <w:sz w:val="24"/>
          <w:szCs w:val="24"/>
          <w:lang w:val="kk-KZ"/>
        </w:rPr>
      </w:pPr>
      <w:r w:rsidRPr="00C61AA4">
        <w:rPr>
          <w:rFonts w:ascii="Times New Roman" w:hAnsi="Times New Roman"/>
          <w:b/>
          <w:i/>
          <w:sz w:val="24"/>
          <w:szCs w:val="24"/>
        </w:rPr>
        <w:t>Целевой индикатор:</w:t>
      </w:r>
      <w:r w:rsidRPr="00C61AA4">
        <w:rPr>
          <w:rFonts w:ascii="Times New Roman" w:hAnsi="Times New Roman"/>
          <w:i/>
          <w:sz w:val="24"/>
          <w:szCs w:val="24"/>
        </w:rPr>
        <w:t xml:space="preserve"> </w:t>
      </w:r>
      <w:r w:rsidRPr="00C61AA4">
        <w:rPr>
          <w:rFonts w:ascii="Times New Roman" w:hAnsi="Times New Roman"/>
          <w:b/>
          <w:i/>
          <w:sz w:val="24"/>
          <w:szCs w:val="24"/>
          <w:lang w:val="kk-KZ"/>
        </w:rPr>
        <w:t xml:space="preserve">Агрегированный индекс финансовой устойчивости </w:t>
      </w:r>
      <w:r w:rsidRPr="00C61AA4">
        <w:rPr>
          <w:rFonts w:ascii="Times New Roman" w:hAnsi="Times New Roman"/>
          <w:i/>
          <w:sz w:val="24"/>
          <w:szCs w:val="24"/>
          <w:lang w:val="kk-KZ"/>
        </w:rPr>
        <w:t>(коэффициент от 1 до 2,35).</w:t>
      </w:r>
    </w:p>
    <w:p w:rsidR="006346A7" w:rsidRPr="00C61AA4" w:rsidRDefault="006346A7" w:rsidP="006346A7">
      <w:pPr>
        <w:spacing w:line="240" w:lineRule="auto"/>
        <w:ind w:firstLine="709"/>
        <w:contextualSpacing/>
        <w:jc w:val="both"/>
        <w:rPr>
          <w:rFonts w:ascii="Times New Roman" w:hAnsi="Times New Roman"/>
          <w:i/>
          <w:sz w:val="24"/>
          <w:szCs w:val="24"/>
          <w:lang w:val="kk-KZ"/>
        </w:rPr>
      </w:pPr>
      <w:r w:rsidRPr="00C61AA4">
        <w:rPr>
          <w:rFonts w:ascii="Times New Roman" w:hAnsi="Times New Roman"/>
          <w:sz w:val="24"/>
          <w:szCs w:val="24"/>
        </w:rPr>
        <w:t>Значение данного индикатора на 1 января 2017 года составило – 1,86 (нормальное, с умеренным уровнем риска).</w:t>
      </w:r>
    </w:p>
    <w:p w:rsidR="006346A7" w:rsidRPr="00C61AA4" w:rsidRDefault="006346A7" w:rsidP="006346A7">
      <w:pPr>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 xml:space="preserve">Совокупное значение норматива достаточности собственного капитала (маржи платежеспособности) на 1 января 2017 года составило - 5,0 (т.е. уровень </w:t>
      </w:r>
      <w:r w:rsidRPr="00C61AA4">
        <w:rPr>
          <w:rFonts w:ascii="Times New Roman" w:hAnsi="Times New Roman"/>
          <w:color w:val="000000"/>
          <w:sz w:val="24"/>
          <w:szCs w:val="24"/>
        </w:rPr>
        <w:t xml:space="preserve">капитализации страховых организаций превышает </w:t>
      </w:r>
      <w:r w:rsidRPr="00C61AA4">
        <w:rPr>
          <w:rFonts w:ascii="Times New Roman" w:hAnsi="Times New Roman"/>
          <w:sz w:val="24"/>
          <w:szCs w:val="24"/>
        </w:rPr>
        <w:t>запланированный показатель).</w:t>
      </w:r>
    </w:p>
    <w:p w:rsidR="006346A7" w:rsidRPr="00C61AA4" w:rsidRDefault="006346A7" w:rsidP="006346A7">
      <w:pPr>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Сумма страховых премий – 356,9 млрд. тенге.</w:t>
      </w:r>
    </w:p>
    <w:p w:rsidR="006346A7" w:rsidRPr="00C61AA4" w:rsidRDefault="006346A7" w:rsidP="006346A7">
      <w:pPr>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Объем страховых премий по состоянию на 1 января 2017 года увеличился на 23,8% по сравнению с аналогичным показателем на 1 января 2016 года, из них объем страховых премий, принятых по прямым договорам ст</w:t>
      </w:r>
      <w:r w:rsidR="00736141" w:rsidRPr="00C61AA4">
        <w:rPr>
          <w:rFonts w:ascii="Times New Roman" w:hAnsi="Times New Roman"/>
          <w:sz w:val="24"/>
          <w:szCs w:val="24"/>
        </w:rPr>
        <w:t>рахования, - 323 176 млн. тенге (90,5% от совокупного объема страховых премий).</w:t>
      </w:r>
    </w:p>
    <w:p w:rsidR="006346A7" w:rsidRPr="00C61AA4" w:rsidRDefault="006346A7" w:rsidP="006346A7">
      <w:pPr>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 xml:space="preserve">Основную долю страховых премий занимает добровольное имущественное страхование (179 814 млн. тенге или 50,4% от общего объема страховых премий). </w:t>
      </w:r>
    </w:p>
    <w:p w:rsidR="006346A7" w:rsidRPr="00C61AA4" w:rsidRDefault="006346A7" w:rsidP="006346A7">
      <w:pPr>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По обязательному страхов</w:t>
      </w:r>
      <w:r w:rsidR="00736141" w:rsidRPr="00C61AA4">
        <w:rPr>
          <w:rFonts w:ascii="Times New Roman" w:hAnsi="Times New Roman"/>
          <w:sz w:val="24"/>
          <w:szCs w:val="24"/>
        </w:rPr>
        <w:t xml:space="preserve">анию собрано 90 633 млн. тенге </w:t>
      </w:r>
      <w:r w:rsidRPr="00C61AA4">
        <w:rPr>
          <w:rFonts w:ascii="Times New Roman" w:hAnsi="Times New Roman"/>
          <w:sz w:val="24"/>
          <w:szCs w:val="24"/>
        </w:rPr>
        <w:t>или 25,4% совокупного объема страховых премий, по добровольному личному с</w:t>
      </w:r>
      <w:r w:rsidR="00736141" w:rsidRPr="00C61AA4">
        <w:rPr>
          <w:rFonts w:ascii="Times New Roman" w:hAnsi="Times New Roman"/>
          <w:sz w:val="24"/>
          <w:szCs w:val="24"/>
        </w:rPr>
        <w:t xml:space="preserve">трахованию – 86 456 млн. тенге </w:t>
      </w:r>
      <w:r w:rsidRPr="00C61AA4">
        <w:rPr>
          <w:rFonts w:ascii="Times New Roman" w:hAnsi="Times New Roman"/>
          <w:sz w:val="24"/>
          <w:szCs w:val="24"/>
        </w:rPr>
        <w:t>или 24,2%.</w:t>
      </w:r>
    </w:p>
    <w:p w:rsidR="006346A7" w:rsidRPr="00C61AA4" w:rsidRDefault="006346A7" w:rsidP="006346A7">
      <w:pPr>
        <w:spacing w:line="240" w:lineRule="auto"/>
        <w:ind w:firstLine="709"/>
        <w:contextualSpacing/>
        <w:jc w:val="both"/>
        <w:rPr>
          <w:rFonts w:ascii="Times New Roman" w:hAnsi="Times New Roman"/>
          <w:sz w:val="24"/>
          <w:szCs w:val="28"/>
        </w:rPr>
      </w:pPr>
      <w:r w:rsidRPr="00C61AA4">
        <w:rPr>
          <w:rFonts w:ascii="Times New Roman" w:hAnsi="Times New Roman"/>
          <w:b/>
          <w:sz w:val="24"/>
          <w:szCs w:val="24"/>
        </w:rPr>
        <w:t xml:space="preserve"> </w:t>
      </w:r>
      <w:r w:rsidRPr="00C61AA4">
        <w:rPr>
          <w:rFonts w:ascii="Times New Roman" w:hAnsi="Times New Roman"/>
          <w:b/>
          <w:bCs/>
          <w:i/>
          <w:sz w:val="24"/>
          <w:szCs w:val="28"/>
        </w:rPr>
        <w:t>Мероприятие для достижения целевого индикатора:</w:t>
      </w:r>
      <w:r w:rsidRPr="00C61AA4">
        <w:rPr>
          <w:rFonts w:ascii="Times New Roman" w:hAnsi="Times New Roman"/>
          <w:sz w:val="24"/>
          <w:szCs w:val="28"/>
        </w:rPr>
        <w:t xml:space="preserve"> </w:t>
      </w:r>
    </w:p>
    <w:p w:rsidR="006346A7" w:rsidRPr="00C61AA4" w:rsidRDefault="006346A7" w:rsidP="006346A7">
      <w:pPr>
        <w:spacing w:line="240" w:lineRule="auto"/>
        <w:ind w:firstLine="709"/>
        <w:contextualSpacing/>
        <w:jc w:val="both"/>
        <w:rPr>
          <w:rFonts w:ascii="Times New Roman" w:hAnsi="Times New Roman"/>
          <w:sz w:val="24"/>
          <w:szCs w:val="24"/>
        </w:rPr>
      </w:pPr>
      <w:r w:rsidRPr="00C61AA4">
        <w:rPr>
          <w:rFonts w:ascii="Times New Roman" w:hAnsi="Times New Roman"/>
          <w:i/>
          <w:sz w:val="24"/>
          <w:szCs w:val="24"/>
        </w:rPr>
        <w:t xml:space="preserve">Совершенствование </w:t>
      </w:r>
      <w:proofErr w:type="spellStart"/>
      <w:r w:rsidRPr="00C61AA4">
        <w:rPr>
          <w:rFonts w:ascii="Times New Roman" w:hAnsi="Times New Roman"/>
          <w:i/>
          <w:sz w:val="24"/>
          <w:szCs w:val="24"/>
        </w:rPr>
        <w:t>пруденциального</w:t>
      </w:r>
      <w:proofErr w:type="spellEnd"/>
      <w:r w:rsidRPr="00C61AA4">
        <w:rPr>
          <w:rFonts w:ascii="Times New Roman" w:hAnsi="Times New Roman"/>
          <w:i/>
          <w:sz w:val="24"/>
          <w:szCs w:val="24"/>
        </w:rPr>
        <w:t xml:space="preserve"> регулирования путем внедрения </w:t>
      </w:r>
      <w:proofErr w:type="spellStart"/>
      <w:r w:rsidRPr="00C61AA4">
        <w:rPr>
          <w:rFonts w:ascii="Times New Roman" w:hAnsi="Times New Roman"/>
          <w:i/>
          <w:sz w:val="24"/>
          <w:szCs w:val="24"/>
        </w:rPr>
        <w:t>Risk</w:t>
      </w:r>
      <w:proofErr w:type="spellEnd"/>
      <w:r w:rsidRPr="00C61AA4">
        <w:rPr>
          <w:rFonts w:ascii="Times New Roman" w:hAnsi="Times New Roman"/>
          <w:i/>
          <w:sz w:val="24"/>
          <w:szCs w:val="24"/>
        </w:rPr>
        <w:t xml:space="preserve"> </w:t>
      </w:r>
      <w:proofErr w:type="spellStart"/>
      <w:r w:rsidRPr="00C61AA4">
        <w:rPr>
          <w:rFonts w:ascii="Times New Roman" w:hAnsi="Times New Roman"/>
          <w:i/>
          <w:sz w:val="24"/>
          <w:szCs w:val="24"/>
        </w:rPr>
        <w:t>based</w:t>
      </w:r>
      <w:proofErr w:type="spellEnd"/>
      <w:r w:rsidRPr="00C61AA4">
        <w:rPr>
          <w:rFonts w:ascii="Times New Roman" w:hAnsi="Times New Roman"/>
          <w:i/>
          <w:sz w:val="24"/>
          <w:szCs w:val="24"/>
        </w:rPr>
        <w:t xml:space="preserve"> </w:t>
      </w:r>
      <w:proofErr w:type="spellStart"/>
      <w:r w:rsidRPr="00C61AA4">
        <w:rPr>
          <w:rFonts w:ascii="Times New Roman" w:hAnsi="Times New Roman"/>
          <w:i/>
          <w:sz w:val="24"/>
          <w:szCs w:val="24"/>
        </w:rPr>
        <w:t>supervision</w:t>
      </w:r>
      <w:proofErr w:type="spellEnd"/>
      <w:r w:rsidRPr="00C61AA4">
        <w:rPr>
          <w:rFonts w:ascii="Times New Roman" w:hAnsi="Times New Roman"/>
          <w:i/>
          <w:sz w:val="24"/>
          <w:szCs w:val="24"/>
        </w:rPr>
        <w:t xml:space="preserve"> и переход на систему платежеспособности </w:t>
      </w:r>
      <w:proofErr w:type="spellStart"/>
      <w:r w:rsidRPr="00C61AA4">
        <w:rPr>
          <w:rFonts w:ascii="Times New Roman" w:hAnsi="Times New Roman"/>
          <w:i/>
          <w:sz w:val="24"/>
          <w:szCs w:val="24"/>
        </w:rPr>
        <w:t>Solvency</w:t>
      </w:r>
      <w:proofErr w:type="spellEnd"/>
      <w:r w:rsidRPr="00C61AA4">
        <w:rPr>
          <w:rFonts w:ascii="Times New Roman" w:hAnsi="Times New Roman"/>
          <w:i/>
          <w:sz w:val="24"/>
          <w:szCs w:val="24"/>
        </w:rPr>
        <w:t xml:space="preserve"> II.</w:t>
      </w:r>
    </w:p>
    <w:p w:rsidR="006346A7" w:rsidRPr="00C61AA4" w:rsidRDefault="006346A7" w:rsidP="006346A7">
      <w:pPr>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 xml:space="preserve">В течение 2016 года </w:t>
      </w:r>
      <w:r w:rsidR="00152409" w:rsidRPr="00C61AA4">
        <w:rPr>
          <w:rFonts w:ascii="Times New Roman" w:hAnsi="Times New Roman"/>
          <w:sz w:val="24"/>
          <w:szCs w:val="24"/>
        </w:rPr>
        <w:t>НБРК</w:t>
      </w:r>
      <w:r w:rsidRPr="00C61AA4">
        <w:rPr>
          <w:rFonts w:ascii="Times New Roman" w:hAnsi="Times New Roman"/>
          <w:sz w:val="24"/>
          <w:szCs w:val="24"/>
        </w:rPr>
        <w:t xml:space="preserve"> было осуществлено содействие Азиатскому Банку Развития по оказанию технической помощи «Повышение эффективности и расширения рынков страхования» и проведены ряд встреч и обсуждений с представителями страховых организаций.</w:t>
      </w:r>
    </w:p>
    <w:p w:rsidR="006346A7" w:rsidRPr="00C61AA4" w:rsidRDefault="006346A7" w:rsidP="006346A7">
      <w:pPr>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В рамках данной технической помощи осуществлена работа по следующим направлениям:</w:t>
      </w:r>
    </w:p>
    <w:p w:rsidR="006346A7" w:rsidRPr="00C61AA4" w:rsidRDefault="006346A7" w:rsidP="006346A7">
      <w:pPr>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1) проведена оценка параметров шока по различным видам рисков страховых организаций (операционные, рыночные риски, риск дефолта контрагентов, риски в медицинском страховании, страховании жизни и в общем страховании);</w:t>
      </w:r>
    </w:p>
    <w:p w:rsidR="006346A7" w:rsidRPr="00C61AA4" w:rsidRDefault="006346A7" w:rsidP="006346A7">
      <w:pPr>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 xml:space="preserve">2) проведена оценка требований </w:t>
      </w:r>
      <w:proofErr w:type="spellStart"/>
      <w:r w:rsidRPr="00C61AA4">
        <w:rPr>
          <w:rFonts w:ascii="Times New Roman" w:hAnsi="Times New Roman"/>
          <w:sz w:val="24"/>
          <w:szCs w:val="24"/>
        </w:rPr>
        <w:t>Solvency</w:t>
      </w:r>
      <w:proofErr w:type="spellEnd"/>
      <w:r w:rsidRPr="00C61AA4">
        <w:rPr>
          <w:rFonts w:ascii="Times New Roman" w:hAnsi="Times New Roman"/>
          <w:sz w:val="24"/>
          <w:szCs w:val="24"/>
        </w:rPr>
        <w:t xml:space="preserve"> II по расчету страховых резервов на страховых организациях РК («</w:t>
      </w:r>
      <w:proofErr w:type="spellStart"/>
      <w:r w:rsidRPr="00C61AA4">
        <w:rPr>
          <w:rFonts w:ascii="Times New Roman" w:hAnsi="Times New Roman"/>
          <w:sz w:val="24"/>
          <w:szCs w:val="24"/>
        </w:rPr>
        <w:t>best</w:t>
      </w:r>
      <w:proofErr w:type="spellEnd"/>
      <w:r w:rsidRPr="00C61AA4">
        <w:rPr>
          <w:rFonts w:ascii="Times New Roman" w:hAnsi="Times New Roman"/>
          <w:sz w:val="24"/>
          <w:szCs w:val="24"/>
        </w:rPr>
        <w:t xml:space="preserve"> </w:t>
      </w:r>
      <w:proofErr w:type="spellStart"/>
      <w:r w:rsidRPr="00C61AA4">
        <w:rPr>
          <w:rFonts w:ascii="Times New Roman" w:hAnsi="Times New Roman"/>
          <w:sz w:val="24"/>
          <w:szCs w:val="24"/>
        </w:rPr>
        <w:t>estimate</w:t>
      </w:r>
      <w:proofErr w:type="spellEnd"/>
      <w:r w:rsidRPr="00C61AA4">
        <w:rPr>
          <w:rFonts w:ascii="Times New Roman" w:hAnsi="Times New Roman"/>
          <w:sz w:val="24"/>
          <w:szCs w:val="24"/>
        </w:rPr>
        <w:t>» и «</w:t>
      </w:r>
      <w:proofErr w:type="spellStart"/>
      <w:r w:rsidRPr="00C61AA4">
        <w:rPr>
          <w:rFonts w:ascii="Times New Roman" w:hAnsi="Times New Roman"/>
          <w:sz w:val="24"/>
          <w:szCs w:val="24"/>
        </w:rPr>
        <w:t>risk</w:t>
      </w:r>
      <w:proofErr w:type="spellEnd"/>
      <w:r w:rsidRPr="00C61AA4">
        <w:rPr>
          <w:rFonts w:ascii="Times New Roman" w:hAnsi="Times New Roman"/>
          <w:sz w:val="24"/>
          <w:szCs w:val="24"/>
        </w:rPr>
        <w:t xml:space="preserve"> </w:t>
      </w:r>
      <w:proofErr w:type="spellStart"/>
      <w:r w:rsidRPr="00C61AA4">
        <w:rPr>
          <w:rFonts w:ascii="Times New Roman" w:hAnsi="Times New Roman"/>
          <w:sz w:val="24"/>
          <w:szCs w:val="24"/>
        </w:rPr>
        <w:t>margin</w:t>
      </w:r>
      <w:proofErr w:type="spellEnd"/>
      <w:r w:rsidRPr="00C61AA4">
        <w:rPr>
          <w:rFonts w:ascii="Times New Roman" w:hAnsi="Times New Roman"/>
          <w:sz w:val="24"/>
          <w:szCs w:val="24"/>
        </w:rPr>
        <w:t>»);</w:t>
      </w:r>
    </w:p>
    <w:p w:rsidR="006346A7" w:rsidRPr="00C61AA4" w:rsidRDefault="006346A7" w:rsidP="006346A7">
      <w:pPr>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lastRenderedPageBreak/>
        <w:t xml:space="preserve">3) проведена оценка требуемого капитала платежеспособности по каждому виду рисков, путем проведения стресс – тестирования с </w:t>
      </w:r>
      <w:r w:rsidR="00514689" w:rsidRPr="00C61AA4">
        <w:rPr>
          <w:rFonts w:ascii="Times New Roman" w:hAnsi="Times New Roman"/>
          <w:sz w:val="24"/>
          <w:szCs w:val="24"/>
        </w:rPr>
        <w:t>применением различных сценариев;</w:t>
      </w:r>
    </w:p>
    <w:p w:rsidR="00514689" w:rsidRPr="00C61AA4" w:rsidRDefault="00514689" w:rsidP="00514689">
      <w:pPr>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 xml:space="preserve">4) работники НБРК приняли участие во встречах с представителями компании </w:t>
      </w:r>
      <w:proofErr w:type="spellStart"/>
      <w:r w:rsidRPr="00C61AA4">
        <w:rPr>
          <w:rFonts w:ascii="Times New Roman" w:hAnsi="Times New Roman"/>
          <w:sz w:val="24"/>
          <w:szCs w:val="24"/>
        </w:rPr>
        <w:t>Ernst&amp;Young</w:t>
      </w:r>
      <w:proofErr w:type="spellEnd"/>
      <w:r w:rsidRPr="00C61AA4">
        <w:rPr>
          <w:rFonts w:ascii="Times New Roman" w:hAnsi="Times New Roman"/>
          <w:sz w:val="24"/>
          <w:szCs w:val="24"/>
        </w:rPr>
        <w:t xml:space="preserve"> по вопросам совершенствования систем управления рисками и внутреннего контроля в страховых организациях.</w:t>
      </w:r>
    </w:p>
    <w:p w:rsidR="00514689" w:rsidRPr="00C61AA4" w:rsidRDefault="00514689" w:rsidP="00514689">
      <w:pPr>
        <w:spacing w:line="240" w:lineRule="auto"/>
        <w:ind w:firstLine="709"/>
        <w:contextualSpacing/>
        <w:jc w:val="both"/>
        <w:rPr>
          <w:rFonts w:ascii="Times New Roman" w:hAnsi="Times New Roman"/>
          <w:b/>
          <w:i/>
          <w:sz w:val="24"/>
          <w:szCs w:val="24"/>
        </w:rPr>
      </w:pPr>
      <w:r w:rsidRPr="00C61AA4">
        <w:rPr>
          <w:rFonts w:ascii="Times New Roman" w:hAnsi="Times New Roman"/>
          <w:b/>
          <w:i/>
          <w:sz w:val="24"/>
          <w:szCs w:val="24"/>
        </w:rPr>
        <w:t>Дополнительно:</w:t>
      </w:r>
    </w:p>
    <w:p w:rsidR="00514689" w:rsidRPr="00C61AA4" w:rsidRDefault="00514689" w:rsidP="00514689">
      <w:pPr>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На заседание Совета финансовой стабильности по вопросам страховой деятельности вынесены предложения касательно:</w:t>
      </w:r>
    </w:p>
    <w:p w:rsidR="00514689" w:rsidRPr="00C61AA4" w:rsidRDefault="00514689" w:rsidP="00514689">
      <w:pPr>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 установления критериев отнесения к обязательному виду страхования;</w:t>
      </w:r>
    </w:p>
    <w:p w:rsidR="00514689" w:rsidRPr="00C61AA4" w:rsidRDefault="00514689" w:rsidP="00514689">
      <w:pPr>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 установления валютного фактора влияющего на ухудшение финансового состояния страховой организации;</w:t>
      </w:r>
    </w:p>
    <w:p w:rsidR="00514689" w:rsidRPr="00C61AA4" w:rsidRDefault="00514689" w:rsidP="00514689">
      <w:pPr>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 пересмотра норматива диверсификации активов страховой организации в одном банке второго уровня РК;</w:t>
      </w:r>
    </w:p>
    <w:p w:rsidR="00514689" w:rsidRPr="00C61AA4" w:rsidRDefault="00514689" w:rsidP="00514689">
      <w:pPr>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 расширения перечня высоколиквидных активов страховой организации;</w:t>
      </w:r>
    </w:p>
    <w:p w:rsidR="00514689" w:rsidRPr="00C61AA4" w:rsidRDefault="00514689" w:rsidP="00514689">
      <w:pPr>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 xml:space="preserve">- увеличения максимального собственного удержания страховой организации; </w:t>
      </w:r>
    </w:p>
    <w:p w:rsidR="00514689" w:rsidRPr="00C61AA4" w:rsidRDefault="00383548" w:rsidP="00514689">
      <w:pPr>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 xml:space="preserve">В течение 2016 года </w:t>
      </w:r>
      <w:r w:rsidR="00514689" w:rsidRPr="00C61AA4">
        <w:rPr>
          <w:rFonts w:ascii="Times New Roman" w:hAnsi="Times New Roman"/>
          <w:sz w:val="24"/>
          <w:szCs w:val="24"/>
        </w:rPr>
        <w:t>осуществлена разработка проектов постановлений, предусматривающих пересмотр действующих:</w:t>
      </w:r>
    </w:p>
    <w:p w:rsidR="00514689" w:rsidRPr="00C61AA4" w:rsidRDefault="00514689" w:rsidP="00514689">
      <w:pPr>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 требований к приобретению финансовых инструментов страховыми организациями;</w:t>
      </w:r>
    </w:p>
    <w:p w:rsidR="00514689" w:rsidRPr="00C61AA4" w:rsidRDefault="00514689" w:rsidP="00514689">
      <w:pPr>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 требований к формированию, методике расчета страховых резервов;</w:t>
      </w:r>
    </w:p>
    <w:p w:rsidR="00514689" w:rsidRPr="00C61AA4" w:rsidRDefault="00514689" w:rsidP="00514689">
      <w:pPr>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 xml:space="preserve">- </w:t>
      </w:r>
      <w:proofErr w:type="spellStart"/>
      <w:r w:rsidRPr="00C61AA4">
        <w:rPr>
          <w:rFonts w:ascii="Times New Roman" w:hAnsi="Times New Roman"/>
          <w:sz w:val="24"/>
          <w:szCs w:val="24"/>
        </w:rPr>
        <w:t>пруденциальных</w:t>
      </w:r>
      <w:proofErr w:type="spellEnd"/>
      <w:r w:rsidRPr="00C61AA4">
        <w:rPr>
          <w:rFonts w:ascii="Times New Roman" w:hAnsi="Times New Roman"/>
          <w:sz w:val="24"/>
          <w:szCs w:val="24"/>
        </w:rPr>
        <w:t xml:space="preserve"> нормативов страховой организации;</w:t>
      </w:r>
    </w:p>
    <w:p w:rsidR="006346A7" w:rsidRPr="00C61AA4" w:rsidRDefault="00514689" w:rsidP="00514689">
      <w:pPr>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 методики определения факторов, влияющих на ухудшение финансового положения страховой организации.</w:t>
      </w:r>
    </w:p>
    <w:p w:rsidR="0071116F" w:rsidRPr="00C61AA4" w:rsidRDefault="0071116F" w:rsidP="00514689">
      <w:pPr>
        <w:spacing w:line="240" w:lineRule="auto"/>
        <w:ind w:firstLine="709"/>
        <w:contextualSpacing/>
        <w:jc w:val="both"/>
        <w:rPr>
          <w:rFonts w:ascii="Times New Roman" w:hAnsi="Times New Roman"/>
          <w:sz w:val="24"/>
          <w:szCs w:val="24"/>
        </w:rPr>
      </w:pPr>
    </w:p>
    <w:p w:rsidR="006346A7" w:rsidRPr="00C61AA4" w:rsidRDefault="006346A7" w:rsidP="006346A7">
      <w:pPr>
        <w:spacing w:line="240" w:lineRule="auto"/>
        <w:ind w:firstLine="709"/>
        <w:contextualSpacing/>
        <w:jc w:val="both"/>
        <w:rPr>
          <w:rFonts w:ascii="Times New Roman" w:hAnsi="Times New Roman"/>
          <w:i/>
          <w:color w:val="000000"/>
          <w:sz w:val="24"/>
          <w:szCs w:val="24"/>
        </w:rPr>
      </w:pPr>
      <w:r w:rsidRPr="00C61AA4">
        <w:rPr>
          <w:rFonts w:ascii="Times New Roman" w:hAnsi="Times New Roman"/>
          <w:b/>
          <w:i/>
          <w:color w:val="000000"/>
          <w:sz w:val="24"/>
          <w:szCs w:val="24"/>
        </w:rPr>
        <w:t>Цель 2.3.</w:t>
      </w:r>
      <w:r w:rsidRPr="00C61AA4">
        <w:rPr>
          <w:rFonts w:ascii="Times New Roman" w:hAnsi="Times New Roman"/>
          <w:i/>
          <w:color w:val="000000"/>
          <w:sz w:val="24"/>
          <w:szCs w:val="24"/>
        </w:rPr>
        <w:t xml:space="preserve"> </w:t>
      </w:r>
      <w:r w:rsidRPr="00C61AA4">
        <w:rPr>
          <w:rFonts w:ascii="Times New Roman" w:hAnsi="Times New Roman"/>
          <w:b/>
          <w:i/>
          <w:color w:val="000000"/>
          <w:sz w:val="24"/>
          <w:szCs w:val="24"/>
        </w:rPr>
        <w:t>Создание необходимых условий для дальнейшего развития рынка ценных бумаг</w:t>
      </w:r>
    </w:p>
    <w:p w:rsidR="004C09F5" w:rsidRPr="00C61AA4" w:rsidRDefault="004C09F5" w:rsidP="006346A7">
      <w:pPr>
        <w:spacing w:line="240" w:lineRule="auto"/>
        <w:ind w:firstLine="709"/>
        <w:contextualSpacing/>
        <w:jc w:val="both"/>
        <w:rPr>
          <w:rFonts w:ascii="Times New Roman" w:hAnsi="Times New Roman"/>
          <w:b/>
          <w:i/>
          <w:sz w:val="24"/>
          <w:szCs w:val="24"/>
        </w:rPr>
      </w:pPr>
    </w:p>
    <w:p w:rsidR="006346A7" w:rsidRPr="00C61AA4" w:rsidRDefault="006346A7" w:rsidP="006346A7">
      <w:pPr>
        <w:spacing w:line="240" w:lineRule="auto"/>
        <w:ind w:firstLine="709"/>
        <w:contextualSpacing/>
        <w:jc w:val="both"/>
        <w:rPr>
          <w:rFonts w:ascii="Times New Roman" w:hAnsi="Times New Roman"/>
          <w:i/>
          <w:sz w:val="24"/>
          <w:szCs w:val="24"/>
          <w:lang w:val="kk-KZ"/>
        </w:rPr>
      </w:pPr>
      <w:r w:rsidRPr="00C61AA4">
        <w:rPr>
          <w:rFonts w:ascii="Times New Roman" w:hAnsi="Times New Roman"/>
          <w:b/>
          <w:i/>
          <w:sz w:val="24"/>
          <w:szCs w:val="24"/>
        </w:rPr>
        <w:t>Целевой индикатор 1:</w:t>
      </w:r>
      <w:r w:rsidRPr="00C61AA4">
        <w:rPr>
          <w:rFonts w:ascii="Times New Roman" w:hAnsi="Times New Roman"/>
          <w:i/>
          <w:sz w:val="24"/>
          <w:szCs w:val="24"/>
        </w:rPr>
        <w:t xml:space="preserve"> </w:t>
      </w:r>
      <w:r w:rsidRPr="00C61AA4">
        <w:rPr>
          <w:rFonts w:ascii="Times New Roman" w:hAnsi="Times New Roman"/>
          <w:b/>
          <w:i/>
          <w:sz w:val="24"/>
          <w:szCs w:val="24"/>
          <w:lang w:val="kk-KZ"/>
        </w:rPr>
        <w:t xml:space="preserve">Показатель «Получение финансирования на внутреннем фондовом рынке» Глобального индекса конкурентоспособности </w:t>
      </w:r>
      <w:r w:rsidRPr="00C61AA4">
        <w:rPr>
          <w:rFonts w:ascii="Times New Roman" w:hAnsi="Times New Roman"/>
          <w:i/>
          <w:sz w:val="24"/>
          <w:szCs w:val="24"/>
          <w:lang w:val="kk-KZ"/>
        </w:rPr>
        <w:t>(91 место в рейтинге ГИК ВЭФ)</w:t>
      </w:r>
    </w:p>
    <w:p w:rsidR="006346A7" w:rsidRPr="00C61AA4" w:rsidRDefault="006346A7" w:rsidP="006346A7">
      <w:pPr>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В соответствии с ежегодным Отчётом о глобальной конкурентоспособности Всемирного Экономического Форума на период 2016-2017 годы по данному показателю Казахстан занял 99 место.</w:t>
      </w:r>
    </w:p>
    <w:p w:rsidR="006346A7" w:rsidRPr="00C61AA4" w:rsidRDefault="006346A7" w:rsidP="006346A7">
      <w:pPr>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Принимая во внимание, что указанный показатель оценивается опросным путем, оценить влияние принимаемых регуляторных мер не представляется возможным.</w:t>
      </w:r>
    </w:p>
    <w:p w:rsidR="006346A7" w:rsidRPr="00C61AA4" w:rsidRDefault="006346A7" w:rsidP="006346A7">
      <w:pPr>
        <w:tabs>
          <w:tab w:val="left" w:pos="1134"/>
        </w:tabs>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 xml:space="preserve">Ухудшение позиции Казахстана по данным индикаторам обусловлено замедлением роста экономики, ухудшением конъюнктуры рынка и иными внешними факторами. </w:t>
      </w:r>
    </w:p>
    <w:p w:rsidR="00F60B69" w:rsidRPr="00C61AA4" w:rsidRDefault="00F60B69" w:rsidP="00F60B69">
      <w:pPr>
        <w:spacing w:line="240" w:lineRule="auto"/>
        <w:ind w:firstLine="709"/>
        <w:contextualSpacing/>
        <w:jc w:val="both"/>
        <w:rPr>
          <w:rFonts w:ascii="Times New Roman" w:hAnsi="Times New Roman"/>
          <w:b/>
          <w:i/>
          <w:sz w:val="24"/>
        </w:rPr>
      </w:pPr>
      <w:r w:rsidRPr="00C61AA4">
        <w:rPr>
          <w:rFonts w:ascii="Times New Roman" w:hAnsi="Times New Roman"/>
          <w:b/>
          <w:bCs/>
          <w:i/>
          <w:iCs/>
          <w:sz w:val="24"/>
        </w:rPr>
        <w:t>Мероприятия для достижения  целевого индикатора:</w:t>
      </w:r>
    </w:p>
    <w:p w:rsidR="006346A7" w:rsidRPr="00C61AA4" w:rsidRDefault="00152409" w:rsidP="006346A7">
      <w:pPr>
        <w:tabs>
          <w:tab w:val="left" w:pos="1134"/>
        </w:tabs>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НБРК</w:t>
      </w:r>
      <w:r w:rsidR="006346A7" w:rsidRPr="00C61AA4">
        <w:rPr>
          <w:rFonts w:ascii="Times New Roman" w:hAnsi="Times New Roman"/>
          <w:sz w:val="24"/>
          <w:szCs w:val="24"/>
        </w:rPr>
        <w:t xml:space="preserve"> </w:t>
      </w:r>
      <w:r w:rsidR="00A23893" w:rsidRPr="00C61AA4">
        <w:rPr>
          <w:rFonts w:ascii="Times New Roman" w:hAnsi="Times New Roman"/>
          <w:sz w:val="24"/>
          <w:szCs w:val="24"/>
        </w:rPr>
        <w:t xml:space="preserve">в 2016 году и по настоящее время ведется работа по </w:t>
      </w:r>
      <w:r w:rsidR="006346A7" w:rsidRPr="00C61AA4">
        <w:rPr>
          <w:rFonts w:ascii="Times New Roman" w:hAnsi="Times New Roman"/>
          <w:sz w:val="24"/>
          <w:szCs w:val="24"/>
        </w:rPr>
        <w:t>приняти</w:t>
      </w:r>
      <w:r w:rsidR="00A23893" w:rsidRPr="00C61AA4">
        <w:rPr>
          <w:rFonts w:ascii="Times New Roman" w:hAnsi="Times New Roman"/>
          <w:sz w:val="24"/>
          <w:szCs w:val="24"/>
        </w:rPr>
        <w:t>ю</w:t>
      </w:r>
      <w:r w:rsidR="006346A7" w:rsidRPr="00C61AA4">
        <w:rPr>
          <w:rFonts w:ascii="Times New Roman" w:hAnsi="Times New Roman"/>
          <w:sz w:val="24"/>
          <w:szCs w:val="24"/>
        </w:rPr>
        <w:t xml:space="preserve"> комплекса мер системного характера, направленных на развитие финансового рынка, в том числе рынка ценных бумаг, в целях повышения инвестиционной привлекательности бизнеса и стимулирования эмитентов, а также проведение мероприятий информационно-разъяснительного характера.</w:t>
      </w:r>
    </w:p>
    <w:p w:rsidR="00897354" w:rsidRPr="00C61AA4" w:rsidRDefault="004C09F5" w:rsidP="00897354">
      <w:pPr>
        <w:tabs>
          <w:tab w:val="num" w:pos="720"/>
        </w:tabs>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В частности,</w:t>
      </w:r>
      <w:r w:rsidR="00897354" w:rsidRPr="00C61AA4">
        <w:rPr>
          <w:rFonts w:ascii="Times New Roman" w:hAnsi="Times New Roman"/>
          <w:sz w:val="24"/>
          <w:szCs w:val="24"/>
        </w:rPr>
        <w:t xml:space="preserve"> в течение 2016 года принял ряд нормативных правовых актов, направленных на активизацию деятельности на фондовом рынке и созданию благоприятных условий для привлечения на рынок новых эмитентов, в том числе региональных.</w:t>
      </w:r>
    </w:p>
    <w:p w:rsidR="00897354" w:rsidRPr="00C61AA4" w:rsidRDefault="00897354" w:rsidP="00897354">
      <w:pPr>
        <w:tabs>
          <w:tab w:val="num" w:pos="720"/>
        </w:tabs>
        <w:spacing w:line="240" w:lineRule="auto"/>
        <w:ind w:firstLine="709"/>
        <w:contextualSpacing/>
        <w:jc w:val="both"/>
        <w:rPr>
          <w:rFonts w:ascii="Times New Roman" w:hAnsi="Times New Roman"/>
          <w:sz w:val="24"/>
          <w:szCs w:val="24"/>
        </w:rPr>
      </w:pPr>
      <w:proofErr w:type="gramStart"/>
      <w:r w:rsidRPr="00C61AA4">
        <w:rPr>
          <w:rFonts w:ascii="Times New Roman" w:hAnsi="Times New Roman"/>
          <w:sz w:val="24"/>
          <w:szCs w:val="24"/>
        </w:rPr>
        <w:t>Упрощены процедуры для эмитентов по выходу на фондовый рынок, в частности оптимизированы требования в отношении регистрации выпуска ценных бумаг и раскрытия информации перед инвесторами, сокращен объем информации, подлежащей представлению эмитентами в уполномоченный орган и раскрываемый в проспектах выпуска ценных бумаг, сокращено количество разрешительных процедур, связанных с внесением изменений в проспекты выпуска ценных бумаг, облегчен и систематизирован доступ инвесторов к информации</w:t>
      </w:r>
      <w:proofErr w:type="gramEnd"/>
      <w:r w:rsidRPr="00C61AA4">
        <w:rPr>
          <w:rFonts w:ascii="Times New Roman" w:hAnsi="Times New Roman"/>
          <w:sz w:val="24"/>
          <w:szCs w:val="24"/>
        </w:rPr>
        <w:t xml:space="preserve"> о деятельности эмитентов.</w:t>
      </w:r>
    </w:p>
    <w:p w:rsidR="00897354" w:rsidRPr="00C61AA4" w:rsidRDefault="00897354" w:rsidP="00897354">
      <w:pPr>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 xml:space="preserve">Вместе с тем, в октябре 2016 года на заседании Совета по финансовой стабильности и развитию финансового рынка Республики Казахстан при Президенте Республики Казахстан были </w:t>
      </w:r>
      <w:r w:rsidRPr="00C61AA4">
        <w:rPr>
          <w:rFonts w:ascii="Times New Roman" w:hAnsi="Times New Roman"/>
          <w:sz w:val="24"/>
          <w:szCs w:val="24"/>
        </w:rPr>
        <w:lastRenderedPageBreak/>
        <w:t>рассмотрены и приняты ряд предложений, направленных на стимулирование эмитентов к привлечению финансирования на рынке ценных бумаг.</w:t>
      </w:r>
    </w:p>
    <w:p w:rsidR="006346A7" w:rsidRPr="00C61AA4" w:rsidRDefault="006346A7" w:rsidP="006346A7">
      <w:pPr>
        <w:spacing w:line="240" w:lineRule="auto"/>
        <w:ind w:firstLine="709"/>
        <w:contextualSpacing/>
        <w:jc w:val="both"/>
        <w:rPr>
          <w:rFonts w:ascii="Times New Roman" w:hAnsi="Times New Roman"/>
          <w:b/>
          <w:i/>
          <w:sz w:val="24"/>
          <w:szCs w:val="24"/>
        </w:rPr>
      </w:pPr>
    </w:p>
    <w:p w:rsidR="006346A7" w:rsidRPr="00C61AA4" w:rsidRDefault="006346A7" w:rsidP="006346A7">
      <w:pPr>
        <w:spacing w:line="240" w:lineRule="auto"/>
        <w:ind w:firstLine="709"/>
        <w:contextualSpacing/>
        <w:jc w:val="both"/>
        <w:rPr>
          <w:rFonts w:ascii="Times New Roman" w:hAnsi="Times New Roman"/>
          <w:i/>
          <w:sz w:val="24"/>
          <w:szCs w:val="24"/>
          <w:lang w:val="kk-KZ"/>
        </w:rPr>
      </w:pPr>
      <w:r w:rsidRPr="00C61AA4">
        <w:rPr>
          <w:rFonts w:ascii="Times New Roman" w:hAnsi="Times New Roman"/>
          <w:b/>
          <w:i/>
          <w:sz w:val="24"/>
          <w:szCs w:val="24"/>
        </w:rPr>
        <w:t>Целевой индикатор 2:</w:t>
      </w:r>
      <w:r w:rsidRPr="00C61AA4">
        <w:rPr>
          <w:rFonts w:ascii="Times New Roman" w:hAnsi="Times New Roman"/>
          <w:i/>
          <w:sz w:val="24"/>
          <w:szCs w:val="24"/>
        </w:rPr>
        <w:t xml:space="preserve"> </w:t>
      </w:r>
      <w:r w:rsidRPr="00C61AA4">
        <w:rPr>
          <w:rFonts w:ascii="Times New Roman" w:hAnsi="Times New Roman"/>
          <w:b/>
          <w:i/>
          <w:sz w:val="24"/>
          <w:szCs w:val="24"/>
          <w:lang w:val="kk-KZ"/>
        </w:rPr>
        <w:t xml:space="preserve">Показатель «Регулирование оборота ценных бумаг» Глобального индекса конкурентоспособности </w:t>
      </w:r>
      <w:r w:rsidRPr="00C61AA4">
        <w:rPr>
          <w:rFonts w:ascii="Times New Roman" w:hAnsi="Times New Roman"/>
          <w:i/>
          <w:sz w:val="24"/>
          <w:szCs w:val="24"/>
          <w:lang w:val="kk-KZ"/>
        </w:rPr>
        <w:t>(87 место в рейтинге ГИК ВЭФ)</w:t>
      </w:r>
    </w:p>
    <w:p w:rsidR="006346A7" w:rsidRPr="00C61AA4" w:rsidRDefault="006346A7" w:rsidP="006346A7">
      <w:pPr>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В соответствии с ежегодным Отчётом о глобальной конкурентоспособности Всемирного Экономического Форума на период 2016-2017 годы по данному показателю Казахстан занял 108 место.</w:t>
      </w:r>
    </w:p>
    <w:p w:rsidR="006346A7" w:rsidRPr="00C61AA4" w:rsidRDefault="006346A7" w:rsidP="006346A7">
      <w:pPr>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Принимая во внимание, что указанный показатель оценивается опросным путем, оценить влияние принимаемых регуляторных мер не представляется возможным.</w:t>
      </w:r>
    </w:p>
    <w:p w:rsidR="00F60B69" w:rsidRPr="00C61AA4" w:rsidRDefault="00F60B69" w:rsidP="00F60B69">
      <w:pPr>
        <w:spacing w:line="240" w:lineRule="auto"/>
        <w:ind w:firstLine="709"/>
        <w:contextualSpacing/>
        <w:jc w:val="both"/>
        <w:rPr>
          <w:rFonts w:ascii="Times New Roman" w:hAnsi="Times New Roman"/>
          <w:b/>
          <w:i/>
          <w:sz w:val="24"/>
        </w:rPr>
      </w:pPr>
      <w:r w:rsidRPr="00C61AA4">
        <w:rPr>
          <w:rFonts w:ascii="Times New Roman" w:hAnsi="Times New Roman"/>
          <w:b/>
          <w:bCs/>
          <w:i/>
          <w:iCs/>
          <w:sz w:val="24"/>
        </w:rPr>
        <w:t>Мероприятия для достижения  целевого индикатора:</w:t>
      </w:r>
    </w:p>
    <w:p w:rsidR="006346A7" w:rsidRPr="00C61AA4" w:rsidRDefault="00F60B69" w:rsidP="006346A7">
      <w:pPr>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М</w:t>
      </w:r>
      <w:r w:rsidR="006346A7" w:rsidRPr="00C61AA4">
        <w:rPr>
          <w:rFonts w:ascii="Times New Roman" w:hAnsi="Times New Roman"/>
          <w:sz w:val="24"/>
          <w:szCs w:val="24"/>
        </w:rPr>
        <w:t>ероприятия, проведенные в рамках показателя «</w:t>
      </w:r>
      <w:r w:rsidR="00A23893" w:rsidRPr="00C61AA4">
        <w:rPr>
          <w:rFonts w:ascii="Times New Roman" w:hAnsi="Times New Roman"/>
          <w:sz w:val="24"/>
          <w:szCs w:val="24"/>
        </w:rPr>
        <w:t>Получение финансирования на внутреннем фондовом рынке</w:t>
      </w:r>
      <w:r w:rsidR="006346A7" w:rsidRPr="00C61AA4">
        <w:rPr>
          <w:rFonts w:ascii="Times New Roman" w:hAnsi="Times New Roman"/>
          <w:sz w:val="24"/>
          <w:szCs w:val="24"/>
        </w:rPr>
        <w:t>» могут повлиять на повышение</w:t>
      </w:r>
      <w:r w:rsidR="006346A7" w:rsidRPr="00C61AA4">
        <w:rPr>
          <w:rFonts w:ascii="Times New Roman" w:hAnsi="Times New Roman"/>
          <w:b/>
          <w:sz w:val="24"/>
          <w:szCs w:val="24"/>
        </w:rPr>
        <w:t xml:space="preserve"> </w:t>
      </w:r>
      <w:r w:rsidR="006346A7" w:rsidRPr="00C61AA4">
        <w:rPr>
          <w:rFonts w:ascii="Times New Roman" w:hAnsi="Times New Roman"/>
          <w:sz w:val="24"/>
          <w:szCs w:val="24"/>
        </w:rPr>
        <w:t>Республики Казахстан в рейтинге Всемирного Банка по показателю «Регулирование рынка ценных бумаг».</w:t>
      </w:r>
    </w:p>
    <w:p w:rsidR="00897354" w:rsidRPr="00C61AA4" w:rsidRDefault="004C09F5" w:rsidP="00897354">
      <w:pPr>
        <w:tabs>
          <w:tab w:val="num" w:pos="720"/>
        </w:tabs>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В частности,</w:t>
      </w:r>
      <w:r w:rsidR="00897354" w:rsidRPr="00C61AA4">
        <w:rPr>
          <w:rFonts w:ascii="Times New Roman" w:hAnsi="Times New Roman"/>
          <w:sz w:val="24"/>
          <w:szCs w:val="24"/>
        </w:rPr>
        <w:t xml:space="preserve"> в течение 2016 года принял ряд нормативных правовых актов, направленных на активизацию деятельности на фондовом рынке и созданию благоприятных условий для привлечения на рынок новых эмитентов, в том числе региональных.</w:t>
      </w:r>
    </w:p>
    <w:p w:rsidR="00897354" w:rsidRPr="00C61AA4" w:rsidRDefault="00897354" w:rsidP="00897354">
      <w:pPr>
        <w:tabs>
          <w:tab w:val="num" w:pos="720"/>
        </w:tabs>
        <w:spacing w:line="240" w:lineRule="auto"/>
        <w:ind w:firstLine="709"/>
        <w:contextualSpacing/>
        <w:jc w:val="both"/>
        <w:rPr>
          <w:rFonts w:ascii="Times New Roman" w:hAnsi="Times New Roman"/>
          <w:sz w:val="24"/>
          <w:szCs w:val="24"/>
        </w:rPr>
      </w:pPr>
      <w:proofErr w:type="gramStart"/>
      <w:r w:rsidRPr="00C61AA4">
        <w:rPr>
          <w:rFonts w:ascii="Times New Roman" w:hAnsi="Times New Roman"/>
          <w:sz w:val="24"/>
          <w:szCs w:val="24"/>
        </w:rPr>
        <w:t>Упрощены процедуры для эмитентов по выходу на фондовый рынок, в частности оптимизированы требования в отношении регистрации выпуска ценных бумаг и раскрытия информации перед инвесторами, сокращен объем информации, подлежащей представлению эмитентами в уполномоченный орган и раскрываемый в проспектах выпуска ценных бумаг, сокращено количество разрешительных процедур, связанных с внесением изменений в проспекты выпуска ценных бумаг, облегчен и систематизирован доступ инвесторов к информации</w:t>
      </w:r>
      <w:proofErr w:type="gramEnd"/>
      <w:r w:rsidRPr="00C61AA4">
        <w:rPr>
          <w:rFonts w:ascii="Times New Roman" w:hAnsi="Times New Roman"/>
          <w:sz w:val="24"/>
          <w:szCs w:val="24"/>
        </w:rPr>
        <w:t xml:space="preserve"> о деятельности эмитентов.</w:t>
      </w:r>
    </w:p>
    <w:p w:rsidR="00897354" w:rsidRPr="00C61AA4" w:rsidRDefault="00897354" w:rsidP="006346A7">
      <w:pPr>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Вместе с тем, в октябре 2016 года на заседании Совета по финансовой стабильности и развитию финансового рынка Республики Казахстан при Президенте Республики Казахстан были рассмотрены и приняты ряд предложений, направленных на стимулирование эмитентов к привлечению финансирования на рынке ценных бумаг.</w:t>
      </w:r>
    </w:p>
    <w:p w:rsidR="006346A7" w:rsidRPr="00C61AA4" w:rsidRDefault="006346A7" w:rsidP="006346A7">
      <w:pPr>
        <w:spacing w:line="240" w:lineRule="auto"/>
        <w:ind w:firstLine="709"/>
        <w:contextualSpacing/>
        <w:jc w:val="both"/>
        <w:rPr>
          <w:rFonts w:ascii="Times New Roman" w:hAnsi="Times New Roman"/>
          <w:i/>
          <w:sz w:val="24"/>
          <w:szCs w:val="24"/>
        </w:rPr>
      </w:pPr>
    </w:p>
    <w:p w:rsidR="006346A7" w:rsidRPr="00C61AA4" w:rsidRDefault="006346A7" w:rsidP="006346A7">
      <w:pPr>
        <w:spacing w:line="240" w:lineRule="auto"/>
        <w:ind w:firstLine="709"/>
        <w:contextualSpacing/>
        <w:jc w:val="both"/>
        <w:rPr>
          <w:rFonts w:ascii="Times New Roman" w:hAnsi="Times New Roman"/>
          <w:i/>
          <w:sz w:val="24"/>
          <w:szCs w:val="24"/>
          <w:lang w:val="kk-KZ"/>
        </w:rPr>
      </w:pPr>
      <w:r w:rsidRPr="00C61AA4">
        <w:rPr>
          <w:rFonts w:ascii="Times New Roman" w:hAnsi="Times New Roman"/>
          <w:b/>
          <w:i/>
          <w:sz w:val="24"/>
          <w:szCs w:val="24"/>
        </w:rPr>
        <w:t>Целевой индикатор 3:</w:t>
      </w:r>
      <w:r w:rsidRPr="00C61AA4">
        <w:rPr>
          <w:rFonts w:ascii="Times New Roman" w:hAnsi="Times New Roman"/>
          <w:i/>
          <w:sz w:val="24"/>
          <w:szCs w:val="24"/>
        </w:rPr>
        <w:t xml:space="preserve"> </w:t>
      </w:r>
      <w:r w:rsidRPr="00C61AA4">
        <w:rPr>
          <w:rFonts w:ascii="Times New Roman" w:hAnsi="Times New Roman"/>
          <w:b/>
          <w:i/>
          <w:sz w:val="24"/>
          <w:szCs w:val="24"/>
          <w:lang w:val="kk-KZ"/>
        </w:rPr>
        <w:t xml:space="preserve">Показатель «Индекс защиты прав» Глобального индекса конкурентоспособности </w:t>
      </w:r>
      <w:r w:rsidRPr="00C61AA4">
        <w:rPr>
          <w:rFonts w:ascii="Times New Roman" w:hAnsi="Times New Roman"/>
          <w:i/>
          <w:sz w:val="24"/>
          <w:szCs w:val="24"/>
          <w:lang w:val="kk-KZ"/>
        </w:rPr>
        <w:t>(93 место в рейтинге ГИК ВЭФ)</w:t>
      </w:r>
    </w:p>
    <w:p w:rsidR="006346A7" w:rsidRPr="00C61AA4" w:rsidRDefault="006346A7" w:rsidP="006346A7">
      <w:pPr>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В соответствии с ежегодным Отчётом о глобальной конкурентоспособности Всемирного Экономического Форума на период 2016-2017 годы, Казахстан по индикатору «Индекс защиты прав» занимает 86 место, что на 7 позиций лучше запланированного уровня.</w:t>
      </w:r>
    </w:p>
    <w:p w:rsidR="0072013D" w:rsidRPr="00C61AA4" w:rsidRDefault="0072013D" w:rsidP="0072013D">
      <w:pPr>
        <w:spacing w:line="240" w:lineRule="auto"/>
        <w:ind w:firstLine="709"/>
        <w:contextualSpacing/>
        <w:jc w:val="both"/>
        <w:rPr>
          <w:rFonts w:ascii="Times New Roman" w:hAnsi="Times New Roman"/>
          <w:b/>
          <w:i/>
          <w:sz w:val="24"/>
        </w:rPr>
      </w:pPr>
      <w:r w:rsidRPr="00C61AA4">
        <w:rPr>
          <w:rFonts w:ascii="Times New Roman" w:hAnsi="Times New Roman"/>
          <w:b/>
          <w:bCs/>
          <w:i/>
          <w:iCs/>
          <w:sz w:val="24"/>
        </w:rPr>
        <w:t>Мероприятия для достижения  целевого индикатора:</w:t>
      </w:r>
    </w:p>
    <w:p w:rsidR="0072013D" w:rsidRPr="00C61AA4" w:rsidRDefault="0072013D" w:rsidP="0072013D">
      <w:pPr>
        <w:spacing w:line="240" w:lineRule="auto"/>
        <w:ind w:firstLine="709"/>
        <w:contextualSpacing/>
        <w:jc w:val="both"/>
        <w:rPr>
          <w:rFonts w:ascii="Times New Roman" w:hAnsi="Times New Roman" w:cs="Times New Roman"/>
          <w:sz w:val="24"/>
          <w:szCs w:val="24"/>
        </w:rPr>
      </w:pPr>
      <w:r w:rsidRPr="00C61AA4">
        <w:rPr>
          <w:rFonts w:ascii="Times New Roman" w:hAnsi="Times New Roman" w:cs="Times New Roman"/>
          <w:sz w:val="24"/>
          <w:szCs w:val="24"/>
        </w:rPr>
        <w:t>Работа по указанному направлению проводилась в рамках улучшения позиций Казахстана в рейтинге «</w:t>
      </w:r>
      <w:r w:rsidRPr="00C61AA4">
        <w:rPr>
          <w:rFonts w:ascii="Times New Roman" w:hAnsi="Times New Roman" w:cs="Times New Roman"/>
          <w:sz w:val="24"/>
          <w:szCs w:val="24"/>
          <w:lang w:val="en-US"/>
        </w:rPr>
        <w:t>Doing</w:t>
      </w:r>
      <w:r w:rsidRPr="00C61AA4">
        <w:rPr>
          <w:rFonts w:ascii="Times New Roman" w:hAnsi="Times New Roman" w:cs="Times New Roman"/>
          <w:sz w:val="24"/>
          <w:szCs w:val="24"/>
        </w:rPr>
        <w:t xml:space="preserve"> </w:t>
      </w:r>
      <w:r w:rsidRPr="00C61AA4">
        <w:rPr>
          <w:rFonts w:ascii="Times New Roman" w:hAnsi="Times New Roman" w:cs="Times New Roman"/>
          <w:sz w:val="24"/>
          <w:szCs w:val="24"/>
          <w:lang w:val="en-US"/>
        </w:rPr>
        <w:t>Business</w:t>
      </w:r>
      <w:r w:rsidRPr="00C61AA4">
        <w:rPr>
          <w:rFonts w:ascii="Times New Roman" w:hAnsi="Times New Roman" w:cs="Times New Roman"/>
          <w:sz w:val="24"/>
          <w:szCs w:val="24"/>
        </w:rPr>
        <w:t>» по индикатору «Получение кредитов».  В рамках 4-го пакета поправок Национальным Банком (</w:t>
      </w:r>
      <w:r w:rsidRPr="00C61AA4">
        <w:rPr>
          <w:rFonts w:ascii="Times New Roman" w:hAnsi="Times New Roman"/>
          <w:sz w:val="24"/>
          <w:szCs w:val="24"/>
          <w:lang w:eastAsia="ru-RU"/>
        </w:rPr>
        <w:t xml:space="preserve">Закон Республики Казахстан от 29 марта 2016 года № 479-V «О внесении изменений и дополнений в некоторые законодательные акты Республики Казахстан по вопросам сокращения разрешительных документов и упрощения разрешительных процедур») </w:t>
      </w:r>
      <w:r w:rsidRPr="00C61AA4">
        <w:rPr>
          <w:rFonts w:ascii="Times New Roman" w:hAnsi="Times New Roman" w:cs="Times New Roman"/>
          <w:sz w:val="24"/>
          <w:szCs w:val="24"/>
        </w:rPr>
        <w:t>проведены следующие реформы:</w:t>
      </w:r>
    </w:p>
    <w:p w:rsidR="0072013D" w:rsidRPr="00C61AA4" w:rsidRDefault="0072013D" w:rsidP="0072013D">
      <w:pPr>
        <w:spacing w:line="240" w:lineRule="auto"/>
        <w:ind w:firstLine="709"/>
        <w:contextualSpacing/>
        <w:jc w:val="both"/>
        <w:rPr>
          <w:rFonts w:ascii="Times New Roman" w:hAnsi="Times New Roman" w:cs="Times New Roman"/>
          <w:sz w:val="24"/>
          <w:szCs w:val="24"/>
        </w:rPr>
      </w:pPr>
      <w:r w:rsidRPr="00C61AA4">
        <w:rPr>
          <w:rFonts w:ascii="Times New Roman" w:hAnsi="Times New Roman" w:cs="Times New Roman"/>
          <w:sz w:val="24"/>
          <w:szCs w:val="24"/>
        </w:rPr>
        <w:t>законодательно закреплена возможность получения третьими лицами сведений о залоговых ценных бумагах, составляющих коммерческую тайну на рынке ценных бумаг;</w:t>
      </w:r>
    </w:p>
    <w:p w:rsidR="0072013D" w:rsidRPr="00C61AA4" w:rsidRDefault="0072013D" w:rsidP="0072013D">
      <w:pPr>
        <w:spacing w:line="240" w:lineRule="auto"/>
        <w:ind w:firstLine="709"/>
        <w:contextualSpacing/>
        <w:jc w:val="both"/>
        <w:rPr>
          <w:rFonts w:ascii="Times New Roman" w:hAnsi="Times New Roman" w:cs="Times New Roman"/>
          <w:sz w:val="24"/>
          <w:szCs w:val="24"/>
        </w:rPr>
      </w:pPr>
      <w:r w:rsidRPr="00C61AA4">
        <w:rPr>
          <w:rFonts w:ascii="Times New Roman" w:hAnsi="Times New Roman" w:cs="Times New Roman"/>
          <w:sz w:val="24"/>
          <w:szCs w:val="24"/>
        </w:rPr>
        <w:t>уточнено понятие «движимого имущества», а также внесены корректирующие поправки по данным о залоге движимого имущества.</w:t>
      </w:r>
    </w:p>
    <w:p w:rsidR="0072013D" w:rsidRPr="00C61AA4" w:rsidRDefault="0072013D" w:rsidP="0072013D">
      <w:pPr>
        <w:spacing w:line="240" w:lineRule="auto"/>
        <w:ind w:firstLine="709"/>
        <w:contextualSpacing/>
        <w:jc w:val="both"/>
        <w:rPr>
          <w:rFonts w:ascii="Times New Roman" w:hAnsi="Times New Roman" w:cs="Times New Roman"/>
          <w:sz w:val="24"/>
          <w:szCs w:val="24"/>
        </w:rPr>
      </w:pPr>
      <w:r w:rsidRPr="00C61AA4">
        <w:rPr>
          <w:rFonts w:ascii="Times New Roman" w:hAnsi="Times New Roman" w:cs="Times New Roman"/>
          <w:sz w:val="24"/>
          <w:szCs w:val="24"/>
        </w:rPr>
        <w:t>Кроме того, кредитное бюро с государственным участием и частные кредитные бюро имеют возможность получать информацию от субъектов естественной монополии (далее – СЕМ).</w:t>
      </w:r>
    </w:p>
    <w:p w:rsidR="0072013D" w:rsidRPr="00C61AA4" w:rsidRDefault="0072013D" w:rsidP="0072013D">
      <w:pPr>
        <w:spacing w:line="240" w:lineRule="auto"/>
        <w:ind w:firstLine="709"/>
        <w:contextualSpacing/>
        <w:jc w:val="both"/>
        <w:rPr>
          <w:rFonts w:ascii="Times New Roman" w:hAnsi="Times New Roman" w:cs="Times New Roman"/>
          <w:sz w:val="24"/>
          <w:szCs w:val="24"/>
        </w:rPr>
      </w:pPr>
      <w:r w:rsidRPr="00C61AA4">
        <w:rPr>
          <w:rFonts w:ascii="Times New Roman" w:hAnsi="Times New Roman" w:cs="Times New Roman"/>
          <w:sz w:val="24"/>
          <w:szCs w:val="24"/>
        </w:rPr>
        <w:t xml:space="preserve">В 2016 году АО «Государственное кредитное бюро» заключило Договоры с 19-ю СЕМ, в том числе с 12-ю СЕМ по г. Алматы, восемь из которых являются крупными монополистами в сфере жилищно-коммунального хозяйства. </w:t>
      </w:r>
    </w:p>
    <w:p w:rsidR="0072013D" w:rsidRPr="00C61AA4" w:rsidRDefault="0072013D" w:rsidP="0072013D">
      <w:pPr>
        <w:spacing w:line="240" w:lineRule="auto"/>
        <w:ind w:firstLine="709"/>
        <w:contextualSpacing/>
        <w:jc w:val="both"/>
        <w:rPr>
          <w:rFonts w:ascii="Times New Roman" w:hAnsi="Times New Roman" w:cs="Times New Roman"/>
          <w:sz w:val="24"/>
          <w:szCs w:val="24"/>
        </w:rPr>
      </w:pPr>
      <w:r w:rsidRPr="00C61AA4">
        <w:rPr>
          <w:rFonts w:ascii="Times New Roman" w:hAnsi="Times New Roman" w:cs="Times New Roman"/>
          <w:sz w:val="24"/>
          <w:szCs w:val="24"/>
        </w:rPr>
        <w:t xml:space="preserve">Наличие в кредитных бюро информации от СЕМ позволит адекватно оценивать заемщиков при кредитовании, то есть кредитное учреждение может получить более полные сведения о состоянии заемщика, его дисциплинированности по погашению обязательств перед третьими лицами, и на их основании обеспечить адекватную оценку кредитных рисков. Наличие полных и </w:t>
      </w:r>
      <w:r w:rsidRPr="00C61AA4">
        <w:rPr>
          <w:rFonts w:ascii="Times New Roman" w:hAnsi="Times New Roman" w:cs="Times New Roman"/>
          <w:sz w:val="24"/>
          <w:szCs w:val="24"/>
        </w:rPr>
        <w:lastRenderedPageBreak/>
        <w:t xml:space="preserve">достоверных данных из различных источников повышает эффективность распределения кредитных ресурсов. </w:t>
      </w:r>
    </w:p>
    <w:p w:rsidR="0072013D" w:rsidRPr="00C61AA4" w:rsidRDefault="0072013D" w:rsidP="0072013D">
      <w:pPr>
        <w:spacing w:line="240" w:lineRule="auto"/>
        <w:ind w:firstLine="709"/>
        <w:contextualSpacing/>
        <w:jc w:val="both"/>
        <w:rPr>
          <w:rFonts w:ascii="Times New Roman" w:hAnsi="Times New Roman" w:cs="Times New Roman"/>
          <w:sz w:val="24"/>
          <w:szCs w:val="24"/>
        </w:rPr>
      </w:pPr>
      <w:r w:rsidRPr="00C61AA4">
        <w:rPr>
          <w:rFonts w:ascii="Times New Roman" w:hAnsi="Times New Roman" w:cs="Times New Roman"/>
          <w:sz w:val="24"/>
          <w:szCs w:val="24"/>
        </w:rPr>
        <w:t>Также, в рамках 5-го пакета, формируемого Министерством национальной экономики РК, Национальным Банком реализованы следующие поправки:</w:t>
      </w:r>
    </w:p>
    <w:p w:rsidR="0072013D" w:rsidRPr="00C61AA4" w:rsidRDefault="0072013D" w:rsidP="0072013D">
      <w:pPr>
        <w:spacing w:line="240" w:lineRule="auto"/>
        <w:ind w:firstLine="709"/>
        <w:contextualSpacing/>
        <w:jc w:val="both"/>
        <w:rPr>
          <w:rFonts w:ascii="Times New Roman" w:hAnsi="Times New Roman" w:cs="Times New Roman"/>
          <w:sz w:val="24"/>
          <w:szCs w:val="24"/>
        </w:rPr>
      </w:pPr>
      <w:r w:rsidRPr="00C61AA4">
        <w:rPr>
          <w:rFonts w:ascii="Times New Roman" w:hAnsi="Times New Roman" w:cs="Times New Roman"/>
          <w:sz w:val="24"/>
          <w:szCs w:val="24"/>
        </w:rPr>
        <w:t xml:space="preserve">упрощение процедур оформления залога; </w:t>
      </w:r>
    </w:p>
    <w:p w:rsidR="0072013D" w:rsidRPr="00C61AA4" w:rsidRDefault="0072013D" w:rsidP="0072013D">
      <w:pPr>
        <w:spacing w:line="240" w:lineRule="auto"/>
        <w:ind w:firstLine="709"/>
        <w:contextualSpacing/>
        <w:jc w:val="both"/>
        <w:rPr>
          <w:rFonts w:ascii="Times New Roman" w:hAnsi="Times New Roman" w:cs="Times New Roman"/>
          <w:sz w:val="24"/>
          <w:szCs w:val="24"/>
        </w:rPr>
      </w:pPr>
      <w:r w:rsidRPr="00C61AA4">
        <w:rPr>
          <w:rFonts w:ascii="Times New Roman" w:hAnsi="Times New Roman" w:cs="Times New Roman"/>
          <w:sz w:val="24"/>
          <w:szCs w:val="24"/>
        </w:rPr>
        <w:t>функционирование единого окна доступа информации по залогу движимого имущества и предоставление возможности регистрации залога ценных бумаг через веб-портал «электронного правительства».</w:t>
      </w:r>
    </w:p>
    <w:p w:rsidR="006346A7" w:rsidRPr="00C61AA4" w:rsidRDefault="006346A7" w:rsidP="006346A7">
      <w:pPr>
        <w:spacing w:line="240" w:lineRule="auto"/>
        <w:ind w:firstLine="709"/>
        <w:contextualSpacing/>
        <w:jc w:val="both"/>
        <w:rPr>
          <w:rFonts w:ascii="Times New Roman" w:hAnsi="Times New Roman"/>
          <w:b/>
          <w:i/>
          <w:color w:val="000000"/>
          <w:sz w:val="24"/>
          <w:szCs w:val="24"/>
        </w:rPr>
      </w:pPr>
    </w:p>
    <w:p w:rsidR="006346A7" w:rsidRPr="00C61AA4" w:rsidRDefault="006346A7" w:rsidP="006346A7">
      <w:pPr>
        <w:spacing w:line="240" w:lineRule="auto"/>
        <w:ind w:firstLine="709"/>
        <w:contextualSpacing/>
        <w:jc w:val="both"/>
        <w:rPr>
          <w:rFonts w:ascii="Times New Roman" w:hAnsi="Times New Roman"/>
          <w:i/>
          <w:sz w:val="24"/>
          <w:szCs w:val="24"/>
          <w:lang w:val="kk-KZ"/>
        </w:rPr>
      </w:pPr>
      <w:r w:rsidRPr="00C61AA4">
        <w:rPr>
          <w:rFonts w:ascii="Times New Roman" w:hAnsi="Times New Roman"/>
          <w:b/>
          <w:i/>
          <w:sz w:val="24"/>
          <w:szCs w:val="24"/>
        </w:rPr>
        <w:t>Целевой индикатор 4:</w:t>
      </w:r>
      <w:r w:rsidRPr="00C61AA4">
        <w:rPr>
          <w:rFonts w:ascii="Times New Roman" w:hAnsi="Times New Roman"/>
          <w:i/>
          <w:sz w:val="24"/>
          <w:szCs w:val="24"/>
        </w:rPr>
        <w:t xml:space="preserve"> </w:t>
      </w:r>
      <w:r w:rsidRPr="00C61AA4">
        <w:rPr>
          <w:rFonts w:ascii="Times New Roman" w:hAnsi="Times New Roman"/>
          <w:b/>
          <w:i/>
          <w:sz w:val="24"/>
          <w:szCs w:val="24"/>
          <w:lang w:val="kk-KZ"/>
        </w:rPr>
        <w:t xml:space="preserve">Показатель «Защита инвесторов, индекс 0-10» Глобального индекса конкурентоспособности </w:t>
      </w:r>
      <w:r w:rsidRPr="00C61AA4">
        <w:rPr>
          <w:rFonts w:ascii="Times New Roman" w:hAnsi="Times New Roman"/>
          <w:i/>
          <w:sz w:val="24"/>
          <w:szCs w:val="24"/>
          <w:lang w:val="kk-KZ"/>
        </w:rPr>
        <w:t>(25 место в рейтинге ГИК ВЭФ)</w:t>
      </w:r>
    </w:p>
    <w:p w:rsidR="00755194" w:rsidRPr="00C61AA4" w:rsidRDefault="006346A7" w:rsidP="00755194">
      <w:pPr>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В соответствии с ежегодным Отчётом о глобальной конкурентоспособности Всемирного Экономического Форума на период 2016-2017 годы по показателю «Защита инвесторов» Казахстан занял 25 место, сохранив прежнюю позицию.</w:t>
      </w:r>
    </w:p>
    <w:p w:rsidR="00F60B69" w:rsidRPr="00C61AA4" w:rsidRDefault="00F60B69" w:rsidP="00F60B69">
      <w:pPr>
        <w:spacing w:line="240" w:lineRule="auto"/>
        <w:ind w:firstLine="709"/>
        <w:contextualSpacing/>
        <w:jc w:val="both"/>
        <w:rPr>
          <w:rFonts w:ascii="Times New Roman" w:hAnsi="Times New Roman"/>
          <w:b/>
          <w:i/>
          <w:sz w:val="24"/>
        </w:rPr>
      </w:pPr>
      <w:r w:rsidRPr="00C61AA4">
        <w:rPr>
          <w:rFonts w:ascii="Times New Roman" w:hAnsi="Times New Roman"/>
          <w:b/>
          <w:bCs/>
          <w:i/>
          <w:iCs/>
          <w:sz w:val="24"/>
        </w:rPr>
        <w:t>Мероприятия для достижения  целевого индикатора:</w:t>
      </w:r>
    </w:p>
    <w:p w:rsidR="006346A7" w:rsidRPr="00C61AA4" w:rsidRDefault="006346A7" w:rsidP="00755194">
      <w:pPr>
        <w:spacing w:line="240" w:lineRule="auto"/>
        <w:ind w:firstLine="709"/>
        <w:contextualSpacing/>
        <w:jc w:val="both"/>
        <w:rPr>
          <w:rFonts w:ascii="Times New Roman" w:hAnsi="Times New Roman" w:cs="Times New Roman"/>
          <w:sz w:val="24"/>
          <w:szCs w:val="24"/>
        </w:rPr>
      </w:pPr>
      <w:r w:rsidRPr="00C61AA4">
        <w:rPr>
          <w:rFonts w:ascii="Times New Roman" w:hAnsi="Times New Roman" w:cs="Times New Roman"/>
          <w:sz w:val="24"/>
          <w:szCs w:val="24"/>
        </w:rPr>
        <w:t>Работа по указанному направлению проводилась в рамках улучшения позиций Казахстана в рейтинге «</w:t>
      </w:r>
      <w:r w:rsidRPr="00C61AA4">
        <w:rPr>
          <w:rFonts w:ascii="Times New Roman" w:hAnsi="Times New Roman" w:cs="Times New Roman"/>
          <w:sz w:val="24"/>
          <w:szCs w:val="24"/>
          <w:lang w:val="en-US"/>
        </w:rPr>
        <w:t>Doing</w:t>
      </w:r>
      <w:r w:rsidRPr="00C61AA4">
        <w:rPr>
          <w:rFonts w:ascii="Times New Roman" w:hAnsi="Times New Roman" w:cs="Times New Roman"/>
          <w:sz w:val="24"/>
          <w:szCs w:val="24"/>
        </w:rPr>
        <w:t xml:space="preserve"> </w:t>
      </w:r>
      <w:r w:rsidRPr="00C61AA4">
        <w:rPr>
          <w:rFonts w:ascii="Times New Roman" w:hAnsi="Times New Roman" w:cs="Times New Roman"/>
          <w:sz w:val="24"/>
          <w:szCs w:val="24"/>
          <w:lang w:val="en-US"/>
        </w:rPr>
        <w:t>Business</w:t>
      </w:r>
      <w:r w:rsidRPr="00C61AA4">
        <w:rPr>
          <w:rFonts w:ascii="Times New Roman" w:hAnsi="Times New Roman" w:cs="Times New Roman"/>
          <w:sz w:val="24"/>
          <w:szCs w:val="24"/>
        </w:rPr>
        <w:t xml:space="preserve">» по индикатору «Защита (миноритарных) инвесторов».  </w:t>
      </w:r>
    </w:p>
    <w:p w:rsidR="006346A7" w:rsidRPr="00C61AA4" w:rsidRDefault="006346A7" w:rsidP="006346A7">
      <w:pPr>
        <w:spacing w:line="240" w:lineRule="auto"/>
        <w:ind w:firstLine="709"/>
        <w:contextualSpacing/>
        <w:jc w:val="both"/>
        <w:rPr>
          <w:rFonts w:ascii="Times New Roman" w:hAnsi="Times New Roman"/>
          <w:b/>
          <w:i/>
          <w:color w:val="000000"/>
          <w:sz w:val="24"/>
          <w:szCs w:val="24"/>
        </w:rPr>
      </w:pPr>
    </w:p>
    <w:p w:rsidR="006346A7" w:rsidRPr="00C61AA4" w:rsidRDefault="006346A7" w:rsidP="006346A7">
      <w:pPr>
        <w:spacing w:line="240" w:lineRule="auto"/>
        <w:ind w:firstLine="709"/>
        <w:contextualSpacing/>
        <w:jc w:val="both"/>
        <w:rPr>
          <w:rFonts w:ascii="Times New Roman" w:hAnsi="Times New Roman"/>
          <w:i/>
          <w:sz w:val="24"/>
          <w:szCs w:val="24"/>
          <w:lang w:val="kk-KZ"/>
        </w:rPr>
      </w:pPr>
      <w:r w:rsidRPr="00C61AA4">
        <w:rPr>
          <w:rFonts w:ascii="Times New Roman" w:hAnsi="Times New Roman"/>
          <w:b/>
          <w:i/>
          <w:sz w:val="24"/>
          <w:szCs w:val="24"/>
        </w:rPr>
        <w:t>Целевой индикатор 5:</w:t>
      </w:r>
      <w:r w:rsidRPr="00C61AA4">
        <w:rPr>
          <w:rFonts w:ascii="Times New Roman" w:hAnsi="Times New Roman"/>
          <w:i/>
          <w:sz w:val="24"/>
          <w:szCs w:val="24"/>
        </w:rPr>
        <w:t xml:space="preserve"> </w:t>
      </w:r>
      <w:r w:rsidRPr="00C61AA4">
        <w:rPr>
          <w:rFonts w:ascii="Times New Roman" w:hAnsi="Times New Roman"/>
          <w:b/>
          <w:i/>
          <w:sz w:val="24"/>
          <w:szCs w:val="24"/>
          <w:lang w:val="kk-KZ"/>
        </w:rPr>
        <w:t xml:space="preserve">Показатель «Защита интересов миноритарных акционеров» Глобального индекса конкурентоспособности </w:t>
      </w:r>
      <w:r w:rsidRPr="00C61AA4">
        <w:rPr>
          <w:rFonts w:ascii="Times New Roman" w:hAnsi="Times New Roman"/>
          <w:i/>
          <w:sz w:val="24"/>
          <w:szCs w:val="24"/>
          <w:lang w:val="kk-KZ"/>
        </w:rPr>
        <w:t>(52 место в рейтинге ГИК ВЭФ)</w:t>
      </w:r>
    </w:p>
    <w:p w:rsidR="00755194" w:rsidRPr="00C61AA4" w:rsidRDefault="006346A7" w:rsidP="00755194">
      <w:pPr>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В соответствии с ежегодным Отчётом о глобальной конкурентоспособности Всемирного Экономического Форума на период 2016-2017 годы по показателю «Защита интересов миноритарных акционеров» Казахстан занял 65 место, потеряв 13 позиций по сравнению с запланированным уровнем.</w:t>
      </w:r>
    </w:p>
    <w:p w:rsidR="00F60B69" w:rsidRPr="00C61AA4" w:rsidRDefault="00F60B69" w:rsidP="00F60B69">
      <w:pPr>
        <w:spacing w:line="240" w:lineRule="auto"/>
        <w:ind w:firstLine="709"/>
        <w:contextualSpacing/>
        <w:jc w:val="both"/>
        <w:rPr>
          <w:rFonts w:ascii="Times New Roman" w:hAnsi="Times New Roman"/>
          <w:b/>
          <w:i/>
          <w:sz w:val="24"/>
        </w:rPr>
      </w:pPr>
      <w:r w:rsidRPr="00C61AA4">
        <w:rPr>
          <w:rFonts w:ascii="Times New Roman" w:hAnsi="Times New Roman"/>
          <w:b/>
          <w:bCs/>
          <w:i/>
          <w:iCs/>
          <w:sz w:val="24"/>
        </w:rPr>
        <w:t>Мероприятия для достижения  целевого индикатора:</w:t>
      </w:r>
    </w:p>
    <w:p w:rsidR="006346A7" w:rsidRPr="00C61AA4" w:rsidRDefault="006346A7" w:rsidP="00755194">
      <w:pPr>
        <w:spacing w:line="240" w:lineRule="auto"/>
        <w:ind w:firstLine="709"/>
        <w:contextualSpacing/>
        <w:jc w:val="both"/>
        <w:rPr>
          <w:rFonts w:ascii="Times New Roman" w:hAnsi="Times New Roman" w:cs="Times New Roman"/>
          <w:sz w:val="24"/>
          <w:szCs w:val="24"/>
        </w:rPr>
      </w:pPr>
      <w:r w:rsidRPr="00C61AA4">
        <w:rPr>
          <w:rFonts w:ascii="Times New Roman" w:hAnsi="Times New Roman" w:cs="Times New Roman"/>
          <w:sz w:val="24"/>
          <w:szCs w:val="24"/>
        </w:rPr>
        <w:t>Работа по указанному направлению проводилась в рамках улучшения позиций Казахстана в рейтинге «</w:t>
      </w:r>
      <w:r w:rsidRPr="00C61AA4">
        <w:rPr>
          <w:rFonts w:ascii="Times New Roman" w:hAnsi="Times New Roman" w:cs="Times New Roman"/>
          <w:sz w:val="24"/>
          <w:szCs w:val="24"/>
          <w:lang w:val="en-US"/>
        </w:rPr>
        <w:t>Doing</w:t>
      </w:r>
      <w:r w:rsidRPr="00C61AA4">
        <w:rPr>
          <w:rFonts w:ascii="Times New Roman" w:hAnsi="Times New Roman" w:cs="Times New Roman"/>
          <w:sz w:val="24"/>
          <w:szCs w:val="24"/>
        </w:rPr>
        <w:t xml:space="preserve"> </w:t>
      </w:r>
      <w:r w:rsidRPr="00C61AA4">
        <w:rPr>
          <w:rFonts w:ascii="Times New Roman" w:hAnsi="Times New Roman" w:cs="Times New Roman"/>
          <w:sz w:val="24"/>
          <w:szCs w:val="24"/>
          <w:lang w:val="en-US"/>
        </w:rPr>
        <w:t>Business</w:t>
      </w:r>
      <w:r w:rsidRPr="00C61AA4">
        <w:rPr>
          <w:rFonts w:ascii="Times New Roman" w:hAnsi="Times New Roman" w:cs="Times New Roman"/>
          <w:sz w:val="24"/>
          <w:szCs w:val="24"/>
        </w:rPr>
        <w:t xml:space="preserve">» по индикатору «Защита (миноритарных) инвесторов».  </w:t>
      </w:r>
    </w:p>
    <w:p w:rsidR="006346A7" w:rsidRPr="00C61AA4" w:rsidRDefault="006346A7" w:rsidP="006346A7">
      <w:pPr>
        <w:spacing w:line="240" w:lineRule="auto"/>
        <w:ind w:firstLine="709"/>
        <w:contextualSpacing/>
        <w:jc w:val="both"/>
        <w:rPr>
          <w:rFonts w:ascii="Times New Roman" w:hAnsi="Times New Roman"/>
          <w:b/>
          <w:i/>
          <w:color w:val="000000"/>
          <w:sz w:val="24"/>
          <w:szCs w:val="24"/>
        </w:rPr>
      </w:pPr>
    </w:p>
    <w:p w:rsidR="00755194" w:rsidRPr="00C61AA4" w:rsidRDefault="006346A7" w:rsidP="00755194">
      <w:pPr>
        <w:spacing w:line="240" w:lineRule="auto"/>
        <w:ind w:firstLine="709"/>
        <w:contextualSpacing/>
        <w:jc w:val="both"/>
        <w:rPr>
          <w:rFonts w:ascii="Times New Roman" w:hAnsi="Times New Roman"/>
          <w:i/>
          <w:sz w:val="24"/>
          <w:szCs w:val="24"/>
          <w:lang w:val="kk-KZ"/>
        </w:rPr>
      </w:pPr>
      <w:r w:rsidRPr="00C61AA4">
        <w:rPr>
          <w:rFonts w:ascii="Times New Roman" w:hAnsi="Times New Roman"/>
          <w:b/>
          <w:i/>
          <w:sz w:val="24"/>
          <w:szCs w:val="24"/>
        </w:rPr>
        <w:t>Целевой индикатор 6:</w:t>
      </w:r>
      <w:r w:rsidRPr="00C61AA4">
        <w:rPr>
          <w:rFonts w:ascii="Times New Roman" w:hAnsi="Times New Roman"/>
          <w:i/>
          <w:sz w:val="24"/>
          <w:szCs w:val="24"/>
        </w:rPr>
        <w:t xml:space="preserve"> </w:t>
      </w:r>
      <w:r w:rsidRPr="00C61AA4">
        <w:rPr>
          <w:rFonts w:ascii="Times New Roman" w:hAnsi="Times New Roman"/>
          <w:b/>
          <w:i/>
          <w:sz w:val="24"/>
          <w:szCs w:val="24"/>
          <w:lang w:val="kk-KZ"/>
        </w:rPr>
        <w:t xml:space="preserve">Показатель «Эффективность работы совета директоров» Глобального индекса конкурентоспособности </w:t>
      </w:r>
      <w:r w:rsidRPr="00C61AA4">
        <w:rPr>
          <w:rFonts w:ascii="Times New Roman" w:hAnsi="Times New Roman"/>
          <w:i/>
          <w:sz w:val="24"/>
          <w:szCs w:val="24"/>
          <w:lang w:val="kk-KZ"/>
        </w:rPr>
        <w:t>(56 место в рейтинге ГИК ВЭФ)</w:t>
      </w:r>
    </w:p>
    <w:p w:rsidR="00BA3388" w:rsidRPr="00C61AA4" w:rsidRDefault="006346A7" w:rsidP="00BA3388">
      <w:pPr>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Данный показатель оценивается посредством проведения опроса «В вашей стране, как бы вы охарактеризовали корпоративное управление со стороны инвесторов и советов директоров?» (1 – исполнительный орган в низкой степени подотчетен акционерам и совету директоров, 7 – исполнительный орган в высокой степени подотчетен акционерам и совету директоров).</w:t>
      </w:r>
    </w:p>
    <w:p w:rsidR="00BA3388" w:rsidRPr="00C61AA4" w:rsidRDefault="006346A7" w:rsidP="00BA3388">
      <w:pPr>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 xml:space="preserve">Эффективное взаимодействие между органами акционерных обществ и их инвесторами положительно влияет на корпоративное управление. В свою очередь, эффективная практика корпоративного управления предприятий добавляет им дополнительную стоимость, что в свою очередь положительно влияет на развитие </w:t>
      </w:r>
      <w:r w:rsidR="00BA3388" w:rsidRPr="00C61AA4">
        <w:rPr>
          <w:rFonts w:ascii="Times New Roman" w:hAnsi="Times New Roman"/>
          <w:sz w:val="24"/>
          <w:szCs w:val="24"/>
        </w:rPr>
        <w:t>национальной экономики в стране.</w:t>
      </w:r>
    </w:p>
    <w:p w:rsidR="00BA3388" w:rsidRPr="00C61AA4" w:rsidRDefault="006346A7" w:rsidP="00BA3388">
      <w:pPr>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По показателю «Эффективность работы совета директоров» Глобального индекса конкурентоспособности в 2016 году Казахстан занял 72 место, потеряв 14 позиций по сравнению с предыдущим годом.</w:t>
      </w:r>
    </w:p>
    <w:p w:rsidR="00BA3388" w:rsidRPr="00C61AA4" w:rsidRDefault="006346A7" w:rsidP="00BA3388">
      <w:pPr>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 xml:space="preserve">Учитывая, что кардинальные реформы в данной области законодательства не проводились, спад можно объяснить спецификой выбора целевого сегмента (аудитории), среди которых проводился опрос по данному показателю, либо изменением (улучшением) позиций других стран по данному индексу. </w:t>
      </w:r>
    </w:p>
    <w:p w:rsidR="00F60B69" w:rsidRPr="00C61AA4" w:rsidRDefault="00F60B69" w:rsidP="00F60B69">
      <w:pPr>
        <w:spacing w:line="240" w:lineRule="auto"/>
        <w:ind w:firstLine="709"/>
        <w:contextualSpacing/>
        <w:jc w:val="both"/>
        <w:rPr>
          <w:rFonts w:ascii="Times New Roman" w:hAnsi="Times New Roman"/>
          <w:b/>
          <w:i/>
          <w:sz w:val="24"/>
        </w:rPr>
      </w:pPr>
      <w:r w:rsidRPr="00C61AA4">
        <w:rPr>
          <w:rFonts w:ascii="Times New Roman" w:hAnsi="Times New Roman"/>
          <w:b/>
          <w:bCs/>
          <w:i/>
          <w:iCs/>
          <w:sz w:val="24"/>
        </w:rPr>
        <w:t>Мероприятия для достижения  целевого индикатора:</w:t>
      </w:r>
    </w:p>
    <w:p w:rsidR="00BA3388" w:rsidRPr="00C61AA4" w:rsidRDefault="00E56B41" w:rsidP="00BA3388">
      <w:pPr>
        <w:spacing w:line="240" w:lineRule="auto"/>
        <w:ind w:firstLine="709"/>
        <w:contextualSpacing/>
        <w:jc w:val="both"/>
        <w:rPr>
          <w:rFonts w:ascii="Times New Roman" w:hAnsi="Times New Roman"/>
          <w:sz w:val="24"/>
          <w:szCs w:val="24"/>
        </w:rPr>
      </w:pPr>
      <w:proofErr w:type="gramStart"/>
      <w:r w:rsidRPr="00C61AA4">
        <w:rPr>
          <w:rFonts w:ascii="Times New Roman" w:hAnsi="Times New Roman"/>
          <w:sz w:val="24"/>
          <w:szCs w:val="24"/>
        </w:rPr>
        <w:t>НБРК</w:t>
      </w:r>
      <w:r w:rsidR="006346A7" w:rsidRPr="00C61AA4">
        <w:rPr>
          <w:rFonts w:ascii="Times New Roman" w:hAnsi="Times New Roman"/>
          <w:sz w:val="24"/>
          <w:szCs w:val="24"/>
        </w:rPr>
        <w:t xml:space="preserve"> в рамках информационно-разъяснительной работы регулярно проводит тренинги, семинары и круглые столы по обсуждению актуальных и проблемных вопросов системы корпоративного управления в обществах, в том числе правоприменительной практики отдельных норм Закона РК «Об акционерных обществах» в целях совершенствования системы корпоративного управления, защиты прав и интересов акционеров с представителями Национальной палаты предпринимателей «</w:t>
      </w:r>
      <w:proofErr w:type="spellStart"/>
      <w:r w:rsidR="006346A7" w:rsidRPr="00C61AA4">
        <w:rPr>
          <w:rFonts w:ascii="Times New Roman" w:hAnsi="Times New Roman"/>
          <w:sz w:val="24"/>
          <w:szCs w:val="24"/>
        </w:rPr>
        <w:t>Атамекен</w:t>
      </w:r>
      <w:proofErr w:type="spellEnd"/>
      <w:r w:rsidR="006346A7" w:rsidRPr="00C61AA4">
        <w:rPr>
          <w:rFonts w:ascii="Times New Roman" w:hAnsi="Times New Roman"/>
          <w:sz w:val="24"/>
          <w:szCs w:val="24"/>
        </w:rPr>
        <w:t>» и ОЮЛ «Ассоциация финансовых организаций Казахстана».</w:t>
      </w:r>
      <w:proofErr w:type="gramEnd"/>
    </w:p>
    <w:p w:rsidR="00BA3388" w:rsidRPr="00C61AA4" w:rsidRDefault="006346A7" w:rsidP="00BA3388">
      <w:pPr>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lastRenderedPageBreak/>
        <w:t>Кроме этого, в целях улучшения данного показателя на постоянной основе проводится работа по совершенствованию законодательства по вопросам корпоративного управления, в том числе по рекомендациям международных экспертов в рамках рейтинга «</w:t>
      </w:r>
      <w:proofErr w:type="spellStart"/>
      <w:r w:rsidRPr="00C61AA4">
        <w:rPr>
          <w:rFonts w:ascii="Times New Roman" w:hAnsi="Times New Roman"/>
          <w:sz w:val="24"/>
          <w:szCs w:val="24"/>
        </w:rPr>
        <w:t>Doing</w:t>
      </w:r>
      <w:proofErr w:type="spellEnd"/>
      <w:r w:rsidRPr="00C61AA4">
        <w:rPr>
          <w:rFonts w:ascii="Times New Roman" w:hAnsi="Times New Roman"/>
          <w:sz w:val="24"/>
          <w:szCs w:val="24"/>
        </w:rPr>
        <w:t xml:space="preserve"> </w:t>
      </w:r>
      <w:proofErr w:type="spellStart"/>
      <w:r w:rsidRPr="00C61AA4">
        <w:rPr>
          <w:rFonts w:ascii="Times New Roman" w:hAnsi="Times New Roman"/>
          <w:sz w:val="24"/>
          <w:szCs w:val="24"/>
        </w:rPr>
        <w:t>Business</w:t>
      </w:r>
      <w:proofErr w:type="spellEnd"/>
      <w:r w:rsidRPr="00C61AA4">
        <w:rPr>
          <w:rFonts w:ascii="Times New Roman" w:hAnsi="Times New Roman"/>
          <w:sz w:val="24"/>
          <w:szCs w:val="24"/>
        </w:rPr>
        <w:t>».</w:t>
      </w:r>
    </w:p>
    <w:p w:rsidR="006346A7" w:rsidRPr="00C61AA4" w:rsidRDefault="006346A7" w:rsidP="00BA3388">
      <w:pPr>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 xml:space="preserve">Помимо этого, на сегодняшний день планируются мероприятия по проведению Национальной палатой предпринимателей (НПП) круглых столов, пресс-конференций, диалоговых площадок по обсуждению проблемных вопросов корпоративного управления при участии </w:t>
      </w:r>
      <w:r w:rsidR="00E56B41" w:rsidRPr="00C61AA4">
        <w:rPr>
          <w:rFonts w:ascii="Times New Roman" w:hAnsi="Times New Roman"/>
          <w:sz w:val="24"/>
          <w:szCs w:val="24"/>
        </w:rPr>
        <w:t>НБРК</w:t>
      </w:r>
      <w:r w:rsidRPr="00C61AA4">
        <w:rPr>
          <w:rFonts w:ascii="Times New Roman" w:hAnsi="Times New Roman"/>
          <w:sz w:val="24"/>
          <w:szCs w:val="24"/>
        </w:rPr>
        <w:t>.</w:t>
      </w:r>
    </w:p>
    <w:p w:rsidR="00BA3388" w:rsidRPr="00C61AA4" w:rsidRDefault="00BA3388" w:rsidP="00BA3388">
      <w:pPr>
        <w:spacing w:line="240" w:lineRule="auto"/>
        <w:ind w:firstLine="709"/>
        <w:contextualSpacing/>
        <w:jc w:val="both"/>
        <w:rPr>
          <w:rFonts w:ascii="Times New Roman" w:hAnsi="Times New Roman"/>
          <w:sz w:val="24"/>
          <w:szCs w:val="24"/>
        </w:rPr>
      </w:pPr>
    </w:p>
    <w:p w:rsidR="006346A7" w:rsidRPr="00C61AA4" w:rsidRDefault="006346A7" w:rsidP="006346A7">
      <w:pPr>
        <w:spacing w:line="240" w:lineRule="auto"/>
        <w:ind w:firstLine="709"/>
        <w:contextualSpacing/>
        <w:jc w:val="both"/>
        <w:rPr>
          <w:rFonts w:ascii="Times New Roman" w:hAnsi="Times New Roman"/>
          <w:i/>
          <w:sz w:val="24"/>
          <w:szCs w:val="24"/>
          <w:lang w:val="kk-KZ"/>
        </w:rPr>
      </w:pPr>
      <w:r w:rsidRPr="00C61AA4">
        <w:rPr>
          <w:rFonts w:ascii="Times New Roman" w:hAnsi="Times New Roman"/>
          <w:b/>
          <w:i/>
          <w:sz w:val="24"/>
          <w:szCs w:val="24"/>
        </w:rPr>
        <w:t>Целевой индикатор 7:</w:t>
      </w:r>
      <w:r w:rsidRPr="00C61AA4">
        <w:rPr>
          <w:rFonts w:ascii="Times New Roman" w:hAnsi="Times New Roman"/>
          <w:i/>
          <w:sz w:val="24"/>
          <w:szCs w:val="24"/>
        </w:rPr>
        <w:t xml:space="preserve"> </w:t>
      </w:r>
      <w:r w:rsidRPr="00C61AA4">
        <w:rPr>
          <w:rFonts w:ascii="Times New Roman" w:hAnsi="Times New Roman"/>
          <w:b/>
          <w:i/>
          <w:sz w:val="24"/>
          <w:szCs w:val="24"/>
          <w:lang w:val="kk-KZ"/>
        </w:rPr>
        <w:t>Показатель «Защита (миноритарных) инвесторов» Всемирного Банка «</w:t>
      </w:r>
      <w:r w:rsidRPr="00C61AA4">
        <w:rPr>
          <w:rFonts w:ascii="Times New Roman" w:hAnsi="Times New Roman"/>
          <w:b/>
          <w:i/>
          <w:sz w:val="24"/>
          <w:szCs w:val="24"/>
          <w:lang w:val="en-US"/>
        </w:rPr>
        <w:t>Doing</w:t>
      </w:r>
      <w:r w:rsidRPr="00C61AA4">
        <w:rPr>
          <w:rFonts w:ascii="Times New Roman" w:hAnsi="Times New Roman"/>
          <w:b/>
          <w:i/>
          <w:sz w:val="24"/>
          <w:szCs w:val="24"/>
        </w:rPr>
        <w:t xml:space="preserve"> </w:t>
      </w:r>
      <w:r w:rsidRPr="00C61AA4">
        <w:rPr>
          <w:rFonts w:ascii="Times New Roman" w:hAnsi="Times New Roman"/>
          <w:b/>
          <w:i/>
          <w:sz w:val="24"/>
          <w:szCs w:val="24"/>
          <w:lang w:val="en-US"/>
        </w:rPr>
        <w:t>Business</w:t>
      </w:r>
      <w:r w:rsidRPr="00C61AA4">
        <w:rPr>
          <w:rFonts w:ascii="Times New Roman" w:hAnsi="Times New Roman"/>
          <w:b/>
          <w:i/>
          <w:sz w:val="24"/>
          <w:szCs w:val="24"/>
          <w:lang w:val="kk-KZ"/>
        </w:rPr>
        <w:t xml:space="preserve">» </w:t>
      </w:r>
      <w:r w:rsidRPr="00C61AA4">
        <w:rPr>
          <w:rFonts w:ascii="Times New Roman" w:hAnsi="Times New Roman"/>
          <w:i/>
          <w:sz w:val="24"/>
          <w:szCs w:val="24"/>
          <w:lang w:val="kk-KZ"/>
        </w:rPr>
        <w:t>(25 место в рейтинге)</w:t>
      </w:r>
    </w:p>
    <w:p w:rsidR="006346A7" w:rsidRPr="00C61AA4" w:rsidRDefault="006346A7" w:rsidP="006346A7">
      <w:pPr>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Казахстан в рейтинге Всемирного Банка «</w:t>
      </w:r>
      <w:r w:rsidRPr="00C61AA4">
        <w:rPr>
          <w:rFonts w:ascii="Times New Roman" w:hAnsi="Times New Roman"/>
          <w:sz w:val="24"/>
          <w:szCs w:val="24"/>
          <w:lang w:val="en-US"/>
        </w:rPr>
        <w:t>Doing</w:t>
      </w:r>
      <w:r w:rsidRPr="00C61AA4">
        <w:rPr>
          <w:rFonts w:ascii="Times New Roman" w:hAnsi="Times New Roman"/>
          <w:sz w:val="24"/>
          <w:szCs w:val="24"/>
        </w:rPr>
        <w:t xml:space="preserve"> </w:t>
      </w:r>
      <w:r w:rsidRPr="00C61AA4">
        <w:rPr>
          <w:rFonts w:ascii="Times New Roman" w:hAnsi="Times New Roman"/>
          <w:sz w:val="24"/>
          <w:szCs w:val="24"/>
          <w:lang w:val="en-US"/>
        </w:rPr>
        <w:t>Business</w:t>
      </w:r>
      <w:r w:rsidRPr="00C61AA4">
        <w:rPr>
          <w:rFonts w:ascii="Times New Roman" w:hAnsi="Times New Roman"/>
          <w:sz w:val="24"/>
          <w:szCs w:val="24"/>
        </w:rPr>
        <w:t xml:space="preserve"> 2017: Равные возможности для всех» занял 35-ю позицию, повысив свой рейтинг на 16 пунктов по сравнению с «</w:t>
      </w:r>
      <w:r w:rsidRPr="00C61AA4">
        <w:rPr>
          <w:rFonts w:ascii="Times New Roman" w:hAnsi="Times New Roman"/>
          <w:sz w:val="24"/>
          <w:szCs w:val="24"/>
          <w:lang w:val="en-US"/>
        </w:rPr>
        <w:t>Doing</w:t>
      </w:r>
      <w:r w:rsidRPr="00C61AA4">
        <w:rPr>
          <w:rFonts w:ascii="Times New Roman" w:hAnsi="Times New Roman"/>
          <w:sz w:val="24"/>
          <w:szCs w:val="24"/>
        </w:rPr>
        <w:t xml:space="preserve"> </w:t>
      </w:r>
      <w:r w:rsidRPr="00C61AA4">
        <w:rPr>
          <w:rFonts w:ascii="Times New Roman" w:hAnsi="Times New Roman"/>
          <w:sz w:val="24"/>
          <w:szCs w:val="24"/>
          <w:lang w:val="en-US"/>
        </w:rPr>
        <w:t>Business</w:t>
      </w:r>
      <w:r w:rsidRPr="00C61AA4">
        <w:rPr>
          <w:rFonts w:ascii="Times New Roman" w:hAnsi="Times New Roman"/>
          <w:sz w:val="24"/>
          <w:szCs w:val="24"/>
        </w:rPr>
        <w:t xml:space="preserve"> 2016», в котором республика занимала 51 место.</w:t>
      </w:r>
    </w:p>
    <w:p w:rsidR="006346A7" w:rsidRPr="00C61AA4" w:rsidRDefault="006346A7" w:rsidP="006346A7">
      <w:pPr>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По индикатору «Защита миноритарных инвесторов» Казахстан в рейтинге в 2016 году занял 3-е место среди 190 стран, поднявшись на 22 позиции по сравнению с предыдущим периодом.</w:t>
      </w:r>
    </w:p>
    <w:p w:rsidR="006346A7" w:rsidRPr="00C61AA4" w:rsidRDefault="006346A7" w:rsidP="006346A7">
      <w:pPr>
        <w:spacing w:line="240" w:lineRule="auto"/>
        <w:ind w:firstLine="709"/>
        <w:contextualSpacing/>
        <w:jc w:val="both"/>
        <w:rPr>
          <w:rFonts w:ascii="Times New Roman" w:hAnsi="Times New Roman"/>
          <w:sz w:val="24"/>
          <w:szCs w:val="24"/>
        </w:rPr>
      </w:pPr>
      <w:proofErr w:type="gramStart"/>
      <w:r w:rsidRPr="00C61AA4">
        <w:rPr>
          <w:rFonts w:ascii="Times New Roman" w:hAnsi="Times New Roman"/>
          <w:sz w:val="24"/>
          <w:szCs w:val="24"/>
        </w:rPr>
        <w:t>Высокая оценка была достигнута благодаря принятым мерам, направленным на усиление мер по защите миноритарных инвесторов путем ограничения участия дочерних организаций в деятельности материнской компании; упрощения процедуры решения корпоративных споров; отнесения к исключительной компетенции общего собрания участников вопроса по продаже активов предприятия; обязательного предложения покупки доли действующим учредителям предприятия при ее продаже одним из участников;</w:t>
      </w:r>
      <w:proofErr w:type="gramEnd"/>
      <w:r w:rsidRPr="00C61AA4">
        <w:rPr>
          <w:rFonts w:ascii="Times New Roman" w:hAnsi="Times New Roman"/>
          <w:sz w:val="24"/>
          <w:szCs w:val="24"/>
        </w:rPr>
        <w:t xml:space="preserve"> введены нормы по раскрытию информации о крупных акционерах, сделках со связанными лицами,  предыдущем месте работы членов правления в открытых источниках и другие.</w:t>
      </w:r>
    </w:p>
    <w:p w:rsidR="00F60B69" w:rsidRPr="00C61AA4" w:rsidRDefault="00F60B69" w:rsidP="00F60B69">
      <w:pPr>
        <w:spacing w:line="240" w:lineRule="auto"/>
        <w:ind w:firstLine="709"/>
        <w:contextualSpacing/>
        <w:jc w:val="both"/>
        <w:rPr>
          <w:rFonts w:ascii="Times New Roman" w:hAnsi="Times New Roman"/>
          <w:b/>
          <w:i/>
          <w:sz w:val="24"/>
        </w:rPr>
      </w:pPr>
      <w:r w:rsidRPr="00C61AA4">
        <w:rPr>
          <w:rFonts w:ascii="Times New Roman" w:hAnsi="Times New Roman"/>
          <w:b/>
          <w:bCs/>
          <w:i/>
          <w:iCs/>
          <w:sz w:val="24"/>
        </w:rPr>
        <w:t>Мероприятия для достижения  целевого индикатора:</w:t>
      </w:r>
    </w:p>
    <w:p w:rsidR="006346A7" w:rsidRPr="00C61AA4" w:rsidRDefault="006346A7" w:rsidP="006346A7">
      <w:pPr>
        <w:spacing w:line="240" w:lineRule="auto"/>
        <w:ind w:firstLine="709"/>
        <w:contextualSpacing/>
        <w:jc w:val="both"/>
        <w:rPr>
          <w:rFonts w:ascii="Times New Roman" w:hAnsi="Times New Roman"/>
          <w:sz w:val="24"/>
          <w:szCs w:val="24"/>
          <w:lang w:eastAsia="ru-RU"/>
        </w:rPr>
      </w:pPr>
      <w:r w:rsidRPr="00C61AA4">
        <w:rPr>
          <w:rFonts w:ascii="Times New Roman" w:hAnsi="Times New Roman"/>
          <w:sz w:val="24"/>
          <w:szCs w:val="24"/>
          <w:lang w:eastAsia="ru-RU"/>
        </w:rPr>
        <w:t>29 марта 2016 года принят Закон Республики Казахстан  № 479-V «О внесении изменений и дополнений в некоторые законодательные акты Республики Казахстан по вопросам сокращения разрешительных документов и упрощения разрешительных процедур».</w:t>
      </w:r>
    </w:p>
    <w:p w:rsidR="006346A7" w:rsidRPr="00C61AA4" w:rsidRDefault="006346A7" w:rsidP="006346A7">
      <w:pPr>
        <w:spacing w:line="240" w:lineRule="auto"/>
        <w:ind w:firstLine="709"/>
        <w:contextualSpacing/>
        <w:jc w:val="both"/>
        <w:rPr>
          <w:rFonts w:ascii="Times New Roman" w:hAnsi="Times New Roman"/>
          <w:sz w:val="24"/>
          <w:szCs w:val="24"/>
          <w:lang w:eastAsia="ru-RU"/>
        </w:rPr>
      </w:pPr>
      <w:r w:rsidRPr="00C61AA4">
        <w:rPr>
          <w:rFonts w:ascii="Times New Roman" w:hAnsi="Times New Roman"/>
          <w:sz w:val="24"/>
          <w:szCs w:val="24"/>
          <w:lang w:eastAsia="ru-RU"/>
        </w:rPr>
        <w:t>В течение 2016 периода проводилась активная право-разъяснительная работа по улучшению позиций Казахстана в рейтинге «</w:t>
      </w:r>
      <w:proofErr w:type="spellStart"/>
      <w:r w:rsidRPr="00C61AA4">
        <w:rPr>
          <w:rFonts w:ascii="Times New Roman" w:hAnsi="Times New Roman"/>
          <w:sz w:val="24"/>
          <w:szCs w:val="24"/>
          <w:lang w:eastAsia="ru-RU"/>
        </w:rPr>
        <w:t>Doing</w:t>
      </w:r>
      <w:proofErr w:type="spellEnd"/>
      <w:r w:rsidRPr="00C61AA4">
        <w:rPr>
          <w:rFonts w:ascii="Times New Roman" w:hAnsi="Times New Roman"/>
          <w:sz w:val="24"/>
          <w:szCs w:val="24"/>
          <w:lang w:eastAsia="ru-RU"/>
        </w:rPr>
        <w:t xml:space="preserve"> </w:t>
      </w:r>
      <w:proofErr w:type="spellStart"/>
      <w:r w:rsidRPr="00C61AA4">
        <w:rPr>
          <w:rFonts w:ascii="Times New Roman" w:hAnsi="Times New Roman"/>
          <w:sz w:val="24"/>
          <w:szCs w:val="24"/>
          <w:lang w:eastAsia="ru-RU"/>
        </w:rPr>
        <w:t>Business</w:t>
      </w:r>
      <w:proofErr w:type="spellEnd"/>
      <w:r w:rsidRPr="00C61AA4">
        <w:rPr>
          <w:rFonts w:ascii="Times New Roman" w:hAnsi="Times New Roman"/>
          <w:sz w:val="24"/>
          <w:szCs w:val="24"/>
          <w:lang w:eastAsia="ru-RU"/>
        </w:rPr>
        <w:t>» по индикатору «Защита миноритарных инвесторов».</w:t>
      </w:r>
    </w:p>
    <w:p w:rsidR="006346A7" w:rsidRPr="00C61AA4" w:rsidRDefault="006346A7" w:rsidP="006346A7">
      <w:pPr>
        <w:spacing w:line="240" w:lineRule="auto"/>
        <w:ind w:firstLine="709"/>
        <w:contextualSpacing/>
        <w:jc w:val="both"/>
        <w:rPr>
          <w:rFonts w:ascii="Times New Roman" w:hAnsi="Times New Roman"/>
          <w:sz w:val="24"/>
          <w:szCs w:val="24"/>
          <w:lang w:eastAsia="ru-RU"/>
        </w:rPr>
      </w:pPr>
      <w:r w:rsidRPr="00C61AA4">
        <w:rPr>
          <w:rFonts w:ascii="Times New Roman" w:hAnsi="Times New Roman"/>
          <w:sz w:val="24"/>
          <w:szCs w:val="24"/>
          <w:lang w:eastAsia="ru-RU"/>
        </w:rPr>
        <w:t xml:space="preserve">В рамках ежегодного визита представителей казахстанской стороны в </w:t>
      </w:r>
      <w:proofErr w:type="spellStart"/>
      <w:r w:rsidRPr="00C61AA4">
        <w:rPr>
          <w:rFonts w:ascii="Times New Roman" w:hAnsi="Times New Roman"/>
          <w:sz w:val="24"/>
          <w:szCs w:val="24"/>
          <w:lang w:eastAsia="ru-RU"/>
        </w:rPr>
        <w:t>г</w:t>
      </w:r>
      <w:proofErr w:type="gramStart"/>
      <w:r w:rsidRPr="00C61AA4">
        <w:rPr>
          <w:rFonts w:ascii="Times New Roman" w:hAnsi="Times New Roman"/>
          <w:sz w:val="24"/>
          <w:szCs w:val="24"/>
          <w:lang w:eastAsia="ru-RU"/>
        </w:rPr>
        <w:t>.В</w:t>
      </w:r>
      <w:proofErr w:type="gramEnd"/>
      <w:r w:rsidRPr="00C61AA4">
        <w:rPr>
          <w:rFonts w:ascii="Times New Roman" w:hAnsi="Times New Roman"/>
          <w:sz w:val="24"/>
          <w:szCs w:val="24"/>
          <w:lang w:eastAsia="ru-RU"/>
        </w:rPr>
        <w:t>ашингтон</w:t>
      </w:r>
      <w:proofErr w:type="spellEnd"/>
      <w:r w:rsidRPr="00C61AA4">
        <w:rPr>
          <w:rFonts w:ascii="Times New Roman" w:hAnsi="Times New Roman"/>
          <w:sz w:val="24"/>
          <w:szCs w:val="24"/>
          <w:lang w:eastAsia="ru-RU"/>
        </w:rPr>
        <w:t>, США состоялась встреча по рейтингу «</w:t>
      </w:r>
      <w:proofErr w:type="spellStart"/>
      <w:r w:rsidRPr="00C61AA4">
        <w:rPr>
          <w:rFonts w:ascii="Times New Roman" w:hAnsi="Times New Roman"/>
          <w:sz w:val="24"/>
          <w:szCs w:val="24"/>
          <w:lang w:eastAsia="ru-RU"/>
        </w:rPr>
        <w:t>Doing</w:t>
      </w:r>
      <w:proofErr w:type="spellEnd"/>
      <w:r w:rsidRPr="00C61AA4">
        <w:rPr>
          <w:rFonts w:ascii="Times New Roman" w:hAnsi="Times New Roman"/>
          <w:sz w:val="24"/>
          <w:szCs w:val="24"/>
          <w:lang w:eastAsia="ru-RU"/>
        </w:rPr>
        <w:t xml:space="preserve"> </w:t>
      </w:r>
      <w:proofErr w:type="spellStart"/>
      <w:r w:rsidRPr="00C61AA4">
        <w:rPr>
          <w:rFonts w:ascii="Times New Roman" w:hAnsi="Times New Roman"/>
          <w:sz w:val="24"/>
          <w:szCs w:val="24"/>
          <w:lang w:eastAsia="ru-RU"/>
        </w:rPr>
        <w:t>Business</w:t>
      </w:r>
      <w:proofErr w:type="spellEnd"/>
      <w:r w:rsidRPr="00C61AA4">
        <w:rPr>
          <w:rFonts w:ascii="Times New Roman" w:hAnsi="Times New Roman"/>
          <w:sz w:val="24"/>
          <w:szCs w:val="24"/>
          <w:lang w:eastAsia="ru-RU"/>
        </w:rPr>
        <w:t>» с консультантами Всемирного Банка. Цель поездки рабочей группы заключалась в презентации реформ по улучшению позиции Казахстана в рейтинге «</w:t>
      </w:r>
      <w:proofErr w:type="spellStart"/>
      <w:r w:rsidRPr="00C61AA4">
        <w:rPr>
          <w:rFonts w:ascii="Times New Roman" w:hAnsi="Times New Roman"/>
          <w:sz w:val="24"/>
          <w:szCs w:val="24"/>
          <w:lang w:eastAsia="ru-RU"/>
        </w:rPr>
        <w:t>Doing</w:t>
      </w:r>
      <w:proofErr w:type="spellEnd"/>
      <w:r w:rsidRPr="00C61AA4">
        <w:rPr>
          <w:rFonts w:ascii="Times New Roman" w:hAnsi="Times New Roman"/>
          <w:sz w:val="24"/>
          <w:szCs w:val="24"/>
          <w:lang w:eastAsia="ru-RU"/>
        </w:rPr>
        <w:t xml:space="preserve"> </w:t>
      </w:r>
      <w:proofErr w:type="spellStart"/>
      <w:r w:rsidRPr="00C61AA4">
        <w:rPr>
          <w:rFonts w:ascii="Times New Roman" w:hAnsi="Times New Roman"/>
          <w:sz w:val="24"/>
          <w:szCs w:val="24"/>
          <w:lang w:eastAsia="ru-RU"/>
        </w:rPr>
        <w:t>Business</w:t>
      </w:r>
      <w:proofErr w:type="spellEnd"/>
      <w:r w:rsidRPr="00C61AA4">
        <w:rPr>
          <w:rFonts w:ascii="Times New Roman" w:hAnsi="Times New Roman"/>
          <w:sz w:val="24"/>
          <w:szCs w:val="24"/>
          <w:lang w:eastAsia="ru-RU"/>
        </w:rPr>
        <w:t>» Всемирного Банка.</w:t>
      </w:r>
    </w:p>
    <w:p w:rsidR="006346A7" w:rsidRPr="00C61AA4" w:rsidRDefault="006346A7" w:rsidP="006346A7">
      <w:pPr>
        <w:spacing w:line="240" w:lineRule="auto"/>
        <w:ind w:firstLine="709"/>
        <w:contextualSpacing/>
        <w:jc w:val="both"/>
        <w:rPr>
          <w:rFonts w:ascii="Times New Roman" w:hAnsi="Times New Roman"/>
          <w:sz w:val="24"/>
          <w:szCs w:val="24"/>
          <w:lang w:eastAsia="ru-RU"/>
        </w:rPr>
      </w:pPr>
      <w:r w:rsidRPr="00C61AA4">
        <w:rPr>
          <w:rFonts w:ascii="Times New Roman" w:hAnsi="Times New Roman"/>
          <w:sz w:val="24"/>
          <w:szCs w:val="24"/>
          <w:lang w:eastAsia="ru-RU"/>
        </w:rPr>
        <w:t>В настоящее время Национальным Банком подготовлены поправки в законодательство РК, реализация которых положительно отразится на позиции страны в рейтинге «</w:t>
      </w:r>
      <w:proofErr w:type="spellStart"/>
      <w:r w:rsidRPr="00C61AA4">
        <w:rPr>
          <w:rFonts w:ascii="Times New Roman" w:hAnsi="Times New Roman"/>
          <w:sz w:val="24"/>
          <w:szCs w:val="24"/>
          <w:lang w:eastAsia="ru-RU"/>
        </w:rPr>
        <w:t>Doing</w:t>
      </w:r>
      <w:proofErr w:type="spellEnd"/>
      <w:r w:rsidRPr="00C61AA4">
        <w:rPr>
          <w:rFonts w:ascii="Times New Roman" w:hAnsi="Times New Roman"/>
          <w:sz w:val="24"/>
          <w:szCs w:val="24"/>
          <w:lang w:eastAsia="ru-RU"/>
        </w:rPr>
        <w:t xml:space="preserve"> </w:t>
      </w:r>
      <w:proofErr w:type="spellStart"/>
      <w:r w:rsidRPr="00C61AA4">
        <w:rPr>
          <w:rFonts w:ascii="Times New Roman" w:hAnsi="Times New Roman"/>
          <w:sz w:val="24"/>
          <w:szCs w:val="24"/>
          <w:lang w:eastAsia="ru-RU"/>
        </w:rPr>
        <w:t>Business</w:t>
      </w:r>
      <w:proofErr w:type="spellEnd"/>
      <w:r w:rsidRPr="00C61AA4">
        <w:rPr>
          <w:rFonts w:ascii="Times New Roman" w:hAnsi="Times New Roman"/>
          <w:sz w:val="24"/>
          <w:szCs w:val="24"/>
          <w:lang w:eastAsia="ru-RU"/>
        </w:rPr>
        <w:t>». Данные предложения Национального Банка включены в 5-й пакет поправок</w:t>
      </w:r>
      <w:r w:rsidR="008A26CF" w:rsidRPr="00C61AA4">
        <w:rPr>
          <w:rFonts w:ascii="Times New Roman" w:hAnsi="Times New Roman"/>
          <w:sz w:val="24"/>
          <w:szCs w:val="24"/>
          <w:lang w:eastAsia="ru-RU"/>
        </w:rPr>
        <w:t>.</w:t>
      </w:r>
    </w:p>
    <w:p w:rsidR="006346A7" w:rsidRPr="00C61AA4" w:rsidRDefault="006346A7" w:rsidP="006346A7">
      <w:pPr>
        <w:spacing w:line="240" w:lineRule="auto"/>
        <w:ind w:firstLine="709"/>
        <w:contextualSpacing/>
        <w:jc w:val="both"/>
        <w:rPr>
          <w:rFonts w:ascii="Times New Roman" w:hAnsi="Times New Roman"/>
          <w:b/>
          <w:i/>
          <w:color w:val="000000"/>
          <w:sz w:val="24"/>
          <w:szCs w:val="24"/>
        </w:rPr>
      </w:pPr>
    </w:p>
    <w:p w:rsidR="006346A7" w:rsidRPr="00C61AA4" w:rsidRDefault="006346A7" w:rsidP="006346A7">
      <w:pPr>
        <w:spacing w:line="240" w:lineRule="auto"/>
        <w:ind w:firstLine="709"/>
        <w:contextualSpacing/>
        <w:jc w:val="both"/>
        <w:rPr>
          <w:rFonts w:ascii="Times New Roman" w:hAnsi="Times New Roman"/>
          <w:b/>
          <w:i/>
          <w:color w:val="000000"/>
          <w:sz w:val="24"/>
          <w:szCs w:val="24"/>
        </w:rPr>
      </w:pPr>
      <w:r w:rsidRPr="00C61AA4">
        <w:rPr>
          <w:rFonts w:ascii="Times New Roman" w:hAnsi="Times New Roman"/>
          <w:b/>
          <w:i/>
          <w:color w:val="000000"/>
          <w:sz w:val="24"/>
          <w:szCs w:val="24"/>
        </w:rPr>
        <w:t>Цель 2.4.</w:t>
      </w:r>
      <w:r w:rsidRPr="00C61AA4">
        <w:rPr>
          <w:rFonts w:ascii="Times New Roman" w:hAnsi="Times New Roman"/>
          <w:i/>
          <w:color w:val="000000"/>
          <w:sz w:val="24"/>
          <w:szCs w:val="24"/>
        </w:rPr>
        <w:t xml:space="preserve"> </w:t>
      </w:r>
      <w:r w:rsidRPr="00C61AA4">
        <w:rPr>
          <w:rFonts w:ascii="Times New Roman" w:hAnsi="Times New Roman"/>
          <w:b/>
          <w:i/>
          <w:color w:val="000000"/>
          <w:sz w:val="24"/>
          <w:szCs w:val="24"/>
        </w:rPr>
        <w:t>Осуществление эффективного валютного регулирования и валютного контроля</w:t>
      </w:r>
    </w:p>
    <w:p w:rsidR="004C09F5" w:rsidRPr="00C61AA4" w:rsidRDefault="004C09F5" w:rsidP="006346A7">
      <w:pPr>
        <w:spacing w:line="240" w:lineRule="auto"/>
        <w:ind w:firstLine="709"/>
        <w:contextualSpacing/>
        <w:jc w:val="both"/>
        <w:rPr>
          <w:rFonts w:ascii="Times New Roman" w:hAnsi="Times New Roman"/>
          <w:b/>
          <w:i/>
          <w:sz w:val="24"/>
          <w:szCs w:val="24"/>
        </w:rPr>
      </w:pPr>
    </w:p>
    <w:p w:rsidR="006346A7" w:rsidRPr="00C61AA4" w:rsidRDefault="006346A7" w:rsidP="006346A7">
      <w:pPr>
        <w:spacing w:line="240" w:lineRule="auto"/>
        <w:ind w:firstLine="709"/>
        <w:contextualSpacing/>
        <w:jc w:val="both"/>
        <w:rPr>
          <w:rFonts w:ascii="Times New Roman" w:hAnsi="Times New Roman"/>
          <w:i/>
          <w:sz w:val="24"/>
          <w:szCs w:val="24"/>
          <w:lang w:val="kk-KZ"/>
        </w:rPr>
      </w:pPr>
      <w:r w:rsidRPr="00C61AA4">
        <w:rPr>
          <w:rFonts w:ascii="Times New Roman" w:hAnsi="Times New Roman"/>
          <w:b/>
          <w:i/>
          <w:sz w:val="24"/>
          <w:szCs w:val="24"/>
        </w:rPr>
        <w:t>Целевой индикатор 1:</w:t>
      </w:r>
      <w:r w:rsidRPr="00C61AA4">
        <w:rPr>
          <w:rFonts w:ascii="Times New Roman" w:hAnsi="Times New Roman"/>
          <w:i/>
          <w:sz w:val="24"/>
          <w:szCs w:val="24"/>
        </w:rPr>
        <w:t xml:space="preserve"> </w:t>
      </w:r>
      <w:r w:rsidRPr="00C61AA4">
        <w:rPr>
          <w:rFonts w:ascii="Times New Roman" w:hAnsi="Times New Roman"/>
          <w:b/>
          <w:i/>
          <w:sz w:val="24"/>
          <w:szCs w:val="24"/>
          <w:lang w:val="kk-KZ"/>
        </w:rPr>
        <w:t xml:space="preserve">Пороговое значение в отношении суммы внешнеторгового контракта, при превышении которого такой контракт попадает под требование учетной регистрации </w:t>
      </w:r>
      <w:r w:rsidRPr="00C61AA4">
        <w:rPr>
          <w:rFonts w:ascii="Times New Roman" w:hAnsi="Times New Roman"/>
          <w:i/>
          <w:sz w:val="24"/>
          <w:szCs w:val="24"/>
          <w:lang w:val="kk-KZ"/>
        </w:rPr>
        <w:t>(50 тыс.долл.США)</w:t>
      </w:r>
    </w:p>
    <w:p w:rsidR="006346A7" w:rsidRPr="00C61AA4" w:rsidRDefault="006346A7" w:rsidP="006346A7">
      <w:pPr>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Экспортно-импортный валютный контроль осуществляется в целях обеспечения резидентами требования репатриации валюты и реализуется на базе процедур учетной регистрации внешнеэкономических контрактов и электронном обмене информацией между НБРК, уполномоченными банками и Комитетом государственных доходов МФ РК для целей контроля исполнения требования репатриации.</w:t>
      </w:r>
    </w:p>
    <w:p w:rsidR="00F60B69" w:rsidRPr="00C61AA4" w:rsidRDefault="00F60B69" w:rsidP="00F60B69">
      <w:pPr>
        <w:spacing w:line="240" w:lineRule="auto"/>
        <w:ind w:firstLine="709"/>
        <w:contextualSpacing/>
        <w:jc w:val="both"/>
        <w:rPr>
          <w:rFonts w:ascii="Times New Roman" w:hAnsi="Times New Roman"/>
          <w:b/>
          <w:i/>
          <w:sz w:val="24"/>
        </w:rPr>
      </w:pPr>
      <w:r w:rsidRPr="00C61AA4">
        <w:rPr>
          <w:rFonts w:ascii="Times New Roman" w:hAnsi="Times New Roman"/>
          <w:b/>
          <w:bCs/>
          <w:i/>
          <w:iCs/>
          <w:sz w:val="24"/>
        </w:rPr>
        <w:t>Мероприятия для достижения  целевого индикатора:</w:t>
      </w:r>
    </w:p>
    <w:p w:rsidR="006346A7" w:rsidRPr="00C61AA4" w:rsidRDefault="006346A7" w:rsidP="00960D67">
      <w:pPr>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В 2016 году НБРК был проведен анализ достаточности охвата внешнеэкономических сделок экспортно-импортным валютным контролем с учетом существующего порогового</w:t>
      </w:r>
      <w:r w:rsidR="00960D67" w:rsidRPr="00C61AA4">
        <w:rPr>
          <w:rFonts w:ascii="Times New Roman" w:hAnsi="Times New Roman"/>
          <w:sz w:val="24"/>
          <w:szCs w:val="24"/>
        </w:rPr>
        <w:t xml:space="preserve"> </w:t>
      </w:r>
      <w:r w:rsidRPr="00C61AA4">
        <w:rPr>
          <w:rFonts w:ascii="Times New Roman" w:hAnsi="Times New Roman"/>
          <w:sz w:val="24"/>
          <w:szCs w:val="24"/>
        </w:rPr>
        <w:lastRenderedPageBreak/>
        <w:t>значения суммы внешнеторгового контракта, при превышении которого такой контракт попадает под требование учетной регистрации.</w:t>
      </w:r>
    </w:p>
    <w:p w:rsidR="006346A7" w:rsidRPr="00C61AA4" w:rsidRDefault="006346A7" w:rsidP="006346A7">
      <w:pPr>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Анализ показал, что снижение порогового значения ниже 50 тысяч долларов США не обеспечит расширения охвата экспортно-импортным валютным контролем внешнеторговых операций резидентов, однако увеличит транзакционные издержки участников ВЭД.</w:t>
      </w:r>
    </w:p>
    <w:p w:rsidR="006346A7" w:rsidRPr="00C61AA4" w:rsidRDefault="006346A7" w:rsidP="006346A7">
      <w:pPr>
        <w:spacing w:line="240" w:lineRule="auto"/>
        <w:ind w:firstLine="709"/>
        <w:contextualSpacing/>
        <w:jc w:val="both"/>
        <w:rPr>
          <w:rFonts w:ascii="Times New Roman" w:hAnsi="Times New Roman"/>
          <w:color w:val="000000"/>
          <w:sz w:val="24"/>
          <w:szCs w:val="24"/>
          <w:lang w:eastAsia="ru-RU"/>
        </w:rPr>
      </w:pPr>
      <w:r w:rsidRPr="00C61AA4">
        <w:rPr>
          <w:rFonts w:ascii="Times New Roman" w:hAnsi="Times New Roman"/>
          <w:color w:val="000000"/>
          <w:sz w:val="24"/>
          <w:szCs w:val="24"/>
          <w:lang w:eastAsia="ru-RU"/>
        </w:rPr>
        <w:t>Таким образом, НБРК обоснованно сохранен показатель порогового значения в отношении суммы внешнеторгового контракта, при превышении которого такой контракт попадает под требование учетной регистрации, на уровне 50 тысяч долларов США, как это установлено целевым индикатором.</w:t>
      </w:r>
    </w:p>
    <w:p w:rsidR="006346A7" w:rsidRPr="00C61AA4" w:rsidRDefault="006346A7" w:rsidP="006346A7">
      <w:pPr>
        <w:spacing w:line="240" w:lineRule="auto"/>
        <w:ind w:firstLine="709"/>
        <w:contextualSpacing/>
        <w:jc w:val="both"/>
        <w:rPr>
          <w:rFonts w:ascii="Times New Roman" w:hAnsi="Times New Roman"/>
          <w:b/>
          <w:i/>
          <w:sz w:val="24"/>
          <w:szCs w:val="24"/>
        </w:rPr>
      </w:pPr>
    </w:p>
    <w:p w:rsidR="006346A7" w:rsidRPr="00C61AA4" w:rsidRDefault="006346A7" w:rsidP="006346A7">
      <w:pPr>
        <w:spacing w:line="240" w:lineRule="auto"/>
        <w:ind w:firstLine="709"/>
        <w:contextualSpacing/>
        <w:jc w:val="both"/>
        <w:rPr>
          <w:rFonts w:ascii="Times New Roman" w:hAnsi="Times New Roman"/>
          <w:i/>
          <w:sz w:val="24"/>
          <w:szCs w:val="24"/>
        </w:rPr>
      </w:pPr>
      <w:r w:rsidRPr="00C61AA4">
        <w:rPr>
          <w:rFonts w:ascii="Times New Roman" w:hAnsi="Times New Roman"/>
          <w:b/>
          <w:i/>
          <w:sz w:val="24"/>
          <w:szCs w:val="24"/>
        </w:rPr>
        <w:t>Целевой индикатор 2:</w:t>
      </w:r>
      <w:r w:rsidRPr="00C61AA4">
        <w:rPr>
          <w:rFonts w:ascii="Times New Roman" w:hAnsi="Times New Roman"/>
          <w:i/>
          <w:sz w:val="24"/>
          <w:szCs w:val="24"/>
        </w:rPr>
        <w:t xml:space="preserve"> </w:t>
      </w:r>
      <w:r w:rsidRPr="00C61AA4">
        <w:rPr>
          <w:rFonts w:ascii="Times New Roman" w:hAnsi="Times New Roman"/>
          <w:b/>
          <w:i/>
          <w:sz w:val="24"/>
          <w:szCs w:val="24"/>
          <w:lang w:val="kk-KZ"/>
        </w:rPr>
        <w:t xml:space="preserve">Количество юридических лиц, исключительным видом деятельности которых является организация обменных операций с наличной иностранной валютой, охваченных проверками на основе системы оценки степени рисков </w:t>
      </w:r>
      <w:r w:rsidRPr="00C61AA4">
        <w:rPr>
          <w:rFonts w:ascii="Times New Roman" w:hAnsi="Times New Roman"/>
          <w:i/>
          <w:sz w:val="24"/>
          <w:szCs w:val="24"/>
          <w:lang w:val="kk-KZ"/>
        </w:rPr>
        <w:t>(не более 60%)</w:t>
      </w:r>
    </w:p>
    <w:p w:rsidR="006346A7" w:rsidRPr="00C61AA4" w:rsidRDefault="006346A7" w:rsidP="006346A7">
      <w:pPr>
        <w:spacing w:line="240" w:lineRule="auto"/>
        <w:ind w:firstLine="709"/>
        <w:contextualSpacing/>
        <w:jc w:val="both"/>
        <w:rPr>
          <w:rFonts w:ascii="Times New Roman" w:hAnsi="Times New Roman"/>
          <w:color w:val="000000"/>
          <w:sz w:val="24"/>
          <w:szCs w:val="24"/>
          <w:lang w:eastAsia="ru-RU"/>
        </w:rPr>
      </w:pPr>
      <w:r w:rsidRPr="00C61AA4">
        <w:rPr>
          <w:rFonts w:ascii="Times New Roman" w:hAnsi="Times New Roman"/>
          <w:color w:val="000000"/>
          <w:sz w:val="24"/>
          <w:szCs w:val="24"/>
          <w:lang w:eastAsia="ru-RU"/>
        </w:rPr>
        <w:t>В условиях либерального валютного режима актуальным является вопрос повышения эффективности контрольных процедур для обеспечения соблюдения резидентами требований валютного законодательства, а также усиление действенности норм, предусматривающих ответственность за его несоблюдение. Одной из задач НБРК является совершенствование регулирования организованного рынка обмена валют и обеспечение эффективного контроля путем проведения проверок деятельности юридических лиц, исключительным видом деятельности которых является организация обменных операций с наличной иностранной валютой (уполномоченных организаций), на основе оценки степени рисков.</w:t>
      </w:r>
    </w:p>
    <w:p w:rsidR="00F60B69" w:rsidRPr="00C61AA4" w:rsidRDefault="00F60B69" w:rsidP="00F60B69">
      <w:pPr>
        <w:spacing w:line="240" w:lineRule="auto"/>
        <w:ind w:firstLine="709"/>
        <w:contextualSpacing/>
        <w:jc w:val="both"/>
        <w:rPr>
          <w:rFonts w:ascii="Times New Roman" w:hAnsi="Times New Roman"/>
          <w:b/>
          <w:i/>
          <w:sz w:val="24"/>
        </w:rPr>
      </w:pPr>
      <w:r w:rsidRPr="00C61AA4">
        <w:rPr>
          <w:rFonts w:ascii="Times New Roman" w:hAnsi="Times New Roman"/>
          <w:b/>
          <w:bCs/>
          <w:i/>
          <w:iCs/>
          <w:sz w:val="24"/>
        </w:rPr>
        <w:t>Мероприятия для достижения  целевого индикатора:</w:t>
      </w:r>
    </w:p>
    <w:p w:rsidR="006346A7" w:rsidRPr="00C61AA4" w:rsidRDefault="006346A7" w:rsidP="006346A7">
      <w:pPr>
        <w:spacing w:line="240" w:lineRule="auto"/>
        <w:ind w:firstLine="709"/>
        <w:contextualSpacing/>
        <w:jc w:val="both"/>
        <w:rPr>
          <w:rFonts w:ascii="Times New Roman" w:hAnsi="Times New Roman"/>
          <w:color w:val="000000"/>
          <w:sz w:val="24"/>
          <w:szCs w:val="24"/>
          <w:lang w:eastAsia="ru-RU"/>
        </w:rPr>
      </w:pPr>
      <w:r w:rsidRPr="00C61AA4">
        <w:rPr>
          <w:rFonts w:ascii="Times New Roman" w:hAnsi="Times New Roman"/>
          <w:color w:val="000000"/>
          <w:sz w:val="24"/>
          <w:szCs w:val="24"/>
          <w:lang w:eastAsia="ru-RU"/>
        </w:rPr>
        <w:t>По итогам проведенной оценки степени рисков были утверждены Перечни уполномоченных организаций, подлежащих проверке территориальными филиалами НБРК в 1 и 2 полугодиях 2016 года.</w:t>
      </w:r>
    </w:p>
    <w:p w:rsidR="006346A7" w:rsidRPr="00C61AA4" w:rsidRDefault="006346A7" w:rsidP="006346A7">
      <w:pPr>
        <w:spacing w:line="240" w:lineRule="auto"/>
        <w:ind w:firstLine="709"/>
        <w:contextualSpacing/>
        <w:jc w:val="both"/>
        <w:rPr>
          <w:rFonts w:ascii="Times New Roman" w:hAnsi="Times New Roman"/>
          <w:color w:val="000000"/>
          <w:sz w:val="24"/>
          <w:szCs w:val="24"/>
          <w:lang w:eastAsia="ru-RU"/>
        </w:rPr>
      </w:pPr>
      <w:r w:rsidRPr="00C61AA4">
        <w:rPr>
          <w:rFonts w:ascii="Times New Roman" w:hAnsi="Times New Roman"/>
          <w:color w:val="000000"/>
          <w:sz w:val="24"/>
          <w:szCs w:val="24"/>
          <w:lang w:eastAsia="ru-RU"/>
        </w:rPr>
        <w:t>В соответствии с Перечнями было проведено 265 проверок уполномоченных организаций, что обеспечило охват 48,3% (целевой индикатор – от 30% до 60%) от общего количества действующих на территории РК уполномоченных организаций.</w:t>
      </w:r>
    </w:p>
    <w:p w:rsidR="006346A7" w:rsidRPr="00C61AA4" w:rsidRDefault="006346A7" w:rsidP="006346A7">
      <w:pPr>
        <w:spacing w:line="240" w:lineRule="auto"/>
        <w:ind w:firstLine="709"/>
        <w:contextualSpacing/>
        <w:jc w:val="both"/>
        <w:rPr>
          <w:rFonts w:ascii="Times New Roman" w:hAnsi="Times New Roman"/>
          <w:b/>
          <w:i/>
          <w:sz w:val="24"/>
          <w:szCs w:val="24"/>
        </w:rPr>
      </w:pPr>
    </w:p>
    <w:p w:rsidR="006346A7" w:rsidRPr="00C61AA4" w:rsidRDefault="006346A7" w:rsidP="006346A7">
      <w:pPr>
        <w:spacing w:line="240" w:lineRule="auto"/>
        <w:ind w:firstLine="709"/>
        <w:contextualSpacing/>
        <w:jc w:val="both"/>
        <w:rPr>
          <w:rFonts w:ascii="Times New Roman" w:hAnsi="Times New Roman"/>
          <w:i/>
          <w:color w:val="000000"/>
          <w:sz w:val="24"/>
          <w:szCs w:val="24"/>
        </w:rPr>
      </w:pPr>
      <w:r w:rsidRPr="00C61AA4">
        <w:rPr>
          <w:rFonts w:ascii="Times New Roman" w:hAnsi="Times New Roman"/>
          <w:b/>
          <w:i/>
          <w:color w:val="000000"/>
          <w:sz w:val="24"/>
          <w:szCs w:val="24"/>
        </w:rPr>
        <w:t>Цель 2.5.</w:t>
      </w:r>
      <w:r w:rsidRPr="00C61AA4">
        <w:rPr>
          <w:rFonts w:ascii="Times New Roman" w:hAnsi="Times New Roman"/>
          <w:i/>
          <w:color w:val="000000"/>
          <w:sz w:val="24"/>
          <w:szCs w:val="24"/>
        </w:rPr>
        <w:t xml:space="preserve"> </w:t>
      </w:r>
      <w:r w:rsidRPr="00C61AA4">
        <w:rPr>
          <w:rFonts w:ascii="Times New Roman" w:hAnsi="Times New Roman"/>
          <w:b/>
          <w:i/>
          <w:color w:val="000000"/>
          <w:sz w:val="24"/>
          <w:szCs w:val="24"/>
        </w:rPr>
        <w:t xml:space="preserve">Усиление </w:t>
      </w:r>
      <w:proofErr w:type="gramStart"/>
      <w:r w:rsidRPr="00C61AA4">
        <w:rPr>
          <w:rFonts w:ascii="Times New Roman" w:hAnsi="Times New Roman"/>
          <w:b/>
          <w:i/>
          <w:color w:val="000000"/>
          <w:sz w:val="24"/>
          <w:szCs w:val="24"/>
        </w:rPr>
        <w:t>системы защиты прав потребителей финансовых услуг</w:t>
      </w:r>
      <w:proofErr w:type="gramEnd"/>
    </w:p>
    <w:p w:rsidR="004C09F5" w:rsidRPr="00C61AA4" w:rsidRDefault="004C09F5" w:rsidP="006346A7">
      <w:pPr>
        <w:spacing w:line="240" w:lineRule="auto"/>
        <w:ind w:firstLine="709"/>
        <w:contextualSpacing/>
        <w:jc w:val="both"/>
        <w:rPr>
          <w:rFonts w:ascii="Times New Roman" w:hAnsi="Times New Roman"/>
          <w:b/>
          <w:i/>
          <w:sz w:val="24"/>
          <w:szCs w:val="24"/>
        </w:rPr>
      </w:pPr>
    </w:p>
    <w:p w:rsidR="006346A7" w:rsidRPr="00C61AA4" w:rsidRDefault="006346A7" w:rsidP="006346A7">
      <w:pPr>
        <w:spacing w:line="240" w:lineRule="auto"/>
        <w:ind w:firstLine="709"/>
        <w:contextualSpacing/>
        <w:jc w:val="both"/>
        <w:rPr>
          <w:rFonts w:ascii="Times New Roman" w:hAnsi="Times New Roman"/>
          <w:i/>
          <w:color w:val="000000"/>
          <w:sz w:val="24"/>
          <w:szCs w:val="24"/>
        </w:rPr>
      </w:pPr>
      <w:r w:rsidRPr="00C61AA4">
        <w:rPr>
          <w:rFonts w:ascii="Times New Roman" w:hAnsi="Times New Roman"/>
          <w:b/>
          <w:i/>
          <w:sz w:val="24"/>
          <w:szCs w:val="24"/>
        </w:rPr>
        <w:t>Целевой индикатор:</w:t>
      </w:r>
      <w:r w:rsidRPr="00C61AA4">
        <w:rPr>
          <w:rFonts w:ascii="Times New Roman" w:hAnsi="Times New Roman"/>
          <w:i/>
          <w:sz w:val="24"/>
          <w:szCs w:val="24"/>
        </w:rPr>
        <w:t xml:space="preserve"> </w:t>
      </w:r>
      <w:r w:rsidRPr="00C61AA4">
        <w:rPr>
          <w:rFonts w:ascii="Times New Roman" w:hAnsi="Times New Roman"/>
          <w:b/>
          <w:i/>
          <w:sz w:val="24"/>
          <w:szCs w:val="24"/>
          <w:lang w:val="kk-KZ"/>
        </w:rPr>
        <w:t xml:space="preserve">Доля потребителей, оказывающих доверие финансовому рынку, % </w:t>
      </w:r>
      <w:r w:rsidRPr="00C61AA4">
        <w:rPr>
          <w:rFonts w:ascii="Times New Roman" w:hAnsi="Times New Roman"/>
          <w:i/>
          <w:sz w:val="24"/>
          <w:szCs w:val="24"/>
          <w:lang w:val="kk-KZ"/>
        </w:rPr>
        <w:t>(39% опрошенных)</w:t>
      </w:r>
    </w:p>
    <w:p w:rsidR="006346A7" w:rsidRPr="00C61AA4" w:rsidRDefault="006346A7" w:rsidP="006346A7">
      <w:pPr>
        <w:spacing w:line="240" w:lineRule="auto"/>
        <w:ind w:firstLine="709"/>
        <w:contextualSpacing/>
        <w:jc w:val="both"/>
        <w:rPr>
          <w:rFonts w:ascii="Times New Roman" w:hAnsi="Times New Roman"/>
          <w:i/>
          <w:color w:val="000000"/>
          <w:sz w:val="24"/>
          <w:szCs w:val="24"/>
        </w:rPr>
      </w:pPr>
      <w:r w:rsidRPr="00C61AA4">
        <w:rPr>
          <w:rFonts w:ascii="Times New Roman" w:hAnsi="Times New Roman"/>
          <w:sz w:val="24"/>
          <w:szCs w:val="24"/>
        </w:rPr>
        <w:t xml:space="preserve">По направлению </w:t>
      </w:r>
      <w:proofErr w:type="gramStart"/>
      <w:r w:rsidRPr="00C61AA4">
        <w:rPr>
          <w:rFonts w:ascii="Times New Roman" w:hAnsi="Times New Roman"/>
          <w:sz w:val="24"/>
          <w:szCs w:val="24"/>
        </w:rPr>
        <w:t>усиления системы защиты прав потребителей финансовых услуг</w:t>
      </w:r>
      <w:proofErr w:type="gramEnd"/>
      <w:r w:rsidRPr="00C61AA4">
        <w:rPr>
          <w:rFonts w:ascii="Times New Roman" w:hAnsi="Times New Roman"/>
          <w:sz w:val="24"/>
          <w:szCs w:val="24"/>
        </w:rPr>
        <w:t xml:space="preserve"> для определения целевого индикатора «Доля потребителей, оказывающих доверие финансовому рынку» в конце 2016 года проведен опрос потребителей финансовых услуг. Количество опрошенных составило 200 граждан республики, в том числе граждане, которые прошли опрос на сайте </w:t>
      </w:r>
      <w:r w:rsidRPr="00C61AA4">
        <w:rPr>
          <w:rStyle w:val="HTML"/>
          <w:rFonts w:ascii="Times New Roman" w:hAnsi="Times New Roman"/>
          <w:b/>
          <w:bCs/>
          <w:sz w:val="24"/>
          <w:szCs w:val="24"/>
        </w:rPr>
        <w:t>fingramota</w:t>
      </w:r>
      <w:r w:rsidRPr="00C61AA4">
        <w:rPr>
          <w:rStyle w:val="HTML"/>
          <w:rFonts w:ascii="Times New Roman" w:hAnsi="Times New Roman"/>
          <w:b/>
          <w:sz w:val="24"/>
          <w:szCs w:val="24"/>
        </w:rPr>
        <w:t>.kz.</w:t>
      </w:r>
      <w:r w:rsidRPr="00C61AA4">
        <w:rPr>
          <w:rFonts w:ascii="Times New Roman" w:hAnsi="Times New Roman"/>
          <w:sz w:val="24"/>
          <w:szCs w:val="24"/>
        </w:rPr>
        <w:t xml:space="preserve">     </w:t>
      </w:r>
    </w:p>
    <w:p w:rsidR="00F60B69" w:rsidRPr="00C61AA4" w:rsidRDefault="00F60B69" w:rsidP="00F60B69">
      <w:pPr>
        <w:spacing w:line="240" w:lineRule="auto"/>
        <w:ind w:firstLine="709"/>
        <w:contextualSpacing/>
        <w:jc w:val="both"/>
        <w:rPr>
          <w:rFonts w:ascii="Times New Roman" w:hAnsi="Times New Roman"/>
          <w:b/>
          <w:i/>
          <w:sz w:val="24"/>
        </w:rPr>
      </w:pPr>
      <w:r w:rsidRPr="00C61AA4">
        <w:rPr>
          <w:rFonts w:ascii="Times New Roman" w:hAnsi="Times New Roman"/>
          <w:b/>
          <w:bCs/>
          <w:i/>
          <w:iCs/>
          <w:sz w:val="24"/>
        </w:rPr>
        <w:t>Мероприятия для достижения  целевого индикатора:</w:t>
      </w:r>
    </w:p>
    <w:p w:rsidR="006346A7" w:rsidRPr="00C61AA4" w:rsidRDefault="006346A7" w:rsidP="006346A7">
      <w:pPr>
        <w:spacing w:line="240" w:lineRule="auto"/>
        <w:ind w:firstLine="709"/>
        <w:contextualSpacing/>
        <w:jc w:val="both"/>
        <w:rPr>
          <w:rFonts w:ascii="Times New Roman" w:hAnsi="Times New Roman"/>
          <w:i/>
          <w:color w:val="000000"/>
          <w:sz w:val="24"/>
          <w:szCs w:val="24"/>
        </w:rPr>
      </w:pPr>
      <w:r w:rsidRPr="00C61AA4">
        <w:rPr>
          <w:rFonts w:ascii="Times New Roman" w:hAnsi="Times New Roman"/>
          <w:sz w:val="24"/>
          <w:szCs w:val="24"/>
        </w:rPr>
        <w:t xml:space="preserve">В соответствии с проанализированными данными доля потребителей из количества опрошенных, которые доверяют финансовому </w:t>
      </w:r>
      <w:proofErr w:type="gramStart"/>
      <w:r w:rsidRPr="00C61AA4">
        <w:rPr>
          <w:rFonts w:ascii="Times New Roman" w:hAnsi="Times New Roman"/>
          <w:sz w:val="24"/>
          <w:szCs w:val="24"/>
        </w:rPr>
        <w:t>рынку</w:t>
      </w:r>
      <w:proofErr w:type="gramEnd"/>
      <w:r w:rsidRPr="00C61AA4">
        <w:rPr>
          <w:rFonts w:ascii="Times New Roman" w:hAnsi="Times New Roman"/>
          <w:sz w:val="24"/>
          <w:szCs w:val="24"/>
        </w:rPr>
        <w:t xml:space="preserve"> составила 39,7%. При выводе данного уровня учитывалась информация и процентное соотношение уровня осведомленности граждан о существующих финансовых организациях, предоставляемых ими услугах, о предлагаемых финансовыми организациями финансовых инструментах, уровня удовлетворенности граждан качеством предлагаемых финансовых услуг, и уровня доверия финансовым организациям.     </w:t>
      </w:r>
    </w:p>
    <w:p w:rsidR="006346A7" w:rsidRPr="00C61AA4" w:rsidRDefault="006346A7" w:rsidP="006346A7">
      <w:pPr>
        <w:spacing w:line="240" w:lineRule="auto"/>
        <w:ind w:firstLine="709"/>
        <w:contextualSpacing/>
        <w:jc w:val="both"/>
        <w:rPr>
          <w:rFonts w:ascii="Times New Roman" w:hAnsi="Times New Roman"/>
          <w:b/>
          <w:i/>
          <w:sz w:val="24"/>
          <w:szCs w:val="24"/>
        </w:rPr>
      </w:pPr>
    </w:p>
    <w:p w:rsidR="006346A7" w:rsidRPr="00C61AA4" w:rsidRDefault="006346A7" w:rsidP="006346A7">
      <w:pPr>
        <w:spacing w:line="240" w:lineRule="auto"/>
        <w:ind w:firstLine="709"/>
        <w:contextualSpacing/>
        <w:jc w:val="both"/>
        <w:rPr>
          <w:rFonts w:ascii="Times New Roman" w:hAnsi="Times New Roman"/>
          <w:i/>
          <w:color w:val="000000"/>
          <w:sz w:val="24"/>
          <w:szCs w:val="24"/>
        </w:rPr>
      </w:pPr>
      <w:r w:rsidRPr="00C61AA4">
        <w:rPr>
          <w:rFonts w:ascii="Times New Roman" w:hAnsi="Times New Roman"/>
          <w:b/>
          <w:i/>
          <w:color w:val="000000"/>
          <w:sz w:val="24"/>
          <w:szCs w:val="24"/>
        </w:rPr>
        <w:t>Цель 2.6.</w:t>
      </w:r>
      <w:r w:rsidRPr="00C61AA4">
        <w:rPr>
          <w:rFonts w:ascii="Times New Roman" w:hAnsi="Times New Roman"/>
          <w:i/>
          <w:color w:val="000000"/>
          <w:sz w:val="24"/>
          <w:szCs w:val="24"/>
        </w:rPr>
        <w:t xml:space="preserve"> </w:t>
      </w:r>
      <w:r w:rsidRPr="00C61AA4">
        <w:rPr>
          <w:rFonts w:ascii="Times New Roman" w:hAnsi="Times New Roman"/>
          <w:b/>
          <w:i/>
          <w:color w:val="000000"/>
          <w:sz w:val="24"/>
          <w:szCs w:val="24"/>
        </w:rPr>
        <w:t>Обеспечение эффективности и безопасности функционирования платежных систем</w:t>
      </w:r>
      <w:r w:rsidRPr="00C61AA4">
        <w:rPr>
          <w:rFonts w:ascii="Times New Roman" w:hAnsi="Times New Roman"/>
          <w:i/>
          <w:color w:val="000000"/>
          <w:sz w:val="24"/>
          <w:szCs w:val="24"/>
        </w:rPr>
        <w:t xml:space="preserve"> </w:t>
      </w:r>
    </w:p>
    <w:p w:rsidR="001E187B" w:rsidRPr="00C61AA4" w:rsidRDefault="006346A7" w:rsidP="006346A7">
      <w:pPr>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 xml:space="preserve">Национальным Банком в 2016 году была продолжена работа по дальнейшему развитию программно-технической  </w:t>
      </w:r>
      <w:r w:rsidRPr="00C61AA4">
        <w:rPr>
          <w:rFonts w:ascii="Times New Roman" w:hAnsi="Times New Roman"/>
          <w:spacing w:val="-6"/>
          <w:sz w:val="24"/>
          <w:szCs w:val="24"/>
        </w:rPr>
        <w:t>инфраструктуры платежных систем</w:t>
      </w:r>
      <w:r w:rsidRPr="00C61AA4">
        <w:rPr>
          <w:rFonts w:ascii="Times New Roman" w:hAnsi="Times New Roman"/>
          <w:sz w:val="24"/>
          <w:szCs w:val="24"/>
        </w:rPr>
        <w:t>, совершенствованию нормативных правовых актов в сфере осуществления платежей и переводов денег.</w:t>
      </w:r>
    </w:p>
    <w:p w:rsidR="006346A7" w:rsidRPr="00C61AA4" w:rsidRDefault="006346A7" w:rsidP="006346A7">
      <w:pPr>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 xml:space="preserve">На постоянной основе осуществлялся мониторинг и сопровождение работы платежных систем, для поддержания резервного центра в «боевом» режиме осуществлялись работы по переводу платежных систем на программно-технический комплекс резервного центра. По итогам </w:t>
      </w:r>
      <w:r w:rsidRPr="00C61AA4">
        <w:rPr>
          <w:rFonts w:ascii="Times New Roman" w:hAnsi="Times New Roman"/>
          <w:sz w:val="24"/>
          <w:szCs w:val="24"/>
        </w:rPr>
        <w:lastRenderedPageBreak/>
        <w:t xml:space="preserve">проведенных работ обеспечен высокий уровень беспрерывности и доступности платежных систем для пользователей. </w:t>
      </w:r>
    </w:p>
    <w:p w:rsidR="006346A7" w:rsidRPr="00C61AA4" w:rsidRDefault="006346A7" w:rsidP="006346A7">
      <w:pPr>
        <w:spacing w:line="240" w:lineRule="auto"/>
        <w:ind w:firstLine="709"/>
        <w:contextualSpacing/>
        <w:jc w:val="both"/>
        <w:rPr>
          <w:rFonts w:ascii="Times New Roman" w:hAnsi="Times New Roman"/>
          <w:i/>
          <w:sz w:val="24"/>
          <w:szCs w:val="24"/>
        </w:rPr>
      </w:pPr>
      <w:r w:rsidRPr="00C61AA4">
        <w:rPr>
          <w:rFonts w:ascii="Times New Roman" w:hAnsi="Times New Roman"/>
          <w:b/>
          <w:i/>
          <w:color w:val="000000"/>
          <w:sz w:val="24"/>
          <w:szCs w:val="24"/>
        </w:rPr>
        <w:t>Целевой индикатор 1:</w:t>
      </w:r>
      <w:r w:rsidRPr="00C61AA4">
        <w:rPr>
          <w:rFonts w:ascii="Times New Roman" w:hAnsi="Times New Roman"/>
          <w:i/>
          <w:color w:val="000000"/>
          <w:sz w:val="24"/>
          <w:szCs w:val="24"/>
        </w:rPr>
        <w:t xml:space="preserve"> </w:t>
      </w:r>
      <w:r w:rsidRPr="00C61AA4">
        <w:rPr>
          <w:rFonts w:ascii="Times New Roman" w:hAnsi="Times New Roman"/>
          <w:b/>
          <w:i/>
          <w:iCs/>
          <w:sz w:val="24"/>
          <w:szCs w:val="24"/>
        </w:rPr>
        <w:t xml:space="preserve">Коэффициент работоспособности МСПД за год </w:t>
      </w:r>
      <w:r w:rsidRPr="00C61AA4">
        <w:rPr>
          <w:rFonts w:ascii="Times New Roman" w:hAnsi="Times New Roman"/>
          <w:i/>
          <w:iCs/>
          <w:sz w:val="24"/>
          <w:szCs w:val="24"/>
        </w:rPr>
        <w:t>(не менее 95%).</w:t>
      </w:r>
    </w:p>
    <w:p w:rsidR="006346A7" w:rsidRPr="00C61AA4" w:rsidRDefault="00D33C34" w:rsidP="006346A7">
      <w:pPr>
        <w:spacing w:line="240" w:lineRule="auto"/>
        <w:ind w:firstLine="709"/>
        <w:contextualSpacing/>
        <w:jc w:val="both"/>
        <w:rPr>
          <w:rFonts w:ascii="Times New Roman" w:hAnsi="Times New Roman"/>
          <w:spacing w:val="-6"/>
          <w:sz w:val="24"/>
          <w:szCs w:val="24"/>
        </w:rPr>
      </w:pPr>
      <w:r w:rsidRPr="00C61AA4">
        <w:rPr>
          <w:rFonts w:ascii="Times New Roman" w:hAnsi="Times New Roman"/>
          <w:spacing w:val="-6"/>
          <w:sz w:val="24"/>
          <w:szCs w:val="24"/>
        </w:rPr>
        <w:t>В 2016 году коэффициент</w:t>
      </w:r>
      <w:r w:rsidR="006346A7" w:rsidRPr="00C61AA4">
        <w:rPr>
          <w:rFonts w:ascii="Times New Roman" w:hAnsi="Times New Roman"/>
          <w:spacing w:val="-6"/>
          <w:sz w:val="24"/>
          <w:szCs w:val="24"/>
        </w:rPr>
        <w:t xml:space="preserve"> работоспособности Межбанковской системы переводов денег (МСПД) составил</w:t>
      </w:r>
      <w:r w:rsidRPr="00C61AA4">
        <w:rPr>
          <w:rFonts w:ascii="Times New Roman" w:hAnsi="Times New Roman"/>
          <w:spacing w:val="-6"/>
          <w:sz w:val="24"/>
          <w:szCs w:val="24"/>
        </w:rPr>
        <w:t xml:space="preserve"> </w:t>
      </w:r>
      <w:r w:rsidR="006346A7" w:rsidRPr="00C61AA4">
        <w:rPr>
          <w:rFonts w:ascii="Times New Roman" w:hAnsi="Times New Roman"/>
          <w:spacing w:val="-6"/>
          <w:sz w:val="24"/>
          <w:szCs w:val="24"/>
        </w:rPr>
        <w:t xml:space="preserve"> 99,</w:t>
      </w:r>
      <w:r w:rsidRPr="00C61AA4">
        <w:rPr>
          <w:rFonts w:ascii="Times New Roman" w:hAnsi="Times New Roman"/>
          <w:spacing w:val="-6"/>
          <w:sz w:val="24"/>
          <w:szCs w:val="24"/>
        </w:rPr>
        <w:t xml:space="preserve">803%, что характеризует высокую </w:t>
      </w:r>
      <w:r w:rsidR="006346A7" w:rsidRPr="00C61AA4">
        <w:rPr>
          <w:rFonts w:ascii="Times New Roman" w:hAnsi="Times New Roman"/>
          <w:spacing w:val="-6"/>
          <w:sz w:val="24"/>
          <w:szCs w:val="24"/>
        </w:rPr>
        <w:t xml:space="preserve">эффективность функционирования </w:t>
      </w:r>
      <w:r w:rsidRPr="00C61AA4">
        <w:rPr>
          <w:rFonts w:ascii="Times New Roman" w:hAnsi="Times New Roman"/>
          <w:spacing w:val="-6"/>
          <w:sz w:val="24"/>
          <w:szCs w:val="24"/>
        </w:rPr>
        <w:t xml:space="preserve">указанной </w:t>
      </w:r>
      <w:r w:rsidR="006346A7" w:rsidRPr="00C61AA4">
        <w:rPr>
          <w:rFonts w:ascii="Times New Roman" w:hAnsi="Times New Roman"/>
          <w:spacing w:val="-6"/>
          <w:sz w:val="24"/>
          <w:szCs w:val="24"/>
        </w:rPr>
        <w:t>платежн</w:t>
      </w:r>
      <w:r w:rsidRPr="00C61AA4">
        <w:rPr>
          <w:rFonts w:ascii="Times New Roman" w:hAnsi="Times New Roman"/>
          <w:spacing w:val="-6"/>
          <w:sz w:val="24"/>
          <w:szCs w:val="24"/>
        </w:rPr>
        <w:t>ой</w:t>
      </w:r>
      <w:r w:rsidR="006346A7" w:rsidRPr="00C61AA4">
        <w:rPr>
          <w:rFonts w:ascii="Times New Roman" w:hAnsi="Times New Roman"/>
          <w:spacing w:val="-6"/>
          <w:sz w:val="24"/>
          <w:szCs w:val="24"/>
        </w:rPr>
        <w:t xml:space="preserve"> систем</w:t>
      </w:r>
      <w:r w:rsidRPr="00C61AA4">
        <w:rPr>
          <w:rFonts w:ascii="Times New Roman" w:hAnsi="Times New Roman"/>
          <w:spacing w:val="-6"/>
          <w:sz w:val="24"/>
          <w:szCs w:val="24"/>
        </w:rPr>
        <w:t>ы</w:t>
      </w:r>
      <w:r w:rsidR="006346A7" w:rsidRPr="00C61AA4">
        <w:rPr>
          <w:rFonts w:ascii="Times New Roman" w:hAnsi="Times New Roman"/>
          <w:spacing w:val="-6"/>
          <w:sz w:val="24"/>
          <w:szCs w:val="24"/>
        </w:rPr>
        <w:t>.</w:t>
      </w:r>
    </w:p>
    <w:p w:rsidR="00933030" w:rsidRPr="00C61AA4" w:rsidRDefault="006346A7" w:rsidP="006346A7">
      <w:pPr>
        <w:spacing w:line="240" w:lineRule="auto"/>
        <w:ind w:firstLine="709"/>
        <w:contextualSpacing/>
        <w:jc w:val="both"/>
        <w:rPr>
          <w:rFonts w:ascii="Times New Roman" w:hAnsi="Times New Roman"/>
          <w:spacing w:val="-6"/>
          <w:sz w:val="24"/>
          <w:szCs w:val="24"/>
        </w:rPr>
      </w:pPr>
      <w:r w:rsidRPr="00C61AA4">
        <w:rPr>
          <w:rFonts w:ascii="Times New Roman" w:hAnsi="Times New Roman"/>
          <w:spacing w:val="-6"/>
          <w:sz w:val="24"/>
          <w:szCs w:val="24"/>
        </w:rPr>
        <w:t>В течение 2016 года чрезвычайных ситуаций, требовавших перевода работы платежных систем на сервера резервного центра, не наблюдалось.</w:t>
      </w:r>
    </w:p>
    <w:p w:rsidR="006346A7" w:rsidRPr="00C61AA4" w:rsidRDefault="006346A7" w:rsidP="006346A7">
      <w:pPr>
        <w:spacing w:line="240" w:lineRule="auto"/>
        <w:ind w:firstLine="709"/>
        <w:contextualSpacing/>
        <w:jc w:val="both"/>
        <w:rPr>
          <w:rFonts w:ascii="Times New Roman" w:hAnsi="Times New Roman"/>
          <w:i/>
          <w:sz w:val="24"/>
          <w:szCs w:val="24"/>
        </w:rPr>
      </w:pPr>
      <w:r w:rsidRPr="00C61AA4">
        <w:rPr>
          <w:rFonts w:ascii="Times New Roman" w:hAnsi="Times New Roman"/>
          <w:b/>
          <w:i/>
          <w:color w:val="000000"/>
          <w:sz w:val="24"/>
          <w:szCs w:val="24"/>
        </w:rPr>
        <w:t>Целевой индикатор 2:</w:t>
      </w:r>
      <w:r w:rsidRPr="00C61AA4">
        <w:rPr>
          <w:rFonts w:ascii="Times New Roman" w:hAnsi="Times New Roman"/>
          <w:i/>
          <w:color w:val="000000"/>
          <w:sz w:val="24"/>
          <w:szCs w:val="24"/>
        </w:rPr>
        <w:t xml:space="preserve"> </w:t>
      </w:r>
      <w:r w:rsidRPr="00C61AA4">
        <w:rPr>
          <w:rFonts w:ascii="Times New Roman" w:hAnsi="Times New Roman"/>
          <w:b/>
          <w:i/>
          <w:iCs/>
          <w:sz w:val="24"/>
          <w:szCs w:val="24"/>
        </w:rPr>
        <w:t>Коэффициент работоспособности СМК за год не менее 95%.</w:t>
      </w:r>
    </w:p>
    <w:p w:rsidR="006346A7" w:rsidRPr="00C61AA4" w:rsidRDefault="00D33C34" w:rsidP="006346A7">
      <w:pPr>
        <w:spacing w:line="240" w:lineRule="auto"/>
        <w:ind w:firstLine="709"/>
        <w:contextualSpacing/>
        <w:jc w:val="both"/>
        <w:rPr>
          <w:rFonts w:ascii="Times New Roman" w:hAnsi="Times New Roman"/>
          <w:spacing w:val="-6"/>
          <w:sz w:val="24"/>
          <w:szCs w:val="24"/>
        </w:rPr>
      </w:pPr>
      <w:r w:rsidRPr="00C61AA4">
        <w:rPr>
          <w:rFonts w:ascii="Times New Roman" w:hAnsi="Times New Roman"/>
          <w:spacing w:val="-6"/>
          <w:sz w:val="24"/>
          <w:szCs w:val="24"/>
        </w:rPr>
        <w:t>В 2016 году коэффициент</w:t>
      </w:r>
      <w:r w:rsidR="006346A7" w:rsidRPr="00C61AA4">
        <w:rPr>
          <w:rFonts w:ascii="Times New Roman" w:hAnsi="Times New Roman"/>
          <w:spacing w:val="-6"/>
          <w:sz w:val="24"/>
          <w:szCs w:val="24"/>
        </w:rPr>
        <w:t xml:space="preserve"> работоспособности Системы межбанко</w:t>
      </w:r>
      <w:r w:rsidRPr="00C61AA4">
        <w:rPr>
          <w:rFonts w:ascii="Times New Roman" w:hAnsi="Times New Roman"/>
          <w:spacing w:val="-6"/>
          <w:sz w:val="24"/>
          <w:szCs w:val="24"/>
        </w:rPr>
        <w:t xml:space="preserve">вского клиринга (СМК) составил </w:t>
      </w:r>
      <w:r w:rsidR="006346A7" w:rsidRPr="00C61AA4">
        <w:rPr>
          <w:rFonts w:ascii="Times New Roman" w:hAnsi="Times New Roman"/>
          <w:spacing w:val="-6"/>
          <w:sz w:val="24"/>
          <w:szCs w:val="24"/>
        </w:rPr>
        <w:t xml:space="preserve">99,976%, что характеризует высокую эффективность функционирования </w:t>
      </w:r>
      <w:r w:rsidRPr="00C61AA4">
        <w:rPr>
          <w:rFonts w:ascii="Times New Roman" w:hAnsi="Times New Roman"/>
          <w:spacing w:val="-6"/>
          <w:sz w:val="24"/>
          <w:szCs w:val="24"/>
        </w:rPr>
        <w:t xml:space="preserve">указанной </w:t>
      </w:r>
      <w:r w:rsidR="006346A7" w:rsidRPr="00C61AA4">
        <w:rPr>
          <w:rFonts w:ascii="Times New Roman" w:hAnsi="Times New Roman"/>
          <w:spacing w:val="-6"/>
          <w:sz w:val="24"/>
          <w:szCs w:val="24"/>
        </w:rPr>
        <w:t>платежн</w:t>
      </w:r>
      <w:r w:rsidRPr="00C61AA4">
        <w:rPr>
          <w:rFonts w:ascii="Times New Roman" w:hAnsi="Times New Roman"/>
          <w:spacing w:val="-6"/>
          <w:sz w:val="24"/>
          <w:szCs w:val="24"/>
        </w:rPr>
        <w:t xml:space="preserve">ой </w:t>
      </w:r>
      <w:r w:rsidR="006346A7" w:rsidRPr="00C61AA4">
        <w:rPr>
          <w:rFonts w:ascii="Times New Roman" w:hAnsi="Times New Roman"/>
          <w:spacing w:val="-6"/>
          <w:sz w:val="24"/>
          <w:szCs w:val="24"/>
        </w:rPr>
        <w:t>систем</w:t>
      </w:r>
      <w:r w:rsidRPr="00C61AA4">
        <w:rPr>
          <w:rFonts w:ascii="Times New Roman" w:hAnsi="Times New Roman"/>
          <w:spacing w:val="-6"/>
          <w:sz w:val="24"/>
          <w:szCs w:val="24"/>
        </w:rPr>
        <w:t>ы</w:t>
      </w:r>
      <w:r w:rsidR="006346A7" w:rsidRPr="00C61AA4">
        <w:rPr>
          <w:rFonts w:ascii="Times New Roman" w:hAnsi="Times New Roman"/>
          <w:spacing w:val="-6"/>
          <w:sz w:val="24"/>
          <w:szCs w:val="24"/>
        </w:rPr>
        <w:t>.</w:t>
      </w:r>
    </w:p>
    <w:p w:rsidR="00FD339B" w:rsidRPr="00C61AA4" w:rsidRDefault="006346A7" w:rsidP="006346A7">
      <w:pPr>
        <w:spacing w:line="240" w:lineRule="auto"/>
        <w:ind w:firstLine="709"/>
        <w:contextualSpacing/>
        <w:jc w:val="both"/>
        <w:rPr>
          <w:rFonts w:ascii="Times New Roman" w:hAnsi="Times New Roman"/>
          <w:spacing w:val="-6"/>
          <w:sz w:val="24"/>
          <w:szCs w:val="24"/>
        </w:rPr>
      </w:pPr>
      <w:r w:rsidRPr="00C61AA4">
        <w:rPr>
          <w:rFonts w:ascii="Times New Roman" w:hAnsi="Times New Roman"/>
          <w:spacing w:val="-6"/>
          <w:sz w:val="24"/>
          <w:szCs w:val="24"/>
        </w:rPr>
        <w:t>В течение 2016 года чрезвычайных ситуаций, требовавших перевода работы платежных систем на сервера резервного центра, не наблюдалось.</w:t>
      </w:r>
    </w:p>
    <w:p w:rsidR="006346A7" w:rsidRPr="00C61AA4" w:rsidRDefault="006346A7" w:rsidP="006346A7">
      <w:pPr>
        <w:spacing w:line="240" w:lineRule="auto"/>
        <w:ind w:firstLine="709"/>
        <w:contextualSpacing/>
        <w:jc w:val="both"/>
        <w:rPr>
          <w:rFonts w:ascii="Times New Roman" w:hAnsi="Times New Roman"/>
          <w:b/>
          <w:i/>
          <w:iCs/>
          <w:sz w:val="24"/>
          <w:szCs w:val="24"/>
        </w:rPr>
      </w:pPr>
      <w:r w:rsidRPr="00C61AA4">
        <w:rPr>
          <w:rFonts w:ascii="Times New Roman" w:hAnsi="Times New Roman"/>
          <w:b/>
          <w:i/>
          <w:iCs/>
          <w:sz w:val="24"/>
          <w:szCs w:val="24"/>
        </w:rPr>
        <w:t>Мероприятия для достижения целевых индикаторов:</w:t>
      </w:r>
    </w:p>
    <w:p w:rsidR="001E187B" w:rsidRPr="00C61AA4" w:rsidRDefault="006346A7" w:rsidP="001E187B">
      <w:pPr>
        <w:spacing w:line="240" w:lineRule="auto"/>
        <w:ind w:firstLine="709"/>
        <w:contextualSpacing/>
        <w:jc w:val="both"/>
        <w:rPr>
          <w:rFonts w:ascii="Times New Roman" w:hAnsi="Times New Roman" w:cs="Times New Roman"/>
          <w:i/>
          <w:iCs/>
          <w:sz w:val="24"/>
          <w:szCs w:val="24"/>
        </w:rPr>
      </w:pPr>
      <w:r w:rsidRPr="00C61AA4">
        <w:rPr>
          <w:rFonts w:ascii="Times New Roman" w:hAnsi="Times New Roman"/>
          <w:i/>
          <w:iCs/>
          <w:sz w:val="24"/>
          <w:szCs w:val="24"/>
        </w:rPr>
        <w:t xml:space="preserve">Проведение совместно </w:t>
      </w:r>
      <w:r w:rsidR="00E56B41" w:rsidRPr="00C61AA4">
        <w:rPr>
          <w:rFonts w:ascii="Times New Roman" w:hAnsi="Times New Roman"/>
          <w:i/>
          <w:iCs/>
          <w:sz w:val="24"/>
          <w:szCs w:val="24"/>
        </w:rPr>
        <w:t>КЦМР</w:t>
      </w:r>
      <w:r w:rsidRPr="00C61AA4">
        <w:rPr>
          <w:rFonts w:ascii="Times New Roman" w:hAnsi="Times New Roman"/>
          <w:i/>
          <w:iCs/>
          <w:sz w:val="24"/>
          <w:szCs w:val="24"/>
        </w:rPr>
        <w:t xml:space="preserve"> плановых (тестовых) мероприятий по </w:t>
      </w:r>
      <w:r w:rsidRPr="00C61AA4">
        <w:rPr>
          <w:rFonts w:ascii="Times New Roman" w:hAnsi="Times New Roman" w:cs="Times New Roman"/>
          <w:i/>
          <w:iCs/>
          <w:sz w:val="24"/>
          <w:szCs w:val="24"/>
        </w:rPr>
        <w:t>переводу платежных систем на программно-технический комплекс резервного центра</w:t>
      </w:r>
    </w:p>
    <w:p w:rsidR="001E187B" w:rsidRPr="00C61AA4" w:rsidRDefault="006346A7" w:rsidP="001E187B">
      <w:pPr>
        <w:spacing w:line="240" w:lineRule="auto"/>
        <w:ind w:firstLine="709"/>
        <w:contextualSpacing/>
        <w:jc w:val="both"/>
        <w:rPr>
          <w:rFonts w:ascii="Times New Roman" w:hAnsi="Times New Roman" w:cs="Times New Roman"/>
          <w:iCs/>
          <w:sz w:val="24"/>
          <w:szCs w:val="24"/>
        </w:rPr>
      </w:pPr>
      <w:r w:rsidRPr="00C61AA4">
        <w:rPr>
          <w:rFonts w:ascii="Times New Roman" w:hAnsi="Times New Roman" w:cs="Times New Roman"/>
          <w:iCs/>
          <w:sz w:val="24"/>
          <w:szCs w:val="24"/>
        </w:rPr>
        <w:t>В 2016 году проведено 2 мероприятия по переводу платежных систем на программно-технический комплекс резервного центра:</w:t>
      </w:r>
    </w:p>
    <w:p w:rsidR="001E187B" w:rsidRPr="00C61AA4" w:rsidRDefault="006346A7" w:rsidP="001E187B">
      <w:pPr>
        <w:spacing w:line="240" w:lineRule="auto"/>
        <w:ind w:firstLine="709"/>
        <w:contextualSpacing/>
        <w:jc w:val="both"/>
        <w:rPr>
          <w:rFonts w:ascii="Times New Roman" w:hAnsi="Times New Roman" w:cs="Times New Roman"/>
          <w:iCs/>
          <w:sz w:val="24"/>
          <w:szCs w:val="24"/>
        </w:rPr>
      </w:pPr>
      <w:r w:rsidRPr="00C61AA4">
        <w:rPr>
          <w:rFonts w:ascii="Times New Roman" w:hAnsi="Times New Roman" w:cs="Times New Roman"/>
          <w:iCs/>
          <w:sz w:val="24"/>
          <w:szCs w:val="24"/>
        </w:rPr>
        <w:t xml:space="preserve">1) </w:t>
      </w:r>
      <w:r w:rsidR="001E187B" w:rsidRPr="00C61AA4">
        <w:rPr>
          <w:rFonts w:ascii="Times New Roman" w:hAnsi="Times New Roman" w:cs="Times New Roman"/>
          <w:iCs/>
          <w:sz w:val="24"/>
          <w:szCs w:val="24"/>
        </w:rPr>
        <w:t>п</w:t>
      </w:r>
      <w:r w:rsidRPr="00C61AA4">
        <w:rPr>
          <w:rFonts w:ascii="Times New Roman" w:hAnsi="Times New Roman" w:cs="Times New Roman"/>
          <w:iCs/>
          <w:sz w:val="24"/>
          <w:szCs w:val="24"/>
        </w:rPr>
        <w:t>ервый перевод платежных систем на программно-технический комплекс резервного центра осуществлен 20 мая 2016 года. Обратный перевод на сервера основного центра проведен 24 июня 2016 года;</w:t>
      </w:r>
    </w:p>
    <w:p w:rsidR="001E187B" w:rsidRPr="00C61AA4" w:rsidRDefault="006346A7" w:rsidP="001E187B">
      <w:pPr>
        <w:spacing w:line="240" w:lineRule="auto"/>
        <w:ind w:firstLine="709"/>
        <w:contextualSpacing/>
        <w:jc w:val="both"/>
        <w:rPr>
          <w:rFonts w:ascii="Times New Roman" w:hAnsi="Times New Roman" w:cs="Times New Roman"/>
          <w:iCs/>
          <w:sz w:val="24"/>
          <w:szCs w:val="24"/>
        </w:rPr>
      </w:pPr>
      <w:r w:rsidRPr="00C61AA4">
        <w:rPr>
          <w:rFonts w:ascii="Times New Roman" w:hAnsi="Times New Roman" w:cs="Times New Roman"/>
          <w:iCs/>
          <w:sz w:val="24"/>
          <w:szCs w:val="24"/>
        </w:rPr>
        <w:t xml:space="preserve">2) </w:t>
      </w:r>
      <w:r w:rsidR="001E187B" w:rsidRPr="00C61AA4">
        <w:rPr>
          <w:rFonts w:ascii="Times New Roman" w:hAnsi="Times New Roman" w:cs="Times New Roman"/>
          <w:iCs/>
          <w:sz w:val="24"/>
          <w:szCs w:val="24"/>
        </w:rPr>
        <w:t>в</w:t>
      </w:r>
      <w:r w:rsidRPr="00C61AA4">
        <w:rPr>
          <w:rFonts w:ascii="Times New Roman" w:hAnsi="Times New Roman" w:cs="Times New Roman"/>
          <w:iCs/>
          <w:sz w:val="24"/>
          <w:szCs w:val="24"/>
        </w:rPr>
        <w:t>торой перевод платежных систем на программно-технический комплекс резервного центра осуществлен 7 октября 2016 года. Обратный перевод на сервера основного центра проведен 21 октября 2016 года.</w:t>
      </w:r>
    </w:p>
    <w:p w:rsidR="00FD339B" w:rsidRPr="00C61AA4" w:rsidRDefault="0013272A" w:rsidP="001E187B">
      <w:pPr>
        <w:spacing w:line="240" w:lineRule="auto"/>
        <w:ind w:firstLine="709"/>
        <w:contextualSpacing/>
        <w:jc w:val="both"/>
        <w:rPr>
          <w:rFonts w:ascii="Times New Roman" w:hAnsi="Times New Roman" w:cs="Times New Roman"/>
          <w:iCs/>
          <w:sz w:val="24"/>
          <w:szCs w:val="24"/>
        </w:rPr>
      </w:pPr>
      <w:r w:rsidRPr="00C61AA4">
        <w:rPr>
          <w:rFonts w:ascii="Times New Roman" w:hAnsi="Times New Roman" w:cs="Times New Roman"/>
          <w:iCs/>
          <w:sz w:val="24"/>
          <w:szCs w:val="24"/>
        </w:rPr>
        <w:t>Проблем в работе программного обеспечения и оборудования при переходах отмечено не было.</w:t>
      </w:r>
    </w:p>
    <w:p w:rsidR="006346A7" w:rsidRPr="00C61AA4" w:rsidRDefault="006346A7" w:rsidP="001E187B">
      <w:pPr>
        <w:spacing w:line="240" w:lineRule="auto"/>
        <w:ind w:firstLine="709"/>
        <w:contextualSpacing/>
        <w:jc w:val="both"/>
        <w:rPr>
          <w:rFonts w:ascii="Times New Roman" w:hAnsi="Times New Roman" w:cs="Times New Roman"/>
          <w:b/>
          <w:i/>
          <w:iCs/>
          <w:sz w:val="24"/>
          <w:szCs w:val="24"/>
        </w:rPr>
      </w:pPr>
      <w:r w:rsidRPr="00C61AA4">
        <w:rPr>
          <w:rFonts w:ascii="Times New Roman" w:hAnsi="Times New Roman" w:cs="Times New Roman"/>
          <w:b/>
          <w:bCs/>
          <w:i/>
          <w:color w:val="000000"/>
          <w:sz w:val="24"/>
          <w:szCs w:val="24"/>
        </w:rPr>
        <w:t>Итоги анализа результатов выполнения мероприятий по достижению качественных и количественных показателей:</w:t>
      </w:r>
    </w:p>
    <w:p w:rsidR="006346A7" w:rsidRPr="00C61AA4" w:rsidRDefault="006346A7" w:rsidP="006346A7">
      <w:pPr>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В целом в 2016 году наблюдается выполнение поставленных целев</w:t>
      </w:r>
      <w:r w:rsidR="0013272A" w:rsidRPr="00C61AA4">
        <w:rPr>
          <w:rFonts w:ascii="Times New Roman" w:hAnsi="Times New Roman"/>
          <w:sz w:val="24"/>
          <w:szCs w:val="24"/>
        </w:rPr>
        <w:t>ых</w:t>
      </w:r>
      <w:r w:rsidRPr="00C61AA4">
        <w:rPr>
          <w:rFonts w:ascii="Times New Roman" w:hAnsi="Times New Roman"/>
          <w:sz w:val="24"/>
          <w:szCs w:val="24"/>
        </w:rPr>
        <w:t xml:space="preserve"> индикатор</w:t>
      </w:r>
      <w:r w:rsidR="0013272A" w:rsidRPr="00C61AA4">
        <w:rPr>
          <w:rFonts w:ascii="Times New Roman" w:hAnsi="Times New Roman"/>
          <w:sz w:val="24"/>
          <w:szCs w:val="24"/>
        </w:rPr>
        <w:t xml:space="preserve">ов </w:t>
      </w:r>
      <w:r w:rsidRPr="00C61AA4">
        <w:rPr>
          <w:rFonts w:ascii="Times New Roman" w:hAnsi="Times New Roman"/>
          <w:sz w:val="24"/>
          <w:szCs w:val="24"/>
        </w:rPr>
        <w:t xml:space="preserve">по стратегическому направлению 2.6 «Обеспечение функционирования платежных систем». Так, коэффициенты работоспособности МСПД составил 99,803%, СМК – 99,976%, при поставленном плановом значении не менее 95%. Проводились работы совершенствованию (развитию) программно-технической инфраструктуры платежных систем. На постоянной основе осуществлялся мониторинг и </w:t>
      </w:r>
      <w:proofErr w:type="gramStart"/>
      <w:r w:rsidRPr="00C61AA4">
        <w:rPr>
          <w:rFonts w:ascii="Times New Roman" w:hAnsi="Times New Roman"/>
          <w:sz w:val="24"/>
          <w:szCs w:val="24"/>
        </w:rPr>
        <w:t>контроль за</w:t>
      </w:r>
      <w:proofErr w:type="gramEnd"/>
      <w:r w:rsidRPr="00C61AA4">
        <w:rPr>
          <w:rFonts w:ascii="Times New Roman" w:hAnsi="Times New Roman"/>
          <w:sz w:val="24"/>
          <w:szCs w:val="24"/>
        </w:rPr>
        <w:t xml:space="preserve"> б</w:t>
      </w:r>
      <w:r w:rsidR="0013272A" w:rsidRPr="00C61AA4">
        <w:rPr>
          <w:rFonts w:ascii="Times New Roman" w:hAnsi="Times New Roman"/>
          <w:sz w:val="24"/>
          <w:szCs w:val="24"/>
        </w:rPr>
        <w:t xml:space="preserve">есперебойным функционированием </w:t>
      </w:r>
      <w:r w:rsidRPr="00C61AA4">
        <w:rPr>
          <w:rFonts w:ascii="Times New Roman" w:hAnsi="Times New Roman"/>
          <w:sz w:val="24"/>
          <w:szCs w:val="24"/>
        </w:rPr>
        <w:t xml:space="preserve">платежных систем, рассчитывался коэффициент бесперебойности платежных систем на ежемесячной основе. </w:t>
      </w:r>
    </w:p>
    <w:p w:rsidR="0013272A" w:rsidRPr="00C61AA4" w:rsidRDefault="006346A7" w:rsidP="006346A7">
      <w:pPr>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 xml:space="preserve">В целях обеспечения беспрерывного функционирования платежных систем и поддержания резервного центра в постоянной готовности </w:t>
      </w:r>
      <w:r w:rsidR="0013272A" w:rsidRPr="00C61AA4">
        <w:rPr>
          <w:rFonts w:ascii="Times New Roman" w:hAnsi="Times New Roman"/>
          <w:sz w:val="24"/>
          <w:szCs w:val="24"/>
        </w:rPr>
        <w:t>КЦМР</w:t>
      </w:r>
      <w:r w:rsidRPr="00C61AA4">
        <w:rPr>
          <w:rFonts w:ascii="Times New Roman" w:hAnsi="Times New Roman"/>
          <w:sz w:val="24"/>
          <w:szCs w:val="24"/>
        </w:rPr>
        <w:t xml:space="preserve"> за 2016 год дважды был осуществлен перевод работы платежных систем на программно-технический комплекс резервного центра. </w:t>
      </w:r>
    </w:p>
    <w:p w:rsidR="006346A7" w:rsidRPr="00C61AA4" w:rsidRDefault="006346A7" w:rsidP="006346A7">
      <w:pPr>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В 2017 году будут продолжены работы по обеспечению эффективного, надежного и безопасного функционирования платежных систем, минимизации присущих рисков, в том числе, операционного риска на основе применения современных технологий в целях достижения поставленного целевого индикатора и показателей прямых результатов.</w:t>
      </w:r>
    </w:p>
    <w:p w:rsidR="006346A7" w:rsidRPr="00C61AA4" w:rsidRDefault="006346A7" w:rsidP="006346A7">
      <w:pPr>
        <w:spacing w:line="240" w:lineRule="auto"/>
        <w:ind w:firstLine="709"/>
        <w:contextualSpacing/>
        <w:jc w:val="both"/>
        <w:rPr>
          <w:rFonts w:ascii="Times New Roman" w:hAnsi="Times New Roman"/>
          <w:b/>
          <w:sz w:val="24"/>
          <w:szCs w:val="24"/>
          <w:u w:val="single"/>
        </w:rPr>
      </w:pPr>
    </w:p>
    <w:p w:rsidR="006346A7" w:rsidRPr="00C61AA4" w:rsidRDefault="006346A7" w:rsidP="006346A7">
      <w:pPr>
        <w:spacing w:line="240" w:lineRule="auto"/>
        <w:ind w:firstLine="709"/>
        <w:contextualSpacing/>
        <w:jc w:val="both"/>
        <w:rPr>
          <w:rFonts w:ascii="Times New Roman" w:hAnsi="Times New Roman"/>
          <w:b/>
          <w:sz w:val="24"/>
          <w:szCs w:val="24"/>
          <w:u w:val="single"/>
        </w:rPr>
      </w:pPr>
      <w:r w:rsidRPr="00C61AA4">
        <w:rPr>
          <w:rFonts w:ascii="Times New Roman" w:hAnsi="Times New Roman"/>
          <w:b/>
          <w:sz w:val="24"/>
          <w:szCs w:val="24"/>
          <w:u w:val="single"/>
        </w:rPr>
        <w:t xml:space="preserve">Целевые индикаторы Глобального индекса конкурентоспособности </w:t>
      </w:r>
    </w:p>
    <w:p w:rsidR="006346A7" w:rsidRPr="00C61AA4" w:rsidRDefault="006346A7" w:rsidP="006346A7">
      <w:pPr>
        <w:spacing w:line="240" w:lineRule="auto"/>
        <w:ind w:firstLine="709"/>
        <w:contextualSpacing/>
        <w:jc w:val="both"/>
        <w:rPr>
          <w:rFonts w:ascii="Times New Roman" w:hAnsi="Times New Roman"/>
          <w:b/>
          <w:sz w:val="24"/>
          <w:szCs w:val="24"/>
          <w:u w:val="single"/>
        </w:rPr>
      </w:pPr>
      <w:r w:rsidRPr="00C61AA4">
        <w:rPr>
          <w:rFonts w:ascii="Times New Roman" w:hAnsi="Times New Roman"/>
          <w:b/>
          <w:sz w:val="24"/>
          <w:szCs w:val="24"/>
          <w:u w:val="single"/>
        </w:rPr>
        <w:t>Всемирного Экономического Форума</w:t>
      </w:r>
    </w:p>
    <w:p w:rsidR="001E187B" w:rsidRPr="00C61AA4" w:rsidRDefault="001E187B" w:rsidP="006346A7">
      <w:pPr>
        <w:spacing w:line="240" w:lineRule="auto"/>
        <w:ind w:firstLine="709"/>
        <w:contextualSpacing/>
        <w:jc w:val="both"/>
        <w:rPr>
          <w:rFonts w:ascii="Times New Roman" w:hAnsi="Times New Roman"/>
          <w:b/>
          <w:i/>
          <w:sz w:val="24"/>
          <w:szCs w:val="24"/>
        </w:rPr>
      </w:pPr>
    </w:p>
    <w:p w:rsidR="006346A7" w:rsidRPr="00C61AA4" w:rsidRDefault="006346A7" w:rsidP="006346A7">
      <w:pPr>
        <w:spacing w:line="240" w:lineRule="auto"/>
        <w:ind w:firstLine="709"/>
        <w:contextualSpacing/>
        <w:jc w:val="both"/>
        <w:rPr>
          <w:rFonts w:ascii="Times New Roman" w:hAnsi="Times New Roman"/>
          <w:i/>
          <w:sz w:val="24"/>
          <w:szCs w:val="24"/>
        </w:rPr>
      </w:pPr>
      <w:r w:rsidRPr="00C61AA4">
        <w:rPr>
          <w:rFonts w:ascii="Times New Roman" w:hAnsi="Times New Roman"/>
          <w:b/>
          <w:i/>
          <w:sz w:val="24"/>
          <w:szCs w:val="24"/>
        </w:rPr>
        <w:t>Целевой индикатор 1:</w:t>
      </w:r>
      <w:r w:rsidRPr="00C61AA4">
        <w:rPr>
          <w:rFonts w:ascii="Times New Roman" w:hAnsi="Times New Roman"/>
          <w:i/>
          <w:sz w:val="24"/>
          <w:szCs w:val="24"/>
        </w:rPr>
        <w:t xml:space="preserve"> </w:t>
      </w:r>
      <w:r w:rsidRPr="00C61AA4">
        <w:rPr>
          <w:rFonts w:ascii="Times New Roman" w:hAnsi="Times New Roman"/>
          <w:b/>
          <w:i/>
          <w:sz w:val="24"/>
          <w:szCs w:val="24"/>
          <w:lang w:val="kk-KZ"/>
        </w:rPr>
        <w:t>Общественное доверие политикам</w:t>
      </w:r>
      <w:r w:rsidRPr="00C61AA4">
        <w:rPr>
          <w:rFonts w:ascii="Times New Roman" w:hAnsi="Times New Roman"/>
          <w:b/>
          <w:i/>
          <w:sz w:val="24"/>
          <w:szCs w:val="24"/>
        </w:rPr>
        <w:t xml:space="preserve"> </w:t>
      </w:r>
      <w:r w:rsidRPr="00C61AA4">
        <w:rPr>
          <w:rFonts w:ascii="Times New Roman" w:hAnsi="Times New Roman"/>
          <w:i/>
          <w:sz w:val="24"/>
          <w:szCs w:val="24"/>
        </w:rPr>
        <w:t>(29 место в рейтинге ГИК ВЭФ)</w:t>
      </w:r>
    </w:p>
    <w:p w:rsidR="006346A7" w:rsidRPr="00C61AA4" w:rsidRDefault="006346A7" w:rsidP="006346A7">
      <w:pPr>
        <w:spacing w:line="240" w:lineRule="auto"/>
        <w:ind w:firstLine="709"/>
        <w:contextualSpacing/>
        <w:jc w:val="both"/>
        <w:rPr>
          <w:rFonts w:ascii="Times New Roman" w:hAnsi="Times New Roman"/>
          <w:i/>
          <w:sz w:val="24"/>
          <w:szCs w:val="24"/>
        </w:rPr>
      </w:pPr>
      <w:r w:rsidRPr="00C61AA4">
        <w:rPr>
          <w:rFonts w:ascii="Times New Roman" w:hAnsi="Times New Roman"/>
          <w:sz w:val="24"/>
        </w:rPr>
        <w:t>В соответствии с Отчетом о глобальной конкурентоспособности по показателю «Общественное доверие политикам» позиция Казахстана снизилась на 32 место.</w:t>
      </w:r>
    </w:p>
    <w:p w:rsidR="006346A7" w:rsidRPr="00C61AA4" w:rsidRDefault="006346A7" w:rsidP="006346A7">
      <w:pPr>
        <w:spacing w:line="240" w:lineRule="auto"/>
        <w:ind w:firstLine="709"/>
        <w:contextualSpacing/>
        <w:jc w:val="both"/>
        <w:rPr>
          <w:rFonts w:ascii="Times New Roman" w:hAnsi="Times New Roman"/>
          <w:i/>
          <w:sz w:val="24"/>
          <w:szCs w:val="24"/>
        </w:rPr>
      </w:pPr>
      <w:r w:rsidRPr="00C61AA4">
        <w:rPr>
          <w:rFonts w:ascii="Times New Roman" w:hAnsi="Times New Roman"/>
          <w:sz w:val="24"/>
        </w:rPr>
        <w:t xml:space="preserve">Следует отметить, что данный индикатор ГИК ВЭФ также оценивался опросным путем и является показателем по республике. На занятие указанного фактического места в ГИК ВЭФ по </w:t>
      </w:r>
      <w:r w:rsidRPr="00C61AA4">
        <w:rPr>
          <w:rFonts w:ascii="Times New Roman" w:hAnsi="Times New Roman"/>
          <w:sz w:val="24"/>
        </w:rPr>
        <w:lastRenderedPageBreak/>
        <w:t>данному индикатору оказывают влияние результаты деятельности не только НБРК, но и других государственных и иных органов РК.</w:t>
      </w:r>
    </w:p>
    <w:p w:rsidR="00F60B69" w:rsidRPr="00C61AA4" w:rsidRDefault="00F60B69" w:rsidP="00F60B69">
      <w:pPr>
        <w:spacing w:line="240" w:lineRule="auto"/>
        <w:ind w:firstLine="709"/>
        <w:contextualSpacing/>
        <w:jc w:val="both"/>
        <w:rPr>
          <w:rFonts w:ascii="Times New Roman" w:hAnsi="Times New Roman"/>
          <w:b/>
          <w:i/>
          <w:sz w:val="24"/>
        </w:rPr>
      </w:pPr>
      <w:r w:rsidRPr="00C61AA4">
        <w:rPr>
          <w:rFonts w:ascii="Times New Roman" w:hAnsi="Times New Roman"/>
          <w:b/>
          <w:bCs/>
          <w:i/>
          <w:iCs/>
          <w:sz w:val="24"/>
        </w:rPr>
        <w:t>Мероприятия для достижения  целевого индикатора:</w:t>
      </w:r>
    </w:p>
    <w:p w:rsidR="006346A7" w:rsidRPr="00C61AA4" w:rsidRDefault="00F60B69" w:rsidP="006346A7">
      <w:pPr>
        <w:spacing w:line="240" w:lineRule="auto"/>
        <w:ind w:firstLine="709"/>
        <w:contextualSpacing/>
        <w:jc w:val="both"/>
        <w:rPr>
          <w:rFonts w:ascii="Times New Roman" w:hAnsi="Times New Roman"/>
          <w:i/>
          <w:sz w:val="24"/>
          <w:szCs w:val="24"/>
        </w:rPr>
      </w:pPr>
      <w:r w:rsidRPr="00C61AA4">
        <w:rPr>
          <w:rFonts w:ascii="Times New Roman" w:hAnsi="Times New Roman"/>
          <w:sz w:val="24"/>
        </w:rPr>
        <w:t>И</w:t>
      </w:r>
      <w:r w:rsidR="006346A7" w:rsidRPr="00C61AA4">
        <w:rPr>
          <w:rFonts w:ascii="Times New Roman" w:hAnsi="Times New Roman"/>
          <w:sz w:val="24"/>
        </w:rPr>
        <w:t xml:space="preserve">нформационная политика </w:t>
      </w:r>
      <w:r w:rsidRPr="00C61AA4">
        <w:rPr>
          <w:rFonts w:ascii="Times New Roman" w:hAnsi="Times New Roman"/>
          <w:sz w:val="24"/>
        </w:rPr>
        <w:t>НБРК</w:t>
      </w:r>
      <w:r w:rsidR="006346A7" w:rsidRPr="00C61AA4">
        <w:rPr>
          <w:rFonts w:ascii="Times New Roman" w:hAnsi="Times New Roman"/>
          <w:sz w:val="24"/>
        </w:rPr>
        <w:t xml:space="preserve"> нацелена на налаживание скоординированных </w:t>
      </w:r>
      <w:proofErr w:type="spellStart"/>
      <w:r w:rsidR="006346A7" w:rsidRPr="00C61AA4">
        <w:rPr>
          <w:rFonts w:ascii="Times New Roman" w:hAnsi="Times New Roman"/>
          <w:sz w:val="24"/>
        </w:rPr>
        <w:t>проактивных</w:t>
      </w:r>
      <w:proofErr w:type="spellEnd"/>
      <w:r w:rsidR="006346A7" w:rsidRPr="00C61AA4">
        <w:rPr>
          <w:rFonts w:ascii="Times New Roman" w:hAnsi="Times New Roman"/>
          <w:sz w:val="24"/>
        </w:rPr>
        <w:t xml:space="preserve"> коммуникаций с разъяснением действий регулятора, а также на обеспечение диалога всеми удобными и доступными для целевых аудиторий способами.</w:t>
      </w:r>
    </w:p>
    <w:p w:rsidR="006346A7" w:rsidRPr="00C61AA4" w:rsidRDefault="006346A7" w:rsidP="006346A7">
      <w:pPr>
        <w:spacing w:line="240" w:lineRule="auto"/>
        <w:ind w:firstLine="709"/>
        <w:contextualSpacing/>
        <w:jc w:val="both"/>
        <w:rPr>
          <w:rFonts w:ascii="Times New Roman" w:hAnsi="Times New Roman"/>
          <w:i/>
          <w:sz w:val="24"/>
          <w:szCs w:val="24"/>
        </w:rPr>
      </w:pPr>
      <w:r w:rsidRPr="00C61AA4">
        <w:rPr>
          <w:rFonts w:ascii="Times New Roman" w:hAnsi="Times New Roman"/>
          <w:sz w:val="24"/>
        </w:rPr>
        <w:t xml:space="preserve">Так, в 2016 году НБРК были организованы мероприятия с участием руководства и сотрудников </w:t>
      </w:r>
      <w:r w:rsidR="00F60B69" w:rsidRPr="00C61AA4">
        <w:rPr>
          <w:rFonts w:ascii="Times New Roman" w:hAnsi="Times New Roman"/>
          <w:sz w:val="24"/>
        </w:rPr>
        <w:t>НБРК</w:t>
      </w:r>
      <w:r w:rsidRPr="00C61AA4">
        <w:rPr>
          <w:rFonts w:ascii="Times New Roman" w:hAnsi="Times New Roman"/>
          <w:sz w:val="24"/>
        </w:rPr>
        <w:t>.</w:t>
      </w:r>
    </w:p>
    <w:p w:rsidR="006346A7" w:rsidRPr="00C61AA4" w:rsidRDefault="006346A7" w:rsidP="006346A7">
      <w:pPr>
        <w:spacing w:line="240" w:lineRule="auto"/>
        <w:ind w:firstLine="709"/>
        <w:contextualSpacing/>
        <w:jc w:val="both"/>
        <w:rPr>
          <w:rFonts w:ascii="Times New Roman" w:hAnsi="Times New Roman"/>
          <w:i/>
          <w:sz w:val="24"/>
          <w:szCs w:val="24"/>
        </w:rPr>
      </w:pPr>
      <w:r w:rsidRPr="00C61AA4">
        <w:rPr>
          <w:rFonts w:ascii="Times New Roman" w:hAnsi="Times New Roman"/>
          <w:sz w:val="24"/>
        </w:rPr>
        <w:t xml:space="preserve">В частности было обеспечено информационное сопровождение около 60 мероприятий, в числе которых пресс-конференции, брифинги, заседания, круглые столы, другие внутригосударственные и международные события с участием руководства </w:t>
      </w:r>
      <w:r w:rsidR="00F60B69" w:rsidRPr="00C61AA4">
        <w:rPr>
          <w:rFonts w:ascii="Times New Roman" w:hAnsi="Times New Roman"/>
          <w:sz w:val="24"/>
        </w:rPr>
        <w:t>НБРК</w:t>
      </w:r>
      <w:r w:rsidRPr="00C61AA4">
        <w:rPr>
          <w:rFonts w:ascii="Times New Roman" w:hAnsi="Times New Roman"/>
          <w:sz w:val="24"/>
        </w:rPr>
        <w:t xml:space="preserve">. </w:t>
      </w:r>
    </w:p>
    <w:p w:rsidR="006346A7" w:rsidRPr="00C61AA4" w:rsidRDefault="006346A7" w:rsidP="006346A7">
      <w:pPr>
        <w:spacing w:line="240" w:lineRule="auto"/>
        <w:ind w:firstLine="709"/>
        <w:contextualSpacing/>
        <w:jc w:val="both"/>
        <w:rPr>
          <w:rFonts w:ascii="Times New Roman" w:hAnsi="Times New Roman"/>
          <w:i/>
          <w:sz w:val="24"/>
          <w:szCs w:val="24"/>
        </w:rPr>
      </w:pPr>
      <w:r w:rsidRPr="00C61AA4">
        <w:rPr>
          <w:rFonts w:ascii="Times New Roman" w:hAnsi="Times New Roman"/>
          <w:sz w:val="24"/>
        </w:rPr>
        <w:t xml:space="preserve">С начала года были организованы 12 пресс-конференций и брифингов, 2 онлайн-конференции, встреча «без галстуков» с участием Председателя </w:t>
      </w:r>
      <w:r w:rsidR="00F60B69" w:rsidRPr="00C61AA4">
        <w:rPr>
          <w:rFonts w:ascii="Times New Roman" w:hAnsi="Times New Roman"/>
          <w:sz w:val="24"/>
        </w:rPr>
        <w:t>НБРК</w:t>
      </w:r>
      <w:r w:rsidRPr="00C61AA4">
        <w:rPr>
          <w:rFonts w:ascii="Times New Roman" w:hAnsi="Times New Roman"/>
          <w:sz w:val="24"/>
        </w:rPr>
        <w:t xml:space="preserve">, ряд брифингов с участием заместителей Председателя </w:t>
      </w:r>
      <w:r w:rsidR="00F60B69" w:rsidRPr="00C61AA4">
        <w:rPr>
          <w:rFonts w:ascii="Times New Roman" w:hAnsi="Times New Roman"/>
          <w:sz w:val="24"/>
        </w:rPr>
        <w:t>НБРК</w:t>
      </w:r>
      <w:r w:rsidRPr="00C61AA4">
        <w:rPr>
          <w:rFonts w:ascii="Times New Roman" w:hAnsi="Times New Roman"/>
          <w:sz w:val="24"/>
        </w:rPr>
        <w:t xml:space="preserve">. Введены в практику рабочие поездки Председателя </w:t>
      </w:r>
      <w:r w:rsidR="00F60B69" w:rsidRPr="00C61AA4">
        <w:rPr>
          <w:rFonts w:ascii="Times New Roman" w:hAnsi="Times New Roman"/>
          <w:sz w:val="24"/>
        </w:rPr>
        <w:t>НБРК</w:t>
      </w:r>
      <w:r w:rsidRPr="00C61AA4">
        <w:rPr>
          <w:rFonts w:ascii="Times New Roman" w:hAnsi="Times New Roman"/>
          <w:sz w:val="24"/>
        </w:rPr>
        <w:t xml:space="preserve"> в регионы страны, в рамках которых проводятся встречи с региональными СМИ и представителями финансового сектора.</w:t>
      </w:r>
    </w:p>
    <w:p w:rsidR="006346A7" w:rsidRPr="00C61AA4" w:rsidRDefault="006346A7" w:rsidP="006346A7">
      <w:pPr>
        <w:spacing w:line="240" w:lineRule="auto"/>
        <w:ind w:firstLine="709"/>
        <w:contextualSpacing/>
        <w:jc w:val="both"/>
        <w:rPr>
          <w:rFonts w:ascii="Times New Roman" w:hAnsi="Times New Roman"/>
          <w:i/>
          <w:sz w:val="24"/>
          <w:szCs w:val="24"/>
        </w:rPr>
      </w:pPr>
      <w:r w:rsidRPr="00C61AA4">
        <w:rPr>
          <w:rFonts w:ascii="Times New Roman" w:hAnsi="Times New Roman"/>
          <w:sz w:val="24"/>
        </w:rPr>
        <w:t>В целях укрепления взаимодействия с экспертным сообществом были организованы 6 заседаний с представителями финансового рынка, в ходе которых были обсуждены текущие направления денежно-кредитной политики.</w:t>
      </w:r>
    </w:p>
    <w:p w:rsidR="006346A7" w:rsidRPr="00C61AA4" w:rsidRDefault="006346A7" w:rsidP="006346A7">
      <w:pPr>
        <w:spacing w:line="240" w:lineRule="auto"/>
        <w:ind w:firstLine="709"/>
        <w:contextualSpacing/>
        <w:jc w:val="both"/>
        <w:rPr>
          <w:rFonts w:ascii="Times New Roman" w:hAnsi="Times New Roman"/>
          <w:i/>
          <w:sz w:val="24"/>
          <w:szCs w:val="24"/>
        </w:rPr>
      </w:pPr>
      <w:r w:rsidRPr="00C61AA4">
        <w:rPr>
          <w:rFonts w:ascii="Times New Roman" w:hAnsi="Times New Roman"/>
          <w:sz w:val="24"/>
        </w:rPr>
        <w:t xml:space="preserve">В текущем году введена практика проведения «круглых столов» с  участием СМИ по разъяснению основных направлений проводимой </w:t>
      </w:r>
      <w:r w:rsidR="00F60B69" w:rsidRPr="00C61AA4">
        <w:rPr>
          <w:rFonts w:ascii="Times New Roman" w:hAnsi="Times New Roman"/>
          <w:sz w:val="24"/>
        </w:rPr>
        <w:t>НБРК</w:t>
      </w:r>
      <w:r w:rsidRPr="00C61AA4">
        <w:rPr>
          <w:rFonts w:ascii="Times New Roman" w:hAnsi="Times New Roman"/>
          <w:sz w:val="24"/>
        </w:rPr>
        <w:t xml:space="preserve"> политики, текущей ситуации на финансовом рынке, а также законодательных и иных инициативах </w:t>
      </w:r>
      <w:r w:rsidR="00F60B69" w:rsidRPr="00C61AA4">
        <w:rPr>
          <w:rFonts w:ascii="Times New Roman" w:hAnsi="Times New Roman"/>
          <w:sz w:val="24"/>
        </w:rPr>
        <w:t>НБРК</w:t>
      </w:r>
      <w:r w:rsidRPr="00C61AA4">
        <w:rPr>
          <w:rFonts w:ascii="Times New Roman" w:hAnsi="Times New Roman"/>
          <w:sz w:val="24"/>
        </w:rPr>
        <w:t>. С начала 2016 года проведено 7 встреч с представителями СМИ с целью обсуждения и разъяснения вопросов по защите прав потребителей финансовых услуг, инвестированию пенсионных активов и других вопросов.</w:t>
      </w:r>
    </w:p>
    <w:p w:rsidR="006346A7" w:rsidRPr="00C61AA4" w:rsidRDefault="006346A7" w:rsidP="006346A7">
      <w:pPr>
        <w:spacing w:line="240" w:lineRule="auto"/>
        <w:ind w:firstLine="709"/>
        <w:contextualSpacing/>
        <w:jc w:val="both"/>
        <w:rPr>
          <w:rFonts w:ascii="Times New Roman" w:hAnsi="Times New Roman"/>
          <w:i/>
          <w:sz w:val="24"/>
          <w:szCs w:val="24"/>
        </w:rPr>
      </w:pPr>
      <w:r w:rsidRPr="00C61AA4">
        <w:rPr>
          <w:rFonts w:ascii="Times New Roman" w:hAnsi="Times New Roman"/>
          <w:sz w:val="24"/>
        </w:rPr>
        <w:t xml:space="preserve">В отчетном периоде были подготовлены около 20 интервью для казахстанских и 7 интервью для зарубежных телевизионных, печатных и интернет-изданий с участием руководства Национального Банка. На регулярной основе сотрудники </w:t>
      </w:r>
      <w:r w:rsidR="00F60B69" w:rsidRPr="00C61AA4">
        <w:rPr>
          <w:rFonts w:ascii="Times New Roman" w:hAnsi="Times New Roman"/>
          <w:sz w:val="24"/>
        </w:rPr>
        <w:t>НБРК</w:t>
      </w:r>
      <w:r w:rsidRPr="00C61AA4">
        <w:rPr>
          <w:rFonts w:ascii="Times New Roman" w:hAnsi="Times New Roman"/>
          <w:sz w:val="24"/>
        </w:rPr>
        <w:t xml:space="preserve"> предоставляли комментарии для телевизионных СМИ по основным направлениям деятельности </w:t>
      </w:r>
      <w:r w:rsidR="00F60B69" w:rsidRPr="00C61AA4">
        <w:rPr>
          <w:rFonts w:ascii="Times New Roman" w:hAnsi="Times New Roman"/>
          <w:sz w:val="24"/>
        </w:rPr>
        <w:t>НБРК</w:t>
      </w:r>
      <w:r w:rsidRPr="00C61AA4">
        <w:rPr>
          <w:rFonts w:ascii="Times New Roman" w:hAnsi="Times New Roman"/>
          <w:sz w:val="24"/>
        </w:rPr>
        <w:t>, а также участвовали в специальных проектах СМИ.</w:t>
      </w:r>
    </w:p>
    <w:p w:rsidR="006346A7" w:rsidRPr="00C61AA4" w:rsidRDefault="006346A7" w:rsidP="006346A7">
      <w:pPr>
        <w:spacing w:line="240" w:lineRule="auto"/>
        <w:ind w:firstLine="709"/>
        <w:contextualSpacing/>
        <w:jc w:val="both"/>
        <w:rPr>
          <w:rFonts w:ascii="Times New Roman" w:hAnsi="Times New Roman"/>
          <w:i/>
          <w:sz w:val="24"/>
          <w:szCs w:val="24"/>
        </w:rPr>
      </w:pPr>
      <w:r w:rsidRPr="00C61AA4">
        <w:rPr>
          <w:rFonts w:ascii="Times New Roman" w:hAnsi="Times New Roman"/>
          <w:sz w:val="24"/>
        </w:rPr>
        <w:t xml:space="preserve">В рамках празднования 25-летия Независимости Республики Казахстан и Дня национальной валюты была проведена широкомасштабная информационная работа по освещению данных событий. Были созданы </w:t>
      </w:r>
      <w:proofErr w:type="spellStart"/>
      <w:r w:rsidRPr="00C61AA4">
        <w:rPr>
          <w:rFonts w:ascii="Times New Roman" w:hAnsi="Times New Roman"/>
          <w:sz w:val="24"/>
        </w:rPr>
        <w:t>видеролики</w:t>
      </w:r>
      <w:proofErr w:type="spellEnd"/>
      <w:r w:rsidRPr="00C61AA4">
        <w:rPr>
          <w:rFonts w:ascii="Times New Roman" w:hAnsi="Times New Roman"/>
          <w:sz w:val="24"/>
        </w:rPr>
        <w:t xml:space="preserve"> о выпуске в обращение юбилейной банкноты и памятных монет из серебра, посвященные 25-летию Независимости Республики Казахстан, которые были размещены в социальных сетях во всех официальных аккаунтах Национального Банка. </w:t>
      </w:r>
    </w:p>
    <w:p w:rsidR="006346A7" w:rsidRPr="00C61AA4" w:rsidRDefault="006346A7" w:rsidP="006346A7">
      <w:pPr>
        <w:spacing w:line="240" w:lineRule="auto"/>
        <w:ind w:firstLine="709"/>
        <w:contextualSpacing/>
        <w:jc w:val="both"/>
        <w:rPr>
          <w:rFonts w:ascii="Times New Roman" w:hAnsi="Times New Roman"/>
          <w:i/>
          <w:sz w:val="24"/>
          <w:szCs w:val="24"/>
        </w:rPr>
      </w:pPr>
      <w:r w:rsidRPr="00C61AA4">
        <w:rPr>
          <w:rFonts w:ascii="Times New Roman" w:hAnsi="Times New Roman"/>
          <w:sz w:val="24"/>
        </w:rPr>
        <w:t xml:space="preserve">В октябре-ноябре, в рамках проведения конференции «Тенге – валюта независимого Казахстана», конференции «25 лет Независимости Республики Казахстан: национальная валюта» Управлением была подготовлена серия видеороликов с комментариями экспертов для размещения </w:t>
      </w:r>
      <w:proofErr w:type="gramStart"/>
      <w:r w:rsidRPr="00C61AA4">
        <w:rPr>
          <w:rFonts w:ascii="Times New Roman" w:hAnsi="Times New Roman"/>
          <w:sz w:val="24"/>
        </w:rPr>
        <w:t>на</w:t>
      </w:r>
      <w:proofErr w:type="gramEnd"/>
      <w:r w:rsidRPr="00C61AA4">
        <w:rPr>
          <w:rFonts w:ascii="Times New Roman" w:hAnsi="Times New Roman"/>
          <w:sz w:val="24"/>
        </w:rPr>
        <w:t xml:space="preserve"> официальных аккаунтах в социальных сетях. </w:t>
      </w:r>
    </w:p>
    <w:p w:rsidR="006346A7" w:rsidRPr="00C61AA4" w:rsidRDefault="006346A7" w:rsidP="006346A7">
      <w:pPr>
        <w:spacing w:line="240" w:lineRule="auto"/>
        <w:ind w:firstLine="709"/>
        <w:contextualSpacing/>
        <w:jc w:val="both"/>
        <w:rPr>
          <w:rFonts w:ascii="Times New Roman" w:hAnsi="Times New Roman"/>
          <w:i/>
          <w:sz w:val="24"/>
          <w:szCs w:val="24"/>
        </w:rPr>
      </w:pPr>
    </w:p>
    <w:p w:rsidR="006346A7" w:rsidRPr="00C61AA4" w:rsidRDefault="006346A7" w:rsidP="006346A7">
      <w:pPr>
        <w:spacing w:line="240" w:lineRule="auto"/>
        <w:ind w:firstLine="709"/>
        <w:contextualSpacing/>
        <w:jc w:val="both"/>
        <w:rPr>
          <w:rFonts w:ascii="Times New Roman" w:hAnsi="Times New Roman"/>
          <w:i/>
          <w:sz w:val="24"/>
          <w:szCs w:val="24"/>
        </w:rPr>
      </w:pPr>
      <w:r w:rsidRPr="00C61AA4">
        <w:rPr>
          <w:rFonts w:ascii="Times New Roman" w:hAnsi="Times New Roman"/>
          <w:b/>
          <w:i/>
          <w:sz w:val="24"/>
          <w:szCs w:val="24"/>
        </w:rPr>
        <w:t>Целевой индикатор 2:</w:t>
      </w:r>
      <w:r w:rsidRPr="00C61AA4">
        <w:rPr>
          <w:rFonts w:ascii="Times New Roman" w:hAnsi="Times New Roman"/>
          <w:i/>
          <w:sz w:val="24"/>
          <w:szCs w:val="24"/>
        </w:rPr>
        <w:t xml:space="preserve"> </w:t>
      </w:r>
      <w:r w:rsidRPr="00C61AA4">
        <w:rPr>
          <w:rFonts w:ascii="Times New Roman" w:hAnsi="Times New Roman"/>
          <w:b/>
          <w:i/>
          <w:sz w:val="24"/>
          <w:szCs w:val="24"/>
          <w:lang w:val="kk-KZ"/>
        </w:rPr>
        <w:t>Фаворитизм в решениях чиновников</w:t>
      </w:r>
      <w:r w:rsidRPr="00C61AA4">
        <w:rPr>
          <w:rFonts w:ascii="Times New Roman" w:hAnsi="Times New Roman"/>
          <w:b/>
          <w:i/>
          <w:sz w:val="24"/>
          <w:szCs w:val="24"/>
        </w:rPr>
        <w:t xml:space="preserve"> </w:t>
      </w:r>
      <w:r w:rsidRPr="00C61AA4">
        <w:rPr>
          <w:rFonts w:ascii="Times New Roman" w:hAnsi="Times New Roman"/>
          <w:i/>
          <w:sz w:val="24"/>
          <w:szCs w:val="24"/>
        </w:rPr>
        <w:t>(48 место в рейтинге ГИК ВЭФ)</w:t>
      </w:r>
    </w:p>
    <w:p w:rsidR="00E20F8F" w:rsidRPr="00C61AA4" w:rsidRDefault="00E20F8F" w:rsidP="006346A7">
      <w:pPr>
        <w:spacing w:line="240" w:lineRule="auto"/>
        <w:ind w:firstLine="709"/>
        <w:contextualSpacing/>
        <w:jc w:val="both"/>
        <w:rPr>
          <w:rFonts w:ascii="Times New Roman" w:hAnsi="Times New Roman"/>
          <w:b/>
          <w:i/>
          <w:sz w:val="24"/>
        </w:rPr>
      </w:pPr>
      <w:r w:rsidRPr="00C61AA4">
        <w:rPr>
          <w:rFonts w:ascii="Times New Roman" w:hAnsi="Times New Roman"/>
          <w:sz w:val="24"/>
          <w:szCs w:val="24"/>
        </w:rPr>
        <w:t xml:space="preserve">В соответствии с Отчетом о глобальной конкурентоспособности по показателю «Фаворитизм в решениях чиновников» позиция Казахстана составила 55 место. Принимая во внимание, что данный индикатор ГИК ВЭФ оценивался опросным путем, как общее место республики, оценить влияние принимаемых мер не представляется возможным. </w:t>
      </w:r>
    </w:p>
    <w:p w:rsidR="00F60B69" w:rsidRPr="00C61AA4" w:rsidRDefault="00F60B69" w:rsidP="00F60B69">
      <w:pPr>
        <w:spacing w:line="240" w:lineRule="auto"/>
        <w:ind w:firstLine="709"/>
        <w:contextualSpacing/>
        <w:jc w:val="both"/>
        <w:rPr>
          <w:rFonts w:ascii="Times New Roman" w:hAnsi="Times New Roman"/>
          <w:b/>
          <w:i/>
          <w:sz w:val="24"/>
        </w:rPr>
      </w:pPr>
      <w:r w:rsidRPr="00C61AA4">
        <w:rPr>
          <w:rFonts w:ascii="Times New Roman" w:hAnsi="Times New Roman"/>
          <w:b/>
          <w:bCs/>
          <w:i/>
          <w:iCs/>
          <w:sz w:val="24"/>
        </w:rPr>
        <w:t>Мероприятия для достижения  целевого индикатора:</w:t>
      </w:r>
    </w:p>
    <w:p w:rsidR="006346A7" w:rsidRPr="00C61AA4" w:rsidRDefault="006346A7" w:rsidP="006346A7">
      <w:pPr>
        <w:spacing w:line="240" w:lineRule="auto"/>
        <w:ind w:firstLine="709"/>
        <w:contextualSpacing/>
        <w:jc w:val="both"/>
        <w:rPr>
          <w:rFonts w:ascii="Times New Roman" w:hAnsi="Times New Roman"/>
          <w:i/>
          <w:color w:val="000000"/>
          <w:sz w:val="24"/>
          <w:szCs w:val="24"/>
          <w:lang w:val="kk-KZ"/>
        </w:rPr>
      </w:pPr>
      <w:proofErr w:type="gramStart"/>
      <w:r w:rsidRPr="00C61AA4">
        <w:rPr>
          <w:rFonts w:ascii="Times New Roman" w:hAnsi="Times New Roman"/>
          <w:color w:val="000000"/>
          <w:sz w:val="24"/>
          <w:szCs w:val="24"/>
          <w:lang w:eastAsia="ru-RU"/>
        </w:rPr>
        <w:t xml:space="preserve">В целях изучения опыта Центрального Банка России по нормативному и методологическому обеспечению, организации, осуществлению контроля и анализа закупочной деятельности, а также автоматизации процессов, связанных с закупочной деятельностью, в 2016 году в г. Москва (Российская Федерация) была проведена стажировка работника отдела закупок Управления планирования и бюджета </w:t>
      </w:r>
      <w:r w:rsidR="002E0F16" w:rsidRPr="00C61AA4">
        <w:rPr>
          <w:rFonts w:ascii="Times New Roman" w:hAnsi="Times New Roman"/>
          <w:color w:val="000000"/>
          <w:sz w:val="24"/>
          <w:szCs w:val="24"/>
          <w:lang w:eastAsia="ru-RU"/>
        </w:rPr>
        <w:t>НБРК</w:t>
      </w:r>
      <w:r w:rsidRPr="00C61AA4">
        <w:rPr>
          <w:rFonts w:ascii="Times New Roman" w:hAnsi="Times New Roman"/>
          <w:color w:val="000000"/>
          <w:sz w:val="24"/>
          <w:szCs w:val="24"/>
          <w:lang w:eastAsia="ru-RU"/>
        </w:rPr>
        <w:t xml:space="preserve"> в Департаменте экспертизы, методологии и контроля закупок Центрального Банка России.</w:t>
      </w:r>
      <w:proofErr w:type="gramEnd"/>
    </w:p>
    <w:p w:rsidR="006346A7" w:rsidRPr="00C61AA4" w:rsidRDefault="006346A7" w:rsidP="006346A7">
      <w:pPr>
        <w:suppressAutoHyphens/>
        <w:spacing w:line="240" w:lineRule="auto"/>
        <w:ind w:firstLine="709"/>
        <w:contextualSpacing/>
        <w:jc w:val="both"/>
        <w:rPr>
          <w:rFonts w:ascii="Times New Roman" w:hAnsi="Times New Roman"/>
          <w:color w:val="000000"/>
          <w:sz w:val="24"/>
          <w:szCs w:val="24"/>
          <w:lang w:eastAsia="ru-RU"/>
        </w:rPr>
      </w:pPr>
      <w:r w:rsidRPr="00C61AA4">
        <w:rPr>
          <w:rFonts w:ascii="Times New Roman" w:hAnsi="Times New Roman"/>
          <w:color w:val="000000"/>
          <w:sz w:val="24"/>
          <w:szCs w:val="24"/>
          <w:lang w:eastAsia="ru-RU"/>
        </w:rPr>
        <w:lastRenderedPageBreak/>
        <w:t>В рамках данной стажировки были рассмотрены вопросы, связанные с закупочной деятельностью Банка России:</w:t>
      </w:r>
    </w:p>
    <w:p w:rsidR="006346A7" w:rsidRPr="00C61AA4" w:rsidRDefault="006346A7" w:rsidP="006346A7">
      <w:pPr>
        <w:suppressAutoHyphens/>
        <w:spacing w:line="240" w:lineRule="auto"/>
        <w:ind w:firstLine="709"/>
        <w:contextualSpacing/>
        <w:jc w:val="both"/>
        <w:rPr>
          <w:rFonts w:ascii="Times New Roman" w:hAnsi="Times New Roman"/>
          <w:color w:val="000000"/>
          <w:sz w:val="24"/>
          <w:szCs w:val="24"/>
          <w:lang w:eastAsia="ru-RU"/>
        </w:rPr>
      </w:pPr>
      <w:r w:rsidRPr="00C61AA4">
        <w:rPr>
          <w:rFonts w:ascii="Times New Roman" w:hAnsi="Times New Roman"/>
          <w:color w:val="000000"/>
          <w:sz w:val="24"/>
          <w:szCs w:val="24"/>
          <w:lang w:eastAsia="ru-RU"/>
        </w:rPr>
        <w:t xml:space="preserve">- нормативное и методологическое обеспечение процесса закупок Банка России; </w:t>
      </w:r>
    </w:p>
    <w:p w:rsidR="006346A7" w:rsidRPr="00C61AA4" w:rsidRDefault="006346A7" w:rsidP="006346A7">
      <w:pPr>
        <w:suppressAutoHyphens/>
        <w:spacing w:line="240" w:lineRule="auto"/>
        <w:ind w:firstLine="709"/>
        <w:contextualSpacing/>
        <w:jc w:val="both"/>
        <w:rPr>
          <w:rFonts w:ascii="Times New Roman" w:hAnsi="Times New Roman"/>
          <w:color w:val="000000"/>
          <w:sz w:val="24"/>
          <w:szCs w:val="24"/>
          <w:lang w:eastAsia="ru-RU"/>
        </w:rPr>
      </w:pPr>
      <w:r w:rsidRPr="00C61AA4">
        <w:rPr>
          <w:rFonts w:ascii="Times New Roman" w:hAnsi="Times New Roman"/>
          <w:color w:val="000000"/>
          <w:sz w:val="24"/>
          <w:szCs w:val="24"/>
          <w:lang w:eastAsia="ru-RU"/>
        </w:rPr>
        <w:t>- способы осуществления закупок (определения поставщика);</w:t>
      </w:r>
    </w:p>
    <w:p w:rsidR="006346A7" w:rsidRPr="00C61AA4" w:rsidRDefault="006346A7" w:rsidP="006346A7">
      <w:pPr>
        <w:suppressAutoHyphens/>
        <w:spacing w:line="240" w:lineRule="auto"/>
        <w:ind w:firstLine="709"/>
        <w:contextualSpacing/>
        <w:jc w:val="both"/>
        <w:rPr>
          <w:rFonts w:ascii="Times New Roman" w:hAnsi="Times New Roman"/>
          <w:color w:val="000000"/>
          <w:sz w:val="24"/>
          <w:szCs w:val="24"/>
          <w:lang w:eastAsia="ru-RU"/>
        </w:rPr>
      </w:pPr>
      <w:r w:rsidRPr="00C61AA4">
        <w:rPr>
          <w:rFonts w:ascii="Times New Roman" w:hAnsi="Times New Roman"/>
          <w:color w:val="000000"/>
          <w:sz w:val="24"/>
          <w:szCs w:val="24"/>
          <w:lang w:eastAsia="ru-RU"/>
        </w:rPr>
        <w:t>- деятельность по контролю закупок Банком России;</w:t>
      </w:r>
    </w:p>
    <w:p w:rsidR="006346A7" w:rsidRPr="00C61AA4" w:rsidRDefault="006346A7" w:rsidP="006346A7">
      <w:pPr>
        <w:suppressAutoHyphens/>
        <w:spacing w:line="240" w:lineRule="auto"/>
        <w:ind w:firstLine="709"/>
        <w:contextualSpacing/>
        <w:jc w:val="both"/>
        <w:rPr>
          <w:rFonts w:ascii="Times New Roman" w:hAnsi="Times New Roman"/>
          <w:color w:val="000000"/>
          <w:sz w:val="24"/>
          <w:szCs w:val="24"/>
          <w:lang w:eastAsia="ru-RU"/>
        </w:rPr>
      </w:pPr>
      <w:r w:rsidRPr="00C61AA4">
        <w:rPr>
          <w:rFonts w:ascii="Times New Roman" w:hAnsi="Times New Roman"/>
          <w:color w:val="000000"/>
          <w:sz w:val="24"/>
          <w:szCs w:val="24"/>
          <w:lang w:eastAsia="ru-RU"/>
        </w:rPr>
        <w:t>- функционирование Единой информационной системы в сфере закупок Банка России.</w:t>
      </w:r>
    </w:p>
    <w:p w:rsidR="006346A7" w:rsidRPr="00C61AA4" w:rsidRDefault="006346A7" w:rsidP="006346A7">
      <w:pPr>
        <w:suppressAutoHyphens/>
        <w:spacing w:line="240" w:lineRule="auto"/>
        <w:ind w:firstLine="709"/>
        <w:contextualSpacing/>
        <w:jc w:val="both"/>
        <w:rPr>
          <w:rFonts w:ascii="Times New Roman" w:hAnsi="Times New Roman"/>
          <w:bCs/>
          <w:sz w:val="24"/>
          <w:szCs w:val="24"/>
        </w:rPr>
      </w:pPr>
      <w:r w:rsidRPr="00C61AA4">
        <w:rPr>
          <w:rFonts w:ascii="Times New Roman" w:hAnsi="Times New Roman"/>
          <w:bCs/>
          <w:sz w:val="24"/>
          <w:szCs w:val="24"/>
        </w:rPr>
        <w:t>Также, в соответствии с поручением Председателя НБРК Управлением был осуществлен перевод на английский язык Правил</w:t>
      </w:r>
      <w:r w:rsidRPr="00C61AA4">
        <w:rPr>
          <w:rStyle w:val="a8"/>
          <w:bCs/>
          <w:sz w:val="24"/>
          <w:szCs w:val="24"/>
        </w:rPr>
        <w:footnoteReference w:id="9"/>
      </w:r>
      <w:r w:rsidRPr="00C61AA4">
        <w:rPr>
          <w:rFonts w:ascii="Times New Roman" w:hAnsi="Times New Roman"/>
          <w:bCs/>
          <w:sz w:val="24"/>
          <w:szCs w:val="24"/>
        </w:rPr>
        <w:t xml:space="preserve"> для проведения представителями Международного валютного фонда сравнительного анализа Правил с актами международных организаций по закупкам товаров, работ и услуг. </w:t>
      </w:r>
    </w:p>
    <w:p w:rsidR="006346A7" w:rsidRPr="00C61AA4" w:rsidRDefault="006346A7" w:rsidP="006346A7">
      <w:pPr>
        <w:suppressAutoHyphens/>
        <w:spacing w:line="240" w:lineRule="auto"/>
        <w:ind w:firstLine="709"/>
        <w:contextualSpacing/>
        <w:jc w:val="both"/>
        <w:rPr>
          <w:rFonts w:ascii="Times New Roman" w:hAnsi="Times New Roman"/>
          <w:bCs/>
          <w:sz w:val="24"/>
          <w:szCs w:val="24"/>
        </w:rPr>
      </w:pPr>
      <w:r w:rsidRPr="00C61AA4">
        <w:rPr>
          <w:rFonts w:ascii="Times New Roman" w:hAnsi="Times New Roman"/>
          <w:bCs/>
          <w:sz w:val="24"/>
          <w:szCs w:val="24"/>
        </w:rPr>
        <w:t xml:space="preserve">В этой связи, в  2016 году были организованы и проведены </w:t>
      </w:r>
      <w:r w:rsidRPr="00C61AA4">
        <w:rPr>
          <w:rFonts w:ascii="Times New Roman" w:hAnsi="Times New Roman"/>
          <w:bCs/>
          <w:sz w:val="24"/>
          <w:szCs w:val="24"/>
          <w:lang w:val="en-US"/>
        </w:rPr>
        <w:t>conference</w:t>
      </w:r>
      <w:r w:rsidRPr="00C61AA4">
        <w:rPr>
          <w:rFonts w:ascii="Times New Roman" w:hAnsi="Times New Roman"/>
          <w:bCs/>
          <w:sz w:val="24"/>
          <w:szCs w:val="24"/>
        </w:rPr>
        <w:t>-</w:t>
      </w:r>
      <w:r w:rsidRPr="00C61AA4">
        <w:rPr>
          <w:rFonts w:ascii="Times New Roman" w:hAnsi="Times New Roman"/>
          <w:bCs/>
          <w:sz w:val="24"/>
          <w:szCs w:val="24"/>
          <w:lang w:val="en-US"/>
        </w:rPr>
        <w:t>calls</w:t>
      </w:r>
      <w:r w:rsidRPr="00C61AA4">
        <w:rPr>
          <w:rFonts w:ascii="Times New Roman" w:hAnsi="Times New Roman"/>
          <w:bCs/>
          <w:sz w:val="24"/>
          <w:szCs w:val="24"/>
        </w:rPr>
        <w:t xml:space="preserve"> </w:t>
      </w:r>
      <w:r w:rsidRPr="00C61AA4">
        <w:rPr>
          <w:rFonts w:ascii="Times New Roman" w:hAnsi="Times New Roman"/>
          <w:bCs/>
          <w:sz w:val="24"/>
          <w:szCs w:val="24"/>
          <w:lang w:val="en-US"/>
        </w:rPr>
        <w:t>c</w:t>
      </w:r>
      <w:r w:rsidRPr="00C61AA4">
        <w:rPr>
          <w:rFonts w:ascii="Times New Roman" w:hAnsi="Times New Roman"/>
          <w:bCs/>
          <w:sz w:val="24"/>
          <w:szCs w:val="24"/>
        </w:rPr>
        <w:t xml:space="preserve"> представителями Международного валютного фонда  по данному вопросу, в результате чего с их стороны в адрес Национального Банка был направлен Общий анализ Правил в электронном формате.</w:t>
      </w:r>
    </w:p>
    <w:p w:rsidR="006346A7" w:rsidRPr="00C61AA4" w:rsidRDefault="006346A7" w:rsidP="006346A7">
      <w:pPr>
        <w:spacing w:line="240" w:lineRule="auto"/>
        <w:ind w:firstLine="709"/>
        <w:contextualSpacing/>
        <w:jc w:val="both"/>
        <w:rPr>
          <w:rFonts w:ascii="Times New Roman" w:hAnsi="Times New Roman"/>
          <w:sz w:val="24"/>
          <w:szCs w:val="24"/>
          <w:lang w:eastAsia="ru-RU"/>
        </w:rPr>
      </w:pPr>
      <w:r w:rsidRPr="00C61AA4">
        <w:rPr>
          <w:rFonts w:ascii="Times New Roman" w:hAnsi="Times New Roman"/>
          <w:bCs/>
          <w:sz w:val="24"/>
          <w:szCs w:val="24"/>
          <w:lang w:val="kk-KZ" w:eastAsia="ru-RU"/>
        </w:rPr>
        <w:t>В целях</w:t>
      </w:r>
      <w:r w:rsidRPr="00C61AA4">
        <w:rPr>
          <w:rFonts w:ascii="Times New Roman" w:hAnsi="Times New Roman"/>
          <w:sz w:val="24"/>
          <w:szCs w:val="24"/>
          <w:lang w:eastAsia="ru-RU"/>
        </w:rPr>
        <w:t xml:space="preserve"> </w:t>
      </w:r>
      <w:r w:rsidRPr="00C61AA4">
        <w:rPr>
          <w:rFonts w:ascii="Times New Roman" w:hAnsi="Times New Roman"/>
          <w:bCs/>
          <w:sz w:val="24"/>
          <w:szCs w:val="24"/>
          <w:lang w:eastAsia="ru-RU"/>
        </w:rPr>
        <w:t xml:space="preserve">регламентации </w:t>
      </w:r>
      <w:r w:rsidRPr="00C61AA4">
        <w:rPr>
          <w:rFonts w:ascii="Times New Roman" w:hAnsi="Times New Roman"/>
          <w:sz w:val="24"/>
          <w:szCs w:val="24"/>
          <w:lang w:eastAsia="ru-RU"/>
        </w:rPr>
        <w:t xml:space="preserve">порядка приобретения товаров, работ и услуг, связанных с представительскими расходами при проведении мероприятий республиканского и международного уровней с участием официальных лиц, а также мероприятий с участием руководителей подразделений и сотрудников международных и правительственных делегаций, центральных и коммерческих банков, государственных органов РК и зарубежных государств принят </w:t>
      </w:r>
      <w:r w:rsidRPr="00C61AA4">
        <w:rPr>
          <w:rFonts w:ascii="Times New Roman" w:hAnsi="Times New Roman"/>
          <w:bCs/>
          <w:sz w:val="24"/>
          <w:szCs w:val="24"/>
          <w:lang w:eastAsia="ru-RU"/>
        </w:rPr>
        <w:t xml:space="preserve">приказ заместителя Председателя Национального Банка от 29.04.2016г. №190 «Об утверждении процедур приобретения товаров и услуг, связанных с представительскими расходами, необходимых для проведения Национальным Банком Республики Казахстан официальных мероприятий». </w:t>
      </w:r>
    </w:p>
    <w:p w:rsidR="006346A7" w:rsidRPr="00C61AA4" w:rsidRDefault="006346A7" w:rsidP="006346A7">
      <w:pPr>
        <w:spacing w:line="240" w:lineRule="auto"/>
        <w:ind w:firstLine="709"/>
        <w:contextualSpacing/>
        <w:jc w:val="both"/>
        <w:rPr>
          <w:rFonts w:ascii="Times New Roman" w:hAnsi="Times New Roman"/>
          <w:b/>
          <w:sz w:val="24"/>
          <w:szCs w:val="24"/>
        </w:rPr>
      </w:pPr>
      <w:r w:rsidRPr="00C61AA4">
        <w:rPr>
          <w:rFonts w:ascii="Times New Roman" w:hAnsi="Times New Roman"/>
          <w:bCs/>
          <w:sz w:val="24"/>
          <w:szCs w:val="24"/>
          <w:lang w:val="kk-KZ" w:eastAsia="ru-RU"/>
        </w:rPr>
        <w:t>Для определения ответственных подразделений за организацию и проведение закупок товаров, работ и услуг, осуществляемых центральным аппаратом Национального Банка, утвержден п</w:t>
      </w:r>
      <w:proofErr w:type="spellStart"/>
      <w:r w:rsidRPr="00C61AA4">
        <w:rPr>
          <w:rFonts w:ascii="Times New Roman" w:hAnsi="Times New Roman"/>
          <w:bCs/>
          <w:sz w:val="24"/>
          <w:szCs w:val="24"/>
          <w:lang w:eastAsia="ru-RU"/>
        </w:rPr>
        <w:t>риказ</w:t>
      </w:r>
      <w:proofErr w:type="spellEnd"/>
      <w:r w:rsidRPr="00C61AA4">
        <w:rPr>
          <w:rFonts w:ascii="Times New Roman" w:hAnsi="Times New Roman"/>
          <w:bCs/>
          <w:sz w:val="24"/>
          <w:szCs w:val="24"/>
          <w:lang w:eastAsia="ru-RU"/>
        </w:rPr>
        <w:t xml:space="preserve"> Председателя </w:t>
      </w:r>
      <w:r w:rsidR="002E0F16" w:rsidRPr="00C61AA4">
        <w:rPr>
          <w:rFonts w:ascii="Times New Roman" w:hAnsi="Times New Roman"/>
          <w:bCs/>
          <w:sz w:val="24"/>
          <w:szCs w:val="24"/>
          <w:lang w:eastAsia="ru-RU"/>
        </w:rPr>
        <w:t>НБРК</w:t>
      </w:r>
      <w:r w:rsidRPr="00C61AA4">
        <w:rPr>
          <w:rFonts w:ascii="Times New Roman" w:hAnsi="Times New Roman"/>
          <w:bCs/>
          <w:sz w:val="24"/>
          <w:szCs w:val="24"/>
          <w:lang w:eastAsia="ru-RU"/>
        </w:rPr>
        <w:t xml:space="preserve"> от 29.04.2016г. №196 «Отдельные вопросы организации и проведения </w:t>
      </w:r>
      <w:r w:rsidR="002E0F16" w:rsidRPr="00C61AA4">
        <w:rPr>
          <w:rFonts w:ascii="Times New Roman" w:hAnsi="Times New Roman"/>
          <w:bCs/>
          <w:sz w:val="24"/>
          <w:szCs w:val="24"/>
          <w:lang w:eastAsia="ru-RU"/>
        </w:rPr>
        <w:t>НБРК</w:t>
      </w:r>
      <w:r w:rsidRPr="00C61AA4">
        <w:rPr>
          <w:rFonts w:ascii="Times New Roman" w:hAnsi="Times New Roman"/>
          <w:bCs/>
          <w:sz w:val="24"/>
          <w:szCs w:val="24"/>
          <w:lang w:eastAsia="ru-RU"/>
        </w:rPr>
        <w:t xml:space="preserve"> закупок товаров, работ и услуг».</w:t>
      </w:r>
    </w:p>
    <w:p w:rsidR="006346A7" w:rsidRPr="00C61AA4" w:rsidRDefault="006346A7" w:rsidP="006346A7">
      <w:pPr>
        <w:keepNext/>
        <w:keepLines/>
        <w:spacing w:line="240" w:lineRule="auto"/>
        <w:contextualSpacing/>
        <w:jc w:val="both"/>
        <w:outlineLvl w:val="2"/>
        <w:rPr>
          <w:rFonts w:ascii="Times New Roman" w:eastAsia="SimSun" w:hAnsi="Times New Roman"/>
          <w:b/>
          <w:sz w:val="24"/>
          <w:szCs w:val="24"/>
        </w:rPr>
      </w:pPr>
    </w:p>
    <w:p w:rsidR="006346A7" w:rsidRPr="00C61AA4" w:rsidRDefault="006346A7" w:rsidP="006346A7">
      <w:pPr>
        <w:spacing w:line="240" w:lineRule="auto"/>
        <w:ind w:firstLine="709"/>
        <w:contextualSpacing/>
        <w:jc w:val="both"/>
        <w:rPr>
          <w:rFonts w:ascii="Times New Roman" w:hAnsi="Times New Roman"/>
          <w:i/>
          <w:sz w:val="24"/>
          <w:szCs w:val="24"/>
        </w:rPr>
      </w:pPr>
      <w:r w:rsidRPr="00C61AA4">
        <w:rPr>
          <w:rFonts w:ascii="Times New Roman" w:hAnsi="Times New Roman"/>
          <w:b/>
          <w:i/>
          <w:sz w:val="24"/>
          <w:szCs w:val="24"/>
        </w:rPr>
        <w:t>Целевой индикатор 3:</w:t>
      </w:r>
      <w:r w:rsidRPr="00C61AA4">
        <w:rPr>
          <w:rFonts w:ascii="Times New Roman" w:hAnsi="Times New Roman"/>
          <w:i/>
          <w:sz w:val="24"/>
          <w:szCs w:val="24"/>
        </w:rPr>
        <w:t xml:space="preserve"> </w:t>
      </w:r>
      <w:r w:rsidRPr="00C61AA4">
        <w:rPr>
          <w:rFonts w:ascii="Times New Roman" w:hAnsi="Times New Roman"/>
          <w:b/>
          <w:i/>
          <w:sz w:val="24"/>
          <w:szCs w:val="24"/>
          <w:lang w:val="kk-KZ"/>
        </w:rPr>
        <w:t>Прозрачность принятия решений в госсекторе</w:t>
      </w:r>
      <w:r w:rsidRPr="00C61AA4">
        <w:rPr>
          <w:rFonts w:ascii="Times New Roman" w:hAnsi="Times New Roman"/>
          <w:b/>
          <w:i/>
          <w:sz w:val="24"/>
          <w:szCs w:val="24"/>
        </w:rPr>
        <w:t xml:space="preserve"> </w:t>
      </w:r>
      <w:r w:rsidRPr="00C61AA4">
        <w:rPr>
          <w:rFonts w:ascii="Times New Roman" w:hAnsi="Times New Roman"/>
          <w:i/>
          <w:sz w:val="24"/>
          <w:szCs w:val="24"/>
        </w:rPr>
        <w:t>(30 место в рейтинге ГИК ВЭФ)</w:t>
      </w:r>
    </w:p>
    <w:p w:rsidR="00933030" w:rsidRPr="00C61AA4" w:rsidRDefault="00933030" w:rsidP="006346A7">
      <w:pPr>
        <w:spacing w:line="240" w:lineRule="auto"/>
        <w:ind w:firstLine="709"/>
        <w:contextualSpacing/>
        <w:jc w:val="both"/>
        <w:rPr>
          <w:rFonts w:ascii="Times New Roman" w:hAnsi="Times New Roman"/>
          <w:i/>
          <w:sz w:val="24"/>
          <w:szCs w:val="24"/>
        </w:rPr>
      </w:pPr>
      <w:r w:rsidRPr="00C61AA4">
        <w:rPr>
          <w:rFonts w:ascii="Times New Roman" w:hAnsi="Times New Roman"/>
          <w:sz w:val="24"/>
        </w:rPr>
        <w:t>В соответствии с Отчетом о глобальной конкурентоспособности по целевому индикатору «</w:t>
      </w:r>
      <w:r w:rsidRPr="00C61AA4">
        <w:rPr>
          <w:rFonts w:ascii="Times New Roman" w:hAnsi="Times New Roman"/>
          <w:sz w:val="24"/>
          <w:szCs w:val="24"/>
          <w:lang w:eastAsia="ru-RU"/>
        </w:rPr>
        <w:t>Прозрачность принятия решений в госсекторе</w:t>
      </w:r>
      <w:r w:rsidRPr="00C61AA4">
        <w:rPr>
          <w:rFonts w:ascii="Times New Roman" w:hAnsi="Times New Roman"/>
          <w:sz w:val="24"/>
        </w:rPr>
        <w:t>» Казахстан занимает 29 место.</w:t>
      </w:r>
    </w:p>
    <w:p w:rsidR="00724B4B" w:rsidRPr="00C61AA4" w:rsidRDefault="006346A7" w:rsidP="006346A7">
      <w:pPr>
        <w:spacing w:line="240" w:lineRule="auto"/>
        <w:ind w:firstLine="709"/>
        <w:contextualSpacing/>
        <w:jc w:val="both"/>
        <w:rPr>
          <w:rFonts w:ascii="Times New Roman" w:hAnsi="Times New Roman"/>
          <w:i/>
          <w:sz w:val="24"/>
          <w:szCs w:val="24"/>
        </w:rPr>
      </w:pPr>
      <w:r w:rsidRPr="00C61AA4">
        <w:rPr>
          <w:rFonts w:ascii="Times New Roman" w:hAnsi="Times New Roman"/>
          <w:sz w:val="24"/>
          <w:szCs w:val="24"/>
          <w:lang w:eastAsia="ru-RU"/>
        </w:rPr>
        <w:t>Деятельность по</w:t>
      </w:r>
      <w:r w:rsidR="00933030" w:rsidRPr="00C61AA4">
        <w:rPr>
          <w:rFonts w:ascii="Times New Roman" w:hAnsi="Times New Roman"/>
          <w:sz w:val="24"/>
          <w:szCs w:val="24"/>
          <w:lang w:eastAsia="ru-RU"/>
        </w:rPr>
        <w:t xml:space="preserve"> достижению целевого индикатора </w:t>
      </w:r>
      <w:r w:rsidRPr="00C61AA4">
        <w:rPr>
          <w:rFonts w:ascii="Times New Roman" w:hAnsi="Times New Roman"/>
          <w:sz w:val="24"/>
          <w:szCs w:val="24"/>
          <w:lang w:eastAsia="ru-RU"/>
        </w:rPr>
        <w:t xml:space="preserve">направлена на обеспечение информационной открытости </w:t>
      </w:r>
      <w:r w:rsidR="002E0F16" w:rsidRPr="00C61AA4">
        <w:rPr>
          <w:rFonts w:ascii="Times New Roman" w:hAnsi="Times New Roman"/>
          <w:sz w:val="24"/>
          <w:szCs w:val="24"/>
          <w:lang w:eastAsia="ru-RU"/>
        </w:rPr>
        <w:t>НБРК</w:t>
      </w:r>
      <w:r w:rsidRPr="00C61AA4">
        <w:rPr>
          <w:rFonts w:ascii="Times New Roman" w:hAnsi="Times New Roman"/>
          <w:sz w:val="24"/>
          <w:szCs w:val="24"/>
          <w:lang w:eastAsia="ru-RU"/>
        </w:rPr>
        <w:t>.</w:t>
      </w:r>
    </w:p>
    <w:p w:rsidR="00724B4B" w:rsidRPr="00C61AA4" w:rsidRDefault="00724B4B" w:rsidP="00724B4B">
      <w:pPr>
        <w:spacing w:line="240" w:lineRule="auto"/>
        <w:ind w:firstLine="709"/>
        <w:contextualSpacing/>
        <w:jc w:val="both"/>
        <w:rPr>
          <w:rFonts w:ascii="Times New Roman" w:hAnsi="Times New Roman"/>
          <w:b/>
          <w:i/>
          <w:iCs/>
          <w:sz w:val="24"/>
          <w:szCs w:val="24"/>
        </w:rPr>
      </w:pPr>
      <w:r w:rsidRPr="00C61AA4">
        <w:rPr>
          <w:rFonts w:ascii="Times New Roman" w:hAnsi="Times New Roman"/>
          <w:b/>
          <w:i/>
          <w:iCs/>
          <w:sz w:val="24"/>
          <w:szCs w:val="24"/>
        </w:rPr>
        <w:t>Мероприятия для достижения целевых индикаторов:</w:t>
      </w:r>
    </w:p>
    <w:p w:rsidR="006346A7" w:rsidRPr="00C61AA4" w:rsidRDefault="006346A7" w:rsidP="006346A7">
      <w:pPr>
        <w:spacing w:line="240" w:lineRule="auto"/>
        <w:ind w:firstLine="709"/>
        <w:contextualSpacing/>
        <w:jc w:val="both"/>
        <w:rPr>
          <w:rFonts w:ascii="Times New Roman" w:hAnsi="Times New Roman"/>
          <w:i/>
          <w:sz w:val="24"/>
          <w:szCs w:val="24"/>
        </w:rPr>
      </w:pPr>
      <w:r w:rsidRPr="00C61AA4">
        <w:rPr>
          <w:rFonts w:ascii="Times New Roman" w:hAnsi="Times New Roman"/>
          <w:sz w:val="24"/>
          <w:szCs w:val="24"/>
          <w:lang w:eastAsia="ru-RU"/>
        </w:rPr>
        <w:t xml:space="preserve">В целях достижения информационной открытости на </w:t>
      </w:r>
      <w:proofErr w:type="spellStart"/>
      <w:r w:rsidRPr="00C61AA4">
        <w:rPr>
          <w:rFonts w:ascii="Times New Roman" w:hAnsi="Times New Roman"/>
          <w:sz w:val="24"/>
          <w:szCs w:val="24"/>
          <w:lang w:eastAsia="ru-RU"/>
        </w:rPr>
        <w:t>интернет-ресурсе</w:t>
      </w:r>
      <w:proofErr w:type="spellEnd"/>
      <w:r w:rsidRPr="00C61AA4">
        <w:rPr>
          <w:rFonts w:ascii="Times New Roman" w:hAnsi="Times New Roman"/>
          <w:sz w:val="24"/>
          <w:szCs w:val="24"/>
          <w:lang w:eastAsia="ru-RU"/>
        </w:rPr>
        <w:t xml:space="preserve"> </w:t>
      </w:r>
      <w:r w:rsidR="002E0F16" w:rsidRPr="00C61AA4">
        <w:rPr>
          <w:rFonts w:ascii="Times New Roman" w:hAnsi="Times New Roman"/>
          <w:sz w:val="24"/>
          <w:szCs w:val="24"/>
          <w:lang w:eastAsia="ru-RU"/>
        </w:rPr>
        <w:t>НБРК</w:t>
      </w:r>
      <w:r w:rsidRPr="00C61AA4">
        <w:rPr>
          <w:rFonts w:ascii="Times New Roman" w:hAnsi="Times New Roman"/>
          <w:sz w:val="24"/>
          <w:szCs w:val="24"/>
          <w:lang w:eastAsia="ru-RU"/>
        </w:rPr>
        <w:t xml:space="preserve"> публиковались информационные материалы, направленные на освещение деятельности </w:t>
      </w:r>
      <w:r w:rsidR="002E0F16" w:rsidRPr="00C61AA4">
        <w:rPr>
          <w:rFonts w:ascii="Times New Roman" w:hAnsi="Times New Roman"/>
          <w:sz w:val="24"/>
          <w:szCs w:val="24"/>
          <w:lang w:eastAsia="ru-RU"/>
        </w:rPr>
        <w:t>НБРК</w:t>
      </w:r>
      <w:r w:rsidRPr="00C61AA4">
        <w:rPr>
          <w:rFonts w:ascii="Times New Roman" w:hAnsi="Times New Roman"/>
          <w:sz w:val="24"/>
          <w:szCs w:val="24"/>
          <w:lang w:eastAsia="ru-RU"/>
        </w:rPr>
        <w:t xml:space="preserve"> по достижению стабильности цен, разработке и проведению денежно-кредитной политики, обеспечения функционирования платежных систем, осуществления валютного регулирования и валютного контроля, содействия обеспечению стабильности финансовой системы, предложений и инициатив </w:t>
      </w:r>
      <w:r w:rsidR="002E0F16" w:rsidRPr="00C61AA4">
        <w:rPr>
          <w:rFonts w:ascii="Times New Roman" w:hAnsi="Times New Roman"/>
          <w:sz w:val="24"/>
          <w:szCs w:val="24"/>
          <w:lang w:eastAsia="ru-RU"/>
        </w:rPr>
        <w:t>НБРК</w:t>
      </w:r>
      <w:r w:rsidRPr="00C61AA4">
        <w:rPr>
          <w:rFonts w:ascii="Times New Roman" w:hAnsi="Times New Roman"/>
          <w:sz w:val="24"/>
          <w:szCs w:val="24"/>
          <w:lang w:eastAsia="ru-RU"/>
        </w:rPr>
        <w:t>.</w:t>
      </w:r>
    </w:p>
    <w:p w:rsidR="006346A7" w:rsidRPr="00C61AA4" w:rsidRDefault="006346A7" w:rsidP="006346A7">
      <w:pPr>
        <w:spacing w:line="240" w:lineRule="auto"/>
        <w:ind w:firstLine="709"/>
        <w:contextualSpacing/>
        <w:jc w:val="both"/>
        <w:rPr>
          <w:rFonts w:ascii="Times New Roman" w:hAnsi="Times New Roman"/>
          <w:i/>
          <w:sz w:val="24"/>
          <w:szCs w:val="24"/>
        </w:rPr>
      </w:pPr>
      <w:proofErr w:type="gramStart"/>
      <w:r w:rsidRPr="00C61AA4">
        <w:rPr>
          <w:rFonts w:ascii="Times New Roman" w:hAnsi="Times New Roman"/>
          <w:sz w:val="24"/>
          <w:szCs w:val="24"/>
          <w:lang w:eastAsia="ru-RU"/>
        </w:rPr>
        <w:t xml:space="preserve">В течение 2016 года на официальном </w:t>
      </w:r>
      <w:proofErr w:type="spellStart"/>
      <w:r w:rsidRPr="00C61AA4">
        <w:rPr>
          <w:rFonts w:ascii="Times New Roman" w:hAnsi="Times New Roman"/>
          <w:sz w:val="24"/>
          <w:szCs w:val="24"/>
          <w:lang w:eastAsia="ru-RU"/>
        </w:rPr>
        <w:t>интернет-ресурсе</w:t>
      </w:r>
      <w:proofErr w:type="spellEnd"/>
      <w:r w:rsidRPr="00C61AA4">
        <w:rPr>
          <w:rFonts w:ascii="Times New Roman" w:hAnsi="Times New Roman"/>
          <w:sz w:val="24"/>
          <w:szCs w:val="24"/>
          <w:lang w:eastAsia="ru-RU"/>
        </w:rPr>
        <w:t xml:space="preserve"> </w:t>
      </w:r>
      <w:r w:rsidR="002E0F16" w:rsidRPr="00C61AA4">
        <w:rPr>
          <w:rFonts w:ascii="Times New Roman" w:hAnsi="Times New Roman"/>
          <w:sz w:val="24"/>
          <w:szCs w:val="24"/>
          <w:lang w:eastAsia="ru-RU"/>
        </w:rPr>
        <w:t>НБРК</w:t>
      </w:r>
      <w:r w:rsidRPr="00C61AA4">
        <w:rPr>
          <w:rFonts w:ascii="Times New Roman" w:hAnsi="Times New Roman"/>
          <w:sz w:val="24"/>
          <w:szCs w:val="24"/>
        </w:rPr>
        <w:t xml:space="preserve"> размещены 46 пресс-релизов, в том числе о базовой ставке, </w:t>
      </w:r>
      <w:r w:rsidRPr="00C61AA4">
        <w:rPr>
          <w:rFonts w:ascii="Times New Roman" w:hAnsi="Times New Roman"/>
          <w:sz w:val="24"/>
          <w:szCs w:val="24"/>
          <w:lang w:eastAsia="ru-RU"/>
        </w:rPr>
        <w:t>о прогнозе инфляции, аналитические обзоры по результатам мониторинга предприятий реального сектора экономики, экономические исследования, посвященные анализу инфляционных процессов, денежно-кредитной политике, анализу тенденций в реальном секторе и другим вопросам экономической политики.</w:t>
      </w:r>
      <w:proofErr w:type="gramEnd"/>
    </w:p>
    <w:p w:rsidR="006346A7" w:rsidRPr="00C61AA4" w:rsidRDefault="006346A7" w:rsidP="006346A7">
      <w:pPr>
        <w:spacing w:line="240" w:lineRule="auto"/>
        <w:ind w:firstLine="709"/>
        <w:contextualSpacing/>
        <w:jc w:val="both"/>
        <w:rPr>
          <w:rFonts w:ascii="Times New Roman" w:hAnsi="Times New Roman"/>
          <w:i/>
          <w:sz w:val="24"/>
          <w:szCs w:val="24"/>
        </w:rPr>
      </w:pPr>
      <w:r w:rsidRPr="00C61AA4">
        <w:rPr>
          <w:rFonts w:ascii="Times New Roman" w:hAnsi="Times New Roman"/>
          <w:sz w:val="24"/>
          <w:szCs w:val="24"/>
        </w:rPr>
        <w:lastRenderedPageBreak/>
        <w:t xml:space="preserve">В разделе «Пресс-центр» официального </w:t>
      </w:r>
      <w:proofErr w:type="spellStart"/>
      <w:r w:rsidRPr="00C61AA4">
        <w:rPr>
          <w:rFonts w:ascii="Times New Roman" w:hAnsi="Times New Roman"/>
          <w:sz w:val="24"/>
          <w:szCs w:val="24"/>
        </w:rPr>
        <w:t>интернет-ресурса</w:t>
      </w:r>
      <w:proofErr w:type="spellEnd"/>
      <w:r w:rsidRPr="00C61AA4">
        <w:rPr>
          <w:rFonts w:ascii="Times New Roman" w:hAnsi="Times New Roman"/>
          <w:sz w:val="24"/>
          <w:szCs w:val="24"/>
        </w:rPr>
        <w:t xml:space="preserve"> размещена следующая информация:</w:t>
      </w:r>
    </w:p>
    <w:p w:rsidR="006346A7" w:rsidRPr="00C61AA4" w:rsidRDefault="006346A7" w:rsidP="006346A7">
      <w:pPr>
        <w:spacing w:line="240" w:lineRule="auto"/>
        <w:ind w:firstLine="709"/>
        <w:contextualSpacing/>
        <w:jc w:val="both"/>
        <w:rPr>
          <w:rFonts w:ascii="Times New Roman" w:hAnsi="Times New Roman"/>
          <w:i/>
          <w:sz w:val="24"/>
          <w:szCs w:val="24"/>
        </w:rPr>
      </w:pPr>
      <w:r w:rsidRPr="00C61AA4">
        <w:rPr>
          <w:rFonts w:ascii="Times New Roman" w:hAnsi="Times New Roman"/>
          <w:sz w:val="24"/>
          <w:szCs w:val="24"/>
        </w:rPr>
        <w:t xml:space="preserve">- 4 выступления Председателя </w:t>
      </w:r>
      <w:r w:rsidR="002E0F16" w:rsidRPr="00C61AA4">
        <w:rPr>
          <w:rFonts w:ascii="Times New Roman" w:hAnsi="Times New Roman"/>
          <w:sz w:val="24"/>
          <w:szCs w:val="24"/>
        </w:rPr>
        <w:t>НБРК</w:t>
      </w:r>
      <w:r w:rsidRPr="00C61AA4">
        <w:rPr>
          <w:rFonts w:ascii="Times New Roman" w:hAnsi="Times New Roman"/>
          <w:sz w:val="24"/>
          <w:szCs w:val="24"/>
        </w:rPr>
        <w:t>;</w:t>
      </w:r>
    </w:p>
    <w:p w:rsidR="006346A7" w:rsidRPr="00C61AA4" w:rsidRDefault="006346A7" w:rsidP="006346A7">
      <w:pPr>
        <w:spacing w:line="240" w:lineRule="auto"/>
        <w:ind w:firstLine="709"/>
        <w:contextualSpacing/>
        <w:jc w:val="both"/>
        <w:rPr>
          <w:rFonts w:ascii="Times New Roman" w:hAnsi="Times New Roman"/>
          <w:i/>
          <w:sz w:val="24"/>
          <w:szCs w:val="24"/>
        </w:rPr>
      </w:pPr>
      <w:r w:rsidRPr="00C61AA4">
        <w:rPr>
          <w:rFonts w:ascii="Times New Roman" w:hAnsi="Times New Roman"/>
          <w:sz w:val="24"/>
          <w:szCs w:val="24"/>
        </w:rPr>
        <w:t xml:space="preserve">- 50 информационных сообщений по вопросам деятельности </w:t>
      </w:r>
      <w:r w:rsidR="002E0F16" w:rsidRPr="00C61AA4">
        <w:rPr>
          <w:rFonts w:ascii="Times New Roman" w:hAnsi="Times New Roman"/>
          <w:sz w:val="24"/>
          <w:szCs w:val="24"/>
        </w:rPr>
        <w:t>НБРК</w:t>
      </w:r>
      <w:r w:rsidRPr="00C61AA4">
        <w:rPr>
          <w:rFonts w:ascii="Times New Roman" w:hAnsi="Times New Roman"/>
          <w:sz w:val="24"/>
          <w:szCs w:val="24"/>
        </w:rPr>
        <w:t>,  в том числе по денежно-кредитной политике, деятельности АО «ЕНПФ», о выпуске банкнот, монет, о встречах с экспертами и иная информация;</w:t>
      </w:r>
    </w:p>
    <w:p w:rsidR="006346A7" w:rsidRPr="00C61AA4" w:rsidRDefault="006346A7" w:rsidP="006346A7">
      <w:pPr>
        <w:spacing w:line="240" w:lineRule="auto"/>
        <w:ind w:firstLine="709"/>
        <w:contextualSpacing/>
        <w:jc w:val="both"/>
        <w:rPr>
          <w:rFonts w:ascii="Times New Roman" w:hAnsi="Times New Roman"/>
          <w:i/>
          <w:sz w:val="24"/>
          <w:szCs w:val="24"/>
        </w:rPr>
      </w:pPr>
      <w:r w:rsidRPr="00C61AA4">
        <w:rPr>
          <w:rFonts w:ascii="Times New Roman" w:hAnsi="Times New Roman"/>
          <w:sz w:val="24"/>
          <w:szCs w:val="24"/>
        </w:rPr>
        <w:t xml:space="preserve">- 15 интервью руководителей </w:t>
      </w:r>
      <w:r w:rsidR="002E0F16" w:rsidRPr="00C61AA4">
        <w:rPr>
          <w:rFonts w:ascii="Times New Roman" w:hAnsi="Times New Roman"/>
          <w:sz w:val="24"/>
          <w:szCs w:val="24"/>
        </w:rPr>
        <w:t>НБРК</w:t>
      </w:r>
      <w:r w:rsidRPr="00C61AA4">
        <w:rPr>
          <w:rFonts w:ascii="Times New Roman" w:hAnsi="Times New Roman"/>
          <w:sz w:val="24"/>
          <w:szCs w:val="24"/>
        </w:rPr>
        <w:t>.</w:t>
      </w:r>
    </w:p>
    <w:p w:rsidR="006346A7" w:rsidRPr="00C61AA4" w:rsidRDefault="006346A7" w:rsidP="006346A7">
      <w:pPr>
        <w:spacing w:line="240" w:lineRule="auto"/>
        <w:ind w:firstLine="709"/>
        <w:contextualSpacing/>
        <w:jc w:val="both"/>
        <w:rPr>
          <w:rFonts w:ascii="Times New Roman" w:hAnsi="Times New Roman"/>
          <w:i/>
          <w:sz w:val="24"/>
          <w:szCs w:val="24"/>
        </w:rPr>
      </w:pPr>
      <w:r w:rsidRPr="00C61AA4">
        <w:rPr>
          <w:rFonts w:ascii="Times New Roman" w:hAnsi="Times New Roman"/>
          <w:sz w:val="24"/>
          <w:szCs w:val="24"/>
        </w:rPr>
        <w:t xml:space="preserve">На полугодовой основе публикуется информационно-аналитический материал о тенденциях кредитования в Казахстане, который представляет обзор актуальных вопросов и анализ основных тенденций развития рынка кредитования. </w:t>
      </w:r>
    </w:p>
    <w:p w:rsidR="006346A7" w:rsidRPr="00C61AA4" w:rsidRDefault="006346A7" w:rsidP="006346A7">
      <w:pPr>
        <w:spacing w:line="240" w:lineRule="auto"/>
        <w:ind w:firstLine="709"/>
        <w:contextualSpacing/>
        <w:jc w:val="both"/>
        <w:rPr>
          <w:rFonts w:ascii="Times New Roman" w:hAnsi="Times New Roman"/>
          <w:i/>
          <w:sz w:val="24"/>
          <w:szCs w:val="24"/>
        </w:rPr>
      </w:pPr>
      <w:r w:rsidRPr="00C61AA4">
        <w:rPr>
          <w:rFonts w:ascii="Times New Roman" w:hAnsi="Times New Roman"/>
          <w:sz w:val="24"/>
          <w:szCs w:val="24"/>
        </w:rPr>
        <w:t>В разделе «Государственные услуги Национального Банка» размещена актуальная информация по оказываемым государственным услугам (реестр, стандарты, регламенты, Отчет о деятельности Национального Банка по вопросам оказания государственных услуг, статистическая информация).</w:t>
      </w:r>
    </w:p>
    <w:p w:rsidR="006346A7" w:rsidRPr="00C61AA4" w:rsidRDefault="006346A7" w:rsidP="006346A7">
      <w:pPr>
        <w:spacing w:line="240" w:lineRule="auto"/>
        <w:ind w:firstLine="709"/>
        <w:contextualSpacing/>
        <w:jc w:val="both"/>
        <w:rPr>
          <w:rFonts w:ascii="Times New Roman" w:hAnsi="Times New Roman"/>
          <w:i/>
          <w:sz w:val="24"/>
          <w:szCs w:val="24"/>
        </w:rPr>
      </w:pPr>
      <w:r w:rsidRPr="00C61AA4">
        <w:rPr>
          <w:rFonts w:ascii="Times New Roman" w:hAnsi="Times New Roman"/>
          <w:sz w:val="24"/>
          <w:szCs w:val="24"/>
        </w:rPr>
        <w:t xml:space="preserve">Также, достижению целевого индикатора «Прозрачность принятия решений в госсекторе» способствовало взаимодействие </w:t>
      </w:r>
      <w:r w:rsidR="002E0F16" w:rsidRPr="00C61AA4">
        <w:rPr>
          <w:rFonts w:ascii="Times New Roman" w:hAnsi="Times New Roman"/>
          <w:sz w:val="24"/>
          <w:szCs w:val="24"/>
        </w:rPr>
        <w:t>НБРК</w:t>
      </w:r>
      <w:r w:rsidRPr="00C61AA4">
        <w:rPr>
          <w:rFonts w:ascii="Times New Roman" w:hAnsi="Times New Roman"/>
          <w:sz w:val="24"/>
          <w:szCs w:val="24"/>
        </w:rPr>
        <w:t xml:space="preserve"> с представителями бизнеса в рамках разработки нормативных правовых актов.</w:t>
      </w:r>
    </w:p>
    <w:p w:rsidR="006346A7" w:rsidRPr="00C61AA4" w:rsidRDefault="006346A7" w:rsidP="006346A7">
      <w:pPr>
        <w:spacing w:line="240" w:lineRule="auto"/>
        <w:ind w:firstLine="709"/>
        <w:contextualSpacing/>
        <w:jc w:val="both"/>
        <w:rPr>
          <w:rFonts w:ascii="Times New Roman" w:hAnsi="Times New Roman"/>
          <w:i/>
          <w:sz w:val="24"/>
          <w:szCs w:val="24"/>
        </w:rPr>
      </w:pPr>
      <w:r w:rsidRPr="00C61AA4">
        <w:rPr>
          <w:rFonts w:ascii="Times New Roman" w:hAnsi="Times New Roman"/>
          <w:sz w:val="24"/>
          <w:szCs w:val="24"/>
        </w:rPr>
        <w:t xml:space="preserve">В течение 2016 года в рамках согласования разрабатываемых нормативных правовых актов, в том числе в части снижения административных барьеров, улучшения </w:t>
      </w:r>
      <w:proofErr w:type="gramStart"/>
      <w:r w:rsidRPr="00C61AA4">
        <w:rPr>
          <w:rFonts w:ascii="Times New Roman" w:hAnsi="Times New Roman"/>
          <w:sz w:val="24"/>
          <w:szCs w:val="24"/>
        </w:rPr>
        <w:t>бизнес-климата</w:t>
      </w:r>
      <w:proofErr w:type="gramEnd"/>
      <w:r w:rsidRPr="00C61AA4">
        <w:rPr>
          <w:rFonts w:ascii="Times New Roman" w:hAnsi="Times New Roman"/>
          <w:sz w:val="24"/>
          <w:szCs w:val="24"/>
        </w:rPr>
        <w:t xml:space="preserve"> страны, </w:t>
      </w:r>
      <w:r w:rsidR="002E0F16" w:rsidRPr="00C61AA4">
        <w:rPr>
          <w:rFonts w:ascii="Times New Roman" w:hAnsi="Times New Roman"/>
          <w:sz w:val="24"/>
          <w:szCs w:val="24"/>
        </w:rPr>
        <w:t>НБРК</w:t>
      </w:r>
      <w:r w:rsidRPr="00C61AA4">
        <w:rPr>
          <w:rFonts w:ascii="Times New Roman" w:hAnsi="Times New Roman"/>
          <w:sz w:val="24"/>
          <w:szCs w:val="24"/>
        </w:rPr>
        <w:t xml:space="preserve"> взаимодействовал с Национальной палатой предпринимателей «</w:t>
      </w:r>
      <w:proofErr w:type="spellStart"/>
      <w:r w:rsidRPr="00C61AA4">
        <w:rPr>
          <w:rFonts w:ascii="Times New Roman" w:hAnsi="Times New Roman"/>
          <w:sz w:val="24"/>
          <w:szCs w:val="24"/>
        </w:rPr>
        <w:t>Атамекен</w:t>
      </w:r>
      <w:proofErr w:type="spellEnd"/>
      <w:r w:rsidRPr="00C61AA4">
        <w:rPr>
          <w:rFonts w:ascii="Times New Roman" w:hAnsi="Times New Roman"/>
          <w:sz w:val="24"/>
          <w:szCs w:val="24"/>
        </w:rPr>
        <w:t xml:space="preserve">» и ОЮЛ «Ассоциация финансовых организаций Казахстана». </w:t>
      </w:r>
    </w:p>
    <w:p w:rsidR="006346A7" w:rsidRPr="00C61AA4" w:rsidRDefault="002E0F16" w:rsidP="006346A7">
      <w:pPr>
        <w:spacing w:line="240" w:lineRule="auto"/>
        <w:ind w:firstLine="709"/>
        <w:contextualSpacing/>
        <w:jc w:val="both"/>
        <w:rPr>
          <w:rFonts w:ascii="Times New Roman" w:hAnsi="Times New Roman"/>
          <w:i/>
          <w:sz w:val="24"/>
          <w:szCs w:val="24"/>
        </w:rPr>
      </w:pPr>
      <w:r w:rsidRPr="00C61AA4">
        <w:rPr>
          <w:rFonts w:ascii="Times New Roman" w:hAnsi="Times New Roman"/>
          <w:sz w:val="24"/>
          <w:szCs w:val="24"/>
        </w:rPr>
        <w:t>НБРК</w:t>
      </w:r>
      <w:r w:rsidR="006346A7" w:rsidRPr="00C61AA4">
        <w:rPr>
          <w:rFonts w:ascii="Times New Roman" w:hAnsi="Times New Roman"/>
          <w:sz w:val="24"/>
          <w:szCs w:val="24"/>
        </w:rPr>
        <w:t xml:space="preserve"> координируется работа Совета по финансовой стабильности и развитию финансового рынка РК (далее – СФС), в рамках которого проводятся заседания с участием представителей финансового рынка для обсуждения нормативных правовых актов. Под председательством Председателя </w:t>
      </w:r>
      <w:r w:rsidR="00E02869" w:rsidRPr="00C61AA4">
        <w:rPr>
          <w:rFonts w:ascii="Times New Roman" w:hAnsi="Times New Roman"/>
          <w:sz w:val="24"/>
          <w:szCs w:val="24"/>
        </w:rPr>
        <w:t>НБРК</w:t>
      </w:r>
      <w:r w:rsidR="006346A7" w:rsidRPr="00C61AA4">
        <w:rPr>
          <w:rFonts w:ascii="Times New Roman" w:hAnsi="Times New Roman"/>
          <w:sz w:val="24"/>
          <w:szCs w:val="24"/>
        </w:rPr>
        <w:t xml:space="preserve">, в 2016 году были проведены 4 заседания СФС по вопросам либерализации рынка ценных бумаг, интеграции АО «Центральный депозитарий ценных бумаг» и АО «Единый регистратор ценных бумаг», совершенствования страховой деятельности, развития рынка ценных бумаг, совершенствования </w:t>
      </w:r>
      <w:proofErr w:type="gramStart"/>
      <w:r w:rsidR="006346A7" w:rsidRPr="00C61AA4">
        <w:rPr>
          <w:rFonts w:ascii="Times New Roman" w:hAnsi="Times New Roman"/>
          <w:sz w:val="24"/>
          <w:szCs w:val="24"/>
        </w:rPr>
        <w:t>системы повышения квалификации работников финансового сектора</w:t>
      </w:r>
      <w:proofErr w:type="gramEnd"/>
      <w:r w:rsidR="006346A7" w:rsidRPr="00C61AA4">
        <w:rPr>
          <w:rFonts w:ascii="Times New Roman" w:hAnsi="Times New Roman"/>
          <w:sz w:val="24"/>
          <w:szCs w:val="24"/>
        </w:rPr>
        <w:t>.</w:t>
      </w:r>
    </w:p>
    <w:p w:rsidR="006346A7" w:rsidRPr="00C61AA4" w:rsidRDefault="006346A7" w:rsidP="006346A7">
      <w:pPr>
        <w:spacing w:line="240" w:lineRule="auto"/>
        <w:ind w:firstLine="709"/>
        <w:contextualSpacing/>
        <w:jc w:val="both"/>
        <w:rPr>
          <w:rFonts w:ascii="Times New Roman" w:hAnsi="Times New Roman"/>
          <w:i/>
          <w:sz w:val="24"/>
          <w:szCs w:val="24"/>
        </w:rPr>
      </w:pPr>
      <w:r w:rsidRPr="00C61AA4">
        <w:rPr>
          <w:rFonts w:ascii="Times New Roman" w:hAnsi="Times New Roman"/>
          <w:sz w:val="24"/>
          <w:szCs w:val="24"/>
        </w:rPr>
        <w:t>В рамках рейтинга «</w:t>
      </w:r>
      <w:proofErr w:type="spellStart"/>
      <w:r w:rsidRPr="00C61AA4">
        <w:rPr>
          <w:rFonts w:ascii="Times New Roman" w:hAnsi="Times New Roman"/>
          <w:sz w:val="24"/>
          <w:szCs w:val="24"/>
        </w:rPr>
        <w:t>Doing</w:t>
      </w:r>
      <w:proofErr w:type="spellEnd"/>
      <w:r w:rsidRPr="00C61AA4">
        <w:rPr>
          <w:rFonts w:ascii="Times New Roman" w:hAnsi="Times New Roman"/>
          <w:sz w:val="24"/>
          <w:szCs w:val="24"/>
        </w:rPr>
        <w:t xml:space="preserve"> </w:t>
      </w:r>
      <w:proofErr w:type="spellStart"/>
      <w:r w:rsidRPr="00C61AA4">
        <w:rPr>
          <w:rFonts w:ascii="Times New Roman" w:hAnsi="Times New Roman"/>
          <w:sz w:val="24"/>
          <w:szCs w:val="24"/>
        </w:rPr>
        <w:t>Business</w:t>
      </w:r>
      <w:proofErr w:type="spellEnd"/>
      <w:r w:rsidRPr="00C61AA4">
        <w:rPr>
          <w:rFonts w:ascii="Times New Roman" w:hAnsi="Times New Roman"/>
          <w:sz w:val="24"/>
          <w:szCs w:val="24"/>
        </w:rPr>
        <w:t xml:space="preserve">» Всемирного Банка </w:t>
      </w:r>
      <w:r w:rsidR="002E0F16" w:rsidRPr="00C61AA4">
        <w:rPr>
          <w:rFonts w:ascii="Times New Roman" w:hAnsi="Times New Roman"/>
          <w:sz w:val="24"/>
          <w:szCs w:val="24"/>
        </w:rPr>
        <w:t>НБРК</w:t>
      </w:r>
      <w:r w:rsidRPr="00C61AA4">
        <w:rPr>
          <w:rFonts w:ascii="Times New Roman" w:hAnsi="Times New Roman"/>
          <w:sz w:val="24"/>
          <w:szCs w:val="24"/>
        </w:rPr>
        <w:t xml:space="preserve"> на постоянной основе проводится работа по совершенствованию законодательства РК, направленная на создание благоприятной и безопасной среды для ведения предпринимательской деятельности, в том числе по рекомендациям международных экспертов в рамках рейтинга «</w:t>
      </w:r>
      <w:proofErr w:type="spellStart"/>
      <w:r w:rsidRPr="00C61AA4">
        <w:rPr>
          <w:rFonts w:ascii="Times New Roman" w:hAnsi="Times New Roman"/>
          <w:sz w:val="24"/>
          <w:szCs w:val="24"/>
        </w:rPr>
        <w:t>Doing</w:t>
      </w:r>
      <w:proofErr w:type="spellEnd"/>
      <w:r w:rsidRPr="00C61AA4">
        <w:rPr>
          <w:rFonts w:ascii="Times New Roman" w:hAnsi="Times New Roman"/>
          <w:sz w:val="24"/>
          <w:szCs w:val="24"/>
        </w:rPr>
        <w:t xml:space="preserve"> </w:t>
      </w:r>
      <w:proofErr w:type="spellStart"/>
      <w:r w:rsidRPr="00C61AA4">
        <w:rPr>
          <w:rFonts w:ascii="Times New Roman" w:hAnsi="Times New Roman"/>
          <w:sz w:val="24"/>
          <w:szCs w:val="24"/>
        </w:rPr>
        <w:t>Business</w:t>
      </w:r>
      <w:proofErr w:type="spellEnd"/>
      <w:r w:rsidRPr="00C61AA4">
        <w:rPr>
          <w:rFonts w:ascii="Times New Roman" w:hAnsi="Times New Roman"/>
          <w:sz w:val="24"/>
          <w:szCs w:val="24"/>
        </w:rPr>
        <w:t xml:space="preserve">».  </w:t>
      </w:r>
    </w:p>
    <w:p w:rsidR="006346A7" w:rsidRPr="00C61AA4" w:rsidRDefault="002E0F16" w:rsidP="006346A7">
      <w:pPr>
        <w:spacing w:line="240" w:lineRule="auto"/>
        <w:ind w:firstLine="709"/>
        <w:contextualSpacing/>
        <w:jc w:val="both"/>
        <w:rPr>
          <w:rFonts w:ascii="Times New Roman" w:hAnsi="Times New Roman"/>
          <w:i/>
          <w:sz w:val="24"/>
          <w:szCs w:val="24"/>
        </w:rPr>
      </w:pPr>
      <w:r w:rsidRPr="00C61AA4">
        <w:rPr>
          <w:rFonts w:ascii="Times New Roman" w:hAnsi="Times New Roman"/>
          <w:sz w:val="24"/>
          <w:szCs w:val="24"/>
        </w:rPr>
        <w:t>НБРК</w:t>
      </w:r>
      <w:r w:rsidR="006346A7" w:rsidRPr="00C61AA4">
        <w:rPr>
          <w:rFonts w:ascii="Times New Roman" w:hAnsi="Times New Roman"/>
          <w:sz w:val="24"/>
          <w:szCs w:val="24"/>
        </w:rPr>
        <w:t xml:space="preserve"> совместно с экспертами группы «</w:t>
      </w:r>
      <w:proofErr w:type="spellStart"/>
      <w:r w:rsidR="006346A7" w:rsidRPr="00C61AA4">
        <w:rPr>
          <w:rFonts w:ascii="Times New Roman" w:hAnsi="Times New Roman"/>
          <w:sz w:val="24"/>
          <w:szCs w:val="24"/>
        </w:rPr>
        <w:t>Реформатикс</w:t>
      </w:r>
      <w:proofErr w:type="spellEnd"/>
      <w:r w:rsidR="006346A7" w:rsidRPr="00C61AA4">
        <w:rPr>
          <w:rFonts w:ascii="Times New Roman" w:hAnsi="Times New Roman"/>
          <w:sz w:val="24"/>
          <w:szCs w:val="24"/>
        </w:rPr>
        <w:t>» разработаны поправки в законодательство РК в рамках 5-го пакета поправок в некоторые законодательные акты Республики Казахстан по вопросам улучшения позиции Казахстана в рейтинге «</w:t>
      </w:r>
      <w:proofErr w:type="spellStart"/>
      <w:r w:rsidR="006346A7" w:rsidRPr="00C61AA4">
        <w:rPr>
          <w:rFonts w:ascii="Times New Roman" w:hAnsi="Times New Roman"/>
          <w:sz w:val="24"/>
          <w:szCs w:val="24"/>
        </w:rPr>
        <w:t>Doing</w:t>
      </w:r>
      <w:proofErr w:type="spellEnd"/>
      <w:r w:rsidR="006346A7" w:rsidRPr="00C61AA4">
        <w:rPr>
          <w:rFonts w:ascii="Times New Roman" w:hAnsi="Times New Roman"/>
          <w:sz w:val="24"/>
          <w:szCs w:val="24"/>
        </w:rPr>
        <w:t xml:space="preserve"> </w:t>
      </w:r>
      <w:proofErr w:type="spellStart"/>
      <w:r w:rsidR="006346A7" w:rsidRPr="00C61AA4">
        <w:rPr>
          <w:rFonts w:ascii="Times New Roman" w:hAnsi="Times New Roman"/>
          <w:sz w:val="24"/>
          <w:szCs w:val="24"/>
        </w:rPr>
        <w:t>Business</w:t>
      </w:r>
      <w:proofErr w:type="spellEnd"/>
      <w:r w:rsidR="006346A7" w:rsidRPr="00C61AA4">
        <w:rPr>
          <w:rFonts w:ascii="Times New Roman" w:hAnsi="Times New Roman"/>
          <w:sz w:val="24"/>
          <w:szCs w:val="24"/>
        </w:rPr>
        <w:t xml:space="preserve">», направленные на снижение нагрузки на предпринимателей и улучшение </w:t>
      </w:r>
      <w:proofErr w:type="gramStart"/>
      <w:r w:rsidR="006346A7" w:rsidRPr="00C61AA4">
        <w:rPr>
          <w:rFonts w:ascii="Times New Roman" w:hAnsi="Times New Roman"/>
          <w:sz w:val="24"/>
          <w:szCs w:val="24"/>
        </w:rPr>
        <w:t>бизнес-климата</w:t>
      </w:r>
      <w:proofErr w:type="gramEnd"/>
      <w:r w:rsidR="006346A7" w:rsidRPr="00C61AA4">
        <w:rPr>
          <w:rFonts w:ascii="Times New Roman" w:hAnsi="Times New Roman"/>
          <w:sz w:val="24"/>
          <w:szCs w:val="24"/>
        </w:rPr>
        <w:t xml:space="preserve"> страны.</w:t>
      </w:r>
    </w:p>
    <w:p w:rsidR="006346A7" w:rsidRPr="00C61AA4" w:rsidRDefault="006346A7" w:rsidP="006346A7">
      <w:pPr>
        <w:spacing w:line="240" w:lineRule="auto"/>
        <w:ind w:firstLine="709"/>
        <w:contextualSpacing/>
        <w:jc w:val="both"/>
        <w:rPr>
          <w:rFonts w:ascii="Times New Roman" w:hAnsi="Times New Roman"/>
          <w:i/>
          <w:sz w:val="24"/>
          <w:szCs w:val="24"/>
        </w:rPr>
      </w:pPr>
      <w:proofErr w:type="gramStart"/>
      <w:r w:rsidRPr="00C61AA4">
        <w:rPr>
          <w:rFonts w:ascii="Times New Roman" w:hAnsi="Times New Roman"/>
          <w:sz w:val="24"/>
          <w:szCs w:val="24"/>
        </w:rPr>
        <w:t xml:space="preserve">Также, в течение 2016 года проводилась разъяснительная работа с акционерными обществами, представителями бизнес-сообщества и государственных органов по разъяснению норм и требований законодательства в сфере корпоративного управления, в том числе, по вопросам раскрытия эмитентами перед акционерами, инвесторами и держателями ценных бумаг информации о корпоративных событиях и изменениях в их деятельности, </w:t>
      </w:r>
      <w:r w:rsidRPr="00C61AA4">
        <w:rPr>
          <w:rFonts w:ascii="Times New Roman" w:hAnsi="Times New Roman"/>
          <w:color w:val="000000"/>
          <w:sz w:val="24"/>
          <w:szCs w:val="28"/>
        </w:rPr>
        <w:t xml:space="preserve">затрагивающих интересы держателей ценных бумаг. </w:t>
      </w:r>
      <w:proofErr w:type="gramEnd"/>
    </w:p>
    <w:p w:rsidR="006346A7" w:rsidRPr="00C61AA4" w:rsidRDefault="006346A7" w:rsidP="006346A7">
      <w:pPr>
        <w:spacing w:line="240" w:lineRule="auto"/>
        <w:ind w:firstLine="709"/>
        <w:contextualSpacing/>
        <w:jc w:val="both"/>
        <w:rPr>
          <w:rFonts w:ascii="Times New Roman" w:hAnsi="Times New Roman"/>
          <w:i/>
          <w:sz w:val="24"/>
          <w:szCs w:val="24"/>
        </w:rPr>
      </w:pPr>
      <w:r w:rsidRPr="00C61AA4">
        <w:rPr>
          <w:rFonts w:ascii="Times New Roman" w:hAnsi="Times New Roman"/>
          <w:color w:val="000000"/>
          <w:sz w:val="24"/>
          <w:szCs w:val="28"/>
        </w:rPr>
        <w:t xml:space="preserve">Кроме того, представители </w:t>
      </w:r>
      <w:r w:rsidR="002E0F16" w:rsidRPr="00C61AA4">
        <w:rPr>
          <w:rFonts w:ascii="Times New Roman" w:hAnsi="Times New Roman"/>
          <w:color w:val="000000"/>
          <w:sz w:val="24"/>
          <w:szCs w:val="28"/>
        </w:rPr>
        <w:t>НБРК</w:t>
      </w:r>
      <w:r w:rsidRPr="00C61AA4">
        <w:rPr>
          <w:rFonts w:ascii="Times New Roman" w:hAnsi="Times New Roman"/>
          <w:color w:val="000000"/>
          <w:sz w:val="24"/>
          <w:szCs w:val="28"/>
        </w:rPr>
        <w:t xml:space="preserve"> участвовали в заседаниях/встречах по вопросам разработки законопроекта «О </w:t>
      </w:r>
      <w:proofErr w:type="spellStart"/>
      <w:r w:rsidRPr="00C61AA4">
        <w:rPr>
          <w:rFonts w:ascii="Times New Roman" w:hAnsi="Times New Roman"/>
          <w:color w:val="000000"/>
          <w:sz w:val="24"/>
          <w:szCs w:val="28"/>
        </w:rPr>
        <w:t>коллекторской</w:t>
      </w:r>
      <w:proofErr w:type="spellEnd"/>
      <w:r w:rsidRPr="00C61AA4">
        <w:rPr>
          <w:rFonts w:ascii="Times New Roman" w:hAnsi="Times New Roman"/>
          <w:color w:val="000000"/>
          <w:sz w:val="24"/>
          <w:szCs w:val="28"/>
        </w:rPr>
        <w:t xml:space="preserve"> деятельности», развития и регулирования рынка ценных бумаг, развития и регулирования исламского финансирования.</w:t>
      </w:r>
    </w:p>
    <w:p w:rsidR="006346A7" w:rsidRPr="00C61AA4" w:rsidRDefault="006346A7" w:rsidP="006346A7">
      <w:pPr>
        <w:spacing w:line="240" w:lineRule="auto"/>
        <w:contextualSpacing/>
        <w:jc w:val="both"/>
        <w:rPr>
          <w:rFonts w:ascii="Times New Roman" w:hAnsi="Times New Roman"/>
          <w:b/>
          <w:sz w:val="24"/>
          <w:szCs w:val="24"/>
        </w:rPr>
      </w:pPr>
    </w:p>
    <w:p w:rsidR="006346A7" w:rsidRPr="00C61AA4" w:rsidRDefault="006346A7" w:rsidP="00E20F8F">
      <w:pPr>
        <w:spacing w:line="240" w:lineRule="auto"/>
        <w:ind w:firstLine="709"/>
        <w:contextualSpacing/>
        <w:jc w:val="center"/>
        <w:rPr>
          <w:rFonts w:ascii="Times New Roman" w:hAnsi="Times New Roman"/>
          <w:b/>
          <w:sz w:val="24"/>
          <w:szCs w:val="24"/>
        </w:rPr>
      </w:pPr>
      <w:r w:rsidRPr="00C61AA4">
        <w:rPr>
          <w:rFonts w:ascii="Times New Roman" w:hAnsi="Times New Roman"/>
          <w:b/>
          <w:sz w:val="24"/>
          <w:szCs w:val="24"/>
        </w:rPr>
        <w:t>Выводы об итогах реализации Стратегического плана</w:t>
      </w:r>
    </w:p>
    <w:p w:rsidR="006346A7" w:rsidRPr="00C61AA4" w:rsidRDefault="006346A7" w:rsidP="006346A7">
      <w:pPr>
        <w:spacing w:line="240" w:lineRule="auto"/>
        <w:ind w:firstLine="709"/>
        <w:contextualSpacing/>
        <w:jc w:val="both"/>
        <w:rPr>
          <w:rFonts w:ascii="Times New Roman" w:hAnsi="Times New Roman"/>
          <w:sz w:val="24"/>
          <w:szCs w:val="24"/>
        </w:rPr>
      </w:pPr>
    </w:p>
    <w:p w:rsidR="006346A7" w:rsidRPr="00C61AA4" w:rsidRDefault="006346A7" w:rsidP="006346A7">
      <w:pPr>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 xml:space="preserve">Результаты проведенного анализа свидетельствуют о том, что </w:t>
      </w:r>
      <w:r w:rsidR="002E0F16" w:rsidRPr="00C61AA4">
        <w:rPr>
          <w:rFonts w:ascii="Times New Roman" w:hAnsi="Times New Roman"/>
          <w:sz w:val="24"/>
          <w:szCs w:val="24"/>
        </w:rPr>
        <w:t>НБРК</w:t>
      </w:r>
      <w:r w:rsidRPr="00C61AA4">
        <w:rPr>
          <w:rFonts w:ascii="Times New Roman" w:hAnsi="Times New Roman"/>
          <w:sz w:val="24"/>
          <w:szCs w:val="24"/>
        </w:rPr>
        <w:t xml:space="preserve"> за 2016 год в целом выполнены запланированные цели и целевые индикаторы </w:t>
      </w:r>
      <w:proofErr w:type="gramStart"/>
      <w:r w:rsidRPr="00C61AA4">
        <w:rPr>
          <w:rFonts w:ascii="Times New Roman" w:hAnsi="Times New Roman"/>
          <w:sz w:val="24"/>
          <w:szCs w:val="24"/>
        </w:rPr>
        <w:t>по</w:t>
      </w:r>
      <w:proofErr w:type="gramEnd"/>
      <w:r w:rsidR="00E1087E" w:rsidRPr="00C61AA4">
        <w:rPr>
          <w:rFonts w:ascii="Times New Roman" w:hAnsi="Times New Roman"/>
          <w:sz w:val="24"/>
          <w:szCs w:val="24"/>
        </w:rPr>
        <w:t xml:space="preserve"> </w:t>
      </w:r>
      <w:proofErr w:type="gramStart"/>
      <w:r w:rsidR="00E1087E" w:rsidRPr="00C61AA4">
        <w:rPr>
          <w:rFonts w:ascii="Times New Roman" w:hAnsi="Times New Roman"/>
          <w:sz w:val="24"/>
          <w:szCs w:val="24"/>
        </w:rPr>
        <w:t>основным</w:t>
      </w:r>
      <w:proofErr w:type="gramEnd"/>
      <w:r w:rsidR="00E1087E" w:rsidRPr="00C61AA4">
        <w:rPr>
          <w:rFonts w:ascii="Times New Roman" w:hAnsi="Times New Roman"/>
          <w:sz w:val="24"/>
          <w:szCs w:val="24"/>
        </w:rPr>
        <w:t xml:space="preserve"> </w:t>
      </w:r>
      <w:r w:rsidRPr="00C61AA4">
        <w:rPr>
          <w:rFonts w:ascii="Times New Roman" w:hAnsi="Times New Roman"/>
          <w:sz w:val="24"/>
          <w:szCs w:val="24"/>
        </w:rPr>
        <w:t xml:space="preserve">стратегическим направлениям деятельности </w:t>
      </w:r>
      <w:r w:rsidR="002E0F16" w:rsidRPr="00C61AA4">
        <w:rPr>
          <w:rFonts w:ascii="Times New Roman" w:hAnsi="Times New Roman"/>
          <w:sz w:val="24"/>
          <w:szCs w:val="24"/>
        </w:rPr>
        <w:t>НБРК</w:t>
      </w:r>
      <w:r w:rsidRPr="00C61AA4">
        <w:rPr>
          <w:rFonts w:ascii="Times New Roman" w:hAnsi="Times New Roman"/>
          <w:sz w:val="24"/>
          <w:szCs w:val="24"/>
        </w:rPr>
        <w:t xml:space="preserve">, отраженным в Стратегическом плане </w:t>
      </w:r>
      <w:r w:rsidR="002E0F16" w:rsidRPr="00C61AA4">
        <w:rPr>
          <w:rFonts w:ascii="Times New Roman" w:hAnsi="Times New Roman"/>
          <w:sz w:val="24"/>
          <w:szCs w:val="24"/>
        </w:rPr>
        <w:t>НБРК</w:t>
      </w:r>
      <w:r w:rsidRPr="00C61AA4">
        <w:rPr>
          <w:rFonts w:ascii="Times New Roman" w:hAnsi="Times New Roman"/>
          <w:sz w:val="24"/>
          <w:szCs w:val="24"/>
        </w:rPr>
        <w:t xml:space="preserve"> на 2014-2018 годы, за исключением отдельных, полноценная реализация которых не была осуществлена по не зависящим от </w:t>
      </w:r>
      <w:r w:rsidR="002E0F16" w:rsidRPr="00C61AA4">
        <w:rPr>
          <w:rFonts w:ascii="Times New Roman" w:hAnsi="Times New Roman"/>
          <w:sz w:val="24"/>
          <w:szCs w:val="24"/>
        </w:rPr>
        <w:t>НБРК</w:t>
      </w:r>
      <w:r w:rsidRPr="00C61AA4">
        <w:rPr>
          <w:rFonts w:ascii="Times New Roman" w:hAnsi="Times New Roman"/>
          <w:sz w:val="24"/>
          <w:szCs w:val="24"/>
        </w:rPr>
        <w:t xml:space="preserve"> причинам.</w:t>
      </w:r>
    </w:p>
    <w:p w:rsidR="00FD339B" w:rsidRPr="00C61AA4" w:rsidRDefault="00FD339B" w:rsidP="00E20F8F">
      <w:pPr>
        <w:spacing w:line="240" w:lineRule="auto"/>
        <w:ind w:firstLine="709"/>
        <w:contextualSpacing/>
        <w:jc w:val="center"/>
        <w:rPr>
          <w:rFonts w:ascii="Times New Roman" w:hAnsi="Times New Roman"/>
          <w:b/>
          <w:sz w:val="24"/>
          <w:szCs w:val="24"/>
        </w:rPr>
      </w:pPr>
    </w:p>
    <w:p w:rsidR="00FD339B" w:rsidRDefault="006346A7" w:rsidP="00FD339B">
      <w:pPr>
        <w:spacing w:line="240" w:lineRule="auto"/>
        <w:ind w:firstLine="709"/>
        <w:contextualSpacing/>
        <w:jc w:val="center"/>
        <w:rPr>
          <w:rFonts w:ascii="Times New Roman" w:hAnsi="Times New Roman"/>
          <w:b/>
          <w:sz w:val="24"/>
          <w:szCs w:val="24"/>
        </w:rPr>
      </w:pPr>
      <w:r w:rsidRPr="00C61AA4">
        <w:rPr>
          <w:rFonts w:ascii="Times New Roman" w:hAnsi="Times New Roman"/>
          <w:b/>
          <w:sz w:val="24"/>
          <w:szCs w:val="24"/>
        </w:rPr>
        <w:lastRenderedPageBreak/>
        <w:t>Предложения</w:t>
      </w:r>
    </w:p>
    <w:p w:rsidR="00234D95" w:rsidRPr="00C61AA4" w:rsidRDefault="00234D95" w:rsidP="00FD339B">
      <w:pPr>
        <w:spacing w:line="240" w:lineRule="auto"/>
        <w:ind w:firstLine="709"/>
        <w:contextualSpacing/>
        <w:jc w:val="center"/>
        <w:rPr>
          <w:rFonts w:ascii="Times New Roman" w:hAnsi="Times New Roman"/>
          <w:b/>
          <w:sz w:val="24"/>
          <w:szCs w:val="24"/>
        </w:rPr>
      </w:pPr>
    </w:p>
    <w:p w:rsidR="006346A7" w:rsidRPr="00C61AA4" w:rsidRDefault="006346A7" w:rsidP="00FD339B">
      <w:pPr>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 xml:space="preserve">Продолжить дальнейшую работу по реализации Стратегического плана </w:t>
      </w:r>
      <w:r w:rsidR="002E0F16" w:rsidRPr="00C61AA4">
        <w:rPr>
          <w:rFonts w:ascii="Times New Roman" w:hAnsi="Times New Roman"/>
          <w:sz w:val="24"/>
          <w:szCs w:val="24"/>
        </w:rPr>
        <w:t>НБРК</w:t>
      </w:r>
      <w:r w:rsidRPr="00C61AA4">
        <w:rPr>
          <w:rFonts w:ascii="Times New Roman" w:hAnsi="Times New Roman"/>
          <w:sz w:val="24"/>
          <w:szCs w:val="24"/>
        </w:rPr>
        <w:t xml:space="preserve"> по выполнению запланированных к достижению по итогам 2017 года</w:t>
      </w:r>
      <w:r w:rsidR="002E0F16" w:rsidRPr="00C61AA4">
        <w:rPr>
          <w:rFonts w:ascii="Times New Roman" w:hAnsi="Times New Roman"/>
          <w:sz w:val="24"/>
          <w:szCs w:val="24"/>
        </w:rPr>
        <w:t xml:space="preserve"> </w:t>
      </w:r>
      <w:r w:rsidRPr="00C61AA4">
        <w:rPr>
          <w:rFonts w:ascii="Times New Roman" w:hAnsi="Times New Roman"/>
          <w:sz w:val="24"/>
          <w:szCs w:val="24"/>
        </w:rPr>
        <w:t xml:space="preserve">целевых индикаторов и показателей задач по основным стратегическим направлениям деятельности </w:t>
      </w:r>
      <w:r w:rsidR="002E0F16" w:rsidRPr="00C61AA4">
        <w:rPr>
          <w:rFonts w:ascii="Times New Roman" w:hAnsi="Times New Roman"/>
          <w:sz w:val="24"/>
          <w:szCs w:val="24"/>
        </w:rPr>
        <w:t>НБРК</w:t>
      </w:r>
      <w:r w:rsidRPr="00C61AA4">
        <w:rPr>
          <w:rFonts w:ascii="Times New Roman" w:hAnsi="Times New Roman"/>
          <w:sz w:val="24"/>
          <w:szCs w:val="24"/>
        </w:rPr>
        <w:t xml:space="preserve">. </w:t>
      </w:r>
    </w:p>
    <w:p w:rsidR="006346A7" w:rsidRPr="00C61AA4" w:rsidRDefault="006346A7" w:rsidP="006346A7">
      <w:pPr>
        <w:spacing w:line="240" w:lineRule="auto"/>
        <w:ind w:firstLine="709"/>
        <w:contextualSpacing/>
        <w:jc w:val="both"/>
        <w:rPr>
          <w:rFonts w:ascii="Times New Roman" w:hAnsi="Times New Roman"/>
          <w:sz w:val="24"/>
          <w:szCs w:val="24"/>
        </w:rPr>
      </w:pPr>
    </w:p>
    <w:p w:rsidR="006346A7" w:rsidRPr="00C61AA4" w:rsidRDefault="006346A7" w:rsidP="006346A7">
      <w:pPr>
        <w:spacing w:line="240" w:lineRule="auto"/>
        <w:ind w:firstLine="709"/>
        <w:contextualSpacing/>
        <w:jc w:val="both"/>
        <w:rPr>
          <w:rFonts w:ascii="Times New Roman" w:hAnsi="Times New Roman"/>
          <w:sz w:val="24"/>
          <w:szCs w:val="24"/>
        </w:rPr>
      </w:pPr>
    </w:p>
    <w:p w:rsidR="00FD339B" w:rsidRPr="00C61AA4" w:rsidRDefault="00FD339B" w:rsidP="006346A7">
      <w:pPr>
        <w:spacing w:line="240" w:lineRule="auto"/>
        <w:ind w:firstLine="709"/>
        <w:contextualSpacing/>
        <w:jc w:val="both"/>
        <w:rPr>
          <w:rFonts w:ascii="Times New Roman" w:hAnsi="Times New Roman"/>
          <w:sz w:val="24"/>
          <w:szCs w:val="24"/>
        </w:rPr>
      </w:pPr>
    </w:p>
    <w:p w:rsidR="00FD339B" w:rsidRPr="00C61AA4" w:rsidRDefault="00FD339B" w:rsidP="006346A7">
      <w:pPr>
        <w:spacing w:line="240" w:lineRule="auto"/>
        <w:ind w:firstLine="709"/>
        <w:contextualSpacing/>
        <w:jc w:val="both"/>
        <w:rPr>
          <w:rFonts w:ascii="Times New Roman" w:hAnsi="Times New Roman"/>
          <w:sz w:val="24"/>
          <w:szCs w:val="24"/>
        </w:rPr>
      </w:pPr>
    </w:p>
    <w:p w:rsidR="00FD339B" w:rsidRPr="00C61AA4" w:rsidRDefault="00FD339B" w:rsidP="006346A7">
      <w:pPr>
        <w:spacing w:line="240" w:lineRule="auto"/>
        <w:ind w:firstLine="709"/>
        <w:contextualSpacing/>
        <w:jc w:val="both"/>
        <w:rPr>
          <w:rFonts w:ascii="Times New Roman" w:hAnsi="Times New Roman"/>
          <w:sz w:val="24"/>
          <w:szCs w:val="24"/>
        </w:rPr>
      </w:pPr>
    </w:p>
    <w:p w:rsidR="006346A7" w:rsidRPr="00C61AA4" w:rsidRDefault="006346A7" w:rsidP="006346A7">
      <w:pPr>
        <w:spacing w:line="240" w:lineRule="auto"/>
        <w:contextualSpacing/>
        <w:jc w:val="both"/>
        <w:rPr>
          <w:rFonts w:ascii="Times New Roman" w:hAnsi="Times New Roman"/>
          <w:sz w:val="24"/>
          <w:szCs w:val="24"/>
        </w:rPr>
      </w:pPr>
    </w:p>
    <w:p w:rsidR="006346A7" w:rsidRPr="00C61AA4" w:rsidRDefault="00875448" w:rsidP="00875448">
      <w:pPr>
        <w:spacing w:line="240" w:lineRule="auto"/>
        <w:contextualSpacing/>
        <w:rPr>
          <w:rFonts w:ascii="Times New Roman" w:hAnsi="Times New Roman"/>
          <w:b/>
          <w:sz w:val="28"/>
          <w:szCs w:val="24"/>
        </w:rPr>
      </w:pPr>
      <w:r w:rsidRPr="00C61AA4">
        <w:rPr>
          <w:rFonts w:ascii="Times New Roman" w:hAnsi="Times New Roman"/>
          <w:b/>
          <w:sz w:val="28"/>
          <w:szCs w:val="24"/>
        </w:rPr>
        <w:t xml:space="preserve">                  </w:t>
      </w:r>
      <w:r w:rsidR="006346A7" w:rsidRPr="00C61AA4">
        <w:rPr>
          <w:rFonts w:ascii="Times New Roman" w:hAnsi="Times New Roman"/>
          <w:b/>
          <w:sz w:val="28"/>
          <w:szCs w:val="24"/>
        </w:rPr>
        <w:t>Председатель</w:t>
      </w:r>
    </w:p>
    <w:p w:rsidR="006346A7" w:rsidRPr="00C61AA4" w:rsidRDefault="006346A7" w:rsidP="00875448">
      <w:pPr>
        <w:spacing w:line="240" w:lineRule="auto"/>
        <w:contextualSpacing/>
        <w:jc w:val="center"/>
        <w:rPr>
          <w:rFonts w:ascii="Times New Roman" w:hAnsi="Times New Roman"/>
          <w:b/>
          <w:sz w:val="28"/>
          <w:szCs w:val="24"/>
        </w:rPr>
      </w:pPr>
      <w:r w:rsidRPr="00C61AA4">
        <w:rPr>
          <w:rFonts w:ascii="Times New Roman" w:hAnsi="Times New Roman"/>
          <w:b/>
          <w:sz w:val="28"/>
          <w:szCs w:val="24"/>
        </w:rPr>
        <w:t xml:space="preserve">Национального Банка          </w:t>
      </w:r>
      <w:r w:rsidR="00875448" w:rsidRPr="00C61AA4">
        <w:rPr>
          <w:rFonts w:ascii="Times New Roman" w:hAnsi="Times New Roman"/>
          <w:b/>
          <w:sz w:val="28"/>
          <w:szCs w:val="24"/>
        </w:rPr>
        <w:t xml:space="preserve">     </w:t>
      </w:r>
      <w:r w:rsidRPr="00C61AA4">
        <w:rPr>
          <w:rFonts w:ascii="Times New Roman" w:hAnsi="Times New Roman"/>
          <w:b/>
          <w:sz w:val="28"/>
          <w:szCs w:val="24"/>
        </w:rPr>
        <w:t xml:space="preserve">        </w:t>
      </w:r>
      <w:r w:rsidR="00875448" w:rsidRPr="00C61AA4">
        <w:rPr>
          <w:rFonts w:ascii="Times New Roman" w:hAnsi="Times New Roman"/>
          <w:b/>
          <w:sz w:val="28"/>
          <w:szCs w:val="24"/>
        </w:rPr>
        <w:t xml:space="preserve">  </w:t>
      </w:r>
      <w:r w:rsidRPr="00C61AA4">
        <w:rPr>
          <w:rFonts w:ascii="Times New Roman" w:hAnsi="Times New Roman"/>
          <w:b/>
          <w:sz w:val="28"/>
          <w:szCs w:val="24"/>
        </w:rPr>
        <w:t xml:space="preserve">                        Д. Акишев</w:t>
      </w:r>
    </w:p>
    <w:p w:rsidR="006346A7" w:rsidRPr="00C61AA4" w:rsidRDefault="006346A7" w:rsidP="006346A7">
      <w:pPr>
        <w:spacing w:line="240" w:lineRule="auto"/>
        <w:contextualSpacing/>
        <w:jc w:val="both"/>
        <w:rPr>
          <w:rFonts w:ascii="Times New Roman" w:hAnsi="Times New Roman"/>
        </w:rPr>
      </w:pPr>
    </w:p>
    <w:p w:rsidR="006346A7" w:rsidRPr="00C61AA4" w:rsidRDefault="006346A7" w:rsidP="006346A7">
      <w:pPr>
        <w:spacing w:line="240" w:lineRule="auto"/>
        <w:contextualSpacing/>
        <w:jc w:val="both"/>
        <w:rPr>
          <w:rFonts w:ascii="Times New Roman" w:hAnsi="Times New Roman" w:cs="Times New Roman"/>
          <w:b/>
          <w:sz w:val="24"/>
          <w:szCs w:val="24"/>
        </w:rPr>
      </w:pPr>
    </w:p>
    <w:p w:rsidR="00E20F8F" w:rsidRPr="00C61AA4" w:rsidRDefault="00E20F8F" w:rsidP="006346A7">
      <w:pPr>
        <w:spacing w:line="240" w:lineRule="auto"/>
        <w:contextualSpacing/>
        <w:jc w:val="both"/>
        <w:rPr>
          <w:rFonts w:ascii="Times New Roman" w:hAnsi="Times New Roman" w:cs="Times New Roman"/>
          <w:b/>
          <w:sz w:val="24"/>
          <w:szCs w:val="24"/>
        </w:rPr>
      </w:pPr>
    </w:p>
    <w:p w:rsidR="00E20F8F" w:rsidRPr="00C61AA4" w:rsidRDefault="00E20F8F" w:rsidP="006346A7">
      <w:pPr>
        <w:spacing w:line="240" w:lineRule="auto"/>
        <w:contextualSpacing/>
        <w:jc w:val="both"/>
        <w:rPr>
          <w:rFonts w:ascii="Times New Roman" w:hAnsi="Times New Roman" w:cs="Times New Roman"/>
          <w:b/>
          <w:sz w:val="24"/>
          <w:szCs w:val="24"/>
        </w:rPr>
      </w:pPr>
    </w:p>
    <w:p w:rsidR="00E20F8F" w:rsidRPr="00C61AA4" w:rsidRDefault="00E20F8F" w:rsidP="006346A7">
      <w:pPr>
        <w:spacing w:line="240" w:lineRule="auto"/>
        <w:contextualSpacing/>
        <w:jc w:val="both"/>
        <w:rPr>
          <w:rFonts w:ascii="Times New Roman" w:hAnsi="Times New Roman" w:cs="Times New Roman"/>
          <w:b/>
          <w:sz w:val="24"/>
          <w:szCs w:val="24"/>
        </w:rPr>
      </w:pPr>
    </w:p>
    <w:p w:rsidR="00E20F8F" w:rsidRPr="00C61AA4" w:rsidRDefault="00E20F8F" w:rsidP="006346A7">
      <w:pPr>
        <w:spacing w:line="240" w:lineRule="auto"/>
        <w:contextualSpacing/>
        <w:jc w:val="both"/>
        <w:rPr>
          <w:rFonts w:ascii="Times New Roman" w:hAnsi="Times New Roman" w:cs="Times New Roman"/>
          <w:b/>
          <w:sz w:val="24"/>
          <w:szCs w:val="24"/>
        </w:rPr>
      </w:pPr>
    </w:p>
    <w:p w:rsidR="00E20F8F" w:rsidRPr="00C61AA4" w:rsidRDefault="00E20F8F" w:rsidP="006346A7">
      <w:pPr>
        <w:spacing w:line="240" w:lineRule="auto"/>
        <w:contextualSpacing/>
        <w:jc w:val="both"/>
        <w:rPr>
          <w:rFonts w:ascii="Times New Roman" w:hAnsi="Times New Roman" w:cs="Times New Roman"/>
          <w:b/>
          <w:sz w:val="24"/>
          <w:szCs w:val="24"/>
        </w:rPr>
      </w:pPr>
    </w:p>
    <w:p w:rsidR="00E20F8F" w:rsidRPr="00C61AA4" w:rsidRDefault="00E20F8F" w:rsidP="006346A7">
      <w:pPr>
        <w:spacing w:line="240" w:lineRule="auto"/>
        <w:contextualSpacing/>
        <w:jc w:val="both"/>
        <w:rPr>
          <w:rFonts w:ascii="Times New Roman" w:hAnsi="Times New Roman" w:cs="Times New Roman"/>
          <w:b/>
          <w:sz w:val="24"/>
          <w:szCs w:val="24"/>
        </w:rPr>
      </w:pPr>
    </w:p>
    <w:p w:rsidR="00CE4B4B" w:rsidRPr="00C61AA4" w:rsidRDefault="00CE4B4B" w:rsidP="006346A7">
      <w:pPr>
        <w:spacing w:line="240" w:lineRule="auto"/>
        <w:contextualSpacing/>
        <w:jc w:val="both"/>
        <w:rPr>
          <w:rFonts w:ascii="Times New Roman" w:hAnsi="Times New Roman" w:cs="Times New Roman"/>
          <w:b/>
          <w:sz w:val="24"/>
          <w:szCs w:val="24"/>
        </w:rPr>
      </w:pPr>
    </w:p>
    <w:p w:rsidR="00413106" w:rsidRPr="00C61AA4" w:rsidRDefault="00413106" w:rsidP="006346A7">
      <w:pPr>
        <w:spacing w:line="240" w:lineRule="auto"/>
        <w:contextualSpacing/>
        <w:jc w:val="both"/>
        <w:rPr>
          <w:rFonts w:ascii="Times New Roman" w:hAnsi="Times New Roman" w:cs="Times New Roman"/>
          <w:b/>
          <w:sz w:val="24"/>
          <w:szCs w:val="24"/>
        </w:rPr>
      </w:pPr>
    </w:p>
    <w:p w:rsidR="00413106" w:rsidRPr="00C61AA4" w:rsidRDefault="00413106" w:rsidP="006346A7">
      <w:pPr>
        <w:spacing w:line="240" w:lineRule="auto"/>
        <w:contextualSpacing/>
        <w:jc w:val="both"/>
        <w:rPr>
          <w:rFonts w:ascii="Times New Roman" w:hAnsi="Times New Roman" w:cs="Times New Roman"/>
          <w:b/>
          <w:sz w:val="24"/>
          <w:szCs w:val="24"/>
        </w:rPr>
      </w:pPr>
    </w:p>
    <w:p w:rsidR="00413106" w:rsidRPr="00C61AA4" w:rsidRDefault="00413106" w:rsidP="006346A7">
      <w:pPr>
        <w:spacing w:line="240" w:lineRule="auto"/>
        <w:contextualSpacing/>
        <w:jc w:val="both"/>
        <w:rPr>
          <w:rFonts w:ascii="Times New Roman" w:hAnsi="Times New Roman" w:cs="Times New Roman"/>
          <w:b/>
          <w:sz w:val="24"/>
          <w:szCs w:val="24"/>
        </w:rPr>
      </w:pPr>
    </w:p>
    <w:p w:rsidR="00413106" w:rsidRPr="00C61AA4" w:rsidRDefault="00413106" w:rsidP="006346A7">
      <w:pPr>
        <w:spacing w:line="240" w:lineRule="auto"/>
        <w:contextualSpacing/>
        <w:jc w:val="both"/>
        <w:rPr>
          <w:rFonts w:ascii="Times New Roman" w:hAnsi="Times New Roman" w:cs="Times New Roman"/>
          <w:b/>
          <w:sz w:val="24"/>
          <w:szCs w:val="24"/>
        </w:rPr>
      </w:pPr>
    </w:p>
    <w:p w:rsidR="00413106" w:rsidRPr="00C61AA4" w:rsidRDefault="00413106" w:rsidP="006346A7">
      <w:pPr>
        <w:spacing w:line="240" w:lineRule="auto"/>
        <w:contextualSpacing/>
        <w:jc w:val="both"/>
        <w:rPr>
          <w:rFonts w:ascii="Times New Roman" w:hAnsi="Times New Roman" w:cs="Times New Roman"/>
          <w:b/>
          <w:sz w:val="24"/>
          <w:szCs w:val="24"/>
        </w:rPr>
      </w:pPr>
    </w:p>
    <w:p w:rsidR="00413106" w:rsidRPr="00C61AA4" w:rsidRDefault="00413106" w:rsidP="006346A7">
      <w:pPr>
        <w:spacing w:line="240" w:lineRule="auto"/>
        <w:contextualSpacing/>
        <w:jc w:val="both"/>
        <w:rPr>
          <w:rFonts w:ascii="Times New Roman" w:hAnsi="Times New Roman" w:cs="Times New Roman"/>
          <w:b/>
          <w:sz w:val="24"/>
          <w:szCs w:val="24"/>
        </w:rPr>
      </w:pPr>
    </w:p>
    <w:p w:rsidR="00413106" w:rsidRPr="00C61AA4" w:rsidRDefault="00413106" w:rsidP="006346A7">
      <w:pPr>
        <w:spacing w:line="240" w:lineRule="auto"/>
        <w:contextualSpacing/>
        <w:jc w:val="both"/>
        <w:rPr>
          <w:rFonts w:ascii="Times New Roman" w:hAnsi="Times New Roman" w:cs="Times New Roman"/>
          <w:b/>
          <w:sz w:val="24"/>
          <w:szCs w:val="24"/>
        </w:rPr>
      </w:pPr>
    </w:p>
    <w:p w:rsidR="00413106" w:rsidRPr="00C61AA4" w:rsidRDefault="00413106" w:rsidP="006346A7">
      <w:pPr>
        <w:spacing w:line="240" w:lineRule="auto"/>
        <w:contextualSpacing/>
        <w:jc w:val="both"/>
        <w:rPr>
          <w:rFonts w:ascii="Times New Roman" w:hAnsi="Times New Roman" w:cs="Times New Roman"/>
          <w:b/>
          <w:sz w:val="24"/>
          <w:szCs w:val="24"/>
        </w:rPr>
      </w:pPr>
    </w:p>
    <w:p w:rsidR="00514689" w:rsidRPr="00C61AA4" w:rsidRDefault="00514689" w:rsidP="006346A7">
      <w:pPr>
        <w:spacing w:line="240" w:lineRule="auto"/>
        <w:contextualSpacing/>
        <w:jc w:val="both"/>
        <w:rPr>
          <w:rFonts w:ascii="Times New Roman" w:hAnsi="Times New Roman" w:cs="Times New Roman"/>
          <w:b/>
          <w:sz w:val="24"/>
          <w:szCs w:val="24"/>
        </w:rPr>
      </w:pPr>
    </w:p>
    <w:p w:rsidR="00514689" w:rsidRPr="00C61AA4" w:rsidRDefault="00514689" w:rsidP="006346A7">
      <w:pPr>
        <w:spacing w:line="240" w:lineRule="auto"/>
        <w:contextualSpacing/>
        <w:jc w:val="both"/>
        <w:rPr>
          <w:rFonts w:ascii="Times New Roman" w:hAnsi="Times New Roman" w:cs="Times New Roman"/>
          <w:b/>
          <w:sz w:val="24"/>
          <w:szCs w:val="24"/>
        </w:rPr>
      </w:pPr>
    </w:p>
    <w:p w:rsidR="004C09F5" w:rsidRDefault="004C09F5" w:rsidP="00E20F8F">
      <w:pPr>
        <w:spacing w:line="240" w:lineRule="auto"/>
        <w:ind w:firstLine="709"/>
        <w:contextualSpacing/>
        <w:jc w:val="both"/>
        <w:rPr>
          <w:rFonts w:ascii="Times New Roman" w:hAnsi="Times New Roman"/>
          <w:b/>
          <w:sz w:val="24"/>
          <w:szCs w:val="24"/>
        </w:rPr>
      </w:pPr>
    </w:p>
    <w:p w:rsidR="00183026" w:rsidRDefault="00183026" w:rsidP="00E20F8F">
      <w:pPr>
        <w:spacing w:line="240" w:lineRule="auto"/>
        <w:ind w:firstLine="709"/>
        <w:contextualSpacing/>
        <w:jc w:val="both"/>
        <w:rPr>
          <w:rFonts w:ascii="Times New Roman" w:hAnsi="Times New Roman"/>
          <w:b/>
          <w:sz w:val="24"/>
          <w:szCs w:val="24"/>
        </w:rPr>
      </w:pPr>
    </w:p>
    <w:p w:rsidR="00183026" w:rsidRPr="00C61AA4" w:rsidRDefault="00183026" w:rsidP="00E20F8F">
      <w:pPr>
        <w:spacing w:line="240" w:lineRule="auto"/>
        <w:ind w:firstLine="709"/>
        <w:contextualSpacing/>
        <w:jc w:val="both"/>
        <w:rPr>
          <w:rFonts w:ascii="Times New Roman" w:hAnsi="Times New Roman"/>
          <w:b/>
          <w:sz w:val="24"/>
          <w:szCs w:val="24"/>
        </w:rPr>
      </w:pPr>
      <w:bookmarkStart w:id="0" w:name="_GoBack"/>
      <w:bookmarkEnd w:id="0"/>
    </w:p>
    <w:p w:rsidR="004C09F5" w:rsidRPr="00C61AA4" w:rsidRDefault="004C09F5" w:rsidP="00E20F8F">
      <w:pPr>
        <w:spacing w:line="240" w:lineRule="auto"/>
        <w:ind w:firstLine="709"/>
        <w:contextualSpacing/>
        <w:jc w:val="both"/>
        <w:rPr>
          <w:rFonts w:ascii="Times New Roman" w:hAnsi="Times New Roman"/>
          <w:b/>
          <w:sz w:val="24"/>
          <w:szCs w:val="24"/>
        </w:rPr>
      </w:pPr>
    </w:p>
    <w:p w:rsidR="004C09F5" w:rsidRPr="00C61AA4" w:rsidRDefault="004C09F5" w:rsidP="00E20F8F">
      <w:pPr>
        <w:spacing w:line="240" w:lineRule="auto"/>
        <w:ind w:firstLine="709"/>
        <w:contextualSpacing/>
        <w:jc w:val="both"/>
        <w:rPr>
          <w:rFonts w:ascii="Times New Roman" w:hAnsi="Times New Roman"/>
          <w:b/>
          <w:sz w:val="24"/>
          <w:szCs w:val="24"/>
        </w:rPr>
      </w:pPr>
    </w:p>
    <w:p w:rsidR="004C09F5" w:rsidRPr="00C61AA4" w:rsidRDefault="004C09F5" w:rsidP="00E20F8F">
      <w:pPr>
        <w:spacing w:line="240" w:lineRule="auto"/>
        <w:ind w:firstLine="709"/>
        <w:contextualSpacing/>
        <w:jc w:val="both"/>
        <w:rPr>
          <w:rFonts w:ascii="Times New Roman" w:hAnsi="Times New Roman"/>
          <w:b/>
          <w:sz w:val="24"/>
          <w:szCs w:val="24"/>
        </w:rPr>
      </w:pPr>
    </w:p>
    <w:p w:rsidR="004C09F5" w:rsidRPr="00C61AA4" w:rsidRDefault="004C09F5" w:rsidP="00E20F8F">
      <w:pPr>
        <w:spacing w:line="240" w:lineRule="auto"/>
        <w:ind w:firstLine="709"/>
        <w:contextualSpacing/>
        <w:jc w:val="both"/>
        <w:rPr>
          <w:rFonts w:ascii="Times New Roman" w:hAnsi="Times New Roman"/>
          <w:b/>
          <w:sz w:val="24"/>
          <w:szCs w:val="24"/>
        </w:rPr>
      </w:pPr>
    </w:p>
    <w:p w:rsidR="004C09F5" w:rsidRPr="00C61AA4" w:rsidRDefault="004C09F5" w:rsidP="00E20F8F">
      <w:pPr>
        <w:spacing w:line="240" w:lineRule="auto"/>
        <w:ind w:firstLine="709"/>
        <w:contextualSpacing/>
        <w:jc w:val="both"/>
        <w:rPr>
          <w:rFonts w:ascii="Times New Roman" w:hAnsi="Times New Roman"/>
          <w:b/>
          <w:sz w:val="24"/>
          <w:szCs w:val="24"/>
        </w:rPr>
      </w:pPr>
    </w:p>
    <w:p w:rsidR="004C09F5" w:rsidRPr="00C61AA4" w:rsidRDefault="004C09F5" w:rsidP="00E20F8F">
      <w:pPr>
        <w:spacing w:line="240" w:lineRule="auto"/>
        <w:ind w:firstLine="709"/>
        <w:contextualSpacing/>
        <w:jc w:val="both"/>
        <w:rPr>
          <w:rFonts w:ascii="Times New Roman" w:hAnsi="Times New Roman"/>
          <w:b/>
          <w:sz w:val="24"/>
          <w:szCs w:val="24"/>
        </w:rPr>
      </w:pPr>
    </w:p>
    <w:p w:rsidR="004C09F5" w:rsidRPr="00C61AA4" w:rsidRDefault="004C09F5" w:rsidP="00E20F8F">
      <w:pPr>
        <w:spacing w:line="240" w:lineRule="auto"/>
        <w:ind w:firstLine="709"/>
        <w:contextualSpacing/>
        <w:jc w:val="both"/>
        <w:rPr>
          <w:rFonts w:ascii="Times New Roman" w:hAnsi="Times New Roman"/>
          <w:b/>
          <w:sz w:val="24"/>
          <w:szCs w:val="24"/>
        </w:rPr>
      </w:pPr>
    </w:p>
    <w:p w:rsidR="004C09F5" w:rsidRPr="00C61AA4" w:rsidRDefault="004C09F5" w:rsidP="00E20F8F">
      <w:pPr>
        <w:spacing w:line="240" w:lineRule="auto"/>
        <w:ind w:firstLine="709"/>
        <w:contextualSpacing/>
        <w:jc w:val="both"/>
        <w:rPr>
          <w:rFonts w:ascii="Times New Roman" w:hAnsi="Times New Roman"/>
          <w:b/>
          <w:sz w:val="24"/>
          <w:szCs w:val="24"/>
        </w:rPr>
      </w:pPr>
    </w:p>
    <w:p w:rsidR="004C09F5" w:rsidRPr="00C61AA4" w:rsidRDefault="004C09F5" w:rsidP="00E20F8F">
      <w:pPr>
        <w:spacing w:line="240" w:lineRule="auto"/>
        <w:ind w:firstLine="709"/>
        <w:contextualSpacing/>
        <w:jc w:val="both"/>
        <w:rPr>
          <w:rFonts w:ascii="Times New Roman" w:hAnsi="Times New Roman"/>
          <w:b/>
          <w:sz w:val="24"/>
          <w:szCs w:val="24"/>
        </w:rPr>
      </w:pPr>
    </w:p>
    <w:p w:rsidR="004C09F5" w:rsidRPr="00C61AA4" w:rsidRDefault="004C09F5" w:rsidP="00E20F8F">
      <w:pPr>
        <w:spacing w:line="240" w:lineRule="auto"/>
        <w:ind w:firstLine="709"/>
        <w:contextualSpacing/>
        <w:jc w:val="both"/>
        <w:rPr>
          <w:rFonts w:ascii="Times New Roman" w:hAnsi="Times New Roman"/>
          <w:b/>
          <w:sz w:val="24"/>
          <w:szCs w:val="24"/>
        </w:rPr>
      </w:pPr>
    </w:p>
    <w:p w:rsidR="004C09F5" w:rsidRPr="00C61AA4" w:rsidRDefault="004C09F5" w:rsidP="00E20F8F">
      <w:pPr>
        <w:spacing w:line="240" w:lineRule="auto"/>
        <w:ind w:firstLine="709"/>
        <w:contextualSpacing/>
        <w:jc w:val="both"/>
        <w:rPr>
          <w:rFonts w:ascii="Times New Roman" w:hAnsi="Times New Roman"/>
          <w:b/>
          <w:sz w:val="24"/>
          <w:szCs w:val="24"/>
        </w:rPr>
      </w:pPr>
    </w:p>
    <w:p w:rsidR="004C09F5" w:rsidRPr="00C61AA4" w:rsidRDefault="004C09F5" w:rsidP="00E20F8F">
      <w:pPr>
        <w:spacing w:line="240" w:lineRule="auto"/>
        <w:ind w:firstLine="709"/>
        <w:contextualSpacing/>
        <w:jc w:val="both"/>
        <w:rPr>
          <w:rFonts w:ascii="Times New Roman" w:hAnsi="Times New Roman"/>
          <w:b/>
          <w:sz w:val="24"/>
          <w:szCs w:val="24"/>
        </w:rPr>
      </w:pPr>
    </w:p>
    <w:p w:rsidR="004C09F5" w:rsidRPr="00C61AA4" w:rsidRDefault="004C09F5" w:rsidP="00E20F8F">
      <w:pPr>
        <w:spacing w:line="240" w:lineRule="auto"/>
        <w:ind w:firstLine="709"/>
        <w:contextualSpacing/>
        <w:jc w:val="both"/>
        <w:rPr>
          <w:rFonts w:ascii="Times New Roman" w:hAnsi="Times New Roman"/>
          <w:b/>
          <w:sz w:val="24"/>
          <w:szCs w:val="24"/>
        </w:rPr>
      </w:pPr>
    </w:p>
    <w:p w:rsidR="004C09F5" w:rsidRPr="00C61AA4" w:rsidRDefault="004C09F5" w:rsidP="00E20F8F">
      <w:pPr>
        <w:spacing w:line="240" w:lineRule="auto"/>
        <w:ind w:firstLine="709"/>
        <w:contextualSpacing/>
        <w:jc w:val="both"/>
        <w:rPr>
          <w:rFonts w:ascii="Times New Roman" w:hAnsi="Times New Roman"/>
          <w:b/>
          <w:sz w:val="24"/>
          <w:szCs w:val="24"/>
        </w:rPr>
      </w:pPr>
    </w:p>
    <w:p w:rsidR="004C09F5" w:rsidRPr="00C61AA4" w:rsidRDefault="004C09F5" w:rsidP="00E20F8F">
      <w:pPr>
        <w:spacing w:line="240" w:lineRule="auto"/>
        <w:ind w:firstLine="709"/>
        <w:contextualSpacing/>
        <w:jc w:val="both"/>
        <w:rPr>
          <w:rFonts w:ascii="Times New Roman" w:hAnsi="Times New Roman"/>
          <w:b/>
          <w:sz w:val="24"/>
          <w:szCs w:val="24"/>
        </w:rPr>
      </w:pPr>
    </w:p>
    <w:p w:rsidR="004C09F5" w:rsidRPr="00C61AA4" w:rsidRDefault="004C09F5" w:rsidP="00E20F8F">
      <w:pPr>
        <w:spacing w:line="240" w:lineRule="auto"/>
        <w:ind w:firstLine="709"/>
        <w:contextualSpacing/>
        <w:jc w:val="both"/>
        <w:rPr>
          <w:rFonts w:ascii="Times New Roman" w:hAnsi="Times New Roman"/>
          <w:b/>
          <w:sz w:val="24"/>
          <w:szCs w:val="24"/>
        </w:rPr>
      </w:pPr>
    </w:p>
    <w:p w:rsidR="004C09F5" w:rsidRPr="00C61AA4" w:rsidRDefault="004C09F5" w:rsidP="00E20F8F">
      <w:pPr>
        <w:spacing w:line="240" w:lineRule="auto"/>
        <w:ind w:firstLine="709"/>
        <w:contextualSpacing/>
        <w:jc w:val="both"/>
        <w:rPr>
          <w:rFonts w:ascii="Times New Roman" w:hAnsi="Times New Roman"/>
          <w:b/>
          <w:sz w:val="24"/>
          <w:szCs w:val="24"/>
        </w:rPr>
      </w:pPr>
    </w:p>
    <w:p w:rsidR="004C09F5" w:rsidRPr="00C61AA4" w:rsidRDefault="004C09F5" w:rsidP="00E20F8F">
      <w:pPr>
        <w:spacing w:line="240" w:lineRule="auto"/>
        <w:ind w:firstLine="709"/>
        <w:contextualSpacing/>
        <w:jc w:val="both"/>
        <w:rPr>
          <w:rFonts w:ascii="Times New Roman" w:hAnsi="Times New Roman"/>
          <w:b/>
          <w:sz w:val="24"/>
          <w:szCs w:val="24"/>
        </w:rPr>
      </w:pPr>
    </w:p>
    <w:p w:rsidR="004C09F5" w:rsidRPr="00C61AA4" w:rsidRDefault="004C09F5" w:rsidP="00E20F8F">
      <w:pPr>
        <w:spacing w:line="240" w:lineRule="auto"/>
        <w:ind w:firstLine="709"/>
        <w:contextualSpacing/>
        <w:jc w:val="both"/>
        <w:rPr>
          <w:rFonts w:ascii="Times New Roman" w:hAnsi="Times New Roman"/>
          <w:b/>
          <w:sz w:val="24"/>
          <w:szCs w:val="24"/>
        </w:rPr>
      </w:pPr>
    </w:p>
    <w:p w:rsidR="00E20F8F" w:rsidRPr="00C61AA4" w:rsidRDefault="00E20F8F" w:rsidP="00E20F8F">
      <w:pPr>
        <w:spacing w:line="240" w:lineRule="auto"/>
        <w:ind w:firstLine="709"/>
        <w:contextualSpacing/>
        <w:jc w:val="both"/>
        <w:rPr>
          <w:rFonts w:ascii="Times New Roman" w:hAnsi="Times New Roman"/>
          <w:b/>
          <w:sz w:val="24"/>
          <w:szCs w:val="24"/>
        </w:rPr>
      </w:pPr>
      <w:r w:rsidRPr="00C61AA4">
        <w:rPr>
          <w:rFonts w:ascii="Times New Roman" w:hAnsi="Times New Roman"/>
          <w:b/>
          <w:sz w:val="24"/>
          <w:szCs w:val="24"/>
        </w:rPr>
        <w:lastRenderedPageBreak/>
        <w:t xml:space="preserve">Примечания: </w:t>
      </w:r>
    </w:p>
    <w:p w:rsidR="00E20F8F" w:rsidRPr="00C61AA4" w:rsidRDefault="00E20F8F" w:rsidP="00E20F8F">
      <w:pPr>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Расшифровка аббревиатур:</w:t>
      </w:r>
    </w:p>
    <w:p w:rsidR="00E20F8F" w:rsidRPr="00C61AA4" w:rsidRDefault="00E20F8F" w:rsidP="00E20F8F">
      <w:pPr>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АИП – автоматизированная информационная подсистема</w:t>
      </w:r>
    </w:p>
    <w:p w:rsidR="00E20F8F" w:rsidRPr="00C61AA4" w:rsidRDefault="00E20F8F" w:rsidP="00E20F8F">
      <w:pPr>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АПРК – Администрация Президента Республики Казахстан</w:t>
      </w:r>
    </w:p>
    <w:p w:rsidR="00E20F8F" w:rsidRPr="00C61AA4" w:rsidRDefault="00E20F8F" w:rsidP="00E20F8F">
      <w:pPr>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БВУ – банки второго уровня Республики Казахстан</w:t>
      </w:r>
    </w:p>
    <w:p w:rsidR="00E20F8F" w:rsidRPr="00C61AA4" w:rsidRDefault="00E20F8F" w:rsidP="00E20F8F">
      <w:pPr>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 xml:space="preserve">ВВП – валовый внутренний продукт </w:t>
      </w:r>
    </w:p>
    <w:p w:rsidR="00E20F8F" w:rsidRPr="00C61AA4" w:rsidRDefault="00E20F8F" w:rsidP="00E20F8F">
      <w:pPr>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ЗВА – золотовалютные активы</w:t>
      </w:r>
    </w:p>
    <w:p w:rsidR="00E20F8F" w:rsidRPr="00C61AA4" w:rsidRDefault="00E20F8F" w:rsidP="00E20F8F">
      <w:pPr>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КЦМР НБРК  – Казахстанский центр межбанковских расчетов Национального Банка Республики Казахстан</w:t>
      </w:r>
    </w:p>
    <w:p w:rsidR="00E20F8F" w:rsidRPr="00C61AA4" w:rsidRDefault="00E20F8F" w:rsidP="00E20F8F">
      <w:pPr>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НБРК – Национальный Банка Республики Казахстан</w:t>
      </w:r>
    </w:p>
    <w:p w:rsidR="00E20F8F" w:rsidRPr="00C61AA4" w:rsidRDefault="00E20F8F" w:rsidP="00E20F8F">
      <w:pPr>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 xml:space="preserve">НФ РК – Национальный фонд Республики Казахстан </w:t>
      </w:r>
    </w:p>
    <w:p w:rsidR="00E20F8F" w:rsidRPr="00C61AA4" w:rsidRDefault="00E20F8F" w:rsidP="00E20F8F">
      <w:pPr>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МСПД – межбанковская система переводов денег</w:t>
      </w:r>
    </w:p>
    <w:p w:rsidR="00E20F8F" w:rsidRPr="00C61AA4" w:rsidRDefault="00E20F8F" w:rsidP="00E20F8F">
      <w:pPr>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СМК – Система межбанковского клиринга</w:t>
      </w:r>
    </w:p>
    <w:p w:rsidR="00E20F8F" w:rsidRPr="00C61AA4" w:rsidRDefault="00E20F8F" w:rsidP="00E20F8F">
      <w:pPr>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ЦБ – Центральный Банк</w:t>
      </w:r>
    </w:p>
    <w:p w:rsidR="00E20F8F" w:rsidRPr="00C61AA4" w:rsidRDefault="00E20F8F" w:rsidP="00E20F8F">
      <w:pPr>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КГД – Комитет государственных доходов</w:t>
      </w:r>
    </w:p>
    <w:p w:rsidR="00E20F8F" w:rsidRPr="00C61AA4" w:rsidRDefault="00E20F8F" w:rsidP="00E20F8F">
      <w:pPr>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ПП НБРК – постановление Правления Национального Банка Республики Казахстан</w:t>
      </w:r>
    </w:p>
    <w:p w:rsidR="00E20F8F" w:rsidRPr="00C61AA4" w:rsidRDefault="00E20F8F" w:rsidP="00E20F8F">
      <w:pPr>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КС МНЭ РК – Комитет по статистике Министерства национальной экономики Республики Казахстан</w:t>
      </w:r>
    </w:p>
    <w:p w:rsidR="00E20F8F" w:rsidRPr="00C61AA4" w:rsidRDefault="00E20F8F" w:rsidP="00E20F8F">
      <w:pPr>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KASE – АО «Казахстанская фондовая биржа»</w:t>
      </w:r>
    </w:p>
    <w:p w:rsidR="00E20F8F" w:rsidRPr="00C61AA4" w:rsidRDefault="00E20F8F" w:rsidP="00E20F8F">
      <w:pPr>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МВФ – Международный Валютный Фонд</w:t>
      </w:r>
    </w:p>
    <w:p w:rsidR="00E20F8F" w:rsidRPr="003806FD" w:rsidRDefault="00E20F8F" w:rsidP="00E20F8F">
      <w:pPr>
        <w:spacing w:line="240" w:lineRule="auto"/>
        <w:ind w:firstLine="709"/>
        <w:contextualSpacing/>
        <w:jc w:val="both"/>
        <w:rPr>
          <w:rFonts w:ascii="Times New Roman" w:hAnsi="Times New Roman"/>
          <w:sz w:val="24"/>
          <w:szCs w:val="24"/>
        </w:rPr>
      </w:pPr>
      <w:r w:rsidRPr="00C61AA4">
        <w:rPr>
          <w:rFonts w:ascii="Times New Roman" w:hAnsi="Times New Roman"/>
          <w:sz w:val="24"/>
          <w:szCs w:val="24"/>
        </w:rPr>
        <w:t>МЮ РК – Министерство юстиции Республики Казахстан</w:t>
      </w:r>
    </w:p>
    <w:p w:rsidR="00E20F8F" w:rsidRPr="00250274" w:rsidRDefault="00E20F8F" w:rsidP="006346A7">
      <w:pPr>
        <w:spacing w:line="240" w:lineRule="auto"/>
        <w:contextualSpacing/>
        <w:jc w:val="both"/>
        <w:rPr>
          <w:rFonts w:ascii="Times New Roman" w:hAnsi="Times New Roman" w:cs="Times New Roman"/>
          <w:b/>
          <w:sz w:val="24"/>
          <w:szCs w:val="24"/>
        </w:rPr>
      </w:pPr>
    </w:p>
    <w:sectPr w:rsidR="00E20F8F" w:rsidRPr="00250274" w:rsidSect="005743FE">
      <w:headerReference w:type="defaul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3180" w:rsidRDefault="00A63180" w:rsidP="00250274">
      <w:pPr>
        <w:spacing w:after="0" w:line="240" w:lineRule="auto"/>
      </w:pPr>
      <w:r>
        <w:separator/>
      </w:r>
    </w:p>
  </w:endnote>
  <w:endnote w:type="continuationSeparator" w:id="0">
    <w:p w:rsidR="00A63180" w:rsidRDefault="00A63180" w:rsidP="00250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3180" w:rsidRDefault="00A63180" w:rsidP="00250274">
      <w:pPr>
        <w:spacing w:after="0" w:line="240" w:lineRule="auto"/>
      </w:pPr>
      <w:r>
        <w:separator/>
      </w:r>
    </w:p>
  </w:footnote>
  <w:footnote w:type="continuationSeparator" w:id="0">
    <w:p w:rsidR="00A63180" w:rsidRDefault="00A63180" w:rsidP="00250274">
      <w:pPr>
        <w:spacing w:after="0" w:line="240" w:lineRule="auto"/>
      </w:pPr>
      <w:r>
        <w:continuationSeparator/>
      </w:r>
    </w:p>
  </w:footnote>
  <w:footnote w:id="1">
    <w:p w:rsidR="004C79AA" w:rsidRDefault="004C79AA" w:rsidP="00875448">
      <w:pPr>
        <w:pStyle w:val="a9"/>
        <w:jc w:val="both"/>
      </w:pPr>
      <w:r>
        <w:rPr>
          <w:rStyle w:val="a8"/>
        </w:rPr>
        <w:footnoteRef/>
      </w:r>
      <w:r>
        <w:t xml:space="preserve"> По итогам отчета ГИК ВЭФ за 2015 год (сентябрь 2016г.)</w:t>
      </w:r>
    </w:p>
  </w:footnote>
  <w:footnote w:id="2">
    <w:p w:rsidR="004C79AA" w:rsidRDefault="004C79AA" w:rsidP="00875448">
      <w:pPr>
        <w:pStyle w:val="a9"/>
        <w:jc w:val="both"/>
      </w:pPr>
      <w:r>
        <w:rPr>
          <w:rStyle w:val="a8"/>
        </w:rPr>
        <w:footnoteRef/>
      </w:r>
      <w:r>
        <w:t xml:space="preserve"> </w:t>
      </w:r>
      <w:proofErr w:type="gramStart"/>
      <w:r>
        <w:t>Коэффициент работоспособности платежной системы за год исчисляется как отношение реального времени работы (период времени от открытия операционного дня до закрытия операционного дня платежной системы с исключением периода времени, когда платежная система была остановлена) к общему времени работы платежной системы (период времени от открытия операционного дня до закрытия операционного дня платежной системы)</w:t>
      </w:r>
      <w:proofErr w:type="gramEnd"/>
    </w:p>
  </w:footnote>
  <w:footnote w:id="3">
    <w:p w:rsidR="004C79AA" w:rsidRDefault="004C79AA" w:rsidP="00875448">
      <w:pPr>
        <w:pStyle w:val="a9"/>
        <w:jc w:val="both"/>
      </w:pPr>
      <w:r>
        <w:rPr>
          <w:rStyle w:val="a8"/>
        </w:rPr>
        <w:footnoteRef/>
      </w:r>
      <w:r>
        <w:t xml:space="preserve"> </w:t>
      </w:r>
      <w:r w:rsidRPr="00ED663F">
        <w:t>Следственн</w:t>
      </w:r>
      <w:r>
        <w:t>ый</w:t>
      </w:r>
      <w:r w:rsidRPr="00ED663F">
        <w:t xml:space="preserve"> департамент Национального Бюро по противодействию коррупции Министерства по делам государственной службы Республики Казахстан</w:t>
      </w:r>
    </w:p>
  </w:footnote>
  <w:footnote w:id="4">
    <w:p w:rsidR="004C79AA" w:rsidRDefault="004C79AA" w:rsidP="00875448">
      <w:pPr>
        <w:pStyle w:val="a9"/>
        <w:jc w:val="both"/>
      </w:pPr>
      <w:r>
        <w:rPr>
          <w:rStyle w:val="a8"/>
        </w:rPr>
        <w:footnoteRef/>
      </w:r>
      <w:r>
        <w:t xml:space="preserve"> </w:t>
      </w:r>
      <w:r w:rsidRPr="002235F2">
        <w:t>АО «Банк Астаны», АО «</w:t>
      </w:r>
      <w:proofErr w:type="spellStart"/>
      <w:r w:rsidRPr="002235F2">
        <w:t>Tengri</w:t>
      </w:r>
      <w:proofErr w:type="spellEnd"/>
      <w:r w:rsidRPr="002235F2">
        <w:t xml:space="preserve"> </w:t>
      </w:r>
      <w:proofErr w:type="spellStart"/>
      <w:r w:rsidRPr="002235F2">
        <w:t>Bank</w:t>
      </w:r>
      <w:proofErr w:type="spellEnd"/>
      <w:r w:rsidRPr="002235F2">
        <w:t>», АО «</w:t>
      </w:r>
      <w:proofErr w:type="spellStart"/>
      <w:r w:rsidRPr="002235F2">
        <w:t>Qazaq</w:t>
      </w:r>
      <w:proofErr w:type="spellEnd"/>
      <w:r w:rsidRPr="002235F2">
        <w:t xml:space="preserve"> </w:t>
      </w:r>
      <w:proofErr w:type="spellStart"/>
      <w:r w:rsidRPr="002235F2">
        <w:t>Bank</w:t>
      </w:r>
      <w:proofErr w:type="spellEnd"/>
      <w:r w:rsidRPr="002235F2">
        <w:t>», АО «</w:t>
      </w:r>
      <w:proofErr w:type="spellStart"/>
      <w:r w:rsidRPr="002235F2">
        <w:t>Delta</w:t>
      </w:r>
      <w:proofErr w:type="spellEnd"/>
      <w:r w:rsidRPr="002235F2">
        <w:t xml:space="preserve"> </w:t>
      </w:r>
      <w:proofErr w:type="spellStart"/>
      <w:r w:rsidRPr="002235F2">
        <w:t>Bank</w:t>
      </w:r>
      <w:proofErr w:type="spellEnd"/>
      <w:r w:rsidRPr="002235F2">
        <w:t xml:space="preserve">», АО </w:t>
      </w:r>
      <w:r>
        <w:t>«</w:t>
      </w:r>
      <w:proofErr w:type="spellStart"/>
      <w:r>
        <w:t>Казинвестбанк</w:t>
      </w:r>
      <w:proofErr w:type="spellEnd"/>
      <w:r>
        <w:t>», АО «</w:t>
      </w:r>
      <w:proofErr w:type="spellStart"/>
      <w:r>
        <w:t>Bank</w:t>
      </w:r>
      <w:proofErr w:type="spellEnd"/>
      <w:r>
        <w:t xml:space="preserve"> RBK», </w:t>
      </w:r>
      <w:r w:rsidRPr="002235F2">
        <w:t>АО «</w:t>
      </w:r>
      <w:proofErr w:type="spellStart"/>
      <w:r w:rsidRPr="002235F2">
        <w:t>AsiaCreditBank</w:t>
      </w:r>
      <w:proofErr w:type="spellEnd"/>
      <w:r w:rsidRPr="002235F2">
        <w:t>» и АО «</w:t>
      </w:r>
      <w:proofErr w:type="spellStart"/>
      <w:r w:rsidRPr="002235F2">
        <w:t>Capital</w:t>
      </w:r>
      <w:proofErr w:type="spellEnd"/>
      <w:r w:rsidRPr="002235F2">
        <w:t xml:space="preserve"> </w:t>
      </w:r>
      <w:proofErr w:type="spellStart"/>
      <w:r w:rsidRPr="002235F2">
        <w:t>Bank</w:t>
      </w:r>
      <w:proofErr w:type="spellEnd"/>
      <w:r w:rsidRPr="002235F2">
        <w:t xml:space="preserve"> </w:t>
      </w:r>
      <w:proofErr w:type="spellStart"/>
      <w:r w:rsidRPr="002235F2">
        <w:t>Kazakhstan</w:t>
      </w:r>
      <w:proofErr w:type="spellEnd"/>
      <w:r w:rsidRPr="002235F2">
        <w:t>»</w:t>
      </w:r>
    </w:p>
  </w:footnote>
  <w:footnote w:id="5">
    <w:p w:rsidR="004C79AA" w:rsidRPr="0034738D" w:rsidRDefault="004C79AA" w:rsidP="00875448">
      <w:pPr>
        <w:pStyle w:val="a9"/>
      </w:pPr>
      <w:r w:rsidRPr="0034738D">
        <w:rPr>
          <w:rStyle w:val="a8"/>
          <w:rFonts w:eastAsia="Calibri"/>
        </w:rPr>
        <w:footnoteRef/>
      </w:r>
      <w:r w:rsidRPr="0034738D">
        <w:t xml:space="preserve"> </w:t>
      </w:r>
      <w:r>
        <w:t xml:space="preserve">  </w:t>
      </w:r>
      <w:r w:rsidRPr="0034738D">
        <w:t xml:space="preserve">займы с просроченной задолженностью по основному долгу и (или) начисленному вознаграждению </w:t>
      </w:r>
      <w:proofErr w:type="gramStart"/>
      <w:r w:rsidRPr="0034738D">
        <w:t>свыше девяносто</w:t>
      </w:r>
      <w:proofErr w:type="gramEnd"/>
      <w:r w:rsidRPr="0034738D">
        <w:t xml:space="preserve"> календарных дней</w:t>
      </w:r>
    </w:p>
  </w:footnote>
  <w:footnote w:id="6">
    <w:p w:rsidR="00D660A1" w:rsidRPr="00491094" w:rsidRDefault="00D660A1" w:rsidP="00D660A1">
      <w:pPr>
        <w:pStyle w:val="a9"/>
      </w:pPr>
      <w:r w:rsidRPr="00491094">
        <w:rPr>
          <w:rStyle w:val="a8"/>
        </w:rPr>
        <w:footnoteRef/>
      </w:r>
      <w:r w:rsidRPr="00491094">
        <w:t xml:space="preserve"> Гражданский кодекс Республики Казахстан</w:t>
      </w:r>
    </w:p>
  </w:footnote>
  <w:footnote w:id="7">
    <w:p w:rsidR="00D660A1" w:rsidRDefault="00D660A1">
      <w:pPr>
        <w:pStyle w:val="a9"/>
      </w:pPr>
      <w:r>
        <w:rPr>
          <w:rStyle w:val="a8"/>
        </w:rPr>
        <w:footnoteRef/>
      </w:r>
      <w:r>
        <w:t xml:space="preserve"> </w:t>
      </w:r>
      <w:proofErr w:type="gramStart"/>
      <w:r w:rsidRPr="00491094">
        <w:t>Закон Республики Казахстан «О кредитным бюро»</w:t>
      </w:r>
      <w:proofErr w:type="gramEnd"/>
    </w:p>
  </w:footnote>
  <w:footnote w:id="8">
    <w:p w:rsidR="004C79AA" w:rsidRPr="0034738D" w:rsidRDefault="004C79AA" w:rsidP="00875448">
      <w:pPr>
        <w:pStyle w:val="a9"/>
        <w:jc w:val="both"/>
      </w:pPr>
      <w:r w:rsidRPr="0034738D">
        <w:rPr>
          <w:rStyle w:val="a8"/>
          <w:rFonts w:eastAsia="Calibri"/>
        </w:rPr>
        <w:footnoteRef/>
      </w:r>
      <w:r>
        <w:t>З</w:t>
      </w:r>
      <w:r w:rsidRPr="0034738D">
        <w:t xml:space="preserve">аймы с просроченной задолженностью по основному долгу и (или) начисленному вознаграждению </w:t>
      </w:r>
      <w:proofErr w:type="gramStart"/>
      <w:r w:rsidRPr="0034738D">
        <w:t>свыше девяносто</w:t>
      </w:r>
      <w:proofErr w:type="gramEnd"/>
      <w:r w:rsidRPr="0034738D">
        <w:t xml:space="preserve"> календарных дней</w:t>
      </w:r>
    </w:p>
  </w:footnote>
  <w:footnote w:id="9">
    <w:p w:rsidR="004C79AA" w:rsidRPr="00847F11" w:rsidRDefault="004C79AA" w:rsidP="00875448">
      <w:pPr>
        <w:rPr>
          <w:rFonts w:ascii="Times New Roman" w:hAnsi="Times New Roman"/>
          <w:sz w:val="20"/>
          <w:szCs w:val="20"/>
          <w:lang w:eastAsia="ru-RU"/>
        </w:rPr>
      </w:pPr>
      <w:r w:rsidRPr="00847F11">
        <w:rPr>
          <w:rStyle w:val="a8"/>
          <w:sz w:val="20"/>
          <w:szCs w:val="20"/>
        </w:rPr>
        <w:footnoteRef/>
      </w:r>
      <w:r w:rsidRPr="00847F11">
        <w:rPr>
          <w:sz w:val="20"/>
          <w:szCs w:val="20"/>
        </w:rPr>
        <w:t xml:space="preserve"> </w:t>
      </w:r>
      <w:r w:rsidRPr="00847F11">
        <w:rPr>
          <w:rFonts w:ascii="Times New Roman" w:hAnsi="Times New Roman"/>
          <w:sz w:val="20"/>
          <w:szCs w:val="20"/>
          <w:lang w:val="kk-KZ" w:eastAsia="ru-RU"/>
        </w:rPr>
        <w:t xml:space="preserve">Правила </w:t>
      </w:r>
      <w:r w:rsidRPr="00847F11">
        <w:rPr>
          <w:rFonts w:ascii="Times New Roman" w:eastAsia="Batang" w:hAnsi="Times New Roman"/>
          <w:sz w:val="20"/>
          <w:szCs w:val="20"/>
          <w:lang w:eastAsia="ru-RU"/>
        </w:rPr>
        <w:t xml:space="preserve">приобретения товаров, работ и услуг Национальным Банком Республики Казахстан, </w:t>
      </w:r>
      <w:r w:rsidRPr="00847F11">
        <w:rPr>
          <w:rFonts w:ascii="Times New Roman" w:hAnsi="Times New Roman"/>
          <w:sz w:val="20"/>
          <w:szCs w:val="20"/>
          <w:lang w:eastAsia="ru-RU"/>
        </w:rPr>
        <w:t>его ведомствами,</w:t>
      </w:r>
      <w:r w:rsidRPr="00847F11">
        <w:rPr>
          <w:rFonts w:ascii="Times New Roman" w:hAnsi="Times New Roman"/>
          <w:sz w:val="20"/>
          <w:szCs w:val="20"/>
          <w:lang w:val="kk-KZ" w:eastAsia="ru-RU"/>
        </w:rPr>
        <w:t xml:space="preserve"> </w:t>
      </w:r>
      <w:r w:rsidRPr="00847F11">
        <w:rPr>
          <w:rFonts w:ascii="Times New Roman" w:hAnsi="Times New Roman"/>
          <w:sz w:val="20"/>
          <w:szCs w:val="20"/>
          <w:lang w:eastAsia="ru-RU"/>
        </w:rPr>
        <w:t xml:space="preserve">организациями, входящими в его структуру, и юридическими лицами, пятьдесят и более процентов голосующих акций (долей участия в уставном капитале) которых принадлежат Национальному Банку </w:t>
      </w:r>
      <w:r w:rsidRPr="00847F11">
        <w:rPr>
          <w:rFonts w:ascii="Times New Roman" w:eastAsia="Batang" w:hAnsi="Times New Roman"/>
          <w:sz w:val="20"/>
          <w:szCs w:val="20"/>
          <w:lang w:eastAsia="ru-RU"/>
        </w:rPr>
        <w:t>Республики</w:t>
      </w:r>
      <w:r w:rsidRPr="00847F11">
        <w:rPr>
          <w:rFonts w:ascii="Times New Roman" w:eastAsia="Batang" w:hAnsi="Times New Roman"/>
          <w:sz w:val="20"/>
          <w:szCs w:val="20"/>
          <w:lang w:val="kk-KZ" w:eastAsia="ru-RU"/>
        </w:rPr>
        <w:t xml:space="preserve"> </w:t>
      </w:r>
      <w:r w:rsidRPr="00847F11">
        <w:rPr>
          <w:rFonts w:ascii="Times New Roman" w:hAnsi="Times New Roman"/>
          <w:sz w:val="20"/>
          <w:szCs w:val="20"/>
          <w:lang w:eastAsia="ru-RU"/>
        </w:rPr>
        <w:t xml:space="preserve">Казахстан или находятся в его доверительном управлении, и </w:t>
      </w:r>
      <w:proofErr w:type="spellStart"/>
      <w:r w:rsidRPr="00847F11">
        <w:rPr>
          <w:rFonts w:ascii="Times New Roman" w:hAnsi="Times New Roman"/>
          <w:sz w:val="20"/>
          <w:szCs w:val="20"/>
          <w:lang w:eastAsia="ru-RU"/>
        </w:rPr>
        <w:t>аффилиированными</w:t>
      </w:r>
      <w:proofErr w:type="spellEnd"/>
      <w:r w:rsidRPr="00847F11">
        <w:rPr>
          <w:rFonts w:ascii="Times New Roman" w:hAnsi="Times New Roman"/>
          <w:sz w:val="20"/>
          <w:szCs w:val="20"/>
          <w:lang w:eastAsia="ru-RU"/>
        </w:rPr>
        <w:t xml:space="preserve"> с ними юридическими лицами, утвержденные постановлением Правления Национального Банка от 19 де</w:t>
      </w:r>
      <w:r>
        <w:rPr>
          <w:rFonts w:ascii="Times New Roman" w:hAnsi="Times New Roman"/>
          <w:sz w:val="20"/>
          <w:szCs w:val="20"/>
          <w:lang w:eastAsia="ru-RU"/>
        </w:rPr>
        <w:t>кабря 2015 года №</w:t>
      </w:r>
      <w:r w:rsidRPr="00847F11">
        <w:rPr>
          <w:rFonts w:ascii="Times New Roman" w:hAnsi="Times New Roman"/>
          <w:sz w:val="20"/>
          <w:szCs w:val="20"/>
          <w:lang w:eastAsia="ru-RU"/>
        </w:rPr>
        <w:t xml:space="preserve">237.  </w:t>
      </w:r>
    </w:p>
    <w:p w:rsidR="004C79AA" w:rsidRDefault="004C79AA" w:rsidP="006346A7">
      <w:pPr>
        <w:pStyle w:val="a9"/>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42230"/>
      <w:docPartObj>
        <w:docPartGallery w:val="Page Numbers (Top of Page)"/>
        <w:docPartUnique/>
      </w:docPartObj>
    </w:sdtPr>
    <w:sdtEndPr/>
    <w:sdtContent>
      <w:p w:rsidR="004C79AA" w:rsidRDefault="004C79AA">
        <w:pPr>
          <w:pStyle w:val="af2"/>
          <w:jc w:val="center"/>
        </w:pPr>
        <w:r>
          <w:fldChar w:fldCharType="begin"/>
        </w:r>
        <w:r>
          <w:instrText>PAGE   \* MERGEFORMAT</w:instrText>
        </w:r>
        <w:r>
          <w:fldChar w:fldCharType="separate"/>
        </w:r>
        <w:r w:rsidR="00183026">
          <w:rPr>
            <w:noProof/>
          </w:rPr>
          <w:t>40</w:t>
        </w:r>
        <w:r>
          <w:fldChar w:fldCharType="end"/>
        </w:r>
      </w:p>
    </w:sdtContent>
  </w:sdt>
  <w:p w:rsidR="004C79AA" w:rsidRDefault="004C79AA">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F2E9F4E"/>
    <w:lvl w:ilvl="0">
      <w:start w:val="1"/>
      <w:numFmt w:val="bullet"/>
      <w:pStyle w:val="a"/>
      <w:lvlText w:val=""/>
      <w:lvlJc w:val="left"/>
      <w:pPr>
        <w:tabs>
          <w:tab w:val="num" w:pos="720"/>
        </w:tabs>
        <w:ind w:left="720" w:hanging="720"/>
      </w:pPr>
      <w:rPr>
        <w:rFonts w:ascii="Symbol" w:hAnsi="Symbol" w:hint="default"/>
      </w:rPr>
    </w:lvl>
  </w:abstractNum>
  <w:abstractNum w:abstractNumId="1">
    <w:nsid w:val="02D547FF"/>
    <w:multiLevelType w:val="hybridMultilevel"/>
    <w:tmpl w:val="A1A824A6"/>
    <w:lvl w:ilvl="0" w:tplc="183C1ED8">
      <w:start w:val="2"/>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nsid w:val="0A091A85"/>
    <w:multiLevelType w:val="hybridMultilevel"/>
    <w:tmpl w:val="80C69B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1754CE"/>
    <w:multiLevelType w:val="hybridMultilevel"/>
    <w:tmpl w:val="5B648EE4"/>
    <w:lvl w:ilvl="0" w:tplc="736C5514">
      <w:start w:val="1"/>
      <w:numFmt w:val="bullet"/>
      <w:lvlText w:val=""/>
      <w:lvlJc w:val="left"/>
      <w:pPr>
        <w:ind w:left="6173" w:hanging="360"/>
      </w:pPr>
      <w:rPr>
        <w:rFonts w:ascii="Symbol" w:hAnsi="Symbol" w:hint="default"/>
      </w:rPr>
    </w:lvl>
    <w:lvl w:ilvl="1" w:tplc="569E6212">
      <w:start w:val="1"/>
      <w:numFmt w:val="decimal"/>
      <w:lvlText w:val="%2)"/>
      <w:lvlJc w:val="left"/>
      <w:pPr>
        <w:ind w:left="-259" w:hanging="1005"/>
      </w:pPr>
      <w:rPr>
        <w:rFonts w:hint="default"/>
      </w:rPr>
    </w:lvl>
    <w:lvl w:ilvl="2" w:tplc="0419001B" w:tentative="1">
      <w:start w:val="1"/>
      <w:numFmt w:val="lowerRoman"/>
      <w:lvlText w:val="%3."/>
      <w:lvlJc w:val="right"/>
      <w:pPr>
        <w:ind w:left="-184" w:hanging="180"/>
      </w:pPr>
    </w:lvl>
    <w:lvl w:ilvl="3" w:tplc="0419000F" w:tentative="1">
      <w:start w:val="1"/>
      <w:numFmt w:val="decimal"/>
      <w:lvlText w:val="%4."/>
      <w:lvlJc w:val="left"/>
      <w:pPr>
        <w:ind w:left="536" w:hanging="360"/>
      </w:pPr>
    </w:lvl>
    <w:lvl w:ilvl="4" w:tplc="04190019" w:tentative="1">
      <w:start w:val="1"/>
      <w:numFmt w:val="lowerLetter"/>
      <w:lvlText w:val="%5."/>
      <w:lvlJc w:val="left"/>
      <w:pPr>
        <w:ind w:left="1256" w:hanging="360"/>
      </w:pPr>
    </w:lvl>
    <w:lvl w:ilvl="5" w:tplc="0419001B" w:tentative="1">
      <w:start w:val="1"/>
      <w:numFmt w:val="lowerRoman"/>
      <w:lvlText w:val="%6."/>
      <w:lvlJc w:val="right"/>
      <w:pPr>
        <w:ind w:left="1976" w:hanging="180"/>
      </w:pPr>
    </w:lvl>
    <w:lvl w:ilvl="6" w:tplc="0419000F" w:tentative="1">
      <w:start w:val="1"/>
      <w:numFmt w:val="decimal"/>
      <w:lvlText w:val="%7."/>
      <w:lvlJc w:val="left"/>
      <w:pPr>
        <w:ind w:left="2696" w:hanging="360"/>
      </w:pPr>
    </w:lvl>
    <w:lvl w:ilvl="7" w:tplc="04190019" w:tentative="1">
      <w:start w:val="1"/>
      <w:numFmt w:val="lowerLetter"/>
      <w:lvlText w:val="%8."/>
      <w:lvlJc w:val="left"/>
      <w:pPr>
        <w:ind w:left="3416" w:hanging="360"/>
      </w:pPr>
    </w:lvl>
    <w:lvl w:ilvl="8" w:tplc="0419001B" w:tentative="1">
      <w:start w:val="1"/>
      <w:numFmt w:val="lowerRoman"/>
      <w:lvlText w:val="%9."/>
      <w:lvlJc w:val="right"/>
      <w:pPr>
        <w:ind w:left="4136" w:hanging="180"/>
      </w:pPr>
    </w:lvl>
  </w:abstractNum>
  <w:abstractNum w:abstractNumId="4">
    <w:nsid w:val="3E2F3F9D"/>
    <w:multiLevelType w:val="hybridMultilevel"/>
    <w:tmpl w:val="16700820"/>
    <w:lvl w:ilvl="0" w:tplc="1786D8AA">
      <w:start w:val="1"/>
      <w:numFmt w:val="decimal"/>
      <w:lvlText w:val="%1."/>
      <w:lvlJc w:val="left"/>
      <w:pPr>
        <w:ind w:left="1068" w:hanging="360"/>
      </w:pPr>
      <w:rPr>
        <w:rFonts w:ascii="Times New Roman" w:eastAsia="Times New Roman" w:hAnsi="Times New Roman" w:cs="Times New Roman"/>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nsid w:val="48011291"/>
    <w:multiLevelType w:val="hybridMultilevel"/>
    <w:tmpl w:val="4C025B12"/>
    <w:lvl w:ilvl="0" w:tplc="F448F76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4"/>
  </w:num>
  <w:num w:numId="3">
    <w:abstractNumId w:val="3"/>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EF5"/>
    <w:rsid w:val="000A086C"/>
    <w:rsid w:val="000F5445"/>
    <w:rsid w:val="00103C77"/>
    <w:rsid w:val="00104A8E"/>
    <w:rsid w:val="00117CFF"/>
    <w:rsid w:val="0013272A"/>
    <w:rsid w:val="00152409"/>
    <w:rsid w:val="0016305F"/>
    <w:rsid w:val="00163FE0"/>
    <w:rsid w:val="00183026"/>
    <w:rsid w:val="00191E1A"/>
    <w:rsid w:val="001924B8"/>
    <w:rsid w:val="00192F3A"/>
    <w:rsid w:val="001B4EF4"/>
    <w:rsid w:val="001D36FB"/>
    <w:rsid w:val="001E187B"/>
    <w:rsid w:val="002055D3"/>
    <w:rsid w:val="00234D95"/>
    <w:rsid w:val="00247EE2"/>
    <w:rsid w:val="00250274"/>
    <w:rsid w:val="00254B9E"/>
    <w:rsid w:val="0027703C"/>
    <w:rsid w:val="002A109A"/>
    <w:rsid w:val="002B5485"/>
    <w:rsid w:val="002C7015"/>
    <w:rsid w:val="002D4B93"/>
    <w:rsid w:val="002E0F16"/>
    <w:rsid w:val="002F1C48"/>
    <w:rsid w:val="0031137F"/>
    <w:rsid w:val="00333A5C"/>
    <w:rsid w:val="00342398"/>
    <w:rsid w:val="00383548"/>
    <w:rsid w:val="00390096"/>
    <w:rsid w:val="00393F04"/>
    <w:rsid w:val="00397C03"/>
    <w:rsid w:val="003C4827"/>
    <w:rsid w:val="003D468A"/>
    <w:rsid w:val="00413106"/>
    <w:rsid w:val="004157EB"/>
    <w:rsid w:val="00456328"/>
    <w:rsid w:val="004C09F5"/>
    <w:rsid w:val="004C79AA"/>
    <w:rsid w:val="004F3544"/>
    <w:rsid w:val="00514689"/>
    <w:rsid w:val="00541C19"/>
    <w:rsid w:val="00542F73"/>
    <w:rsid w:val="00565036"/>
    <w:rsid w:val="005743FE"/>
    <w:rsid w:val="00576567"/>
    <w:rsid w:val="0057675A"/>
    <w:rsid w:val="00576A60"/>
    <w:rsid w:val="00584056"/>
    <w:rsid w:val="0059069B"/>
    <w:rsid w:val="006138C3"/>
    <w:rsid w:val="0062235C"/>
    <w:rsid w:val="00624584"/>
    <w:rsid w:val="006346A7"/>
    <w:rsid w:val="0066273A"/>
    <w:rsid w:val="00672DF4"/>
    <w:rsid w:val="006958CC"/>
    <w:rsid w:val="006A312D"/>
    <w:rsid w:val="006B1E43"/>
    <w:rsid w:val="006D7487"/>
    <w:rsid w:val="00707DE7"/>
    <w:rsid w:val="0071116F"/>
    <w:rsid w:val="007122A2"/>
    <w:rsid w:val="0072013D"/>
    <w:rsid w:val="00724B4B"/>
    <w:rsid w:val="0073540E"/>
    <w:rsid w:val="00735D15"/>
    <w:rsid w:val="00736141"/>
    <w:rsid w:val="00747F8E"/>
    <w:rsid w:val="00755194"/>
    <w:rsid w:val="007C6D00"/>
    <w:rsid w:val="007E2DED"/>
    <w:rsid w:val="007E3F8E"/>
    <w:rsid w:val="007F3151"/>
    <w:rsid w:val="00813FA5"/>
    <w:rsid w:val="00875448"/>
    <w:rsid w:val="00897354"/>
    <w:rsid w:val="008A26CF"/>
    <w:rsid w:val="008A559D"/>
    <w:rsid w:val="008B5E8A"/>
    <w:rsid w:val="008D71F9"/>
    <w:rsid w:val="008E3172"/>
    <w:rsid w:val="008F530E"/>
    <w:rsid w:val="009039BA"/>
    <w:rsid w:val="00933030"/>
    <w:rsid w:val="009339C5"/>
    <w:rsid w:val="00944C42"/>
    <w:rsid w:val="00960D67"/>
    <w:rsid w:val="00972DB4"/>
    <w:rsid w:val="00976A30"/>
    <w:rsid w:val="00977C80"/>
    <w:rsid w:val="00995612"/>
    <w:rsid w:val="009A2932"/>
    <w:rsid w:val="009E2774"/>
    <w:rsid w:val="009F3B66"/>
    <w:rsid w:val="00A1549C"/>
    <w:rsid w:val="00A23893"/>
    <w:rsid w:val="00A31E63"/>
    <w:rsid w:val="00A4247F"/>
    <w:rsid w:val="00A47560"/>
    <w:rsid w:val="00A52E53"/>
    <w:rsid w:val="00A63180"/>
    <w:rsid w:val="00A65AFD"/>
    <w:rsid w:val="00A72FCB"/>
    <w:rsid w:val="00A950CF"/>
    <w:rsid w:val="00A9575D"/>
    <w:rsid w:val="00B07835"/>
    <w:rsid w:val="00B203A3"/>
    <w:rsid w:val="00B252FD"/>
    <w:rsid w:val="00B35DA7"/>
    <w:rsid w:val="00BA3388"/>
    <w:rsid w:val="00BB22BB"/>
    <w:rsid w:val="00BF3F99"/>
    <w:rsid w:val="00C028C5"/>
    <w:rsid w:val="00C61AA4"/>
    <w:rsid w:val="00C63385"/>
    <w:rsid w:val="00C7576A"/>
    <w:rsid w:val="00C97C57"/>
    <w:rsid w:val="00CA34B0"/>
    <w:rsid w:val="00CC1BC0"/>
    <w:rsid w:val="00CC52FD"/>
    <w:rsid w:val="00CE4B4B"/>
    <w:rsid w:val="00CF22FA"/>
    <w:rsid w:val="00CF6E39"/>
    <w:rsid w:val="00D06D62"/>
    <w:rsid w:val="00D14D17"/>
    <w:rsid w:val="00D2128F"/>
    <w:rsid w:val="00D33C34"/>
    <w:rsid w:val="00D56804"/>
    <w:rsid w:val="00D660A1"/>
    <w:rsid w:val="00D9450D"/>
    <w:rsid w:val="00D954F6"/>
    <w:rsid w:val="00D97039"/>
    <w:rsid w:val="00DA218D"/>
    <w:rsid w:val="00DB6ECE"/>
    <w:rsid w:val="00DC0425"/>
    <w:rsid w:val="00DD027A"/>
    <w:rsid w:val="00E02869"/>
    <w:rsid w:val="00E1087E"/>
    <w:rsid w:val="00E20F8F"/>
    <w:rsid w:val="00E30A9A"/>
    <w:rsid w:val="00E53E32"/>
    <w:rsid w:val="00E56B41"/>
    <w:rsid w:val="00E7677C"/>
    <w:rsid w:val="00E87F8C"/>
    <w:rsid w:val="00E9059E"/>
    <w:rsid w:val="00E91D10"/>
    <w:rsid w:val="00EB595A"/>
    <w:rsid w:val="00ED565D"/>
    <w:rsid w:val="00EF4211"/>
    <w:rsid w:val="00F11B55"/>
    <w:rsid w:val="00F24630"/>
    <w:rsid w:val="00F279D4"/>
    <w:rsid w:val="00F55534"/>
    <w:rsid w:val="00F5650A"/>
    <w:rsid w:val="00F60B69"/>
    <w:rsid w:val="00F645E9"/>
    <w:rsid w:val="00F7181D"/>
    <w:rsid w:val="00FB7EF5"/>
    <w:rsid w:val="00FD339B"/>
    <w:rsid w:val="00FD56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Bullet" w:uiPriority="2"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2">
    <w:name w:val="heading 2"/>
    <w:basedOn w:val="a0"/>
    <w:next w:val="a0"/>
    <w:link w:val="20"/>
    <w:qFormat/>
    <w:rsid w:val="006346A7"/>
    <w:pPr>
      <w:keepNext/>
      <w:spacing w:before="240" w:after="60" w:line="240" w:lineRule="auto"/>
      <w:ind w:firstLine="720"/>
      <w:jc w:val="both"/>
      <w:outlineLvl w:val="1"/>
    </w:pPr>
    <w:rPr>
      <w:rFonts w:ascii="Arial" w:eastAsia="Times New Roman" w:hAnsi="Arial" w:cs="Arial"/>
      <w:b/>
      <w:bCs/>
      <w:i/>
      <w:iCs/>
      <w:sz w:val="28"/>
      <w:szCs w:val="28"/>
    </w:rPr>
  </w:style>
  <w:style w:type="paragraph" w:styleId="3">
    <w:name w:val="heading 3"/>
    <w:basedOn w:val="a0"/>
    <w:next w:val="a0"/>
    <w:link w:val="30"/>
    <w:qFormat/>
    <w:rsid w:val="006346A7"/>
    <w:pPr>
      <w:keepNext/>
      <w:tabs>
        <w:tab w:val="num" w:pos="1800"/>
      </w:tabs>
      <w:spacing w:before="240" w:after="60" w:line="240" w:lineRule="auto"/>
      <w:ind w:left="1440"/>
      <w:outlineLvl w:val="2"/>
    </w:pPr>
    <w:rPr>
      <w:rFonts w:ascii="Arial" w:eastAsia="Times New Roman" w:hAnsi="Arial" w:cs="Arial"/>
      <w:b/>
      <w:bCs/>
      <w:sz w:val="26"/>
      <w:szCs w:val="26"/>
      <w:lang w:eastAsia="ru-RU"/>
    </w:rPr>
  </w:style>
  <w:style w:type="paragraph" w:styleId="4">
    <w:name w:val="heading 4"/>
    <w:basedOn w:val="a0"/>
    <w:next w:val="a0"/>
    <w:link w:val="40"/>
    <w:qFormat/>
    <w:rsid w:val="006346A7"/>
    <w:pPr>
      <w:keepNext/>
      <w:tabs>
        <w:tab w:val="num" w:pos="2520"/>
      </w:tabs>
      <w:spacing w:after="0" w:line="240" w:lineRule="auto"/>
      <w:ind w:left="2160"/>
      <w:jc w:val="right"/>
      <w:outlineLvl w:val="3"/>
    </w:pPr>
    <w:rPr>
      <w:rFonts w:ascii="Times New Roman" w:eastAsia="Times New Roman" w:hAnsi="Times New Roman" w:cs="Times New Roman"/>
      <w:i/>
      <w:iCs/>
      <w:color w:val="000000"/>
      <w:sz w:val="28"/>
      <w:szCs w:val="28"/>
      <w:lang w:eastAsia="ru-RU"/>
    </w:rPr>
  </w:style>
  <w:style w:type="paragraph" w:styleId="5">
    <w:name w:val="heading 5"/>
    <w:basedOn w:val="a0"/>
    <w:next w:val="a0"/>
    <w:link w:val="50"/>
    <w:qFormat/>
    <w:rsid w:val="006346A7"/>
    <w:pPr>
      <w:keepNext/>
      <w:tabs>
        <w:tab w:val="num" w:pos="3240"/>
      </w:tabs>
      <w:spacing w:after="0" w:line="240" w:lineRule="auto"/>
      <w:ind w:left="2880"/>
      <w:jc w:val="center"/>
      <w:outlineLvl w:val="4"/>
    </w:pPr>
    <w:rPr>
      <w:rFonts w:ascii="Times New Roman" w:eastAsia="Times New Roman" w:hAnsi="Times New Roman" w:cs="Times New Roman"/>
      <w:b/>
      <w:bCs/>
      <w:color w:val="000000"/>
      <w:sz w:val="40"/>
      <w:szCs w:val="40"/>
      <w:lang w:eastAsia="ru-RU"/>
    </w:rPr>
  </w:style>
  <w:style w:type="paragraph" w:styleId="6">
    <w:name w:val="heading 6"/>
    <w:basedOn w:val="a0"/>
    <w:next w:val="a0"/>
    <w:link w:val="60"/>
    <w:qFormat/>
    <w:rsid w:val="006346A7"/>
    <w:pPr>
      <w:tabs>
        <w:tab w:val="num" w:pos="3960"/>
      </w:tabs>
      <w:spacing w:before="240" w:after="60" w:line="240" w:lineRule="auto"/>
      <w:ind w:left="3600"/>
      <w:outlineLvl w:val="5"/>
    </w:pPr>
    <w:rPr>
      <w:rFonts w:ascii="Times New Roman" w:eastAsia="Times New Roman" w:hAnsi="Times New Roman" w:cs="Times New Roman"/>
      <w:b/>
      <w:bCs/>
      <w:lang w:eastAsia="ru-RU"/>
    </w:rPr>
  </w:style>
  <w:style w:type="paragraph" w:styleId="7">
    <w:name w:val="heading 7"/>
    <w:basedOn w:val="a0"/>
    <w:next w:val="a0"/>
    <w:link w:val="70"/>
    <w:qFormat/>
    <w:rsid w:val="006346A7"/>
    <w:pPr>
      <w:tabs>
        <w:tab w:val="num" w:pos="4680"/>
      </w:tabs>
      <w:spacing w:before="240" w:after="60" w:line="240" w:lineRule="auto"/>
      <w:ind w:left="4320"/>
      <w:outlineLvl w:val="6"/>
    </w:pPr>
    <w:rPr>
      <w:rFonts w:ascii="Times New Roman" w:eastAsia="Times New Roman" w:hAnsi="Times New Roman" w:cs="Times New Roman"/>
      <w:sz w:val="24"/>
      <w:szCs w:val="24"/>
      <w:lang w:eastAsia="ru-RU"/>
    </w:rPr>
  </w:style>
  <w:style w:type="paragraph" w:styleId="8">
    <w:name w:val="heading 8"/>
    <w:basedOn w:val="a0"/>
    <w:next w:val="a0"/>
    <w:link w:val="80"/>
    <w:qFormat/>
    <w:rsid w:val="006346A7"/>
    <w:pPr>
      <w:tabs>
        <w:tab w:val="num" w:pos="5400"/>
      </w:tabs>
      <w:spacing w:before="240" w:after="60" w:line="240" w:lineRule="auto"/>
      <w:ind w:left="5040"/>
      <w:outlineLvl w:val="7"/>
    </w:pPr>
    <w:rPr>
      <w:rFonts w:ascii="Times New Roman" w:eastAsia="Times New Roman" w:hAnsi="Times New Roman" w:cs="Times New Roman"/>
      <w:i/>
      <w:iCs/>
      <w:sz w:val="24"/>
      <w:szCs w:val="24"/>
      <w:lang w:eastAsia="ru-RU"/>
    </w:rPr>
  </w:style>
  <w:style w:type="paragraph" w:styleId="9">
    <w:name w:val="heading 9"/>
    <w:basedOn w:val="a0"/>
    <w:next w:val="a0"/>
    <w:link w:val="90"/>
    <w:qFormat/>
    <w:rsid w:val="006346A7"/>
    <w:pPr>
      <w:tabs>
        <w:tab w:val="num" w:pos="6120"/>
      </w:tabs>
      <w:spacing w:before="240" w:after="60" w:line="240" w:lineRule="auto"/>
      <w:ind w:left="5760"/>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aliases w:val="Обычный (Web)1,Знак Знак3,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 Знак4,Знак4 Знак"/>
    <w:basedOn w:val="a0"/>
    <w:link w:val="a5"/>
    <w:rsid w:val="00B252FD"/>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a5">
    <w:name w:val="Обычный (веб) Знак"/>
    <w:aliases w:val="Обычный (Web)1 Знак2,Знак Знак3 Знак2,Обычный (Web) Знак2,Обычный (веб) Знак1 Знак2,Обычный (веб) Знак Знак1 Знак2,Знак Знак1 Знак Знак3,Обычный (веб) Знак Знак Знак Знак3,Знак Знак1 Знак Знак Знак2,Знак Знак Знак Знак Знак Знак1"/>
    <w:link w:val="a4"/>
    <w:locked/>
    <w:rsid w:val="00B252FD"/>
    <w:rPr>
      <w:rFonts w:ascii="Times New Roman" w:eastAsia="Calibri" w:hAnsi="Times New Roman" w:cs="Times New Roman"/>
      <w:sz w:val="24"/>
      <w:szCs w:val="24"/>
      <w:lang w:eastAsia="ru-RU"/>
    </w:rPr>
  </w:style>
  <w:style w:type="character" w:customStyle="1" w:styleId="apple-converted-space">
    <w:name w:val="apple-converted-space"/>
    <w:basedOn w:val="a1"/>
    <w:rsid w:val="00B252FD"/>
  </w:style>
  <w:style w:type="paragraph" w:styleId="a6">
    <w:name w:val="List Paragraph"/>
    <w:basedOn w:val="a0"/>
    <w:uiPriority w:val="34"/>
    <w:qFormat/>
    <w:rsid w:val="00B252FD"/>
    <w:pPr>
      <w:ind w:left="720"/>
      <w:contextualSpacing/>
    </w:pPr>
  </w:style>
  <w:style w:type="table" w:styleId="a7">
    <w:name w:val="Table Grid"/>
    <w:basedOn w:val="a2"/>
    <w:rsid w:val="00D568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footnote reference"/>
    <w:aliases w:val="Footnote Reference Number,Footnote Reference_LVL6,Footnote Reference_LVL61,Footnote Reference_LVL62,Footnote Reference_LVL63,Footnote Reference_LVL64,fr,PIC Footnote Reference"/>
    <w:uiPriority w:val="99"/>
    <w:rsid w:val="008D71F9"/>
    <w:rPr>
      <w:vertAlign w:val="superscript"/>
    </w:rPr>
  </w:style>
  <w:style w:type="paragraph" w:styleId="a9">
    <w:name w:val="footnote text"/>
    <w:aliases w:val="Текст сноски-FN,single space,footnote text"/>
    <w:basedOn w:val="a0"/>
    <w:link w:val="aa"/>
    <w:uiPriority w:val="99"/>
    <w:rsid w:val="008D71F9"/>
    <w:pPr>
      <w:spacing w:after="0" w:line="240" w:lineRule="auto"/>
    </w:pPr>
    <w:rPr>
      <w:rFonts w:ascii="Times New Roman" w:eastAsia="Times New Roman" w:hAnsi="Times New Roman" w:cs="Times New Roman"/>
      <w:sz w:val="20"/>
      <w:szCs w:val="20"/>
      <w:lang w:eastAsia="ru-RU"/>
    </w:rPr>
  </w:style>
  <w:style w:type="character" w:customStyle="1" w:styleId="aa">
    <w:name w:val="Текст сноски Знак"/>
    <w:aliases w:val="Текст сноски-FN Знак1,single space Знак1,footnote text Знак"/>
    <w:basedOn w:val="a1"/>
    <w:link w:val="a9"/>
    <w:uiPriority w:val="99"/>
    <w:rsid w:val="008D71F9"/>
    <w:rPr>
      <w:rFonts w:ascii="Times New Roman" w:eastAsia="Times New Roman" w:hAnsi="Times New Roman" w:cs="Times New Roman"/>
      <w:sz w:val="20"/>
      <w:szCs w:val="20"/>
      <w:lang w:eastAsia="ru-RU"/>
    </w:rPr>
  </w:style>
  <w:style w:type="character" w:customStyle="1" w:styleId="20">
    <w:name w:val="Заголовок 2 Знак"/>
    <w:basedOn w:val="a1"/>
    <w:link w:val="2"/>
    <w:rsid w:val="006346A7"/>
    <w:rPr>
      <w:rFonts w:ascii="Arial" w:eastAsia="Times New Roman" w:hAnsi="Arial" w:cs="Arial"/>
      <w:b/>
      <w:bCs/>
      <w:i/>
      <w:iCs/>
      <w:sz w:val="28"/>
      <w:szCs w:val="28"/>
    </w:rPr>
  </w:style>
  <w:style w:type="character" w:customStyle="1" w:styleId="30">
    <w:name w:val="Заголовок 3 Знак"/>
    <w:basedOn w:val="a1"/>
    <w:link w:val="3"/>
    <w:rsid w:val="006346A7"/>
    <w:rPr>
      <w:rFonts w:ascii="Arial" w:eastAsia="Times New Roman" w:hAnsi="Arial" w:cs="Arial"/>
      <w:b/>
      <w:bCs/>
      <w:sz w:val="26"/>
      <w:szCs w:val="26"/>
      <w:lang w:eastAsia="ru-RU"/>
    </w:rPr>
  </w:style>
  <w:style w:type="character" w:customStyle="1" w:styleId="40">
    <w:name w:val="Заголовок 4 Знак"/>
    <w:basedOn w:val="a1"/>
    <w:link w:val="4"/>
    <w:rsid w:val="006346A7"/>
    <w:rPr>
      <w:rFonts w:ascii="Times New Roman" w:eastAsia="Times New Roman" w:hAnsi="Times New Roman" w:cs="Times New Roman"/>
      <w:i/>
      <w:iCs/>
      <w:color w:val="000000"/>
      <w:sz w:val="28"/>
      <w:szCs w:val="28"/>
      <w:lang w:eastAsia="ru-RU"/>
    </w:rPr>
  </w:style>
  <w:style w:type="character" w:customStyle="1" w:styleId="50">
    <w:name w:val="Заголовок 5 Знак"/>
    <w:basedOn w:val="a1"/>
    <w:link w:val="5"/>
    <w:rsid w:val="006346A7"/>
    <w:rPr>
      <w:rFonts w:ascii="Times New Roman" w:eastAsia="Times New Roman" w:hAnsi="Times New Roman" w:cs="Times New Roman"/>
      <w:b/>
      <w:bCs/>
      <w:color w:val="000000"/>
      <w:sz w:val="40"/>
      <w:szCs w:val="40"/>
      <w:lang w:eastAsia="ru-RU"/>
    </w:rPr>
  </w:style>
  <w:style w:type="character" w:customStyle="1" w:styleId="60">
    <w:name w:val="Заголовок 6 Знак"/>
    <w:basedOn w:val="a1"/>
    <w:link w:val="6"/>
    <w:rsid w:val="006346A7"/>
    <w:rPr>
      <w:rFonts w:ascii="Times New Roman" w:eastAsia="Times New Roman" w:hAnsi="Times New Roman" w:cs="Times New Roman"/>
      <w:b/>
      <w:bCs/>
      <w:lang w:eastAsia="ru-RU"/>
    </w:rPr>
  </w:style>
  <w:style w:type="character" w:customStyle="1" w:styleId="70">
    <w:name w:val="Заголовок 7 Знак"/>
    <w:basedOn w:val="a1"/>
    <w:link w:val="7"/>
    <w:rsid w:val="006346A7"/>
    <w:rPr>
      <w:rFonts w:ascii="Times New Roman" w:eastAsia="Times New Roman" w:hAnsi="Times New Roman" w:cs="Times New Roman"/>
      <w:sz w:val="24"/>
      <w:szCs w:val="24"/>
      <w:lang w:eastAsia="ru-RU"/>
    </w:rPr>
  </w:style>
  <w:style w:type="character" w:customStyle="1" w:styleId="80">
    <w:name w:val="Заголовок 8 Знак"/>
    <w:basedOn w:val="a1"/>
    <w:link w:val="8"/>
    <w:rsid w:val="006346A7"/>
    <w:rPr>
      <w:rFonts w:ascii="Times New Roman" w:eastAsia="Times New Roman" w:hAnsi="Times New Roman" w:cs="Times New Roman"/>
      <w:i/>
      <w:iCs/>
      <w:sz w:val="24"/>
      <w:szCs w:val="24"/>
      <w:lang w:eastAsia="ru-RU"/>
    </w:rPr>
  </w:style>
  <w:style w:type="character" w:customStyle="1" w:styleId="90">
    <w:name w:val="Заголовок 9 Знак"/>
    <w:basedOn w:val="a1"/>
    <w:link w:val="9"/>
    <w:rsid w:val="006346A7"/>
    <w:rPr>
      <w:rFonts w:ascii="Arial" w:eastAsia="Times New Roman" w:hAnsi="Arial" w:cs="Arial"/>
      <w:lang w:eastAsia="ru-RU"/>
    </w:rPr>
  </w:style>
  <w:style w:type="paragraph" w:customStyle="1" w:styleId="ab">
    <w:name w:val="Знак"/>
    <w:basedOn w:val="a0"/>
    <w:autoRedefine/>
    <w:rsid w:val="006346A7"/>
    <w:pPr>
      <w:spacing w:after="160" w:line="240" w:lineRule="exact"/>
    </w:pPr>
    <w:rPr>
      <w:rFonts w:ascii="Times New Roman" w:eastAsia="Times New Roman" w:hAnsi="Times New Roman" w:cs="Times New Roman"/>
      <w:sz w:val="28"/>
      <w:szCs w:val="20"/>
      <w:lang w:val="en-US"/>
    </w:rPr>
  </w:style>
  <w:style w:type="character" w:customStyle="1" w:styleId="s1">
    <w:name w:val="s1"/>
    <w:rsid w:val="006346A7"/>
    <w:rPr>
      <w:rFonts w:ascii="Times New Roman" w:hAnsi="Times New Roman" w:cs="Times New Roman" w:hint="default"/>
      <w:b/>
      <w:bCs/>
      <w:i w:val="0"/>
      <w:iCs w:val="0"/>
      <w:strike w:val="0"/>
      <w:dstrike w:val="0"/>
      <w:color w:val="000000"/>
      <w:sz w:val="20"/>
      <w:szCs w:val="20"/>
      <w:u w:val="none"/>
      <w:effect w:val="none"/>
    </w:rPr>
  </w:style>
  <w:style w:type="paragraph" w:customStyle="1" w:styleId="1">
    <w:name w:val="Знак Знак Знак1 Знак Знак Знак Знак Знак Знак"/>
    <w:basedOn w:val="a0"/>
    <w:next w:val="2"/>
    <w:autoRedefine/>
    <w:rsid w:val="006346A7"/>
    <w:pPr>
      <w:spacing w:after="160" w:line="240" w:lineRule="auto"/>
      <w:ind w:firstLine="720"/>
      <w:jc w:val="both"/>
    </w:pPr>
    <w:rPr>
      <w:rFonts w:ascii="Times New Roman" w:eastAsia="Times New Roman" w:hAnsi="Times New Roman" w:cs="Times New Roman"/>
      <w:sz w:val="28"/>
      <w:szCs w:val="28"/>
      <w:lang w:val="en-US"/>
    </w:rPr>
  </w:style>
  <w:style w:type="paragraph" w:customStyle="1" w:styleId="ac">
    <w:name w:val="Инфляционный обзор_обычный"/>
    <w:basedOn w:val="a0"/>
    <w:rsid w:val="006346A7"/>
    <w:pPr>
      <w:spacing w:after="0" w:line="240" w:lineRule="auto"/>
      <w:ind w:firstLine="720"/>
      <w:jc w:val="both"/>
    </w:pPr>
    <w:rPr>
      <w:rFonts w:ascii="Times New Roman" w:eastAsia="Times New Roman" w:hAnsi="Times New Roman" w:cs="Times New Roman"/>
      <w:sz w:val="24"/>
      <w:szCs w:val="20"/>
      <w:lang w:eastAsia="ru-RU"/>
    </w:rPr>
  </w:style>
  <w:style w:type="paragraph" w:styleId="ad">
    <w:name w:val="Body Text Indent"/>
    <w:basedOn w:val="a0"/>
    <w:link w:val="ae"/>
    <w:rsid w:val="006346A7"/>
    <w:pPr>
      <w:spacing w:after="120" w:line="240" w:lineRule="auto"/>
      <w:ind w:left="283"/>
    </w:pPr>
    <w:rPr>
      <w:rFonts w:ascii="Times New Roman" w:eastAsia="Times New Roman" w:hAnsi="Times New Roman" w:cs="Times New Roman"/>
      <w:sz w:val="24"/>
      <w:szCs w:val="24"/>
      <w:lang w:eastAsia="ru-RU"/>
    </w:rPr>
  </w:style>
  <w:style w:type="character" w:customStyle="1" w:styleId="ae">
    <w:name w:val="Основной текст с отступом Знак"/>
    <w:basedOn w:val="a1"/>
    <w:link w:val="ad"/>
    <w:rsid w:val="006346A7"/>
    <w:rPr>
      <w:rFonts w:ascii="Times New Roman" w:eastAsia="Times New Roman" w:hAnsi="Times New Roman" w:cs="Times New Roman"/>
      <w:sz w:val="24"/>
      <w:szCs w:val="24"/>
      <w:lang w:eastAsia="ru-RU"/>
    </w:rPr>
  </w:style>
  <w:style w:type="paragraph" w:customStyle="1" w:styleId="CharChar1">
    <w:name w:val="Char Char1"/>
    <w:basedOn w:val="a0"/>
    <w:next w:val="2"/>
    <w:autoRedefine/>
    <w:rsid w:val="006346A7"/>
    <w:pPr>
      <w:spacing w:after="160" w:line="240" w:lineRule="auto"/>
      <w:ind w:firstLine="720"/>
      <w:jc w:val="both"/>
    </w:pPr>
    <w:rPr>
      <w:rFonts w:ascii="Times New Roman" w:eastAsia="Times New Roman" w:hAnsi="Times New Roman" w:cs="Times New Roman"/>
      <w:sz w:val="28"/>
      <w:szCs w:val="28"/>
      <w:lang w:val="en-US"/>
    </w:rPr>
  </w:style>
  <w:style w:type="paragraph" w:customStyle="1" w:styleId="af">
    <w:name w:val="Знак Знак Знак Знак Знак Знак"/>
    <w:basedOn w:val="a0"/>
    <w:autoRedefine/>
    <w:rsid w:val="006346A7"/>
    <w:pPr>
      <w:spacing w:after="160" w:line="240" w:lineRule="exact"/>
    </w:pPr>
    <w:rPr>
      <w:rFonts w:ascii="Times New Roman" w:eastAsia="Times New Roman" w:hAnsi="Times New Roman" w:cs="Times New Roman"/>
      <w:sz w:val="28"/>
      <w:szCs w:val="20"/>
      <w:lang w:val="en-US"/>
    </w:rPr>
  </w:style>
  <w:style w:type="paragraph" w:customStyle="1" w:styleId="10">
    <w:name w:val="Знак Знак Знак1 Знак Знак Знак Знак Знак Знак"/>
    <w:basedOn w:val="a0"/>
    <w:next w:val="2"/>
    <w:autoRedefine/>
    <w:rsid w:val="006346A7"/>
    <w:pPr>
      <w:spacing w:after="160" w:line="240" w:lineRule="auto"/>
      <w:ind w:firstLine="720"/>
      <w:jc w:val="both"/>
    </w:pPr>
    <w:rPr>
      <w:rFonts w:ascii="Times New Roman" w:eastAsia="Times New Roman" w:hAnsi="Times New Roman" w:cs="Times New Roman"/>
      <w:sz w:val="28"/>
      <w:szCs w:val="28"/>
      <w:lang w:val="en-US"/>
    </w:rPr>
  </w:style>
  <w:style w:type="character" w:customStyle="1" w:styleId="s0">
    <w:name w:val="s0"/>
    <w:rsid w:val="006346A7"/>
    <w:rPr>
      <w:rFonts w:ascii="Times New Roman" w:hAnsi="Times New Roman" w:cs="Times New Roman" w:hint="default"/>
      <w:b w:val="0"/>
      <w:bCs w:val="0"/>
      <w:i w:val="0"/>
      <w:iCs w:val="0"/>
      <w:strike w:val="0"/>
      <w:dstrike w:val="0"/>
      <w:color w:val="000000"/>
      <w:sz w:val="20"/>
      <w:szCs w:val="20"/>
      <w:u w:val="none"/>
      <w:effect w:val="none"/>
    </w:rPr>
  </w:style>
  <w:style w:type="character" w:styleId="af0">
    <w:name w:val="Hyperlink"/>
    <w:rsid w:val="006346A7"/>
    <w:rPr>
      <w:color w:val="0000FF"/>
      <w:u w:val="single"/>
    </w:rPr>
  </w:style>
  <w:style w:type="paragraph" w:customStyle="1" w:styleId="11">
    <w:name w:val="Стиль1"/>
    <w:basedOn w:val="a0"/>
    <w:rsid w:val="006346A7"/>
    <w:pPr>
      <w:autoSpaceDE w:val="0"/>
      <w:autoSpaceDN w:val="0"/>
      <w:spacing w:after="0" w:line="240" w:lineRule="auto"/>
      <w:jc w:val="both"/>
    </w:pPr>
    <w:rPr>
      <w:rFonts w:ascii="Times New Roman" w:eastAsia="Times New Roman" w:hAnsi="Times New Roman" w:cs="Arial"/>
      <w:color w:val="000000"/>
      <w:sz w:val="28"/>
      <w:szCs w:val="24"/>
      <w:lang w:eastAsia="ru-RU"/>
    </w:rPr>
  </w:style>
  <w:style w:type="paragraph" w:customStyle="1" w:styleId="af1">
    <w:name w:val="Знак Знак Знак Знак Знак Знак Знак Знак Знак Знак Знак Знак Знак"/>
    <w:basedOn w:val="a0"/>
    <w:autoRedefine/>
    <w:rsid w:val="006346A7"/>
    <w:pPr>
      <w:spacing w:after="160" w:line="240" w:lineRule="exact"/>
    </w:pPr>
    <w:rPr>
      <w:rFonts w:ascii="Times New Roman" w:eastAsia="Times New Roman" w:hAnsi="Times New Roman" w:cs="Times New Roman"/>
      <w:sz w:val="28"/>
      <w:szCs w:val="20"/>
      <w:lang w:val="en-US"/>
    </w:rPr>
  </w:style>
  <w:style w:type="paragraph" w:customStyle="1" w:styleId="61">
    <w:name w:val="Стиль6"/>
    <w:basedOn w:val="a0"/>
    <w:rsid w:val="006346A7"/>
    <w:pPr>
      <w:keepNext/>
      <w:spacing w:after="0" w:line="240" w:lineRule="auto"/>
      <w:jc w:val="both"/>
      <w:outlineLvl w:val="1"/>
    </w:pPr>
    <w:rPr>
      <w:rFonts w:ascii="Times New Roman" w:eastAsia="Times New Roman" w:hAnsi="Times New Roman" w:cs="Arial"/>
      <w:bCs/>
      <w:iCs/>
      <w:color w:val="000000"/>
      <w:sz w:val="28"/>
      <w:szCs w:val="28"/>
      <w:lang w:eastAsia="ru-RU"/>
    </w:rPr>
  </w:style>
  <w:style w:type="paragraph" w:styleId="af2">
    <w:name w:val="header"/>
    <w:basedOn w:val="a0"/>
    <w:link w:val="af3"/>
    <w:uiPriority w:val="99"/>
    <w:rsid w:val="006346A7"/>
    <w:pPr>
      <w:tabs>
        <w:tab w:val="center" w:pos="4677"/>
        <w:tab w:val="right" w:pos="9355"/>
      </w:tabs>
      <w:spacing w:after="0" w:line="240" w:lineRule="auto"/>
      <w:ind w:firstLine="720"/>
      <w:jc w:val="both"/>
    </w:pPr>
    <w:rPr>
      <w:rFonts w:ascii="Calibri" w:eastAsia="Times New Roman" w:hAnsi="Calibri" w:cs="Times New Roman"/>
    </w:rPr>
  </w:style>
  <w:style w:type="character" w:customStyle="1" w:styleId="af3">
    <w:name w:val="Верхний колонтитул Знак"/>
    <w:basedOn w:val="a1"/>
    <w:link w:val="af2"/>
    <w:uiPriority w:val="99"/>
    <w:rsid w:val="006346A7"/>
    <w:rPr>
      <w:rFonts w:ascii="Calibri" w:eastAsia="Times New Roman" w:hAnsi="Calibri" w:cs="Times New Roman"/>
    </w:rPr>
  </w:style>
  <w:style w:type="character" w:styleId="af4">
    <w:name w:val="page number"/>
    <w:basedOn w:val="a1"/>
    <w:rsid w:val="006346A7"/>
  </w:style>
  <w:style w:type="paragraph" w:styleId="af5">
    <w:name w:val="footer"/>
    <w:basedOn w:val="a0"/>
    <w:link w:val="af6"/>
    <w:rsid w:val="006346A7"/>
    <w:pPr>
      <w:tabs>
        <w:tab w:val="center" w:pos="4677"/>
        <w:tab w:val="right" w:pos="9355"/>
      </w:tabs>
      <w:spacing w:after="0" w:line="240" w:lineRule="auto"/>
      <w:ind w:firstLine="720"/>
      <w:jc w:val="both"/>
    </w:pPr>
    <w:rPr>
      <w:rFonts w:ascii="Calibri" w:eastAsia="Times New Roman" w:hAnsi="Calibri" w:cs="Times New Roman"/>
    </w:rPr>
  </w:style>
  <w:style w:type="character" w:customStyle="1" w:styleId="af6">
    <w:name w:val="Нижний колонтитул Знак"/>
    <w:basedOn w:val="a1"/>
    <w:link w:val="af5"/>
    <w:rsid w:val="006346A7"/>
    <w:rPr>
      <w:rFonts w:ascii="Calibri" w:eastAsia="Times New Roman" w:hAnsi="Calibri" w:cs="Times New Roman"/>
    </w:rPr>
  </w:style>
  <w:style w:type="paragraph" w:customStyle="1" w:styleId="12">
    <w:name w:val="Знак Знак Знак1 Знак Знак Знак Знак Знак Знак Знак Знак Знак Знак"/>
    <w:basedOn w:val="a0"/>
    <w:autoRedefine/>
    <w:rsid w:val="006346A7"/>
    <w:pPr>
      <w:spacing w:after="160" w:line="240" w:lineRule="exact"/>
    </w:pPr>
    <w:rPr>
      <w:rFonts w:ascii="Times New Roman" w:eastAsia="SimSun" w:hAnsi="Times New Roman" w:cs="Times New Roman"/>
      <w:b/>
      <w:bCs/>
      <w:sz w:val="28"/>
      <w:szCs w:val="28"/>
      <w:lang w:val="en-US"/>
    </w:rPr>
  </w:style>
  <w:style w:type="paragraph" w:customStyle="1" w:styleId="13">
    <w:name w:val="Знак Знак Знак Знак Знак Знак1 Знак"/>
    <w:basedOn w:val="a0"/>
    <w:autoRedefine/>
    <w:rsid w:val="006346A7"/>
    <w:pPr>
      <w:spacing w:after="160" w:line="240" w:lineRule="exact"/>
    </w:pPr>
    <w:rPr>
      <w:rFonts w:ascii="Times New Roman" w:eastAsia="SimSun" w:hAnsi="Times New Roman" w:cs="Times New Roman"/>
      <w:b/>
      <w:sz w:val="28"/>
      <w:szCs w:val="24"/>
      <w:lang w:val="en-US"/>
    </w:rPr>
  </w:style>
  <w:style w:type="paragraph" w:customStyle="1" w:styleId="af7">
    <w:name w:val="Знак Знак Знак Знак"/>
    <w:basedOn w:val="a0"/>
    <w:autoRedefine/>
    <w:rsid w:val="006346A7"/>
    <w:pPr>
      <w:spacing w:after="160" w:line="240" w:lineRule="exact"/>
    </w:pPr>
    <w:rPr>
      <w:rFonts w:ascii="Times New Roman" w:eastAsia="SimSun" w:hAnsi="Times New Roman" w:cs="Times New Roman"/>
      <w:b/>
      <w:sz w:val="28"/>
      <w:szCs w:val="24"/>
      <w:lang w:val="en-US"/>
    </w:rPr>
  </w:style>
  <w:style w:type="paragraph" w:customStyle="1" w:styleId="14">
    <w:name w:val="Абзац списка1"/>
    <w:basedOn w:val="a0"/>
    <w:rsid w:val="006346A7"/>
    <w:pPr>
      <w:spacing w:after="0" w:line="240" w:lineRule="auto"/>
      <w:ind w:left="720"/>
      <w:contextualSpacing/>
    </w:pPr>
    <w:rPr>
      <w:rFonts w:ascii="Times New Roman" w:eastAsia="Times New Roman" w:hAnsi="Times New Roman" w:cs="Times New Roman"/>
      <w:sz w:val="28"/>
    </w:rPr>
  </w:style>
  <w:style w:type="character" w:customStyle="1" w:styleId="Web1">
    <w:name w:val="Обычный (Web)1 Знак"/>
    <w:aliases w:val="Знак Знак3 Знак,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Знак4 Зна Знак"/>
    <w:locked/>
    <w:rsid w:val="006346A7"/>
    <w:rPr>
      <w:rFonts w:eastAsia="Calibri"/>
      <w:sz w:val="24"/>
      <w:szCs w:val="24"/>
      <w:lang w:val="ru-RU" w:eastAsia="ru-RU" w:bidi="ar-SA"/>
    </w:rPr>
  </w:style>
  <w:style w:type="character" w:customStyle="1" w:styleId="FootnoteTextChar">
    <w:name w:val="Footnote Text Char"/>
    <w:aliases w:val="Текст сноски-FN Char,single space Char,footnote text Char"/>
    <w:locked/>
    <w:rsid w:val="006346A7"/>
    <w:rPr>
      <w:rFonts w:ascii="Calibri" w:hAnsi="Calibri"/>
      <w:lang w:val="ru-RU" w:eastAsia="ru-RU" w:bidi="ar-SA"/>
    </w:rPr>
  </w:style>
  <w:style w:type="paragraph" w:styleId="af8">
    <w:name w:val="Body Text"/>
    <w:aliases w:val="gl,Body3,paragraph 2,paragraph 21,L1 Body Text"/>
    <w:basedOn w:val="a0"/>
    <w:link w:val="af9"/>
    <w:rsid w:val="006346A7"/>
    <w:pPr>
      <w:widowControl w:val="0"/>
      <w:spacing w:after="120" w:line="240" w:lineRule="auto"/>
      <w:jc w:val="both"/>
    </w:pPr>
    <w:rPr>
      <w:rFonts w:ascii="Times New Roman" w:eastAsia="Times New Roman" w:hAnsi="Times New Roman" w:cs="Times New Roman"/>
      <w:sz w:val="28"/>
      <w:szCs w:val="20"/>
      <w:lang w:eastAsia="ru-RU"/>
    </w:rPr>
  </w:style>
  <w:style w:type="character" w:customStyle="1" w:styleId="af9">
    <w:name w:val="Основной текст Знак"/>
    <w:aliases w:val="gl Знак,Body3 Знак,paragraph 2 Знак,paragraph 21 Знак,L1 Body Text Знак"/>
    <w:basedOn w:val="a1"/>
    <w:link w:val="af8"/>
    <w:rsid w:val="006346A7"/>
    <w:rPr>
      <w:rFonts w:ascii="Times New Roman" w:eastAsia="Times New Roman" w:hAnsi="Times New Roman" w:cs="Times New Roman"/>
      <w:sz w:val="28"/>
      <w:szCs w:val="20"/>
      <w:lang w:eastAsia="ru-RU"/>
    </w:rPr>
  </w:style>
  <w:style w:type="character" w:customStyle="1" w:styleId="Web11">
    <w:name w:val="Обычный (Web)1 Знак1"/>
    <w:aliases w:val="Знак Знак3 Знак1,Обычный (Web) Знак1,Обычный (веб) Знак1 Знак1,Обычный (веб) Знак Знак1 Знак1,Знак Знак1 Знак Знак2,Обычный (веб) Знак Знак Знак Знак2,Знак Знак1 Знак Знак Знак1,Обычный (веб) Знак Знак Знак Знак Знак1, Знак4 Знак"/>
    <w:locked/>
    <w:rsid w:val="006346A7"/>
    <w:rPr>
      <w:rFonts w:eastAsia="Calibri"/>
      <w:sz w:val="24"/>
      <w:szCs w:val="24"/>
      <w:lang w:val="ru-RU" w:eastAsia="ru-RU" w:bidi="ar-SA"/>
    </w:rPr>
  </w:style>
  <w:style w:type="paragraph" w:styleId="afa">
    <w:name w:val="Balloon Text"/>
    <w:basedOn w:val="a0"/>
    <w:link w:val="afb"/>
    <w:semiHidden/>
    <w:rsid w:val="006346A7"/>
    <w:pPr>
      <w:spacing w:after="0" w:line="240" w:lineRule="auto"/>
      <w:jc w:val="both"/>
    </w:pPr>
    <w:rPr>
      <w:rFonts w:ascii="Tahoma" w:eastAsia="Calibri" w:hAnsi="Tahoma" w:cs="Tahoma"/>
      <w:sz w:val="16"/>
      <w:szCs w:val="16"/>
    </w:rPr>
  </w:style>
  <w:style w:type="character" w:customStyle="1" w:styleId="afb">
    <w:name w:val="Текст выноски Знак"/>
    <w:basedOn w:val="a1"/>
    <w:link w:val="afa"/>
    <w:semiHidden/>
    <w:rsid w:val="006346A7"/>
    <w:rPr>
      <w:rFonts w:ascii="Tahoma" w:eastAsia="Calibri" w:hAnsi="Tahoma" w:cs="Tahoma"/>
      <w:sz w:val="16"/>
      <w:szCs w:val="16"/>
    </w:rPr>
  </w:style>
  <w:style w:type="character" w:customStyle="1" w:styleId="afc">
    <w:name w:val="Название Знак"/>
    <w:link w:val="afd"/>
    <w:locked/>
    <w:rsid w:val="006346A7"/>
    <w:rPr>
      <w:lang w:eastAsia="ru-RU"/>
    </w:rPr>
  </w:style>
  <w:style w:type="paragraph" w:styleId="afe">
    <w:name w:val="No Spacing"/>
    <w:qFormat/>
    <w:rsid w:val="006346A7"/>
    <w:pPr>
      <w:spacing w:after="0" w:line="240" w:lineRule="auto"/>
    </w:pPr>
    <w:rPr>
      <w:rFonts w:ascii="Calibri" w:eastAsia="Calibri" w:hAnsi="Calibri" w:cs="Times New Roman"/>
    </w:rPr>
  </w:style>
  <w:style w:type="paragraph" w:customStyle="1" w:styleId="aff">
    <w:name w:val="?????"/>
    <w:basedOn w:val="a0"/>
    <w:rsid w:val="006346A7"/>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paragraph" w:styleId="aff0">
    <w:name w:val="endnote text"/>
    <w:basedOn w:val="a0"/>
    <w:link w:val="aff1"/>
    <w:semiHidden/>
    <w:rsid w:val="006346A7"/>
    <w:pPr>
      <w:spacing w:after="0" w:line="240" w:lineRule="auto"/>
      <w:ind w:firstLine="720"/>
      <w:jc w:val="both"/>
    </w:pPr>
    <w:rPr>
      <w:rFonts w:ascii="Calibri" w:eastAsia="Times New Roman" w:hAnsi="Calibri" w:cs="Times New Roman"/>
      <w:sz w:val="20"/>
      <w:szCs w:val="20"/>
    </w:rPr>
  </w:style>
  <w:style w:type="character" w:customStyle="1" w:styleId="aff1">
    <w:name w:val="Текст концевой сноски Знак"/>
    <w:basedOn w:val="a1"/>
    <w:link w:val="aff0"/>
    <w:semiHidden/>
    <w:rsid w:val="006346A7"/>
    <w:rPr>
      <w:rFonts w:ascii="Calibri" w:eastAsia="Times New Roman" w:hAnsi="Calibri" w:cs="Times New Roman"/>
      <w:sz w:val="20"/>
      <w:szCs w:val="20"/>
    </w:rPr>
  </w:style>
  <w:style w:type="character" w:styleId="aff2">
    <w:name w:val="endnote reference"/>
    <w:semiHidden/>
    <w:rsid w:val="006346A7"/>
    <w:rPr>
      <w:vertAlign w:val="superscript"/>
    </w:rPr>
  </w:style>
  <w:style w:type="paragraph" w:styleId="aff3">
    <w:name w:val="Plain Text"/>
    <w:basedOn w:val="a0"/>
    <w:link w:val="aff4"/>
    <w:unhideWhenUsed/>
    <w:rsid w:val="006346A7"/>
    <w:pPr>
      <w:spacing w:after="0" w:line="240" w:lineRule="auto"/>
    </w:pPr>
    <w:rPr>
      <w:rFonts w:ascii="Calibri" w:eastAsia="Calibri" w:hAnsi="Calibri" w:cs="Times New Roman"/>
      <w:szCs w:val="21"/>
    </w:rPr>
  </w:style>
  <w:style w:type="character" w:customStyle="1" w:styleId="aff4">
    <w:name w:val="Текст Знак"/>
    <w:basedOn w:val="a1"/>
    <w:link w:val="aff3"/>
    <w:rsid w:val="006346A7"/>
    <w:rPr>
      <w:rFonts w:ascii="Calibri" w:eastAsia="Calibri" w:hAnsi="Calibri" w:cs="Times New Roman"/>
      <w:szCs w:val="21"/>
    </w:rPr>
  </w:style>
  <w:style w:type="paragraph" w:styleId="21">
    <w:name w:val="Quote"/>
    <w:basedOn w:val="a0"/>
    <w:next w:val="a0"/>
    <w:link w:val="22"/>
    <w:qFormat/>
    <w:rsid w:val="006346A7"/>
    <w:pPr>
      <w:spacing w:after="0" w:line="240" w:lineRule="auto"/>
      <w:ind w:firstLine="720"/>
      <w:jc w:val="both"/>
    </w:pPr>
    <w:rPr>
      <w:rFonts w:ascii="Calibri" w:eastAsia="Times New Roman" w:hAnsi="Calibri" w:cs="Times New Roman"/>
      <w:i/>
      <w:iCs/>
      <w:color w:val="000000"/>
    </w:rPr>
  </w:style>
  <w:style w:type="character" w:customStyle="1" w:styleId="22">
    <w:name w:val="Цитата 2 Знак"/>
    <w:basedOn w:val="a1"/>
    <w:link w:val="21"/>
    <w:rsid w:val="006346A7"/>
    <w:rPr>
      <w:rFonts w:ascii="Calibri" w:eastAsia="Times New Roman" w:hAnsi="Calibri" w:cs="Times New Roman"/>
      <w:i/>
      <w:iCs/>
      <w:color w:val="000000"/>
    </w:rPr>
  </w:style>
  <w:style w:type="character" w:customStyle="1" w:styleId="-FN">
    <w:name w:val="Текст сноски-FN Знак"/>
    <w:aliases w:val="single space Знак,footnote text Знак Знак"/>
    <w:locked/>
    <w:rsid w:val="006346A7"/>
    <w:rPr>
      <w:lang w:val="ru-RU" w:eastAsia="ru-RU" w:bidi="ar-SA"/>
    </w:rPr>
  </w:style>
  <w:style w:type="paragraph" w:styleId="afd">
    <w:name w:val="Title"/>
    <w:basedOn w:val="a0"/>
    <w:link w:val="afc"/>
    <w:qFormat/>
    <w:rsid w:val="006346A7"/>
    <w:pPr>
      <w:spacing w:after="0" w:line="240" w:lineRule="auto"/>
      <w:jc w:val="center"/>
    </w:pPr>
    <w:rPr>
      <w:lang w:eastAsia="ru-RU"/>
    </w:rPr>
  </w:style>
  <w:style w:type="character" w:customStyle="1" w:styleId="15">
    <w:name w:val="Название Знак1"/>
    <w:basedOn w:val="a1"/>
    <w:uiPriority w:val="10"/>
    <w:rsid w:val="006346A7"/>
    <w:rPr>
      <w:rFonts w:asciiTheme="majorHAnsi" w:eastAsiaTheme="majorEastAsia" w:hAnsiTheme="majorHAnsi" w:cstheme="majorBidi"/>
      <w:color w:val="17365D" w:themeColor="text2" w:themeShade="BF"/>
      <w:spacing w:val="5"/>
      <w:kern w:val="28"/>
      <w:sz w:val="52"/>
      <w:szCs w:val="52"/>
    </w:rPr>
  </w:style>
  <w:style w:type="paragraph" w:styleId="23">
    <w:name w:val="Body Text Indent 2"/>
    <w:basedOn w:val="a0"/>
    <w:link w:val="24"/>
    <w:rsid w:val="006346A7"/>
    <w:pPr>
      <w:spacing w:after="120" w:line="480" w:lineRule="auto"/>
      <w:ind w:left="283" w:firstLine="720"/>
      <w:jc w:val="both"/>
    </w:pPr>
    <w:rPr>
      <w:rFonts w:ascii="Calibri" w:eastAsia="Times New Roman" w:hAnsi="Calibri" w:cs="Times New Roman"/>
    </w:rPr>
  </w:style>
  <w:style w:type="character" w:customStyle="1" w:styleId="24">
    <w:name w:val="Основной текст с отступом 2 Знак"/>
    <w:basedOn w:val="a1"/>
    <w:link w:val="23"/>
    <w:rsid w:val="006346A7"/>
    <w:rPr>
      <w:rFonts w:ascii="Calibri" w:eastAsia="Times New Roman" w:hAnsi="Calibri" w:cs="Times New Roman"/>
    </w:rPr>
  </w:style>
  <w:style w:type="paragraph" w:customStyle="1" w:styleId="Default">
    <w:name w:val="Default"/>
    <w:rsid w:val="006346A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f5">
    <w:name w:val="Strong"/>
    <w:qFormat/>
    <w:rsid w:val="006346A7"/>
    <w:rPr>
      <w:b/>
      <w:bCs/>
    </w:rPr>
  </w:style>
  <w:style w:type="character" w:customStyle="1" w:styleId="aff6">
    <w:name w:val="Информационное письмо"/>
    <w:rsid w:val="006346A7"/>
    <w:rPr>
      <w:sz w:val="24"/>
    </w:rPr>
  </w:style>
  <w:style w:type="character" w:customStyle="1" w:styleId="TitleChar">
    <w:name w:val="Title Char"/>
    <w:locked/>
    <w:rsid w:val="006346A7"/>
    <w:rPr>
      <w:rFonts w:ascii="Times New Roman" w:hAnsi="Times New Roman" w:cs="Times New Roman"/>
      <w:sz w:val="20"/>
      <w:szCs w:val="20"/>
      <w:lang w:val="x-none" w:eastAsia="ru-RU"/>
    </w:rPr>
  </w:style>
  <w:style w:type="paragraph" w:styleId="aff7">
    <w:name w:val="annotation text"/>
    <w:basedOn w:val="a0"/>
    <w:link w:val="aff8"/>
    <w:rsid w:val="006346A7"/>
    <w:pPr>
      <w:spacing w:after="0" w:line="240" w:lineRule="auto"/>
      <w:ind w:firstLine="720"/>
      <w:jc w:val="both"/>
    </w:pPr>
    <w:rPr>
      <w:rFonts w:ascii="Calibri" w:eastAsia="Times New Roman" w:hAnsi="Calibri" w:cs="Times New Roman"/>
      <w:sz w:val="20"/>
      <w:szCs w:val="20"/>
    </w:rPr>
  </w:style>
  <w:style w:type="character" w:customStyle="1" w:styleId="aff8">
    <w:name w:val="Текст примечания Знак"/>
    <w:basedOn w:val="a1"/>
    <w:link w:val="aff7"/>
    <w:rsid w:val="006346A7"/>
    <w:rPr>
      <w:rFonts w:ascii="Calibri" w:eastAsia="Times New Roman" w:hAnsi="Calibri" w:cs="Times New Roman"/>
      <w:sz w:val="20"/>
      <w:szCs w:val="20"/>
    </w:rPr>
  </w:style>
  <w:style w:type="character" w:styleId="aff9">
    <w:name w:val="annotation reference"/>
    <w:rsid w:val="006346A7"/>
    <w:rPr>
      <w:sz w:val="16"/>
      <w:szCs w:val="16"/>
    </w:rPr>
  </w:style>
  <w:style w:type="paragraph" w:styleId="a">
    <w:name w:val="List Bullet"/>
    <w:basedOn w:val="a0"/>
    <w:uiPriority w:val="2"/>
    <w:qFormat/>
    <w:rsid w:val="006346A7"/>
    <w:pPr>
      <w:numPr>
        <w:numId w:val="4"/>
      </w:numPr>
      <w:spacing w:after="240" w:line="240" w:lineRule="auto"/>
    </w:pPr>
    <w:rPr>
      <w:rFonts w:ascii="Times New Roman" w:eastAsia="Times New Roman" w:hAnsi="Times New Roman" w:cs="Times New Roman"/>
      <w:sz w:val="24"/>
      <w:szCs w:val="24"/>
      <w:lang w:val="en-US"/>
    </w:rPr>
  </w:style>
  <w:style w:type="character" w:styleId="HTML">
    <w:name w:val="HTML Cite"/>
    <w:uiPriority w:val="99"/>
    <w:unhideWhenUsed/>
    <w:rsid w:val="006346A7"/>
    <w:rPr>
      <w:i/>
      <w:iCs/>
    </w:rPr>
  </w:style>
  <w:style w:type="paragraph" w:styleId="affa">
    <w:name w:val="annotation subject"/>
    <w:basedOn w:val="aff7"/>
    <w:next w:val="aff7"/>
    <w:link w:val="affb"/>
    <w:uiPriority w:val="99"/>
    <w:semiHidden/>
    <w:unhideWhenUsed/>
    <w:rsid w:val="00E9059E"/>
    <w:pPr>
      <w:spacing w:after="200"/>
      <w:ind w:firstLine="0"/>
      <w:jc w:val="left"/>
    </w:pPr>
    <w:rPr>
      <w:rFonts w:asciiTheme="minorHAnsi" w:eastAsiaTheme="minorHAnsi" w:hAnsiTheme="minorHAnsi" w:cstheme="minorBidi"/>
      <w:b/>
      <w:bCs/>
    </w:rPr>
  </w:style>
  <w:style w:type="character" w:customStyle="1" w:styleId="affb">
    <w:name w:val="Тема примечания Знак"/>
    <w:basedOn w:val="aff8"/>
    <w:link w:val="affa"/>
    <w:uiPriority w:val="99"/>
    <w:semiHidden/>
    <w:rsid w:val="00E9059E"/>
    <w:rPr>
      <w:rFonts w:ascii="Calibri" w:eastAsia="Times New Roman"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Bullet" w:uiPriority="2"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2">
    <w:name w:val="heading 2"/>
    <w:basedOn w:val="a0"/>
    <w:next w:val="a0"/>
    <w:link w:val="20"/>
    <w:qFormat/>
    <w:rsid w:val="006346A7"/>
    <w:pPr>
      <w:keepNext/>
      <w:spacing w:before="240" w:after="60" w:line="240" w:lineRule="auto"/>
      <w:ind w:firstLine="720"/>
      <w:jc w:val="both"/>
      <w:outlineLvl w:val="1"/>
    </w:pPr>
    <w:rPr>
      <w:rFonts w:ascii="Arial" w:eastAsia="Times New Roman" w:hAnsi="Arial" w:cs="Arial"/>
      <w:b/>
      <w:bCs/>
      <w:i/>
      <w:iCs/>
      <w:sz w:val="28"/>
      <w:szCs w:val="28"/>
    </w:rPr>
  </w:style>
  <w:style w:type="paragraph" w:styleId="3">
    <w:name w:val="heading 3"/>
    <w:basedOn w:val="a0"/>
    <w:next w:val="a0"/>
    <w:link w:val="30"/>
    <w:qFormat/>
    <w:rsid w:val="006346A7"/>
    <w:pPr>
      <w:keepNext/>
      <w:tabs>
        <w:tab w:val="num" w:pos="1800"/>
      </w:tabs>
      <w:spacing w:before="240" w:after="60" w:line="240" w:lineRule="auto"/>
      <w:ind w:left="1440"/>
      <w:outlineLvl w:val="2"/>
    </w:pPr>
    <w:rPr>
      <w:rFonts w:ascii="Arial" w:eastAsia="Times New Roman" w:hAnsi="Arial" w:cs="Arial"/>
      <w:b/>
      <w:bCs/>
      <w:sz w:val="26"/>
      <w:szCs w:val="26"/>
      <w:lang w:eastAsia="ru-RU"/>
    </w:rPr>
  </w:style>
  <w:style w:type="paragraph" w:styleId="4">
    <w:name w:val="heading 4"/>
    <w:basedOn w:val="a0"/>
    <w:next w:val="a0"/>
    <w:link w:val="40"/>
    <w:qFormat/>
    <w:rsid w:val="006346A7"/>
    <w:pPr>
      <w:keepNext/>
      <w:tabs>
        <w:tab w:val="num" w:pos="2520"/>
      </w:tabs>
      <w:spacing w:after="0" w:line="240" w:lineRule="auto"/>
      <w:ind w:left="2160"/>
      <w:jc w:val="right"/>
      <w:outlineLvl w:val="3"/>
    </w:pPr>
    <w:rPr>
      <w:rFonts w:ascii="Times New Roman" w:eastAsia="Times New Roman" w:hAnsi="Times New Roman" w:cs="Times New Roman"/>
      <w:i/>
      <w:iCs/>
      <w:color w:val="000000"/>
      <w:sz w:val="28"/>
      <w:szCs w:val="28"/>
      <w:lang w:eastAsia="ru-RU"/>
    </w:rPr>
  </w:style>
  <w:style w:type="paragraph" w:styleId="5">
    <w:name w:val="heading 5"/>
    <w:basedOn w:val="a0"/>
    <w:next w:val="a0"/>
    <w:link w:val="50"/>
    <w:qFormat/>
    <w:rsid w:val="006346A7"/>
    <w:pPr>
      <w:keepNext/>
      <w:tabs>
        <w:tab w:val="num" w:pos="3240"/>
      </w:tabs>
      <w:spacing w:after="0" w:line="240" w:lineRule="auto"/>
      <w:ind w:left="2880"/>
      <w:jc w:val="center"/>
      <w:outlineLvl w:val="4"/>
    </w:pPr>
    <w:rPr>
      <w:rFonts w:ascii="Times New Roman" w:eastAsia="Times New Roman" w:hAnsi="Times New Roman" w:cs="Times New Roman"/>
      <w:b/>
      <w:bCs/>
      <w:color w:val="000000"/>
      <w:sz w:val="40"/>
      <w:szCs w:val="40"/>
      <w:lang w:eastAsia="ru-RU"/>
    </w:rPr>
  </w:style>
  <w:style w:type="paragraph" w:styleId="6">
    <w:name w:val="heading 6"/>
    <w:basedOn w:val="a0"/>
    <w:next w:val="a0"/>
    <w:link w:val="60"/>
    <w:qFormat/>
    <w:rsid w:val="006346A7"/>
    <w:pPr>
      <w:tabs>
        <w:tab w:val="num" w:pos="3960"/>
      </w:tabs>
      <w:spacing w:before="240" w:after="60" w:line="240" w:lineRule="auto"/>
      <w:ind w:left="3600"/>
      <w:outlineLvl w:val="5"/>
    </w:pPr>
    <w:rPr>
      <w:rFonts w:ascii="Times New Roman" w:eastAsia="Times New Roman" w:hAnsi="Times New Roman" w:cs="Times New Roman"/>
      <w:b/>
      <w:bCs/>
      <w:lang w:eastAsia="ru-RU"/>
    </w:rPr>
  </w:style>
  <w:style w:type="paragraph" w:styleId="7">
    <w:name w:val="heading 7"/>
    <w:basedOn w:val="a0"/>
    <w:next w:val="a0"/>
    <w:link w:val="70"/>
    <w:qFormat/>
    <w:rsid w:val="006346A7"/>
    <w:pPr>
      <w:tabs>
        <w:tab w:val="num" w:pos="4680"/>
      </w:tabs>
      <w:spacing w:before="240" w:after="60" w:line="240" w:lineRule="auto"/>
      <w:ind w:left="4320"/>
      <w:outlineLvl w:val="6"/>
    </w:pPr>
    <w:rPr>
      <w:rFonts w:ascii="Times New Roman" w:eastAsia="Times New Roman" w:hAnsi="Times New Roman" w:cs="Times New Roman"/>
      <w:sz w:val="24"/>
      <w:szCs w:val="24"/>
      <w:lang w:eastAsia="ru-RU"/>
    </w:rPr>
  </w:style>
  <w:style w:type="paragraph" w:styleId="8">
    <w:name w:val="heading 8"/>
    <w:basedOn w:val="a0"/>
    <w:next w:val="a0"/>
    <w:link w:val="80"/>
    <w:qFormat/>
    <w:rsid w:val="006346A7"/>
    <w:pPr>
      <w:tabs>
        <w:tab w:val="num" w:pos="5400"/>
      </w:tabs>
      <w:spacing w:before="240" w:after="60" w:line="240" w:lineRule="auto"/>
      <w:ind w:left="5040"/>
      <w:outlineLvl w:val="7"/>
    </w:pPr>
    <w:rPr>
      <w:rFonts w:ascii="Times New Roman" w:eastAsia="Times New Roman" w:hAnsi="Times New Roman" w:cs="Times New Roman"/>
      <w:i/>
      <w:iCs/>
      <w:sz w:val="24"/>
      <w:szCs w:val="24"/>
      <w:lang w:eastAsia="ru-RU"/>
    </w:rPr>
  </w:style>
  <w:style w:type="paragraph" w:styleId="9">
    <w:name w:val="heading 9"/>
    <w:basedOn w:val="a0"/>
    <w:next w:val="a0"/>
    <w:link w:val="90"/>
    <w:qFormat/>
    <w:rsid w:val="006346A7"/>
    <w:pPr>
      <w:tabs>
        <w:tab w:val="num" w:pos="6120"/>
      </w:tabs>
      <w:spacing w:before="240" w:after="60" w:line="240" w:lineRule="auto"/>
      <w:ind w:left="5760"/>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aliases w:val="Обычный (Web)1,Знак Знак3,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 Знак4,Знак4 Знак"/>
    <w:basedOn w:val="a0"/>
    <w:link w:val="a5"/>
    <w:rsid w:val="00B252FD"/>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a5">
    <w:name w:val="Обычный (веб) Знак"/>
    <w:aliases w:val="Обычный (Web)1 Знак2,Знак Знак3 Знак2,Обычный (Web) Знак2,Обычный (веб) Знак1 Знак2,Обычный (веб) Знак Знак1 Знак2,Знак Знак1 Знак Знак3,Обычный (веб) Знак Знак Знак Знак3,Знак Знак1 Знак Знак Знак2,Знак Знак Знак Знак Знак Знак1"/>
    <w:link w:val="a4"/>
    <w:locked/>
    <w:rsid w:val="00B252FD"/>
    <w:rPr>
      <w:rFonts w:ascii="Times New Roman" w:eastAsia="Calibri" w:hAnsi="Times New Roman" w:cs="Times New Roman"/>
      <w:sz w:val="24"/>
      <w:szCs w:val="24"/>
      <w:lang w:eastAsia="ru-RU"/>
    </w:rPr>
  </w:style>
  <w:style w:type="character" w:customStyle="1" w:styleId="apple-converted-space">
    <w:name w:val="apple-converted-space"/>
    <w:basedOn w:val="a1"/>
    <w:rsid w:val="00B252FD"/>
  </w:style>
  <w:style w:type="paragraph" w:styleId="a6">
    <w:name w:val="List Paragraph"/>
    <w:basedOn w:val="a0"/>
    <w:uiPriority w:val="34"/>
    <w:qFormat/>
    <w:rsid w:val="00B252FD"/>
    <w:pPr>
      <w:ind w:left="720"/>
      <w:contextualSpacing/>
    </w:pPr>
  </w:style>
  <w:style w:type="table" w:styleId="a7">
    <w:name w:val="Table Grid"/>
    <w:basedOn w:val="a2"/>
    <w:rsid w:val="00D568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footnote reference"/>
    <w:aliases w:val="Footnote Reference Number,Footnote Reference_LVL6,Footnote Reference_LVL61,Footnote Reference_LVL62,Footnote Reference_LVL63,Footnote Reference_LVL64,fr,PIC Footnote Reference"/>
    <w:uiPriority w:val="99"/>
    <w:rsid w:val="008D71F9"/>
    <w:rPr>
      <w:vertAlign w:val="superscript"/>
    </w:rPr>
  </w:style>
  <w:style w:type="paragraph" w:styleId="a9">
    <w:name w:val="footnote text"/>
    <w:aliases w:val="Текст сноски-FN,single space,footnote text"/>
    <w:basedOn w:val="a0"/>
    <w:link w:val="aa"/>
    <w:uiPriority w:val="99"/>
    <w:rsid w:val="008D71F9"/>
    <w:pPr>
      <w:spacing w:after="0" w:line="240" w:lineRule="auto"/>
    </w:pPr>
    <w:rPr>
      <w:rFonts w:ascii="Times New Roman" w:eastAsia="Times New Roman" w:hAnsi="Times New Roman" w:cs="Times New Roman"/>
      <w:sz w:val="20"/>
      <w:szCs w:val="20"/>
      <w:lang w:eastAsia="ru-RU"/>
    </w:rPr>
  </w:style>
  <w:style w:type="character" w:customStyle="1" w:styleId="aa">
    <w:name w:val="Текст сноски Знак"/>
    <w:aliases w:val="Текст сноски-FN Знак1,single space Знак1,footnote text Знак"/>
    <w:basedOn w:val="a1"/>
    <w:link w:val="a9"/>
    <w:uiPriority w:val="99"/>
    <w:rsid w:val="008D71F9"/>
    <w:rPr>
      <w:rFonts w:ascii="Times New Roman" w:eastAsia="Times New Roman" w:hAnsi="Times New Roman" w:cs="Times New Roman"/>
      <w:sz w:val="20"/>
      <w:szCs w:val="20"/>
      <w:lang w:eastAsia="ru-RU"/>
    </w:rPr>
  </w:style>
  <w:style w:type="character" w:customStyle="1" w:styleId="20">
    <w:name w:val="Заголовок 2 Знак"/>
    <w:basedOn w:val="a1"/>
    <w:link w:val="2"/>
    <w:rsid w:val="006346A7"/>
    <w:rPr>
      <w:rFonts w:ascii="Arial" w:eastAsia="Times New Roman" w:hAnsi="Arial" w:cs="Arial"/>
      <w:b/>
      <w:bCs/>
      <w:i/>
      <w:iCs/>
      <w:sz w:val="28"/>
      <w:szCs w:val="28"/>
    </w:rPr>
  </w:style>
  <w:style w:type="character" w:customStyle="1" w:styleId="30">
    <w:name w:val="Заголовок 3 Знак"/>
    <w:basedOn w:val="a1"/>
    <w:link w:val="3"/>
    <w:rsid w:val="006346A7"/>
    <w:rPr>
      <w:rFonts w:ascii="Arial" w:eastAsia="Times New Roman" w:hAnsi="Arial" w:cs="Arial"/>
      <w:b/>
      <w:bCs/>
      <w:sz w:val="26"/>
      <w:szCs w:val="26"/>
      <w:lang w:eastAsia="ru-RU"/>
    </w:rPr>
  </w:style>
  <w:style w:type="character" w:customStyle="1" w:styleId="40">
    <w:name w:val="Заголовок 4 Знак"/>
    <w:basedOn w:val="a1"/>
    <w:link w:val="4"/>
    <w:rsid w:val="006346A7"/>
    <w:rPr>
      <w:rFonts w:ascii="Times New Roman" w:eastAsia="Times New Roman" w:hAnsi="Times New Roman" w:cs="Times New Roman"/>
      <w:i/>
      <w:iCs/>
      <w:color w:val="000000"/>
      <w:sz w:val="28"/>
      <w:szCs w:val="28"/>
      <w:lang w:eastAsia="ru-RU"/>
    </w:rPr>
  </w:style>
  <w:style w:type="character" w:customStyle="1" w:styleId="50">
    <w:name w:val="Заголовок 5 Знак"/>
    <w:basedOn w:val="a1"/>
    <w:link w:val="5"/>
    <w:rsid w:val="006346A7"/>
    <w:rPr>
      <w:rFonts w:ascii="Times New Roman" w:eastAsia="Times New Roman" w:hAnsi="Times New Roman" w:cs="Times New Roman"/>
      <w:b/>
      <w:bCs/>
      <w:color w:val="000000"/>
      <w:sz w:val="40"/>
      <w:szCs w:val="40"/>
      <w:lang w:eastAsia="ru-RU"/>
    </w:rPr>
  </w:style>
  <w:style w:type="character" w:customStyle="1" w:styleId="60">
    <w:name w:val="Заголовок 6 Знак"/>
    <w:basedOn w:val="a1"/>
    <w:link w:val="6"/>
    <w:rsid w:val="006346A7"/>
    <w:rPr>
      <w:rFonts w:ascii="Times New Roman" w:eastAsia="Times New Roman" w:hAnsi="Times New Roman" w:cs="Times New Roman"/>
      <w:b/>
      <w:bCs/>
      <w:lang w:eastAsia="ru-RU"/>
    </w:rPr>
  </w:style>
  <w:style w:type="character" w:customStyle="1" w:styleId="70">
    <w:name w:val="Заголовок 7 Знак"/>
    <w:basedOn w:val="a1"/>
    <w:link w:val="7"/>
    <w:rsid w:val="006346A7"/>
    <w:rPr>
      <w:rFonts w:ascii="Times New Roman" w:eastAsia="Times New Roman" w:hAnsi="Times New Roman" w:cs="Times New Roman"/>
      <w:sz w:val="24"/>
      <w:szCs w:val="24"/>
      <w:lang w:eastAsia="ru-RU"/>
    </w:rPr>
  </w:style>
  <w:style w:type="character" w:customStyle="1" w:styleId="80">
    <w:name w:val="Заголовок 8 Знак"/>
    <w:basedOn w:val="a1"/>
    <w:link w:val="8"/>
    <w:rsid w:val="006346A7"/>
    <w:rPr>
      <w:rFonts w:ascii="Times New Roman" w:eastAsia="Times New Roman" w:hAnsi="Times New Roman" w:cs="Times New Roman"/>
      <w:i/>
      <w:iCs/>
      <w:sz w:val="24"/>
      <w:szCs w:val="24"/>
      <w:lang w:eastAsia="ru-RU"/>
    </w:rPr>
  </w:style>
  <w:style w:type="character" w:customStyle="1" w:styleId="90">
    <w:name w:val="Заголовок 9 Знак"/>
    <w:basedOn w:val="a1"/>
    <w:link w:val="9"/>
    <w:rsid w:val="006346A7"/>
    <w:rPr>
      <w:rFonts w:ascii="Arial" w:eastAsia="Times New Roman" w:hAnsi="Arial" w:cs="Arial"/>
      <w:lang w:eastAsia="ru-RU"/>
    </w:rPr>
  </w:style>
  <w:style w:type="paragraph" w:customStyle="1" w:styleId="ab">
    <w:name w:val="Знак"/>
    <w:basedOn w:val="a0"/>
    <w:autoRedefine/>
    <w:rsid w:val="006346A7"/>
    <w:pPr>
      <w:spacing w:after="160" w:line="240" w:lineRule="exact"/>
    </w:pPr>
    <w:rPr>
      <w:rFonts w:ascii="Times New Roman" w:eastAsia="Times New Roman" w:hAnsi="Times New Roman" w:cs="Times New Roman"/>
      <w:sz w:val="28"/>
      <w:szCs w:val="20"/>
      <w:lang w:val="en-US"/>
    </w:rPr>
  </w:style>
  <w:style w:type="character" w:customStyle="1" w:styleId="s1">
    <w:name w:val="s1"/>
    <w:rsid w:val="006346A7"/>
    <w:rPr>
      <w:rFonts w:ascii="Times New Roman" w:hAnsi="Times New Roman" w:cs="Times New Roman" w:hint="default"/>
      <w:b/>
      <w:bCs/>
      <w:i w:val="0"/>
      <w:iCs w:val="0"/>
      <w:strike w:val="0"/>
      <w:dstrike w:val="0"/>
      <w:color w:val="000000"/>
      <w:sz w:val="20"/>
      <w:szCs w:val="20"/>
      <w:u w:val="none"/>
      <w:effect w:val="none"/>
    </w:rPr>
  </w:style>
  <w:style w:type="paragraph" w:customStyle="1" w:styleId="1">
    <w:name w:val="Знак Знак Знак1 Знак Знак Знак Знак Знак Знак"/>
    <w:basedOn w:val="a0"/>
    <w:next w:val="2"/>
    <w:autoRedefine/>
    <w:rsid w:val="006346A7"/>
    <w:pPr>
      <w:spacing w:after="160" w:line="240" w:lineRule="auto"/>
      <w:ind w:firstLine="720"/>
      <w:jc w:val="both"/>
    </w:pPr>
    <w:rPr>
      <w:rFonts w:ascii="Times New Roman" w:eastAsia="Times New Roman" w:hAnsi="Times New Roman" w:cs="Times New Roman"/>
      <w:sz w:val="28"/>
      <w:szCs w:val="28"/>
      <w:lang w:val="en-US"/>
    </w:rPr>
  </w:style>
  <w:style w:type="paragraph" w:customStyle="1" w:styleId="ac">
    <w:name w:val="Инфляционный обзор_обычный"/>
    <w:basedOn w:val="a0"/>
    <w:rsid w:val="006346A7"/>
    <w:pPr>
      <w:spacing w:after="0" w:line="240" w:lineRule="auto"/>
      <w:ind w:firstLine="720"/>
      <w:jc w:val="both"/>
    </w:pPr>
    <w:rPr>
      <w:rFonts w:ascii="Times New Roman" w:eastAsia="Times New Roman" w:hAnsi="Times New Roman" w:cs="Times New Roman"/>
      <w:sz w:val="24"/>
      <w:szCs w:val="20"/>
      <w:lang w:eastAsia="ru-RU"/>
    </w:rPr>
  </w:style>
  <w:style w:type="paragraph" w:styleId="ad">
    <w:name w:val="Body Text Indent"/>
    <w:basedOn w:val="a0"/>
    <w:link w:val="ae"/>
    <w:rsid w:val="006346A7"/>
    <w:pPr>
      <w:spacing w:after="120" w:line="240" w:lineRule="auto"/>
      <w:ind w:left="283"/>
    </w:pPr>
    <w:rPr>
      <w:rFonts w:ascii="Times New Roman" w:eastAsia="Times New Roman" w:hAnsi="Times New Roman" w:cs="Times New Roman"/>
      <w:sz w:val="24"/>
      <w:szCs w:val="24"/>
      <w:lang w:eastAsia="ru-RU"/>
    </w:rPr>
  </w:style>
  <w:style w:type="character" w:customStyle="1" w:styleId="ae">
    <w:name w:val="Основной текст с отступом Знак"/>
    <w:basedOn w:val="a1"/>
    <w:link w:val="ad"/>
    <w:rsid w:val="006346A7"/>
    <w:rPr>
      <w:rFonts w:ascii="Times New Roman" w:eastAsia="Times New Roman" w:hAnsi="Times New Roman" w:cs="Times New Roman"/>
      <w:sz w:val="24"/>
      <w:szCs w:val="24"/>
      <w:lang w:eastAsia="ru-RU"/>
    </w:rPr>
  </w:style>
  <w:style w:type="paragraph" w:customStyle="1" w:styleId="CharChar1">
    <w:name w:val="Char Char1"/>
    <w:basedOn w:val="a0"/>
    <w:next w:val="2"/>
    <w:autoRedefine/>
    <w:rsid w:val="006346A7"/>
    <w:pPr>
      <w:spacing w:after="160" w:line="240" w:lineRule="auto"/>
      <w:ind w:firstLine="720"/>
      <w:jc w:val="both"/>
    </w:pPr>
    <w:rPr>
      <w:rFonts w:ascii="Times New Roman" w:eastAsia="Times New Roman" w:hAnsi="Times New Roman" w:cs="Times New Roman"/>
      <w:sz w:val="28"/>
      <w:szCs w:val="28"/>
      <w:lang w:val="en-US"/>
    </w:rPr>
  </w:style>
  <w:style w:type="paragraph" w:customStyle="1" w:styleId="af">
    <w:name w:val="Знак Знак Знак Знак Знак Знак"/>
    <w:basedOn w:val="a0"/>
    <w:autoRedefine/>
    <w:rsid w:val="006346A7"/>
    <w:pPr>
      <w:spacing w:after="160" w:line="240" w:lineRule="exact"/>
    </w:pPr>
    <w:rPr>
      <w:rFonts w:ascii="Times New Roman" w:eastAsia="Times New Roman" w:hAnsi="Times New Roman" w:cs="Times New Roman"/>
      <w:sz w:val="28"/>
      <w:szCs w:val="20"/>
      <w:lang w:val="en-US"/>
    </w:rPr>
  </w:style>
  <w:style w:type="paragraph" w:customStyle="1" w:styleId="10">
    <w:name w:val="Знак Знак Знак1 Знак Знак Знак Знак Знак Знак"/>
    <w:basedOn w:val="a0"/>
    <w:next w:val="2"/>
    <w:autoRedefine/>
    <w:rsid w:val="006346A7"/>
    <w:pPr>
      <w:spacing w:after="160" w:line="240" w:lineRule="auto"/>
      <w:ind w:firstLine="720"/>
      <w:jc w:val="both"/>
    </w:pPr>
    <w:rPr>
      <w:rFonts w:ascii="Times New Roman" w:eastAsia="Times New Roman" w:hAnsi="Times New Roman" w:cs="Times New Roman"/>
      <w:sz w:val="28"/>
      <w:szCs w:val="28"/>
      <w:lang w:val="en-US"/>
    </w:rPr>
  </w:style>
  <w:style w:type="character" w:customStyle="1" w:styleId="s0">
    <w:name w:val="s0"/>
    <w:rsid w:val="006346A7"/>
    <w:rPr>
      <w:rFonts w:ascii="Times New Roman" w:hAnsi="Times New Roman" w:cs="Times New Roman" w:hint="default"/>
      <w:b w:val="0"/>
      <w:bCs w:val="0"/>
      <w:i w:val="0"/>
      <w:iCs w:val="0"/>
      <w:strike w:val="0"/>
      <w:dstrike w:val="0"/>
      <w:color w:val="000000"/>
      <w:sz w:val="20"/>
      <w:szCs w:val="20"/>
      <w:u w:val="none"/>
      <w:effect w:val="none"/>
    </w:rPr>
  </w:style>
  <w:style w:type="character" w:styleId="af0">
    <w:name w:val="Hyperlink"/>
    <w:rsid w:val="006346A7"/>
    <w:rPr>
      <w:color w:val="0000FF"/>
      <w:u w:val="single"/>
    </w:rPr>
  </w:style>
  <w:style w:type="paragraph" w:customStyle="1" w:styleId="11">
    <w:name w:val="Стиль1"/>
    <w:basedOn w:val="a0"/>
    <w:rsid w:val="006346A7"/>
    <w:pPr>
      <w:autoSpaceDE w:val="0"/>
      <w:autoSpaceDN w:val="0"/>
      <w:spacing w:after="0" w:line="240" w:lineRule="auto"/>
      <w:jc w:val="both"/>
    </w:pPr>
    <w:rPr>
      <w:rFonts w:ascii="Times New Roman" w:eastAsia="Times New Roman" w:hAnsi="Times New Roman" w:cs="Arial"/>
      <w:color w:val="000000"/>
      <w:sz w:val="28"/>
      <w:szCs w:val="24"/>
      <w:lang w:eastAsia="ru-RU"/>
    </w:rPr>
  </w:style>
  <w:style w:type="paragraph" w:customStyle="1" w:styleId="af1">
    <w:name w:val="Знак Знак Знак Знак Знак Знак Знак Знак Знак Знак Знак Знак Знак"/>
    <w:basedOn w:val="a0"/>
    <w:autoRedefine/>
    <w:rsid w:val="006346A7"/>
    <w:pPr>
      <w:spacing w:after="160" w:line="240" w:lineRule="exact"/>
    </w:pPr>
    <w:rPr>
      <w:rFonts w:ascii="Times New Roman" w:eastAsia="Times New Roman" w:hAnsi="Times New Roman" w:cs="Times New Roman"/>
      <w:sz w:val="28"/>
      <w:szCs w:val="20"/>
      <w:lang w:val="en-US"/>
    </w:rPr>
  </w:style>
  <w:style w:type="paragraph" w:customStyle="1" w:styleId="61">
    <w:name w:val="Стиль6"/>
    <w:basedOn w:val="a0"/>
    <w:rsid w:val="006346A7"/>
    <w:pPr>
      <w:keepNext/>
      <w:spacing w:after="0" w:line="240" w:lineRule="auto"/>
      <w:jc w:val="both"/>
      <w:outlineLvl w:val="1"/>
    </w:pPr>
    <w:rPr>
      <w:rFonts w:ascii="Times New Roman" w:eastAsia="Times New Roman" w:hAnsi="Times New Roman" w:cs="Arial"/>
      <w:bCs/>
      <w:iCs/>
      <w:color w:val="000000"/>
      <w:sz w:val="28"/>
      <w:szCs w:val="28"/>
      <w:lang w:eastAsia="ru-RU"/>
    </w:rPr>
  </w:style>
  <w:style w:type="paragraph" w:styleId="af2">
    <w:name w:val="header"/>
    <w:basedOn w:val="a0"/>
    <w:link w:val="af3"/>
    <w:uiPriority w:val="99"/>
    <w:rsid w:val="006346A7"/>
    <w:pPr>
      <w:tabs>
        <w:tab w:val="center" w:pos="4677"/>
        <w:tab w:val="right" w:pos="9355"/>
      </w:tabs>
      <w:spacing w:after="0" w:line="240" w:lineRule="auto"/>
      <w:ind w:firstLine="720"/>
      <w:jc w:val="both"/>
    </w:pPr>
    <w:rPr>
      <w:rFonts w:ascii="Calibri" w:eastAsia="Times New Roman" w:hAnsi="Calibri" w:cs="Times New Roman"/>
    </w:rPr>
  </w:style>
  <w:style w:type="character" w:customStyle="1" w:styleId="af3">
    <w:name w:val="Верхний колонтитул Знак"/>
    <w:basedOn w:val="a1"/>
    <w:link w:val="af2"/>
    <w:uiPriority w:val="99"/>
    <w:rsid w:val="006346A7"/>
    <w:rPr>
      <w:rFonts w:ascii="Calibri" w:eastAsia="Times New Roman" w:hAnsi="Calibri" w:cs="Times New Roman"/>
    </w:rPr>
  </w:style>
  <w:style w:type="character" w:styleId="af4">
    <w:name w:val="page number"/>
    <w:basedOn w:val="a1"/>
    <w:rsid w:val="006346A7"/>
  </w:style>
  <w:style w:type="paragraph" w:styleId="af5">
    <w:name w:val="footer"/>
    <w:basedOn w:val="a0"/>
    <w:link w:val="af6"/>
    <w:rsid w:val="006346A7"/>
    <w:pPr>
      <w:tabs>
        <w:tab w:val="center" w:pos="4677"/>
        <w:tab w:val="right" w:pos="9355"/>
      </w:tabs>
      <w:spacing w:after="0" w:line="240" w:lineRule="auto"/>
      <w:ind w:firstLine="720"/>
      <w:jc w:val="both"/>
    </w:pPr>
    <w:rPr>
      <w:rFonts w:ascii="Calibri" w:eastAsia="Times New Roman" w:hAnsi="Calibri" w:cs="Times New Roman"/>
    </w:rPr>
  </w:style>
  <w:style w:type="character" w:customStyle="1" w:styleId="af6">
    <w:name w:val="Нижний колонтитул Знак"/>
    <w:basedOn w:val="a1"/>
    <w:link w:val="af5"/>
    <w:rsid w:val="006346A7"/>
    <w:rPr>
      <w:rFonts w:ascii="Calibri" w:eastAsia="Times New Roman" w:hAnsi="Calibri" w:cs="Times New Roman"/>
    </w:rPr>
  </w:style>
  <w:style w:type="paragraph" w:customStyle="1" w:styleId="12">
    <w:name w:val="Знак Знак Знак1 Знак Знак Знак Знак Знак Знак Знак Знак Знак Знак"/>
    <w:basedOn w:val="a0"/>
    <w:autoRedefine/>
    <w:rsid w:val="006346A7"/>
    <w:pPr>
      <w:spacing w:after="160" w:line="240" w:lineRule="exact"/>
    </w:pPr>
    <w:rPr>
      <w:rFonts w:ascii="Times New Roman" w:eastAsia="SimSun" w:hAnsi="Times New Roman" w:cs="Times New Roman"/>
      <w:b/>
      <w:bCs/>
      <w:sz w:val="28"/>
      <w:szCs w:val="28"/>
      <w:lang w:val="en-US"/>
    </w:rPr>
  </w:style>
  <w:style w:type="paragraph" w:customStyle="1" w:styleId="13">
    <w:name w:val="Знак Знак Знак Знак Знак Знак1 Знак"/>
    <w:basedOn w:val="a0"/>
    <w:autoRedefine/>
    <w:rsid w:val="006346A7"/>
    <w:pPr>
      <w:spacing w:after="160" w:line="240" w:lineRule="exact"/>
    </w:pPr>
    <w:rPr>
      <w:rFonts w:ascii="Times New Roman" w:eastAsia="SimSun" w:hAnsi="Times New Roman" w:cs="Times New Roman"/>
      <w:b/>
      <w:sz w:val="28"/>
      <w:szCs w:val="24"/>
      <w:lang w:val="en-US"/>
    </w:rPr>
  </w:style>
  <w:style w:type="paragraph" w:customStyle="1" w:styleId="af7">
    <w:name w:val="Знак Знак Знак Знак"/>
    <w:basedOn w:val="a0"/>
    <w:autoRedefine/>
    <w:rsid w:val="006346A7"/>
    <w:pPr>
      <w:spacing w:after="160" w:line="240" w:lineRule="exact"/>
    </w:pPr>
    <w:rPr>
      <w:rFonts w:ascii="Times New Roman" w:eastAsia="SimSun" w:hAnsi="Times New Roman" w:cs="Times New Roman"/>
      <w:b/>
      <w:sz w:val="28"/>
      <w:szCs w:val="24"/>
      <w:lang w:val="en-US"/>
    </w:rPr>
  </w:style>
  <w:style w:type="paragraph" w:customStyle="1" w:styleId="14">
    <w:name w:val="Абзац списка1"/>
    <w:basedOn w:val="a0"/>
    <w:rsid w:val="006346A7"/>
    <w:pPr>
      <w:spacing w:after="0" w:line="240" w:lineRule="auto"/>
      <w:ind w:left="720"/>
      <w:contextualSpacing/>
    </w:pPr>
    <w:rPr>
      <w:rFonts w:ascii="Times New Roman" w:eastAsia="Times New Roman" w:hAnsi="Times New Roman" w:cs="Times New Roman"/>
      <w:sz w:val="28"/>
    </w:rPr>
  </w:style>
  <w:style w:type="character" w:customStyle="1" w:styleId="Web1">
    <w:name w:val="Обычный (Web)1 Знак"/>
    <w:aliases w:val="Знак Знак3 Знак,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Знак4 Зна Знак"/>
    <w:locked/>
    <w:rsid w:val="006346A7"/>
    <w:rPr>
      <w:rFonts w:eastAsia="Calibri"/>
      <w:sz w:val="24"/>
      <w:szCs w:val="24"/>
      <w:lang w:val="ru-RU" w:eastAsia="ru-RU" w:bidi="ar-SA"/>
    </w:rPr>
  </w:style>
  <w:style w:type="character" w:customStyle="1" w:styleId="FootnoteTextChar">
    <w:name w:val="Footnote Text Char"/>
    <w:aliases w:val="Текст сноски-FN Char,single space Char,footnote text Char"/>
    <w:locked/>
    <w:rsid w:val="006346A7"/>
    <w:rPr>
      <w:rFonts w:ascii="Calibri" w:hAnsi="Calibri"/>
      <w:lang w:val="ru-RU" w:eastAsia="ru-RU" w:bidi="ar-SA"/>
    </w:rPr>
  </w:style>
  <w:style w:type="paragraph" w:styleId="af8">
    <w:name w:val="Body Text"/>
    <w:aliases w:val="gl,Body3,paragraph 2,paragraph 21,L1 Body Text"/>
    <w:basedOn w:val="a0"/>
    <w:link w:val="af9"/>
    <w:rsid w:val="006346A7"/>
    <w:pPr>
      <w:widowControl w:val="0"/>
      <w:spacing w:after="120" w:line="240" w:lineRule="auto"/>
      <w:jc w:val="both"/>
    </w:pPr>
    <w:rPr>
      <w:rFonts w:ascii="Times New Roman" w:eastAsia="Times New Roman" w:hAnsi="Times New Roman" w:cs="Times New Roman"/>
      <w:sz w:val="28"/>
      <w:szCs w:val="20"/>
      <w:lang w:eastAsia="ru-RU"/>
    </w:rPr>
  </w:style>
  <w:style w:type="character" w:customStyle="1" w:styleId="af9">
    <w:name w:val="Основной текст Знак"/>
    <w:aliases w:val="gl Знак,Body3 Знак,paragraph 2 Знак,paragraph 21 Знак,L1 Body Text Знак"/>
    <w:basedOn w:val="a1"/>
    <w:link w:val="af8"/>
    <w:rsid w:val="006346A7"/>
    <w:rPr>
      <w:rFonts w:ascii="Times New Roman" w:eastAsia="Times New Roman" w:hAnsi="Times New Roman" w:cs="Times New Roman"/>
      <w:sz w:val="28"/>
      <w:szCs w:val="20"/>
      <w:lang w:eastAsia="ru-RU"/>
    </w:rPr>
  </w:style>
  <w:style w:type="character" w:customStyle="1" w:styleId="Web11">
    <w:name w:val="Обычный (Web)1 Знак1"/>
    <w:aliases w:val="Знак Знак3 Знак1,Обычный (Web) Знак1,Обычный (веб) Знак1 Знак1,Обычный (веб) Знак Знак1 Знак1,Знак Знак1 Знак Знак2,Обычный (веб) Знак Знак Знак Знак2,Знак Знак1 Знак Знак Знак1,Обычный (веб) Знак Знак Знак Знак Знак1, Знак4 Знак"/>
    <w:locked/>
    <w:rsid w:val="006346A7"/>
    <w:rPr>
      <w:rFonts w:eastAsia="Calibri"/>
      <w:sz w:val="24"/>
      <w:szCs w:val="24"/>
      <w:lang w:val="ru-RU" w:eastAsia="ru-RU" w:bidi="ar-SA"/>
    </w:rPr>
  </w:style>
  <w:style w:type="paragraph" w:styleId="afa">
    <w:name w:val="Balloon Text"/>
    <w:basedOn w:val="a0"/>
    <w:link w:val="afb"/>
    <w:semiHidden/>
    <w:rsid w:val="006346A7"/>
    <w:pPr>
      <w:spacing w:after="0" w:line="240" w:lineRule="auto"/>
      <w:jc w:val="both"/>
    </w:pPr>
    <w:rPr>
      <w:rFonts w:ascii="Tahoma" w:eastAsia="Calibri" w:hAnsi="Tahoma" w:cs="Tahoma"/>
      <w:sz w:val="16"/>
      <w:szCs w:val="16"/>
    </w:rPr>
  </w:style>
  <w:style w:type="character" w:customStyle="1" w:styleId="afb">
    <w:name w:val="Текст выноски Знак"/>
    <w:basedOn w:val="a1"/>
    <w:link w:val="afa"/>
    <w:semiHidden/>
    <w:rsid w:val="006346A7"/>
    <w:rPr>
      <w:rFonts w:ascii="Tahoma" w:eastAsia="Calibri" w:hAnsi="Tahoma" w:cs="Tahoma"/>
      <w:sz w:val="16"/>
      <w:szCs w:val="16"/>
    </w:rPr>
  </w:style>
  <w:style w:type="character" w:customStyle="1" w:styleId="afc">
    <w:name w:val="Название Знак"/>
    <w:link w:val="afd"/>
    <w:locked/>
    <w:rsid w:val="006346A7"/>
    <w:rPr>
      <w:lang w:eastAsia="ru-RU"/>
    </w:rPr>
  </w:style>
  <w:style w:type="paragraph" w:styleId="afe">
    <w:name w:val="No Spacing"/>
    <w:qFormat/>
    <w:rsid w:val="006346A7"/>
    <w:pPr>
      <w:spacing w:after="0" w:line="240" w:lineRule="auto"/>
    </w:pPr>
    <w:rPr>
      <w:rFonts w:ascii="Calibri" w:eastAsia="Calibri" w:hAnsi="Calibri" w:cs="Times New Roman"/>
    </w:rPr>
  </w:style>
  <w:style w:type="paragraph" w:customStyle="1" w:styleId="aff">
    <w:name w:val="?????"/>
    <w:basedOn w:val="a0"/>
    <w:rsid w:val="006346A7"/>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paragraph" w:styleId="aff0">
    <w:name w:val="endnote text"/>
    <w:basedOn w:val="a0"/>
    <w:link w:val="aff1"/>
    <w:semiHidden/>
    <w:rsid w:val="006346A7"/>
    <w:pPr>
      <w:spacing w:after="0" w:line="240" w:lineRule="auto"/>
      <w:ind w:firstLine="720"/>
      <w:jc w:val="both"/>
    </w:pPr>
    <w:rPr>
      <w:rFonts w:ascii="Calibri" w:eastAsia="Times New Roman" w:hAnsi="Calibri" w:cs="Times New Roman"/>
      <w:sz w:val="20"/>
      <w:szCs w:val="20"/>
    </w:rPr>
  </w:style>
  <w:style w:type="character" w:customStyle="1" w:styleId="aff1">
    <w:name w:val="Текст концевой сноски Знак"/>
    <w:basedOn w:val="a1"/>
    <w:link w:val="aff0"/>
    <w:semiHidden/>
    <w:rsid w:val="006346A7"/>
    <w:rPr>
      <w:rFonts w:ascii="Calibri" w:eastAsia="Times New Roman" w:hAnsi="Calibri" w:cs="Times New Roman"/>
      <w:sz w:val="20"/>
      <w:szCs w:val="20"/>
    </w:rPr>
  </w:style>
  <w:style w:type="character" w:styleId="aff2">
    <w:name w:val="endnote reference"/>
    <w:semiHidden/>
    <w:rsid w:val="006346A7"/>
    <w:rPr>
      <w:vertAlign w:val="superscript"/>
    </w:rPr>
  </w:style>
  <w:style w:type="paragraph" w:styleId="aff3">
    <w:name w:val="Plain Text"/>
    <w:basedOn w:val="a0"/>
    <w:link w:val="aff4"/>
    <w:unhideWhenUsed/>
    <w:rsid w:val="006346A7"/>
    <w:pPr>
      <w:spacing w:after="0" w:line="240" w:lineRule="auto"/>
    </w:pPr>
    <w:rPr>
      <w:rFonts w:ascii="Calibri" w:eastAsia="Calibri" w:hAnsi="Calibri" w:cs="Times New Roman"/>
      <w:szCs w:val="21"/>
    </w:rPr>
  </w:style>
  <w:style w:type="character" w:customStyle="1" w:styleId="aff4">
    <w:name w:val="Текст Знак"/>
    <w:basedOn w:val="a1"/>
    <w:link w:val="aff3"/>
    <w:rsid w:val="006346A7"/>
    <w:rPr>
      <w:rFonts w:ascii="Calibri" w:eastAsia="Calibri" w:hAnsi="Calibri" w:cs="Times New Roman"/>
      <w:szCs w:val="21"/>
    </w:rPr>
  </w:style>
  <w:style w:type="paragraph" w:styleId="21">
    <w:name w:val="Quote"/>
    <w:basedOn w:val="a0"/>
    <w:next w:val="a0"/>
    <w:link w:val="22"/>
    <w:qFormat/>
    <w:rsid w:val="006346A7"/>
    <w:pPr>
      <w:spacing w:after="0" w:line="240" w:lineRule="auto"/>
      <w:ind w:firstLine="720"/>
      <w:jc w:val="both"/>
    </w:pPr>
    <w:rPr>
      <w:rFonts w:ascii="Calibri" w:eastAsia="Times New Roman" w:hAnsi="Calibri" w:cs="Times New Roman"/>
      <w:i/>
      <w:iCs/>
      <w:color w:val="000000"/>
    </w:rPr>
  </w:style>
  <w:style w:type="character" w:customStyle="1" w:styleId="22">
    <w:name w:val="Цитата 2 Знак"/>
    <w:basedOn w:val="a1"/>
    <w:link w:val="21"/>
    <w:rsid w:val="006346A7"/>
    <w:rPr>
      <w:rFonts w:ascii="Calibri" w:eastAsia="Times New Roman" w:hAnsi="Calibri" w:cs="Times New Roman"/>
      <w:i/>
      <w:iCs/>
      <w:color w:val="000000"/>
    </w:rPr>
  </w:style>
  <w:style w:type="character" w:customStyle="1" w:styleId="-FN">
    <w:name w:val="Текст сноски-FN Знак"/>
    <w:aliases w:val="single space Знак,footnote text Знак Знак"/>
    <w:locked/>
    <w:rsid w:val="006346A7"/>
    <w:rPr>
      <w:lang w:val="ru-RU" w:eastAsia="ru-RU" w:bidi="ar-SA"/>
    </w:rPr>
  </w:style>
  <w:style w:type="paragraph" w:styleId="afd">
    <w:name w:val="Title"/>
    <w:basedOn w:val="a0"/>
    <w:link w:val="afc"/>
    <w:qFormat/>
    <w:rsid w:val="006346A7"/>
    <w:pPr>
      <w:spacing w:after="0" w:line="240" w:lineRule="auto"/>
      <w:jc w:val="center"/>
    </w:pPr>
    <w:rPr>
      <w:lang w:eastAsia="ru-RU"/>
    </w:rPr>
  </w:style>
  <w:style w:type="character" w:customStyle="1" w:styleId="15">
    <w:name w:val="Название Знак1"/>
    <w:basedOn w:val="a1"/>
    <w:uiPriority w:val="10"/>
    <w:rsid w:val="006346A7"/>
    <w:rPr>
      <w:rFonts w:asciiTheme="majorHAnsi" w:eastAsiaTheme="majorEastAsia" w:hAnsiTheme="majorHAnsi" w:cstheme="majorBidi"/>
      <w:color w:val="17365D" w:themeColor="text2" w:themeShade="BF"/>
      <w:spacing w:val="5"/>
      <w:kern w:val="28"/>
      <w:sz w:val="52"/>
      <w:szCs w:val="52"/>
    </w:rPr>
  </w:style>
  <w:style w:type="paragraph" w:styleId="23">
    <w:name w:val="Body Text Indent 2"/>
    <w:basedOn w:val="a0"/>
    <w:link w:val="24"/>
    <w:rsid w:val="006346A7"/>
    <w:pPr>
      <w:spacing w:after="120" w:line="480" w:lineRule="auto"/>
      <w:ind w:left="283" w:firstLine="720"/>
      <w:jc w:val="both"/>
    </w:pPr>
    <w:rPr>
      <w:rFonts w:ascii="Calibri" w:eastAsia="Times New Roman" w:hAnsi="Calibri" w:cs="Times New Roman"/>
    </w:rPr>
  </w:style>
  <w:style w:type="character" w:customStyle="1" w:styleId="24">
    <w:name w:val="Основной текст с отступом 2 Знак"/>
    <w:basedOn w:val="a1"/>
    <w:link w:val="23"/>
    <w:rsid w:val="006346A7"/>
    <w:rPr>
      <w:rFonts w:ascii="Calibri" w:eastAsia="Times New Roman" w:hAnsi="Calibri" w:cs="Times New Roman"/>
    </w:rPr>
  </w:style>
  <w:style w:type="paragraph" w:customStyle="1" w:styleId="Default">
    <w:name w:val="Default"/>
    <w:rsid w:val="006346A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f5">
    <w:name w:val="Strong"/>
    <w:qFormat/>
    <w:rsid w:val="006346A7"/>
    <w:rPr>
      <w:b/>
      <w:bCs/>
    </w:rPr>
  </w:style>
  <w:style w:type="character" w:customStyle="1" w:styleId="aff6">
    <w:name w:val="Информационное письмо"/>
    <w:rsid w:val="006346A7"/>
    <w:rPr>
      <w:sz w:val="24"/>
    </w:rPr>
  </w:style>
  <w:style w:type="character" w:customStyle="1" w:styleId="TitleChar">
    <w:name w:val="Title Char"/>
    <w:locked/>
    <w:rsid w:val="006346A7"/>
    <w:rPr>
      <w:rFonts w:ascii="Times New Roman" w:hAnsi="Times New Roman" w:cs="Times New Roman"/>
      <w:sz w:val="20"/>
      <w:szCs w:val="20"/>
      <w:lang w:val="x-none" w:eastAsia="ru-RU"/>
    </w:rPr>
  </w:style>
  <w:style w:type="paragraph" w:styleId="aff7">
    <w:name w:val="annotation text"/>
    <w:basedOn w:val="a0"/>
    <w:link w:val="aff8"/>
    <w:rsid w:val="006346A7"/>
    <w:pPr>
      <w:spacing w:after="0" w:line="240" w:lineRule="auto"/>
      <w:ind w:firstLine="720"/>
      <w:jc w:val="both"/>
    </w:pPr>
    <w:rPr>
      <w:rFonts w:ascii="Calibri" w:eastAsia="Times New Roman" w:hAnsi="Calibri" w:cs="Times New Roman"/>
      <w:sz w:val="20"/>
      <w:szCs w:val="20"/>
    </w:rPr>
  </w:style>
  <w:style w:type="character" w:customStyle="1" w:styleId="aff8">
    <w:name w:val="Текст примечания Знак"/>
    <w:basedOn w:val="a1"/>
    <w:link w:val="aff7"/>
    <w:rsid w:val="006346A7"/>
    <w:rPr>
      <w:rFonts w:ascii="Calibri" w:eastAsia="Times New Roman" w:hAnsi="Calibri" w:cs="Times New Roman"/>
      <w:sz w:val="20"/>
      <w:szCs w:val="20"/>
    </w:rPr>
  </w:style>
  <w:style w:type="character" w:styleId="aff9">
    <w:name w:val="annotation reference"/>
    <w:rsid w:val="006346A7"/>
    <w:rPr>
      <w:sz w:val="16"/>
      <w:szCs w:val="16"/>
    </w:rPr>
  </w:style>
  <w:style w:type="paragraph" w:styleId="a">
    <w:name w:val="List Bullet"/>
    <w:basedOn w:val="a0"/>
    <w:uiPriority w:val="2"/>
    <w:qFormat/>
    <w:rsid w:val="006346A7"/>
    <w:pPr>
      <w:numPr>
        <w:numId w:val="4"/>
      </w:numPr>
      <w:spacing w:after="240" w:line="240" w:lineRule="auto"/>
    </w:pPr>
    <w:rPr>
      <w:rFonts w:ascii="Times New Roman" w:eastAsia="Times New Roman" w:hAnsi="Times New Roman" w:cs="Times New Roman"/>
      <w:sz w:val="24"/>
      <w:szCs w:val="24"/>
      <w:lang w:val="en-US"/>
    </w:rPr>
  </w:style>
  <w:style w:type="character" w:styleId="HTML">
    <w:name w:val="HTML Cite"/>
    <w:uiPriority w:val="99"/>
    <w:unhideWhenUsed/>
    <w:rsid w:val="006346A7"/>
    <w:rPr>
      <w:i/>
      <w:iCs/>
    </w:rPr>
  </w:style>
  <w:style w:type="paragraph" w:styleId="affa">
    <w:name w:val="annotation subject"/>
    <w:basedOn w:val="aff7"/>
    <w:next w:val="aff7"/>
    <w:link w:val="affb"/>
    <w:uiPriority w:val="99"/>
    <w:semiHidden/>
    <w:unhideWhenUsed/>
    <w:rsid w:val="00E9059E"/>
    <w:pPr>
      <w:spacing w:after="200"/>
      <w:ind w:firstLine="0"/>
      <w:jc w:val="left"/>
    </w:pPr>
    <w:rPr>
      <w:rFonts w:asciiTheme="minorHAnsi" w:eastAsiaTheme="minorHAnsi" w:hAnsiTheme="minorHAnsi" w:cstheme="minorBidi"/>
      <w:b/>
      <w:bCs/>
    </w:rPr>
  </w:style>
  <w:style w:type="character" w:customStyle="1" w:styleId="affb">
    <w:name w:val="Тема примечания Знак"/>
    <w:basedOn w:val="aff8"/>
    <w:link w:val="affa"/>
    <w:uiPriority w:val="99"/>
    <w:semiHidden/>
    <w:rsid w:val="00E9059E"/>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1C98B-D793-4108-8A12-24F919F4E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1</Pages>
  <Words>17321</Words>
  <Characters>98730</Characters>
  <Application>Microsoft Office Word</Application>
  <DocSecurity>0</DocSecurity>
  <Lines>822</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115820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Асем Мыктыбекова</dc:creator>
  <cp:lastModifiedBy>Valued Acer Customer</cp:lastModifiedBy>
  <cp:revision>48</cp:revision>
  <cp:lastPrinted>2017-02-17T06:40:00Z</cp:lastPrinted>
  <dcterms:created xsi:type="dcterms:W3CDTF">2017-02-15T13:26:00Z</dcterms:created>
  <dcterms:modified xsi:type="dcterms:W3CDTF">2017-02-20T06:13:00Z</dcterms:modified>
</cp:coreProperties>
</file>