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2FD" w:rsidRPr="00E721BD" w:rsidRDefault="00D64B14" w:rsidP="006346A7">
      <w:pPr>
        <w:pStyle w:val="a4"/>
        <w:spacing w:before="0" w:beforeAutospacing="0" w:after="0" w:afterAutospacing="0"/>
        <w:contextualSpacing/>
        <w:jc w:val="right"/>
        <w:rPr>
          <w:rStyle w:val="apple-converted-space"/>
          <w:i/>
          <w:color w:val="000000"/>
          <w:sz w:val="20"/>
          <w:szCs w:val="20"/>
        </w:rPr>
      </w:pPr>
      <w:r>
        <w:rPr>
          <w:i/>
          <w:color w:val="000000"/>
          <w:sz w:val="20"/>
          <w:szCs w:val="20"/>
        </w:rPr>
        <w:t xml:space="preserve"> </w:t>
      </w:r>
      <w:r w:rsidR="00B252FD" w:rsidRPr="00E721BD">
        <w:rPr>
          <w:i/>
          <w:color w:val="000000"/>
          <w:sz w:val="20"/>
          <w:szCs w:val="20"/>
        </w:rPr>
        <w:t>Приложение 3</w:t>
      </w:r>
    </w:p>
    <w:p w:rsidR="00E53E32" w:rsidRPr="00E721BD" w:rsidRDefault="00B252FD" w:rsidP="006346A7">
      <w:pPr>
        <w:pStyle w:val="a4"/>
        <w:spacing w:before="0" w:beforeAutospacing="0" w:after="0" w:afterAutospacing="0"/>
        <w:contextualSpacing/>
        <w:jc w:val="right"/>
        <w:rPr>
          <w:i/>
          <w:color w:val="000000"/>
          <w:sz w:val="20"/>
          <w:szCs w:val="20"/>
        </w:rPr>
      </w:pPr>
      <w:r w:rsidRPr="00E721BD">
        <w:rPr>
          <w:i/>
          <w:color w:val="000000"/>
          <w:sz w:val="20"/>
          <w:szCs w:val="20"/>
        </w:rPr>
        <w:t xml:space="preserve">к Методике по проведению мониторинга </w:t>
      </w:r>
    </w:p>
    <w:p w:rsidR="00E53E32" w:rsidRPr="00E721BD" w:rsidRDefault="00B252FD" w:rsidP="006346A7">
      <w:pPr>
        <w:pStyle w:val="a4"/>
        <w:spacing w:before="0" w:beforeAutospacing="0" w:after="0" w:afterAutospacing="0"/>
        <w:contextualSpacing/>
        <w:jc w:val="right"/>
        <w:rPr>
          <w:i/>
          <w:color w:val="000000"/>
          <w:sz w:val="20"/>
          <w:szCs w:val="20"/>
        </w:rPr>
      </w:pPr>
      <w:r w:rsidRPr="00E721BD">
        <w:rPr>
          <w:i/>
          <w:color w:val="000000"/>
          <w:sz w:val="20"/>
          <w:szCs w:val="20"/>
        </w:rPr>
        <w:t xml:space="preserve">Стратегического плана развития Республики Казахстан, </w:t>
      </w:r>
    </w:p>
    <w:p w:rsidR="006346A7" w:rsidRPr="00E721BD" w:rsidRDefault="00B252FD" w:rsidP="006346A7">
      <w:pPr>
        <w:pStyle w:val="a4"/>
        <w:spacing w:before="0" w:beforeAutospacing="0" w:after="0" w:afterAutospacing="0"/>
        <w:contextualSpacing/>
        <w:jc w:val="right"/>
        <w:rPr>
          <w:i/>
          <w:color w:val="000000"/>
          <w:sz w:val="20"/>
          <w:szCs w:val="20"/>
        </w:rPr>
      </w:pPr>
      <w:r w:rsidRPr="00E721BD">
        <w:rPr>
          <w:i/>
          <w:color w:val="000000"/>
          <w:sz w:val="20"/>
          <w:szCs w:val="20"/>
        </w:rPr>
        <w:t xml:space="preserve">государственных и правительственных программ, </w:t>
      </w:r>
    </w:p>
    <w:p w:rsidR="006346A7" w:rsidRPr="00E721BD" w:rsidRDefault="00B252FD" w:rsidP="006346A7">
      <w:pPr>
        <w:pStyle w:val="a4"/>
        <w:spacing w:before="0" w:beforeAutospacing="0" w:after="0" w:afterAutospacing="0"/>
        <w:contextualSpacing/>
        <w:jc w:val="right"/>
        <w:rPr>
          <w:i/>
          <w:color w:val="000000"/>
          <w:sz w:val="20"/>
          <w:szCs w:val="20"/>
        </w:rPr>
      </w:pPr>
      <w:r w:rsidRPr="00E721BD">
        <w:rPr>
          <w:i/>
          <w:color w:val="000000"/>
          <w:sz w:val="20"/>
          <w:szCs w:val="20"/>
        </w:rPr>
        <w:t xml:space="preserve">стратегических планов государственных органов </w:t>
      </w:r>
    </w:p>
    <w:p w:rsidR="00B252FD" w:rsidRPr="00E721BD" w:rsidRDefault="00B252FD" w:rsidP="006346A7">
      <w:pPr>
        <w:pStyle w:val="a4"/>
        <w:spacing w:before="0" w:beforeAutospacing="0" w:after="0" w:afterAutospacing="0"/>
        <w:contextualSpacing/>
        <w:jc w:val="right"/>
        <w:rPr>
          <w:i/>
          <w:color w:val="000000"/>
          <w:sz w:val="20"/>
          <w:szCs w:val="20"/>
        </w:rPr>
      </w:pPr>
      <w:r w:rsidRPr="00E721BD">
        <w:rPr>
          <w:i/>
          <w:color w:val="000000"/>
          <w:sz w:val="20"/>
          <w:szCs w:val="20"/>
        </w:rPr>
        <w:t>и программ развития территорий</w:t>
      </w:r>
    </w:p>
    <w:p w:rsidR="00B252FD" w:rsidRPr="00E721BD" w:rsidRDefault="00B252FD" w:rsidP="006346A7">
      <w:pPr>
        <w:pStyle w:val="a4"/>
        <w:spacing w:before="0" w:beforeAutospacing="0" w:after="0" w:afterAutospacing="0"/>
        <w:contextualSpacing/>
        <w:jc w:val="both"/>
        <w:rPr>
          <w:i/>
          <w:color w:val="000000"/>
          <w:sz w:val="20"/>
          <w:szCs w:val="20"/>
        </w:rPr>
      </w:pPr>
    </w:p>
    <w:p w:rsidR="00B252FD" w:rsidRPr="00E721BD" w:rsidRDefault="00B252FD" w:rsidP="006346A7">
      <w:pPr>
        <w:keepNext/>
        <w:keepLines/>
        <w:tabs>
          <w:tab w:val="left" w:pos="900"/>
          <w:tab w:val="left" w:pos="1080"/>
        </w:tabs>
        <w:spacing w:line="240" w:lineRule="auto"/>
        <w:contextualSpacing/>
        <w:jc w:val="both"/>
        <w:rPr>
          <w:rFonts w:ascii="Times New Roman" w:hAnsi="Times New Roman" w:cs="Times New Roman"/>
          <w:b/>
          <w:bCs/>
          <w:color w:val="000000"/>
          <w:sz w:val="24"/>
          <w:szCs w:val="24"/>
        </w:rPr>
      </w:pPr>
    </w:p>
    <w:p w:rsidR="00B252FD" w:rsidRPr="00E721BD" w:rsidRDefault="00B252FD" w:rsidP="006346A7">
      <w:pPr>
        <w:keepNext/>
        <w:keepLines/>
        <w:tabs>
          <w:tab w:val="left" w:pos="900"/>
          <w:tab w:val="left" w:pos="1080"/>
        </w:tabs>
        <w:spacing w:line="240" w:lineRule="auto"/>
        <w:contextualSpacing/>
        <w:jc w:val="center"/>
        <w:rPr>
          <w:rFonts w:ascii="Times New Roman" w:hAnsi="Times New Roman" w:cs="Times New Roman"/>
          <w:b/>
          <w:bCs/>
          <w:color w:val="000000"/>
          <w:sz w:val="24"/>
          <w:szCs w:val="24"/>
        </w:rPr>
      </w:pPr>
      <w:r w:rsidRPr="00E721BD">
        <w:rPr>
          <w:rFonts w:ascii="Times New Roman" w:hAnsi="Times New Roman" w:cs="Times New Roman"/>
          <w:b/>
          <w:bCs/>
          <w:color w:val="000000"/>
          <w:sz w:val="24"/>
          <w:szCs w:val="24"/>
        </w:rPr>
        <w:t>Отчет о реализации стратегического плана</w:t>
      </w:r>
    </w:p>
    <w:p w:rsidR="00B252FD" w:rsidRPr="00E721BD" w:rsidRDefault="00B252FD" w:rsidP="006346A7">
      <w:pPr>
        <w:keepNext/>
        <w:keepLines/>
        <w:tabs>
          <w:tab w:val="left" w:pos="900"/>
          <w:tab w:val="left" w:pos="1080"/>
        </w:tabs>
        <w:spacing w:line="240" w:lineRule="auto"/>
        <w:contextualSpacing/>
        <w:jc w:val="center"/>
        <w:rPr>
          <w:rFonts w:ascii="Times New Roman" w:hAnsi="Times New Roman" w:cs="Times New Roman"/>
          <w:b/>
          <w:bCs/>
          <w:color w:val="000000"/>
          <w:sz w:val="24"/>
          <w:szCs w:val="24"/>
        </w:rPr>
      </w:pPr>
      <w:r w:rsidRPr="00E721BD">
        <w:rPr>
          <w:rFonts w:ascii="Times New Roman" w:hAnsi="Times New Roman" w:cs="Times New Roman"/>
          <w:b/>
          <w:bCs/>
          <w:color w:val="000000"/>
          <w:sz w:val="24"/>
          <w:szCs w:val="24"/>
        </w:rPr>
        <w:t>Национального Банка Республики Казахстан</w:t>
      </w:r>
    </w:p>
    <w:p w:rsidR="00B252FD" w:rsidRPr="00E721BD" w:rsidRDefault="00B252FD" w:rsidP="006346A7">
      <w:pPr>
        <w:keepNext/>
        <w:keepLines/>
        <w:tabs>
          <w:tab w:val="left" w:pos="900"/>
          <w:tab w:val="left" w:pos="1080"/>
        </w:tabs>
        <w:spacing w:line="240" w:lineRule="auto"/>
        <w:contextualSpacing/>
        <w:jc w:val="center"/>
        <w:rPr>
          <w:rFonts w:ascii="Times New Roman" w:hAnsi="Times New Roman" w:cs="Times New Roman"/>
          <w:i/>
          <w:color w:val="000000"/>
          <w:sz w:val="20"/>
          <w:szCs w:val="20"/>
        </w:rPr>
      </w:pPr>
      <w:r w:rsidRPr="00E721BD">
        <w:rPr>
          <w:rFonts w:ascii="Times New Roman" w:hAnsi="Times New Roman" w:cs="Times New Roman"/>
          <w:b/>
          <w:sz w:val="24"/>
          <w:szCs w:val="24"/>
        </w:rPr>
        <w:t>на 201</w:t>
      </w:r>
      <w:r w:rsidR="00B962C5">
        <w:rPr>
          <w:rFonts w:ascii="Times New Roman" w:hAnsi="Times New Roman" w:cs="Times New Roman"/>
          <w:b/>
          <w:sz w:val="24"/>
          <w:szCs w:val="24"/>
        </w:rPr>
        <w:t>7-2021</w:t>
      </w:r>
      <w:r w:rsidRPr="00E721BD">
        <w:rPr>
          <w:rFonts w:ascii="Times New Roman" w:hAnsi="Times New Roman" w:cs="Times New Roman"/>
          <w:b/>
          <w:sz w:val="24"/>
          <w:szCs w:val="24"/>
        </w:rPr>
        <w:t xml:space="preserve"> годы,</w:t>
      </w:r>
    </w:p>
    <w:p w:rsidR="00B252FD" w:rsidRPr="00E721BD" w:rsidRDefault="00B252FD" w:rsidP="006346A7">
      <w:pPr>
        <w:keepNext/>
        <w:keepLines/>
        <w:tabs>
          <w:tab w:val="left" w:pos="900"/>
          <w:tab w:val="left" w:pos="1080"/>
        </w:tabs>
        <w:spacing w:line="240" w:lineRule="auto"/>
        <w:contextualSpacing/>
        <w:jc w:val="center"/>
        <w:rPr>
          <w:rFonts w:ascii="Times New Roman" w:hAnsi="Times New Roman" w:cs="Times New Roman"/>
          <w:b/>
          <w:sz w:val="24"/>
          <w:szCs w:val="24"/>
        </w:rPr>
      </w:pPr>
      <w:r w:rsidRPr="00E721BD">
        <w:rPr>
          <w:rFonts w:ascii="Times New Roman" w:hAnsi="Times New Roman" w:cs="Times New Roman"/>
          <w:b/>
          <w:sz w:val="24"/>
          <w:szCs w:val="24"/>
        </w:rPr>
        <w:t>утвержденного приказом Председателя Национального Банка</w:t>
      </w:r>
    </w:p>
    <w:p w:rsidR="00B252FD" w:rsidRPr="00E721BD" w:rsidRDefault="00B252FD" w:rsidP="006346A7">
      <w:pPr>
        <w:keepNext/>
        <w:keepLines/>
        <w:tabs>
          <w:tab w:val="left" w:pos="900"/>
          <w:tab w:val="left" w:pos="1080"/>
        </w:tabs>
        <w:spacing w:line="240" w:lineRule="auto"/>
        <w:contextualSpacing/>
        <w:jc w:val="center"/>
        <w:rPr>
          <w:rFonts w:ascii="Times New Roman" w:hAnsi="Times New Roman" w:cs="Times New Roman"/>
          <w:b/>
          <w:sz w:val="24"/>
          <w:szCs w:val="24"/>
        </w:rPr>
      </w:pPr>
      <w:r w:rsidRPr="00E721BD">
        <w:rPr>
          <w:rFonts w:ascii="Times New Roman" w:hAnsi="Times New Roman" w:cs="Times New Roman"/>
          <w:b/>
          <w:sz w:val="24"/>
          <w:szCs w:val="24"/>
        </w:rPr>
        <w:t>Республики Казахстан</w:t>
      </w:r>
    </w:p>
    <w:p w:rsidR="00B252FD" w:rsidRPr="00E721BD" w:rsidRDefault="00B252FD" w:rsidP="006346A7">
      <w:pPr>
        <w:keepNext/>
        <w:keepLines/>
        <w:tabs>
          <w:tab w:val="left" w:pos="900"/>
          <w:tab w:val="left" w:pos="1080"/>
        </w:tabs>
        <w:spacing w:line="240" w:lineRule="auto"/>
        <w:contextualSpacing/>
        <w:jc w:val="center"/>
        <w:rPr>
          <w:rFonts w:ascii="Times New Roman" w:hAnsi="Times New Roman" w:cs="Times New Roman"/>
          <w:i/>
          <w:sz w:val="24"/>
          <w:szCs w:val="24"/>
        </w:rPr>
      </w:pPr>
    </w:p>
    <w:p w:rsidR="00B252FD" w:rsidRPr="00E721BD" w:rsidRDefault="00B252FD" w:rsidP="006346A7">
      <w:pPr>
        <w:keepNext/>
        <w:keepLines/>
        <w:tabs>
          <w:tab w:val="left" w:pos="900"/>
          <w:tab w:val="left" w:pos="1080"/>
        </w:tabs>
        <w:spacing w:line="240" w:lineRule="auto"/>
        <w:contextualSpacing/>
        <w:jc w:val="center"/>
        <w:rPr>
          <w:rFonts w:ascii="Times New Roman" w:hAnsi="Times New Roman" w:cs="Times New Roman"/>
          <w:b/>
          <w:i/>
          <w:sz w:val="24"/>
          <w:szCs w:val="24"/>
        </w:rPr>
      </w:pPr>
      <w:r w:rsidRPr="00E721BD">
        <w:rPr>
          <w:rFonts w:ascii="Times New Roman" w:hAnsi="Times New Roman" w:cs="Times New Roman"/>
          <w:b/>
          <w:i/>
          <w:sz w:val="24"/>
          <w:szCs w:val="24"/>
        </w:rPr>
        <w:t xml:space="preserve">от </w:t>
      </w:r>
      <w:r w:rsidR="00E446A1">
        <w:rPr>
          <w:rFonts w:ascii="Times New Roman" w:hAnsi="Times New Roman" w:cs="Times New Roman"/>
          <w:b/>
          <w:i/>
          <w:sz w:val="24"/>
          <w:szCs w:val="24"/>
        </w:rPr>
        <w:t>6 ноября</w:t>
      </w:r>
      <w:r w:rsidRPr="00E721BD">
        <w:rPr>
          <w:rFonts w:ascii="Times New Roman" w:hAnsi="Times New Roman" w:cs="Times New Roman"/>
          <w:b/>
          <w:i/>
          <w:sz w:val="24"/>
          <w:szCs w:val="24"/>
        </w:rPr>
        <w:t xml:space="preserve"> 20</w:t>
      </w:r>
      <w:r w:rsidR="00B962C5">
        <w:rPr>
          <w:rFonts w:ascii="Times New Roman" w:hAnsi="Times New Roman" w:cs="Times New Roman"/>
          <w:b/>
          <w:i/>
          <w:sz w:val="24"/>
          <w:szCs w:val="24"/>
        </w:rPr>
        <w:t>1</w:t>
      </w:r>
      <w:r w:rsidR="00E446A1">
        <w:rPr>
          <w:rFonts w:ascii="Times New Roman" w:hAnsi="Times New Roman" w:cs="Times New Roman"/>
          <w:b/>
          <w:i/>
          <w:sz w:val="24"/>
          <w:szCs w:val="24"/>
        </w:rPr>
        <w:t>8</w:t>
      </w:r>
      <w:r w:rsidR="00B962C5">
        <w:rPr>
          <w:rFonts w:ascii="Times New Roman" w:hAnsi="Times New Roman" w:cs="Times New Roman"/>
          <w:b/>
          <w:i/>
          <w:sz w:val="24"/>
          <w:szCs w:val="24"/>
        </w:rPr>
        <w:t xml:space="preserve"> года № 4</w:t>
      </w:r>
      <w:r w:rsidR="00E446A1">
        <w:rPr>
          <w:rFonts w:ascii="Times New Roman" w:hAnsi="Times New Roman" w:cs="Times New Roman"/>
          <w:b/>
          <w:i/>
          <w:sz w:val="24"/>
          <w:szCs w:val="24"/>
        </w:rPr>
        <w:t>38</w:t>
      </w:r>
    </w:p>
    <w:p w:rsidR="00B252FD" w:rsidRPr="00E721BD" w:rsidRDefault="00B252FD" w:rsidP="006346A7">
      <w:pPr>
        <w:keepNext/>
        <w:keepLines/>
        <w:tabs>
          <w:tab w:val="left" w:pos="900"/>
          <w:tab w:val="left" w:pos="1080"/>
        </w:tabs>
        <w:spacing w:line="240" w:lineRule="auto"/>
        <w:contextualSpacing/>
        <w:jc w:val="center"/>
        <w:rPr>
          <w:rFonts w:ascii="Times New Roman" w:hAnsi="Times New Roman" w:cs="Times New Roman"/>
          <w:i/>
          <w:sz w:val="24"/>
          <w:szCs w:val="24"/>
        </w:rPr>
      </w:pPr>
    </w:p>
    <w:p w:rsidR="00B252FD" w:rsidRPr="00E721BD" w:rsidRDefault="00B252FD" w:rsidP="006346A7">
      <w:pPr>
        <w:keepNext/>
        <w:keepLines/>
        <w:tabs>
          <w:tab w:val="left" w:pos="900"/>
          <w:tab w:val="left" w:pos="1080"/>
        </w:tabs>
        <w:spacing w:line="240" w:lineRule="auto"/>
        <w:contextualSpacing/>
        <w:jc w:val="center"/>
        <w:rPr>
          <w:rFonts w:ascii="Times New Roman" w:hAnsi="Times New Roman" w:cs="Times New Roman"/>
          <w:b/>
          <w:i/>
          <w:sz w:val="24"/>
          <w:szCs w:val="24"/>
        </w:rPr>
      </w:pPr>
      <w:r w:rsidRPr="00E721BD">
        <w:rPr>
          <w:rFonts w:ascii="Times New Roman" w:hAnsi="Times New Roman" w:cs="Times New Roman"/>
          <w:i/>
          <w:sz w:val="24"/>
          <w:szCs w:val="24"/>
        </w:rPr>
        <w:t xml:space="preserve">Период отчета: </w:t>
      </w:r>
      <w:r w:rsidR="00B962C5">
        <w:rPr>
          <w:rFonts w:ascii="Times New Roman" w:hAnsi="Times New Roman" w:cs="Times New Roman"/>
          <w:b/>
          <w:i/>
          <w:sz w:val="24"/>
          <w:szCs w:val="24"/>
        </w:rPr>
        <w:t>201</w:t>
      </w:r>
      <w:r w:rsidR="00E446A1">
        <w:rPr>
          <w:rFonts w:ascii="Times New Roman" w:hAnsi="Times New Roman" w:cs="Times New Roman"/>
          <w:b/>
          <w:i/>
          <w:sz w:val="24"/>
          <w:szCs w:val="24"/>
        </w:rPr>
        <w:t>8</w:t>
      </w:r>
      <w:r w:rsidRPr="00E721BD">
        <w:rPr>
          <w:rFonts w:ascii="Times New Roman" w:hAnsi="Times New Roman" w:cs="Times New Roman"/>
          <w:b/>
          <w:i/>
          <w:sz w:val="24"/>
          <w:szCs w:val="24"/>
        </w:rPr>
        <w:t xml:space="preserve"> год</w:t>
      </w:r>
    </w:p>
    <w:p w:rsidR="00B252FD" w:rsidRPr="00E721BD" w:rsidRDefault="00B252FD" w:rsidP="006346A7">
      <w:pPr>
        <w:keepNext/>
        <w:keepLines/>
        <w:tabs>
          <w:tab w:val="left" w:pos="900"/>
          <w:tab w:val="left" w:pos="1080"/>
        </w:tabs>
        <w:spacing w:line="240" w:lineRule="auto"/>
        <w:contextualSpacing/>
        <w:jc w:val="center"/>
        <w:rPr>
          <w:rFonts w:ascii="Times New Roman" w:hAnsi="Times New Roman" w:cs="Times New Roman"/>
          <w:b/>
          <w:sz w:val="24"/>
          <w:szCs w:val="24"/>
        </w:rPr>
      </w:pPr>
    </w:p>
    <w:p w:rsidR="00B252FD" w:rsidRPr="00E721BD" w:rsidRDefault="00B252FD" w:rsidP="006346A7">
      <w:pPr>
        <w:keepNext/>
        <w:keepLines/>
        <w:tabs>
          <w:tab w:val="left" w:pos="900"/>
          <w:tab w:val="left" w:pos="1080"/>
        </w:tabs>
        <w:spacing w:after="0" w:line="240" w:lineRule="auto"/>
        <w:contextualSpacing/>
        <w:jc w:val="center"/>
        <w:rPr>
          <w:rFonts w:ascii="Times New Roman" w:hAnsi="Times New Roman" w:cs="Times New Roman"/>
          <w:b/>
          <w:sz w:val="24"/>
          <w:szCs w:val="24"/>
        </w:rPr>
      </w:pPr>
      <w:r w:rsidRPr="00E721BD">
        <w:rPr>
          <w:rFonts w:ascii="Times New Roman" w:hAnsi="Times New Roman" w:cs="Times New Roman"/>
          <w:b/>
          <w:sz w:val="24"/>
          <w:szCs w:val="24"/>
        </w:rPr>
        <w:t>1. Анализ управления рисками</w:t>
      </w:r>
    </w:p>
    <w:p w:rsidR="00C63385" w:rsidRPr="00E721BD" w:rsidRDefault="00C63385" w:rsidP="006346A7">
      <w:pPr>
        <w:spacing w:line="240" w:lineRule="auto"/>
        <w:contextualSpacing/>
        <w:jc w:val="both"/>
        <w:rPr>
          <w:rFonts w:ascii="Times New Roman" w:hAnsi="Times New Roman" w:cs="Times New Roman"/>
        </w:rPr>
      </w:pPr>
    </w:p>
    <w:tbl>
      <w:tblPr>
        <w:tblStyle w:val="a8"/>
        <w:tblW w:w="0" w:type="auto"/>
        <w:tblLook w:val="04A0" w:firstRow="1" w:lastRow="0" w:firstColumn="1" w:lastColumn="0" w:noHBand="0" w:noVBand="1"/>
      </w:tblPr>
      <w:tblGrid>
        <w:gridCol w:w="3367"/>
        <w:gridCol w:w="2551"/>
        <w:gridCol w:w="2408"/>
        <w:gridCol w:w="2095"/>
      </w:tblGrid>
      <w:tr w:rsidR="00D56804" w:rsidRPr="00E721BD" w:rsidTr="0091449F">
        <w:trPr>
          <w:tblHeader/>
        </w:trPr>
        <w:tc>
          <w:tcPr>
            <w:tcW w:w="3367" w:type="dxa"/>
          </w:tcPr>
          <w:p w:rsidR="00D56804" w:rsidRPr="00E721BD" w:rsidRDefault="00D56804" w:rsidP="006346A7">
            <w:pPr>
              <w:contextualSpacing/>
              <w:jc w:val="center"/>
              <w:rPr>
                <w:rFonts w:ascii="Times New Roman" w:hAnsi="Times New Roman" w:cs="Times New Roman"/>
                <w:b/>
                <w:i/>
                <w:szCs w:val="28"/>
              </w:rPr>
            </w:pPr>
            <w:r w:rsidRPr="00E721BD">
              <w:rPr>
                <w:rFonts w:ascii="Times New Roman" w:hAnsi="Times New Roman" w:cs="Times New Roman"/>
                <w:b/>
                <w:i/>
                <w:szCs w:val="28"/>
              </w:rPr>
              <w:t>Наименование возможного риска</w:t>
            </w:r>
          </w:p>
        </w:tc>
        <w:tc>
          <w:tcPr>
            <w:tcW w:w="2551" w:type="dxa"/>
          </w:tcPr>
          <w:p w:rsidR="00D56804" w:rsidRPr="00E721BD" w:rsidRDefault="00D56804" w:rsidP="006346A7">
            <w:pPr>
              <w:contextualSpacing/>
              <w:jc w:val="center"/>
              <w:rPr>
                <w:rFonts w:ascii="Times New Roman" w:hAnsi="Times New Roman" w:cs="Times New Roman"/>
                <w:b/>
                <w:i/>
                <w:szCs w:val="28"/>
              </w:rPr>
            </w:pPr>
            <w:r w:rsidRPr="00E721BD">
              <w:rPr>
                <w:rFonts w:ascii="Times New Roman" w:hAnsi="Times New Roman" w:cs="Times New Roman"/>
                <w:b/>
                <w:i/>
                <w:szCs w:val="28"/>
              </w:rPr>
              <w:t>Запланированные</w:t>
            </w:r>
          </w:p>
          <w:p w:rsidR="00D56804" w:rsidRPr="00E721BD" w:rsidRDefault="00D56804" w:rsidP="006346A7">
            <w:pPr>
              <w:contextualSpacing/>
              <w:jc w:val="center"/>
              <w:rPr>
                <w:rFonts w:ascii="Times New Roman" w:hAnsi="Times New Roman" w:cs="Times New Roman"/>
                <w:b/>
                <w:i/>
                <w:szCs w:val="28"/>
              </w:rPr>
            </w:pPr>
            <w:r w:rsidRPr="00E721BD">
              <w:rPr>
                <w:rFonts w:ascii="Times New Roman" w:hAnsi="Times New Roman" w:cs="Times New Roman"/>
                <w:b/>
                <w:i/>
                <w:szCs w:val="28"/>
              </w:rPr>
              <w:t>мероприятия по управлению рисками</w:t>
            </w:r>
          </w:p>
        </w:tc>
        <w:tc>
          <w:tcPr>
            <w:tcW w:w="2408" w:type="dxa"/>
          </w:tcPr>
          <w:p w:rsidR="00D56804" w:rsidRPr="00E721BD" w:rsidRDefault="00D56804" w:rsidP="006346A7">
            <w:pPr>
              <w:contextualSpacing/>
              <w:jc w:val="center"/>
              <w:rPr>
                <w:rFonts w:ascii="Times New Roman" w:hAnsi="Times New Roman" w:cs="Times New Roman"/>
                <w:b/>
                <w:i/>
                <w:szCs w:val="28"/>
              </w:rPr>
            </w:pPr>
            <w:r w:rsidRPr="00E721BD">
              <w:rPr>
                <w:rFonts w:ascii="Times New Roman" w:hAnsi="Times New Roman" w:cs="Times New Roman"/>
                <w:b/>
                <w:i/>
                <w:szCs w:val="28"/>
              </w:rPr>
              <w:t>Фактическое</w:t>
            </w:r>
          </w:p>
          <w:p w:rsidR="00D56804" w:rsidRPr="00E721BD" w:rsidRDefault="00D56804" w:rsidP="006346A7">
            <w:pPr>
              <w:contextualSpacing/>
              <w:jc w:val="center"/>
              <w:rPr>
                <w:rFonts w:ascii="Times New Roman" w:hAnsi="Times New Roman" w:cs="Times New Roman"/>
                <w:b/>
                <w:i/>
                <w:szCs w:val="28"/>
              </w:rPr>
            </w:pPr>
            <w:r w:rsidRPr="00E721BD">
              <w:rPr>
                <w:rFonts w:ascii="Times New Roman" w:hAnsi="Times New Roman" w:cs="Times New Roman"/>
                <w:b/>
                <w:i/>
                <w:szCs w:val="28"/>
              </w:rPr>
              <w:t>исполнение</w:t>
            </w:r>
          </w:p>
          <w:p w:rsidR="00D56804" w:rsidRPr="00E721BD" w:rsidRDefault="00D56804" w:rsidP="006346A7">
            <w:pPr>
              <w:contextualSpacing/>
              <w:jc w:val="center"/>
              <w:rPr>
                <w:rFonts w:ascii="Times New Roman" w:hAnsi="Times New Roman" w:cs="Times New Roman"/>
                <w:b/>
                <w:i/>
                <w:szCs w:val="28"/>
              </w:rPr>
            </w:pPr>
            <w:r w:rsidRPr="00E721BD">
              <w:rPr>
                <w:rFonts w:ascii="Times New Roman" w:hAnsi="Times New Roman" w:cs="Times New Roman"/>
                <w:b/>
                <w:i/>
                <w:szCs w:val="28"/>
              </w:rPr>
              <w:t>мероприятий по управлению рисками</w:t>
            </w:r>
          </w:p>
        </w:tc>
        <w:tc>
          <w:tcPr>
            <w:tcW w:w="2095" w:type="dxa"/>
          </w:tcPr>
          <w:p w:rsidR="00D56804" w:rsidRPr="00E721BD" w:rsidRDefault="00D56804" w:rsidP="006346A7">
            <w:pPr>
              <w:contextualSpacing/>
              <w:jc w:val="center"/>
              <w:rPr>
                <w:rFonts w:ascii="Times New Roman" w:hAnsi="Times New Roman" w:cs="Times New Roman"/>
                <w:b/>
                <w:i/>
                <w:szCs w:val="28"/>
              </w:rPr>
            </w:pPr>
            <w:r w:rsidRPr="00E721BD">
              <w:rPr>
                <w:rFonts w:ascii="Times New Roman" w:hAnsi="Times New Roman" w:cs="Times New Roman"/>
                <w:b/>
                <w:i/>
                <w:szCs w:val="28"/>
              </w:rPr>
              <w:t>Примечание</w:t>
            </w:r>
          </w:p>
          <w:p w:rsidR="00D56804" w:rsidRPr="00E721BD" w:rsidRDefault="00D56804" w:rsidP="006346A7">
            <w:pPr>
              <w:contextualSpacing/>
              <w:jc w:val="center"/>
              <w:rPr>
                <w:rFonts w:ascii="Times New Roman" w:hAnsi="Times New Roman" w:cs="Times New Roman"/>
                <w:b/>
                <w:i/>
                <w:szCs w:val="28"/>
              </w:rPr>
            </w:pPr>
            <w:r w:rsidRPr="00E721BD">
              <w:rPr>
                <w:rFonts w:ascii="Times New Roman" w:hAnsi="Times New Roman" w:cs="Times New Roman"/>
                <w:b/>
                <w:i/>
                <w:szCs w:val="28"/>
              </w:rPr>
              <w:t>(информация об исполнении/</w:t>
            </w:r>
          </w:p>
          <w:p w:rsidR="00D56804" w:rsidRPr="00E721BD" w:rsidRDefault="00D56804" w:rsidP="006346A7">
            <w:pPr>
              <w:contextualSpacing/>
              <w:jc w:val="center"/>
              <w:rPr>
                <w:rFonts w:ascii="Times New Roman" w:hAnsi="Times New Roman" w:cs="Times New Roman"/>
                <w:b/>
                <w:i/>
                <w:szCs w:val="28"/>
              </w:rPr>
            </w:pPr>
            <w:r w:rsidRPr="00E721BD">
              <w:rPr>
                <w:rFonts w:ascii="Times New Roman" w:hAnsi="Times New Roman" w:cs="Times New Roman"/>
                <w:b/>
                <w:i/>
                <w:szCs w:val="28"/>
              </w:rPr>
              <w:t>неисполнении)</w:t>
            </w:r>
          </w:p>
        </w:tc>
      </w:tr>
      <w:tr w:rsidR="00D56804" w:rsidRPr="00E721BD" w:rsidTr="0091449F">
        <w:tc>
          <w:tcPr>
            <w:tcW w:w="3367" w:type="dxa"/>
          </w:tcPr>
          <w:p w:rsidR="00D56804" w:rsidRPr="00E721BD" w:rsidRDefault="00D56804" w:rsidP="006346A7">
            <w:pPr>
              <w:contextualSpacing/>
              <w:jc w:val="both"/>
              <w:rPr>
                <w:rFonts w:ascii="Times New Roman" w:hAnsi="Times New Roman" w:cs="Times New Roman"/>
              </w:rPr>
            </w:pPr>
            <w:r w:rsidRPr="00E721BD">
              <w:rPr>
                <w:rFonts w:ascii="Times New Roman" w:hAnsi="Times New Roman" w:cs="Times New Roman"/>
              </w:rPr>
              <w:t>1</w:t>
            </w:r>
          </w:p>
        </w:tc>
        <w:tc>
          <w:tcPr>
            <w:tcW w:w="2551" w:type="dxa"/>
          </w:tcPr>
          <w:p w:rsidR="00D56804" w:rsidRPr="00E721BD" w:rsidRDefault="00D56804" w:rsidP="006346A7">
            <w:pPr>
              <w:contextualSpacing/>
              <w:jc w:val="both"/>
              <w:rPr>
                <w:rFonts w:ascii="Times New Roman" w:hAnsi="Times New Roman" w:cs="Times New Roman"/>
              </w:rPr>
            </w:pPr>
            <w:r w:rsidRPr="00E721BD">
              <w:rPr>
                <w:rFonts w:ascii="Times New Roman" w:hAnsi="Times New Roman" w:cs="Times New Roman"/>
              </w:rPr>
              <w:t>2</w:t>
            </w:r>
          </w:p>
        </w:tc>
        <w:tc>
          <w:tcPr>
            <w:tcW w:w="2408" w:type="dxa"/>
          </w:tcPr>
          <w:p w:rsidR="00D56804" w:rsidRPr="00E721BD" w:rsidRDefault="00D56804" w:rsidP="006346A7">
            <w:pPr>
              <w:contextualSpacing/>
              <w:jc w:val="both"/>
              <w:rPr>
                <w:rFonts w:ascii="Times New Roman" w:hAnsi="Times New Roman" w:cs="Times New Roman"/>
              </w:rPr>
            </w:pPr>
            <w:r w:rsidRPr="00E721BD">
              <w:rPr>
                <w:rFonts w:ascii="Times New Roman" w:hAnsi="Times New Roman" w:cs="Times New Roman"/>
              </w:rPr>
              <w:t>3</w:t>
            </w:r>
          </w:p>
        </w:tc>
        <w:tc>
          <w:tcPr>
            <w:tcW w:w="2095" w:type="dxa"/>
          </w:tcPr>
          <w:p w:rsidR="00D56804" w:rsidRPr="00E721BD" w:rsidRDefault="00D56804" w:rsidP="006346A7">
            <w:pPr>
              <w:contextualSpacing/>
              <w:jc w:val="both"/>
              <w:rPr>
                <w:rFonts w:ascii="Times New Roman" w:hAnsi="Times New Roman" w:cs="Times New Roman"/>
              </w:rPr>
            </w:pPr>
            <w:r w:rsidRPr="00E721BD">
              <w:rPr>
                <w:rFonts w:ascii="Times New Roman" w:hAnsi="Times New Roman" w:cs="Times New Roman"/>
              </w:rPr>
              <w:t>4</w:t>
            </w:r>
          </w:p>
        </w:tc>
      </w:tr>
      <w:tr w:rsidR="00D56804" w:rsidRPr="00E721BD" w:rsidTr="009E2774">
        <w:tc>
          <w:tcPr>
            <w:tcW w:w="10421" w:type="dxa"/>
            <w:gridSpan w:val="4"/>
          </w:tcPr>
          <w:p w:rsidR="00D56804" w:rsidRPr="00E721BD" w:rsidRDefault="00D56804" w:rsidP="006346A7">
            <w:pPr>
              <w:contextualSpacing/>
              <w:jc w:val="center"/>
              <w:rPr>
                <w:rFonts w:ascii="Times New Roman" w:hAnsi="Times New Roman" w:cs="Times New Roman"/>
              </w:rPr>
            </w:pPr>
            <w:r w:rsidRPr="00E721BD">
              <w:rPr>
                <w:rFonts w:ascii="Times New Roman" w:hAnsi="Times New Roman"/>
                <w:b/>
                <w:szCs w:val="28"/>
              </w:rPr>
              <w:t xml:space="preserve">Стратегическое направление 1. </w:t>
            </w:r>
            <w:r w:rsidRPr="00E721BD">
              <w:rPr>
                <w:rFonts w:ascii="Times New Roman" w:hAnsi="Times New Roman"/>
                <w:szCs w:val="28"/>
              </w:rPr>
              <w:t>Обеспечение стабильности цен</w:t>
            </w:r>
          </w:p>
        </w:tc>
      </w:tr>
      <w:tr w:rsidR="00D56804" w:rsidRPr="00E721BD" w:rsidTr="009E2774">
        <w:tc>
          <w:tcPr>
            <w:tcW w:w="10421" w:type="dxa"/>
            <w:gridSpan w:val="4"/>
          </w:tcPr>
          <w:p w:rsidR="00D56804" w:rsidRPr="00E721BD" w:rsidRDefault="00D56804" w:rsidP="00694493">
            <w:pPr>
              <w:contextualSpacing/>
              <w:jc w:val="center"/>
              <w:rPr>
                <w:rFonts w:ascii="Times New Roman" w:hAnsi="Times New Roman" w:cs="Times New Roman"/>
              </w:rPr>
            </w:pPr>
            <w:r w:rsidRPr="00E721BD">
              <w:rPr>
                <w:rFonts w:ascii="Times New Roman" w:hAnsi="Times New Roman"/>
                <w:b/>
                <w:szCs w:val="28"/>
              </w:rPr>
              <w:t xml:space="preserve">Цель 1.1. </w:t>
            </w:r>
            <w:r w:rsidR="00694493">
              <w:rPr>
                <w:rFonts w:ascii="Times New Roman" w:hAnsi="Times New Roman"/>
                <w:szCs w:val="28"/>
              </w:rPr>
              <w:t>Разработка и проведение денежно-кредитной политики государства. Удержание инфляции в целевом коридоре</w:t>
            </w:r>
          </w:p>
        </w:tc>
      </w:tr>
      <w:tr w:rsidR="002534C2" w:rsidRPr="00E721BD" w:rsidTr="0091449F">
        <w:tc>
          <w:tcPr>
            <w:tcW w:w="3367" w:type="dxa"/>
          </w:tcPr>
          <w:p w:rsidR="002534C2" w:rsidRPr="00E721BD" w:rsidRDefault="002534C2" w:rsidP="006346A7">
            <w:pPr>
              <w:contextualSpacing/>
              <w:jc w:val="both"/>
              <w:rPr>
                <w:rFonts w:ascii="Times New Roman" w:hAnsi="Times New Roman"/>
                <w:szCs w:val="28"/>
              </w:rPr>
            </w:pPr>
            <w:r w:rsidRPr="00E721BD">
              <w:rPr>
                <w:rFonts w:ascii="Times New Roman" w:hAnsi="Times New Roman"/>
              </w:rPr>
              <w:t>Снижение цены на нефть на протяжении всего среднесрочного периода может привести к ослаблению тенге и росту инфляции в краткосрочном периоде.</w:t>
            </w:r>
          </w:p>
        </w:tc>
        <w:tc>
          <w:tcPr>
            <w:tcW w:w="2551" w:type="dxa"/>
          </w:tcPr>
          <w:p w:rsidR="002534C2" w:rsidRPr="00E721BD" w:rsidRDefault="002534C2" w:rsidP="006346A7">
            <w:pPr>
              <w:contextualSpacing/>
              <w:jc w:val="both"/>
              <w:rPr>
                <w:rFonts w:ascii="Times New Roman" w:hAnsi="Times New Roman"/>
                <w:szCs w:val="28"/>
              </w:rPr>
            </w:pPr>
            <w:r w:rsidRPr="00E721BD">
              <w:rPr>
                <w:rFonts w:ascii="Times New Roman" w:hAnsi="Times New Roman"/>
              </w:rPr>
              <w:t>Проведение сдерживающей денежно-кредитной политики.</w:t>
            </w:r>
          </w:p>
        </w:tc>
        <w:tc>
          <w:tcPr>
            <w:tcW w:w="2408" w:type="dxa"/>
          </w:tcPr>
          <w:p w:rsidR="002534C2" w:rsidRPr="002534C2" w:rsidRDefault="002534C2" w:rsidP="002534C2">
            <w:pPr>
              <w:contextualSpacing/>
              <w:jc w:val="both"/>
              <w:rPr>
                <w:rFonts w:ascii="Times New Roman" w:hAnsi="Times New Roman"/>
              </w:rPr>
            </w:pPr>
            <w:r w:rsidRPr="002534C2">
              <w:rPr>
                <w:rFonts w:ascii="Times New Roman" w:hAnsi="Times New Roman"/>
              </w:rPr>
              <w:t xml:space="preserve">Постановлением Совета директоров </w:t>
            </w:r>
            <w:r>
              <w:rPr>
                <w:rFonts w:ascii="Times New Roman" w:hAnsi="Times New Roman"/>
              </w:rPr>
              <w:t>НБРК от 15 октября 2018 года №140 «</w:t>
            </w:r>
            <w:r w:rsidRPr="002534C2">
              <w:rPr>
                <w:rFonts w:ascii="Times New Roman" w:hAnsi="Times New Roman"/>
              </w:rPr>
              <w:t>Об установлении базовой ставки Националь</w:t>
            </w:r>
            <w:r>
              <w:rPr>
                <w:rFonts w:ascii="Times New Roman" w:hAnsi="Times New Roman"/>
              </w:rPr>
              <w:t>ного Банка Республики Казахстан»</w:t>
            </w:r>
            <w:r w:rsidRPr="002534C2">
              <w:rPr>
                <w:rFonts w:ascii="Times New Roman" w:hAnsi="Times New Roman"/>
              </w:rPr>
              <w:t xml:space="preserve"> базовая ставка была повышена до 9,25%. </w:t>
            </w:r>
            <w:r>
              <w:rPr>
                <w:rFonts w:ascii="Times New Roman" w:hAnsi="Times New Roman"/>
              </w:rPr>
              <w:t>НБРК</w:t>
            </w:r>
            <w:r w:rsidRPr="002534C2">
              <w:rPr>
                <w:rFonts w:ascii="Times New Roman" w:hAnsi="Times New Roman"/>
              </w:rPr>
              <w:t xml:space="preserve"> сохранил нейтральность денежно-кредитных условий в целях баланса между достижением целей по инфляции и содействию в достижении темпов экономического роста на потенциальных уровнях.</w:t>
            </w:r>
          </w:p>
        </w:tc>
        <w:tc>
          <w:tcPr>
            <w:tcW w:w="2095" w:type="dxa"/>
          </w:tcPr>
          <w:p w:rsidR="002534C2" w:rsidRPr="00E721BD" w:rsidRDefault="002534C2" w:rsidP="006346A7">
            <w:pPr>
              <w:contextualSpacing/>
              <w:jc w:val="both"/>
              <w:rPr>
                <w:rFonts w:ascii="Times New Roman" w:hAnsi="Times New Roman" w:cs="Times New Roman"/>
              </w:rPr>
            </w:pPr>
          </w:p>
        </w:tc>
      </w:tr>
      <w:tr w:rsidR="002534C2" w:rsidRPr="00E721BD" w:rsidTr="0091449F">
        <w:tc>
          <w:tcPr>
            <w:tcW w:w="3367" w:type="dxa"/>
          </w:tcPr>
          <w:p w:rsidR="002534C2" w:rsidRPr="00E721BD" w:rsidRDefault="002534C2" w:rsidP="006346A7">
            <w:pPr>
              <w:contextualSpacing/>
              <w:jc w:val="both"/>
              <w:rPr>
                <w:rFonts w:ascii="Times New Roman" w:hAnsi="Times New Roman"/>
              </w:rPr>
            </w:pPr>
            <w:r w:rsidRPr="00E721BD">
              <w:rPr>
                <w:rFonts w:ascii="Times New Roman" w:hAnsi="Times New Roman"/>
              </w:rPr>
              <w:t>Более медленное восстановление казахстанской экономики, в том числе за счет медленного восстановления внутреннего спроса при условии стабилизации цен на нефть, может привести к снижению инфляции.</w:t>
            </w:r>
          </w:p>
        </w:tc>
        <w:tc>
          <w:tcPr>
            <w:tcW w:w="2551" w:type="dxa"/>
          </w:tcPr>
          <w:p w:rsidR="002534C2" w:rsidRPr="00E721BD" w:rsidRDefault="002534C2" w:rsidP="006346A7">
            <w:pPr>
              <w:contextualSpacing/>
              <w:jc w:val="both"/>
              <w:rPr>
                <w:rFonts w:ascii="Times New Roman" w:hAnsi="Times New Roman"/>
              </w:rPr>
            </w:pPr>
            <w:r w:rsidRPr="00E721BD">
              <w:rPr>
                <w:rFonts w:ascii="Times New Roman" w:hAnsi="Times New Roman"/>
              </w:rPr>
              <w:t>Проведение стимулирующей денежно-кредитной политики.</w:t>
            </w:r>
          </w:p>
        </w:tc>
        <w:tc>
          <w:tcPr>
            <w:tcW w:w="2408" w:type="dxa"/>
          </w:tcPr>
          <w:p w:rsidR="002534C2" w:rsidRDefault="002534C2" w:rsidP="00254770">
            <w:pPr>
              <w:contextualSpacing/>
              <w:jc w:val="both"/>
              <w:rPr>
                <w:rFonts w:ascii="Times New Roman" w:hAnsi="Times New Roman"/>
              </w:rPr>
            </w:pPr>
            <w:r w:rsidRPr="002534C2">
              <w:rPr>
                <w:rFonts w:ascii="Times New Roman" w:hAnsi="Times New Roman"/>
              </w:rPr>
              <w:t>Уровень базовой ставки соответствовал сложившимся тенденциям в экономике и ситуации в финансовом секторе, в том числе наблюдаемым инфляционным процессам.</w:t>
            </w:r>
          </w:p>
          <w:p w:rsidR="001D338B" w:rsidRPr="002534C2" w:rsidRDefault="001D338B" w:rsidP="00254770">
            <w:pPr>
              <w:contextualSpacing/>
              <w:jc w:val="both"/>
              <w:rPr>
                <w:rFonts w:ascii="Times New Roman" w:hAnsi="Times New Roman"/>
              </w:rPr>
            </w:pPr>
          </w:p>
        </w:tc>
        <w:tc>
          <w:tcPr>
            <w:tcW w:w="2095" w:type="dxa"/>
          </w:tcPr>
          <w:p w:rsidR="002534C2" w:rsidRPr="00E721BD" w:rsidRDefault="002534C2" w:rsidP="006346A7">
            <w:pPr>
              <w:contextualSpacing/>
              <w:jc w:val="both"/>
              <w:rPr>
                <w:rFonts w:ascii="Times New Roman" w:hAnsi="Times New Roman" w:cs="Times New Roman"/>
              </w:rPr>
            </w:pPr>
          </w:p>
        </w:tc>
      </w:tr>
      <w:tr w:rsidR="002534C2" w:rsidRPr="00E721BD" w:rsidTr="009E2774">
        <w:tc>
          <w:tcPr>
            <w:tcW w:w="10421" w:type="dxa"/>
            <w:gridSpan w:val="4"/>
          </w:tcPr>
          <w:p w:rsidR="002534C2" w:rsidRPr="00E721BD" w:rsidRDefault="002534C2" w:rsidP="006346A7">
            <w:pPr>
              <w:contextualSpacing/>
              <w:jc w:val="center"/>
              <w:rPr>
                <w:rFonts w:ascii="Times New Roman" w:hAnsi="Times New Roman" w:cs="Times New Roman"/>
              </w:rPr>
            </w:pPr>
            <w:r w:rsidRPr="00E721BD">
              <w:rPr>
                <w:rFonts w:ascii="Times New Roman" w:hAnsi="Times New Roman"/>
                <w:b/>
                <w:szCs w:val="28"/>
              </w:rPr>
              <w:lastRenderedPageBreak/>
              <w:t xml:space="preserve">Стратегическое направление 2. </w:t>
            </w:r>
            <w:r w:rsidRPr="00E721BD">
              <w:rPr>
                <w:rFonts w:ascii="Times New Roman" w:hAnsi="Times New Roman"/>
                <w:szCs w:val="28"/>
              </w:rPr>
              <w:t>Обеспечение финансовой стабильности</w:t>
            </w:r>
          </w:p>
        </w:tc>
      </w:tr>
      <w:tr w:rsidR="002534C2" w:rsidRPr="00E721BD" w:rsidTr="009E2774">
        <w:tc>
          <w:tcPr>
            <w:tcW w:w="10421" w:type="dxa"/>
            <w:gridSpan w:val="4"/>
          </w:tcPr>
          <w:p w:rsidR="002534C2" w:rsidRPr="00E721BD" w:rsidRDefault="002534C2" w:rsidP="006346A7">
            <w:pPr>
              <w:contextualSpacing/>
              <w:jc w:val="center"/>
              <w:rPr>
                <w:rFonts w:ascii="Times New Roman" w:hAnsi="Times New Roman" w:cs="Times New Roman"/>
              </w:rPr>
            </w:pPr>
            <w:r w:rsidRPr="00E721BD">
              <w:rPr>
                <w:rFonts w:ascii="Times New Roman" w:hAnsi="Times New Roman"/>
                <w:b/>
                <w:szCs w:val="28"/>
              </w:rPr>
              <w:t xml:space="preserve">Цель 2.1. </w:t>
            </w:r>
            <w:r w:rsidRPr="00E721BD">
              <w:rPr>
                <w:rFonts w:ascii="Times New Roman" w:hAnsi="Times New Roman"/>
                <w:szCs w:val="28"/>
              </w:rPr>
              <w:t>Повышение финансовой устойчивости и конкурентоспособности банковского сектора</w:t>
            </w:r>
          </w:p>
        </w:tc>
      </w:tr>
      <w:tr w:rsidR="00721550" w:rsidRPr="00E721BD" w:rsidTr="0091449F">
        <w:tc>
          <w:tcPr>
            <w:tcW w:w="3367" w:type="dxa"/>
            <w:vMerge w:val="restart"/>
          </w:tcPr>
          <w:p w:rsidR="00721550" w:rsidRPr="00E721BD" w:rsidRDefault="00721550" w:rsidP="006346A7">
            <w:pPr>
              <w:contextualSpacing/>
              <w:jc w:val="both"/>
              <w:rPr>
                <w:rFonts w:ascii="Times New Roman" w:hAnsi="Times New Roman" w:cs="Times New Roman"/>
              </w:rPr>
            </w:pPr>
            <w:r w:rsidRPr="00E721BD">
              <w:rPr>
                <w:rFonts w:ascii="Times New Roman" w:hAnsi="Times New Roman"/>
              </w:rPr>
              <w:t>Нестабильная ценовая ситуация на мировых товарных рынках.</w:t>
            </w:r>
          </w:p>
        </w:tc>
        <w:tc>
          <w:tcPr>
            <w:tcW w:w="2551" w:type="dxa"/>
          </w:tcPr>
          <w:p w:rsidR="00721550" w:rsidRPr="00E721BD" w:rsidRDefault="00721550" w:rsidP="006346A7">
            <w:pPr>
              <w:pStyle w:val="a4"/>
              <w:keepNext/>
              <w:keepLines/>
              <w:tabs>
                <w:tab w:val="left" w:pos="0"/>
              </w:tabs>
              <w:spacing w:before="0" w:beforeAutospacing="0" w:after="0" w:afterAutospacing="0"/>
              <w:contextualSpacing/>
              <w:jc w:val="both"/>
              <w:rPr>
                <w:sz w:val="22"/>
                <w:szCs w:val="22"/>
              </w:rPr>
            </w:pPr>
            <w:r w:rsidRPr="00E721BD">
              <w:rPr>
                <w:sz w:val="22"/>
                <w:szCs w:val="22"/>
              </w:rPr>
              <w:t>Проведение стресс-тестирования субъектов банковского сектора в целях выявления и оце</w:t>
            </w:r>
            <w:r>
              <w:rPr>
                <w:sz w:val="22"/>
                <w:szCs w:val="22"/>
              </w:rPr>
              <w:t xml:space="preserve">нки рисков банковского сектора и </w:t>
            </w:r>
            <w:r w:rsidRPr="00E721BD">
              <w:rPr>
                <w:sz w:val="22"/>
                <w:szCs w:val="22"/>
              </w:rPr>
              <w:t>принятие соответствующих надзорных мер по результатам стресс-тестирования.</w:t>
            </w:r>
          </w:p>
        </w:tc>
        <w:tc>
          <w:tcPr>
            <w:tcW w:w="2408" w:type="dxa"/>
          </w:tcPr>
          <w:p w:rsidR="00721550" w:rsidRPr="00E721BD" w:rsidRDefault="00721550" w:rsidP="00254770">
            <w:pPr>
              <w:contextualSpacing/>
              <w:jc w:val="both"/>
              <w:rPr>
                <w:rFonts w:ascii="Times New Roman" w:hAnsi="Times New Roman" w:cs="Times New Roman"/>
                <w:i/>
              </w:rPr>
            </w:pPr>
            <w:r>
              <w:rPr>
                <w:rFonts w:ascii="Times New Roman" w:hAnsi="Times New Roman" w:cs="Times New Roman"/>
              </w:rPr>
              <w:t>См. аналитическую записку</w:t>
            </w:r>
          </w:p>
        </w:tc>
        <w:tc>
          <w:tcPr>
            <w:tcW w:w="2095" w:type="dxa"/>
          </w:tcPr>
          <w:p w:rsidR="00721550" w:rsidRPr="00E721BD" w:rsidRDefault="00721550" w:rsidP="00254770">
            <w:pPr>
              <w:contextualSpacing/>
              <w:jc w:val="both"/>
              <w:rPr>
                <w:rFonts w:ascii="Times New Roman" w:hAnsi="Times New Roman" w:cs="Times New Roman"/>
              </w:rPr>
            </w:pPr>
          </w:p>
        </w:tc>
      </w:tr>
      <w:tr w:rsidR="00721550" w:rsidRPr="00E721BD" w:rsidTr="0091449F">
        <w:tc>
          <w:tcPr>
            <w:tcW w:w="3367" w:type="dxa"/>
            <w:vMerge/>
          </w:tcPr>
          <w:p w:rsidR="00721550" w:rsidRPr="00E721BD" w:rsidRDefault="00721550" w:rsidP="006346A7">
            <w:pPr>
              <w:contextualSpacing/>
              <w:jc w:val="both"/>
              <w:rPr>
                <w:rFonts w:ascii="Times New Roman" w:hAnsi="Times New Roman"/>
              </w:rPr>
            </w:pPr>
          </w:p>
        </w:tc>
        <w:tc>
          <w:tcPr>
            <w:tcW w:w="2551" w:type="dxa"/>
          </w:tcPr>
          <w:p w:rsidR="00721550" w:rsidRDefault="00721550" w:rsidP="006346A7">
            <w:pPr>
              <w:pStyle w:val="a4"/>
              <w:keepNext/>
              <w:keepLines/>
              <w:tabs>
                <w:tab w:val="left" w:pos="0"/>
              </w:tabs>
              <w:spacing w:before="0" w:beforeAutospacing="0" w:after="0" w:afterAutospacing="0"/>
              <w:contextualSpacing/>
              <w:jc w:val="both"/>
              <w:rPr>
                <w:sz w:val="22"/>
                <w:szCs w:val="22"/>
              </w:rPr>
            </w:pPr>
            <w:r w:rsidRPr="00E721BD">
              <w:rPr>
                <w:sz w:val="22"/>
                <w:szCs w:val="22"/>
              </w:rPr>
              <w:t>Совершенствование риск-ориентированного надзора и пруденциального регулирования банков в целях минимизации рисков банковского сектора и</w:t>
            </w:r>
            <w:r>
              <w:rPr>
                <w:sz w:val="22"/>
                <w:szCs w:val="22"/>
              </w:rPr>
              <w:t xml:space="preserve"> повышения устойчивости  банков.</w:t>
            </w:r>
          </w:p>
        </w:tc>
        <w:tc>
          <w:tcPr>
            <w:tcW w:w="2408" w:type="dxa"/>
          </w:tcPr>
          <w:p w:rsidR="00721550" w:rsidRPr="00E721BD" w:rsidRDefault="000C2504" w:rsidP="00D204CA">
            <w:pPr>
              <w:contextualSpacing/>
              <w:jc w:val="both"/>
              <w:rPr>
                <w:rFonts w:ascii="Times New Roman" w:hAnsi="Times New Roman"/>
              </w:rPr>
            </w:pPr>
            <w:r>
              <w:rPr>
                <w:rFonts w:ascii="Times New Roman" w:hAnsi="Times New Roman" w:cs="Times New Roman"/>
              </w:rPr>
              <w:t>См. аналитическую записку</w:t>
            </w:r>
          </w:p>
        </w:tc>
        <w:tc>
          <w:tcPr>
            <w:tcW w:w="2095" w:type="dxa"/>
          </w:tcPr>
          <w:p w:rsidR="00721550" w:rsidRPr="00E721BD" w:rsidRDefault="00721550" w:rsidP="006346A7">
            <w:pPr>
              <w:contextualSpacing/>
              <w:jc w:val="both"/>
              <w:rPr>
                <w:rFonts w:ascii="Times New Roman" w:hAnsi="Times New Roman" w:cs="Times New Roman"/>
              </w:rPr>
            </w:pPr>
          </w:p>
        </w:tc>
      </w:tr>
      <w:tr w:rsidR="00721550" w:rsidRPr="00E721BD" w:rsidTr="0091449F">
        <w:tc>
          <w:tcPr>
            <w:tcW w:w="3367" w:type="dxa"/>
          </w:tcPr>
          <w:p w:rsidR="00721550" w:rsidRPr="00E721BD" w:rsidRDefault="00721550" w:rsidP="006346A7">
            <w:pPr>
              <w:contextualSpacing/>
              <w:jc w:val="both"/>
              <w:rPr>
                <w:rFonts w:ascii="Times New Roman" w:hAnsi="Times New Roman" w:cs="Times New Roman"/>
              </w:rPr>
            </w:pPr>
            <w:r w:rsidRPr="00E721BD">
              <w:rPr>
                <w:rFonts w:ascii="Times New Roman" w:hAnsi="Times New Roman"/>
              </w:rPr>
              <w:t>Вытеснение казахстанских участников с отечественного финансового рынка иностранными финансовыми институтами в связи со вступлением в ВТО.</w:t>
            </w:r>
          </w:p>
        </w:tc>
        <w:tc>
          <w:tcPr>
            <w:tcW w:w="2551" w:type="dxa"/>
          </w:tcPr>
          <w:p w:rsidR="00721550" w:rsidRPr="00E721BD" w:rsidRDefault="00721550" w:rsidP="006346A7">
            <w:pPr>
              <w:pStyle w:val="a4"/>
              <w:keepNext/>
              <w:keepLines/>
              <w:tabs>
                <w:tab w:val="left" w:pos="0"/>
              </w:tabs>
              <w:spacing w:before="0" w:beforeAutospacing="0" w:after="0" w:afterAutospacing="0"/>
              <w:contextualSpacing/>
              <w:jc w:val="both"/>
              <w:rPr>
                <w:sz w:val="22"/>
                <w:szCs w:val="22"/>
              </w:rPr>
            </w:pPr>
            <w:r w:rsidRPr="00E721BD">
              <w:rPr>
                <w:sz w:val="22"/>
                <w:szCs w:val="22"/>
              </w:rPr>
              <w:t>Создание симметричной и адекватной рискам регуляторной среды в рамках либерализации доступа на финансовый рынок.</w:t>
            </w:r>
          </w:p>
        </w:tc>
        <w:tc>
          <w:tcPr>
            <w:tcW w:w="2408" w:type="dxa"/>
          </w:tcPr>
          <w:p w:rsidR="00721550" w:rsidRPr="00680DB4" w:rsidRDefault="00D83FDB" w:rsidP="00680DB4">
            <w:pPr>
              <w:pStyle w:val="a4"/>
              <w:keepNext/>
              <w:keepLines/>
              <w:tabs>
                <w:tab w:val="left" w:pos="0"/>
              </w:tabs>
              <w:spacing w:before="0" w:beforeAutospacing="0" w:after="0" w:afterAutospacing="0"/>
              <w:contextualSpacing/>
              <w:jc w:val="both"/>
              <w:rPr>
                <w:rFonts w:eastAsiaTheme="minorHAnsi" w:cstheme="minorBidi"/>
                <w:sz w:val="22"/>
                <w:szCs w:val="22"/>
                <w:lang w:eastAsia="en-US"/>
              </w:rPr>
            </w:pPr>
            <w:r w:rsidRPr="00D83FDB">
              <w:rPr>
                <w:sz w:val="22"/>
              </w:rPr>
              <w:t>Меры оперативного реагирования не были востребованы. Риск не реализован.</w:t>
            </w:r>
          </w:p>
        </w:tc>
        <w:tc>
          <w:tcPr>
            <w:tcW w:w="2095" w:type="dxa"/>
          </w:tcPr>
          <w:p w:rsidR="00721550" w:rsidRPr="00E721BD" w:rsidRDefault="00721550" w:rsidP="006346A7">
            <w:pPr>
              <w:contextualSpacing/>
              <w:jc w:val="both"/>
              <w:rPr>
                <w:rFonts w:ascii="Times New Roman" w:hAnsi="Times New Roman" w:cs="Times New Roman"/>
              </w:rPr>
            </w:pPr>
          </w:p>
        </w:tc>
      </w:tr>
      <w:tr w:rsidR="00721550" w:rsidRPr="00E721BD" w:rsidTr="0091449F">
        <w:tc>
          <w:tcPr>
            <w:tcW w:w="3367" w:type="dxa"/>
          </w:tcPr>
          <w:p w:rsidR="00721550" w:rsidRPr="00E721BD" w:rsidRDefault="00721550" w:rsidP="006346A7">
            <w:pPr>
              <w:contextualSpacing/>
              <w:jc w:val="both"/>
              <w:rPr>
                <w:rFonts w:ascii="Times New Roman" w:hAnsi="Times New Roman" w:cs="Times New Roman"/>
              </w:rPr>
            </w:pPr>
            <w:r>
              <w:rPr>
                <w:rFonts w:ascii="Times New Roman" w:hAnsi="Times New Roman" w:cs="Times New Roman"/>
              </w:rPr>
              <w:t>Кредитный риск. Влияние активов номинированных в иностранной валюте на уровень неработающих кредитов.</w:t>
            </w:r>
          </w:p>
        </w:tc>
        <w:tc>
          <w:tcPr>
            <w:tcW w:w="2551" w:type="dxa"/>
          </w:tcPr>
          <w:p w:rsidR="00721550" w:rsidRPr="00E721BD" w:rsidRDefault="007656B7" w:rsidP="00D454F0">
            <w:pPr>
              <w:pStyle w:val="a4"/>
              <w:keepNext/>
              <w:keepLines/>
              <w:tabs>
                <w:tab w:val="left" w:pos="0"/>
              </w:tabs>
              <w:spacing w:before="0" w:beforeAutospacing="0" w:after="0" w:afterAutospacing="0"/>
              <w:contextualSpacing/>
              <w:jc w:val="both"/>
              <w:rPr>
                <w:sz w:val="22"/>
                <w:szCs w:val="22"/>
              </w:rPr>
            </w:pPr>
            <w:r>
              <w:rPr>
                <w:sz w:val="22"/>
                <w:szCs w:val="22"/>
              </w:rPr>
              <w:t>В целях повышения эффектив</w:t>
            </w:r>
            <w:r w:rsidR="00721550">
              <w:rPr>
                <w:sz w:val="22"/>
                <w:szCs w:val="22"/>
              </w:rPr>
              <w:t>ности пруденциального регулирования установление повышенных требований к собственному капиталу по займам в иностранной валюте заемщикам, не имеющим соответствующей валютной выручки.</w:t>
            </w:r>
          </w:p>
        </w:tc>
        <w:tc>
          <w:tcPr>
            <w:tcW w:w="2408" w:type="dxa"/>
          </w:tcPr>
          <w:p w:rsidR="00721550" w:rsidRPr="00E721BD" w:rsidRDefault="00D83FDB" w:rsidP="006346A7">
            <w:pPr>
              <w:pStyle w:val="a4"/>
              <w:keepNext/>
              <w:keepLines/>
              <w:tabs>
                <w:tab w:val="left" w:pos="0"/>
              </w:tabs>
              <w:spacing w:before="0" w:beforeAutospacing="0" w:after="0" w:afterAutospacing="0"/>
              <w:contextualSpacing/>
              <w:jc w:val="both"/>
              <w:rPr>
                <w:sz w:val="22"/>
                <w:szCs w:val="22"/>
              </w:rPr>
            </w:pPr>
            <w:r w:rsidRPr="00D83FDB">
              <w:rPr>
                <w:sz w:val="22"/>
              </w:rPr>
              <w:t>Меры оперативного реагирования не были востребованы. Риск не реализован.</w:t>
            </w:r>
          </w:p>
        </w:tc>
        <w:tc>
          <w:tcPr>
            <w:tcW w:w="2095" w:type="dxa"/>
          </w:tcPr>
          <w:p w:rsidR="00721550" w:rsidRPr="00E721BD" w:rsidRDefault="00721550" w:rsidP="006346A7">
            <w:pPr>
              <w:contextualSpacing/>
              <w:jc w:val="both"/>
              <w:rPr>
                <w:rFonts w:ascii="Times New Roman" w:hAnsi="Times New Roman" w:cs="Times New Roman"/>
              </w:rPr>
            </w:pPr>
          </w:p>
        </w:tc>
      </w:tr>
      <w:tr w:rsidR="00721550" w:rsidRPr="00E721BD" w:rsidTr="0091449F">
        <w:tc>
          <w:tcPr>
            <w:tcW w:w="3367" w:type="dxa"/>
          </w:tcPr>
          <w:p w:rsidR="00721550" w:rsidRPr="00E721BD" w:rsidRDefault="00721550" w:rsidP="00D454F0">
            <w:pPr>
              <w:contextualSpacing/>
              <w:jc w:val="both"/>
              <w:rPr>
                <w:rFonts w:ascii="Times New Roman" w:hAnsi="Times New Roman"/>
              </w:rPr>
            </w:pPr>
            <w:r>
              <w:rPr>
                <w:rFonts w:ascii="Times New Roman" w:hAnsi="Times New Roman"/>
              </w:rPr>
              <w:t>Риск фондирования. Рост вкладов клиентов в иностранной валюте</w:t>
            </w:r>
          </w:p>
        </w:tc>
        <w:tc>
          <w:tcPr>
            <w:tcW w:w="2551" w:type="dxa"/>
          </w:tcPr>
          <w:p w:rsidR="00721550" w:rsidRPr="00E721BD" w:rsidRDefault="00721550" w:rsidP="006346A7">
            <w:pPr>
              <w:pStyle w:val="a4"/>
              <w:keepNext/>
              <w:keepLines/>
              <w:tabs>
                <w:tab w:val="left" w:pos="0"/>
              </w:tabs>
              <w:spacing w:before="0" w:beforeAutospacing="0" w:after="0" w:afterAutospacing="0"/>
              <w:contextualSpacing/>
              <w:jc w:val="both"/>
              <w:rPr>
                <w:sz w:val="22"/>
                <w:szCs w:val="22"/>
              </w:rPr>
            </w:pPr>
            <w:r w:rsidRPr="00E721BD">
              <w:rPr>
                <w:sz w:val="22"/>
                <w:szCs w:val="22"/>
              </w:rPr>
              <w:t xml:space="preserve">Принятие мер по повышению привлекательности тенговых инструментов: развитие рынка корпоративных ценных бумаг, расширение возможностей институциональных инвесторов, стимулирование биржевой торговли финансовыми </w:t>
            </w:r>
            <w:r w:rsidRPr="00E721BD">
              <w:rPr>
                <w:sz w:val="22"/>
                <w:szCs w:val="22"/>
              </w:rPr>
              <w:lastRenderedPageBreak/>
              <w:t>инструментами в тенге.</w:t>
            </w:r>
          </w:p>
        </w:tc>
        <w:tc>
          <w:tcPr>
            <w:tcW w:w="2408" w:type="dxa"/>
          </w:tcPr>
          <w:p w:rsidR="00721550" w:rsidRPr="00E721BD" w:rsidRDefault="00D83FDB" w:rsidP="006B1E43">
            <w:pPr>
              <w:contextualSpacing/>
              <w:jc w:val="both"/>
            </w:pPr>
            <w:r>
              <w:rPr>
                <w:rFonts w:ascii="Times New Roman" w:eastAsia="Calibri" w:hAnsi="Times New Roman" w:cs="Times New Roman"/>
                <w:lang w:eastAsia="ru-RU"/>
              </w:rPr>
              <w:lastRenderedPageBreak/>
              <w:t>См. аналитическую записку</w:t>
            </w:r>
          </w:p>
        </w:tc>
        <w:tc>
          <w:tcPr>
            <w:tcW w:w="2095" w:type="dxa"/>
          </w:tcPr>
          <w:p w:rsidR="00721550" w:rsidRPr="00E721BD" w:rsidRDefault="00721550" w:rsidP="006346A7">
            <w:pPr>
              <w:contextualSpacing/>
              <w:jc w:val="both"/>
              <w:rPr>
                <w:rFonts w:ascii="Times New Roman" w:hAnsi="Times New Roman" w:cs="Times New Roman"/>
              </w:rPr>
            </w:pPr>
          </w:p>
        </w:tc>
      </w:tr>
      <w:tr w:rsidR="00721550" w:rsidRPr="00E721BD" w:rsidTr="0091449F">
        <w:tc>
          <w:tcPr>
            <w:tcW w:w="3367" w:type="dxa"/>
            <w:vMerge w:val="restart"/>
          </w:tcPr>
          <w:p w:rsidR="00721550" w:rsidRPr="00E721BD" w:rsidRDefault="00721550" w:rsidP="006346A7">
            <w:pPr>
              <w:contextualSpacing/>
              <w:jc w:val="both"/>
              <w:rPr>
                <w:rFonts w:ascii="Times New Roman" w:hAnsi="Times New Roman" w:cs="Times New Roman"/>
              </w:rPr>
            </w:pPr>
            <w:r w:rsidRPr="00E721BD">
              <w:rPr>
                <w:rFonts w:ascii="Times New Roman" w:hAnsi="Times New Roman"/>
              </w:rPr>
              <w:lastRenderedPageBreak/>
              <w:t>Ухудшение финансовой устойчивости банков.</w:t>
            </w:r>
          </w:p>
        </w:tc>
        <w:tc>
          <w:tcPr>
            <w:tcW w:w="2551" w:type="dxa"/>
          </w:tcPr>
          <w:p w:rsidR="00721550" w:rsidRPr="00E721BD" w:rsidRDefault="00721550" w:rsidP="006346A7">
            <w:pPr>
              <w:pStyle w:val="a4"/>
              <w:keepNext/>
              <w:keepLines/>
              <w:tabs>
                <w:tab w:val="left" w:pos="0"/>
              </w:tabs>
              <w:spacing w:before="0" w:beforeAutospacing="0" w:after="0" w:afterAutospacing="0"/>
              <w:contextualSpacing/>
              <w:jc w:val="both"/>
              <w:rPr>
                <w:sz w:val="22"/>
                <w:szCs w:val="22"/>
              </w:rPr>
            </w:pPr>
            <w:r w:rsidRPr="00E721BD">
              <w:rPr>
                <w:sz w:val="22"/>
                <w:szCs w:val="22"/>
              </w:rPr>
              <w:t>Совершенствование пруденциального регулирования банков</w:t>
            </w:r>
            <w:r>
              <w:rPr>
                <w:sz w:val="22"/>
                <w:szCs w:val="22"/>
              </w:rPr>
              <w:t xml:space="preserve"> второго уровня</w:t>
            </w:r>
            <w:r w:rsidRPr="00E721BD">
              <w:rPr>
                <w:sz w:val="22"/>
                <w:szCs w:val="22"/>
              </w:rPr>
              <w:t>.</w:t>
            </w:r>
          </w:p>
        </w:tc>
        <w:tc>
          <w:tcPr>
            <w:tcW w:w="2408" w:type="dxa"/>
          </w:tcPr>
          <w:p w:rsidR="00721550" w:rsidRPr="00993814" w:rsidRDefault="00D83FDB" w:rsidP="006346A7">
            <w:pPr>
              <w:contextualSpacing/>
              <w:jc w:val="both"/>
              <w:rPr>
                <w:rFonts w:ascii="Times New Roman" w:hAnsi="Times New Roman"/>
              </w:rPr>
            </w:pPr>
            <w:r>
              <w:rPr>
                <w:rFonts w:ascii="Times New Roman" w:hAnsi="Times New Roman"/>
              </w:rPr>
              <w:t>См. аналитическую записку</w:t>
            </w:r>
          </w:p>
        </w:tc>
        <w:tc>
          <w:tcPr>
            <w:tcW w:w="2095" w:type="dxa"/>
          </w:tcPr>
          <w:p w:rsidR="00721550" w:rsidRPr="00E721BD" w:rsidRDefault="00721550" w:rsidP="006346A7">
            <w:pPr>
              <w:contextualSpacing/>
              <w:jc w:val="both"/>
              <w:rPr>
                <w:rFonts w:ascii="Times New Roman" w:hAnsi="Times New Roman" w:cs="Times New Roman"/>
              </w:rPr>
            </w:pPr>
          </w:p>
        </w:tc>
      </w:tr>
      <w:tr w:rsidR="00721550" w:rsidRPr="00E721BD" w:rsidTr="0091449F">
        <w:tc>
          <w:tcPr>
            <w:tcW w:w="3367" w:type="dxa"/>
            <w:vMerge/>
          </w:tcPr>
          <w:p w:rsidR="00721550" w:rsidRPr="00E721BD" w:rsidRDefault="00721550" w:rsidP="006346A7">
            <w:pPr>
              <w:contextualSpacing/>
              <w:jc w:val="both"/>
              <w:rPr>
                <w:rFonts w:ascii="Times New Roman" w:hAnsi="Times New Roman" w:cs="Times New Roman"/>
              </w:rPr>
            </w:pPr>
          </w:p>
        </w:tc>
        <w:tc>
          <w:tcPr>
            <w:tcW w:w="2551" w:type="dxa"/>
          </w:tcPr>
          <w:p w:rsidR="00721550" w:rsidRPr="00E721BD" w:rsidRDefault="00721550" w:rsidP="006346A7">
            <w:pPr>
              <w:pStyle w:val="a4"/>
              <w:keepNext/>
              <w:keepLines/>
              <w:tabs>
                <w:tab w:val="left" w:pos="0"/>
              </w:tabs>
              <w:spacing w:before="0" w:beforeAutospacing="0" w:after="0" w:afterAutospacing="0"/>
              <w:contextualSpacing/>
              <w:jc w:val="both"/>
              <w:rPr>
                <w:sz w:val="22"/>
                <w:szCs w:val="22"/>
              </w:rPr>
            </w:pPr>
            <w:r w:rsidRPr="00E721BD">
              <w:rPr>
                <w:sz w:val="22"/>
                <w:szCs w:val="22"/>
              </w:rPr>
              <w:t>Реализация процедур надзора в целях обеспечения банками требований законодательства.</w:t>
            </w:r>
          </w:p>
        </w:tc>
        <w:tc>
          <w:tcPr>
            <w:tcW w:w="2408" w:type="dxa"/>
          </w:tcPr>
          <w:p w:rsidR="00721550" w:rsidRPr="00E721BD" w:rsidRDefault="000C2504" w:rsidP="006346A7">
            <w:pPr>
              <w:contextualSpacing/>
              <w:jc w:val="both"/>
              <w:rPr>
                <w:rFonts w:ascii="Times New Roman" w:hAnsi="Times New Roman"/>
              </w:rPr>
            </w:pPr>
            <w:r>
              <w:rPr>
                <w:rFonts w:ascii="Times New Roman" w:hAnsi="Times New Roman" w:cs="Times New Roman"/>
              </w:rPr>
              <w:t>См. аналитическую записку</w:t>
            </w:r>
          </w:p>
        </w:tc>
        <w:tc>
          <w:tcPr>
            <w:tcW w:w="2095" w:type="dxa"/>
          </w:tcPr>
          <w:p w:rsidR="00721550" w:rsidRPr="00E721BD" w:rsidRDefault="00721550" w:rsidP="00680DB4">
            <w:pPr>
              <w:contextualSpacing/>
              <w:jc w:val="both"/>
              <w:rPr>
                <w:rFonts w:ascii="Times New Roman" w:hAnsi="Times New Roman"/>
              </w:rPr>
            </w:pPr>
          </w:p>
        </w:tc>
      </w:tr>
      <w:tr w:rsidR="00721550" w:rsidRPr="00E721BD" w:rsidTr="0091449F">
        <w:tc>
          <w:tcPr>
            <w:tcW w:w="3367" w:type="dxa"/>
            <w:vMerge/>
          </w:tcPr>
          <w:p w:rsidR="00721550" w:rsidRPr="00E721BD" w:rsidRDefault="00721550" w:rsidP="006346A7">
            <w:pPr>
              <w:contextualSpacing/>
              <w:jc w:val="both"/>
              <w:rPr>
                <w:rFonts w:ascii="Times New Roman" w:hAnsi="Times New Roman" w:cs="Times New Roman"/>
              </w:rPr>
            </w:pPr>
          </w:p>
        </w:tc>
        <w:tc>
          <w:tcPr>
            <w:tcW w:w="2551" w:type="dxa"/>
          </w:tcPr>
          <w:p w:rsidR="00721550" w:rsidRPr="00E721BD" w:rsidRDefault="00721550" w:rsidP="006346A7">
            <w:pPr>
              <w:pStyle w:val="a4"/>
              <w:keepNext/>
              <w:keepLines/>
              <w:tabs>
                <w:tab w:val="left" w:pos="0"/>
              </w:tabs>
              <w:spacing w:before="0" w:beforeAutospacing="0" w:after="0" w:afterAutospacing="0"/>
              <w:contextualSpacing/>
              <w:jc w:val="both"/>
              <w:rPr>
                <w:sz w:val="22"/>
                <w:szCs w:val="22"/>
              </w:rPr>
            </w:pPr>
            <w:r w:rsidRPr="00E721BD">
              <w:rPr>
                <w:sz w:val="22"/>
                <w:szCs w:val="22"/>
              </w:rPr>
              <w:t>Реализация мер по стимулированию снижения неработающих займов.</w:t>
            </w:r>
          </w:p>
        </w:tc>
        <w:tc>
          <w:tcPr>
            <w:tcW w:w="2408" w:type="dxa"/>
          </w:tcPr>
          <w:p w:rsidR="00721550" w:rsidRPr="00E721BD" w:rsidRDefault="000C2504" w:rsidP="006346A7">
            <w:pPr>
              <w:contextualSpacing/>
              <w:jc w:val="both"/>
              <w:rPr>
                <w:rFonts w:ascii="Times New Roman" w:hAnsi="Times New Roman"/>
              </w:rPr>
            </w:pPr>
            <w:r>
              <w:rPr>
                <w:rFonts w:ascii="Times New Roman" w:hAnsi="Times New Roman" w:cs="Times New Roman"/>
              </w:rPr>
              <w:t>См. аналитическую записку</w:t>
            </w:r>
          </w:p>
        </w:tc>
        <w:tc>
          <w:tcPr>
            <w:tcW w:w="2095" w:type="dxa"/>
          </w:tcPr>
          <w:p w:rsidR="00721550" w:rsidRPr="00E721BD" w:rsidRDefault="00721550" w:rsidP="00680DB4">
            <w:pPr>
              <w:contextualSpacing/>
              <w:jc w:val="both"/>
              <w:rPr>
                <w:rFonts w:ascii="Times New Roman" w:hAnsi="Times New Roman"/>
              </w:rPr>
            </w:pPr>
          </w:p>
        </w:tc>
      </w:tr>
      <w:tr w:rsidR="00721550" w:rsidRPr="00E721BD" w:rsidTr="009E2774">
        <w:tc>
          <w:tcPr>
            <w:tcW w:w="10421" w:type="dxa"/>
            <w:gridSpan w:val="4"/>
          </w:tcPr>
          <w:p w:rsidR="00721550" w:rsidRPr="00E721BD" w:rsidRDefault="00721550" w:rsidP="006346A7">
            <w:pPr>
              <w:contextualSpacing/>
              <w:jc w:val="center"/>
              <w:rPr>
                <w:rFonts w:ascii="Times New Roman" w:hAnsi="Times New Roman" w:cs="Times New Roman"/>
              </w:rPr>
            </w:pPr>
            <w:r w:rsidRPr="00E721BD">
              <w:rPr>
                <w:rFonts w:ascii="Times New Roman" w:hAnsi="Times New Roman"/>
                <w:b/>
                <w:szCs w:val="28"/>
              </w:rPr>
              <w:t xml:space="preserve">Цель 2.2. </w:t>
            </w:r>
            <w:r w:rsidRPr="00E721BD">
              <w:rPr>
                <w:rFonts w:ascii="Times New Roman" w:hAnsi="Times New Roman"/>
                <w:szCs w:val="28"/>
              </w:rPr>
              <w:t>Повышение финансовой устойчивости и создание необходимых условий для дальнейшего развития страхового рынка</w:t>
            </w:r>
          </w:p>
        </w:tc>
      </w:tr>
      <w:tr w:rsidR="00721550" w:rsidRPr="00E721BD" w:rsidTr="0091449F">
        <w:tc>
          <w:tcPr>
            <w:tcW w:w="3367" w:type="dxa"/>
          </w:tcPr>
          <w:p w:rsidR="00721550" w:rsidRPr="00E721BD" w:rsidRDefault="00721550" w:rsidP="0025395A">
            <w:pPr>
              <w:contextualSpacing/>
              <w:jc w:val="both"/>
              <w:rPr>
                <w:rFonts w:ascii="Times New Roman" w:hAnsi="Times New Roman"/>
              </w:rPr>
            </w:pPr>
            <w:r w:rsidRPr="00E721BD">
              <w:rPr>
                <w:rFonts w:ascii="Times New Roman" w:hAnsi="Times New Roman"/>
              </w:rPr>
              <w:t xml:space="preserve">Ухудшение </w:t>
            </w:r>
            <w:r>
              <w:rPr>
                <w:rFonts w:ascii="Times New Roman" w:hAnsi="Times New Roman"/>
              </w:rPr>
              <w:t>финансовой платежеспособности перестраховщиков-нерезидентов РК.</w:t>
            </w:r>
          </w:p>
        </w:tc>
        <w:tc>
          <w:tcPr>
            <w:tcW w:w="2551" w:type="dxa"/>
          </w:tcPr>
          <w:p w:rsidR="00721550" w:rsidRDefault="00721550" w:rsidP="006346A7">
            <w:pPr>
              <w:contextualSpacing/>
              <w:jc w:val="both"/>
              <w:rPr>
                <w:rFonts w:ascii="Times New Roman" w:hAnsi="Times New Roman"/>
              </w:rPr>
            </w:pPr>
            <w:r>
              <w:rPr>
                <w:rFonts w:ascii="Times New Roman" w:hAnsi="Times New Roman"/>
              </w:rPr>
              <w:t>1.Усиление контроля и надзора за страховыми организациями РК;</w:t>
            </w:r>
          </w:p>
          <w:p w:rsidR="00721550" w:rsidRDefault="00721550" w:rsidP="006346A7">
            <w:pPr>
              <w:contextualSpacing/>
              <w:jc w:val="both"/>
              <w:rPr>
                <w:rFonts w:ascii="Times New Roman" w:hAnsi="Times New Roman"/>
              </w:rPr>
            </w:pPr>
            <w:r>
              <w:rPr>
                <w:rFonts w:ascii="Times New Roman" w:hAnsi="Times New Roman"/>
              </w:rPr>
              <w:t>2.Пересмотр подхода по формированию доли перестраховщика в страховых резервах;</w:t>
            </w:r>
          </w:p>
          <w:p w:rsidR="00721550" w:rsidRPr="00E721BD" w:rsidRDefault="00721550" w:rsidP="006346A7">
            <w:pPr>
              <w:contextualSpacing/>
              <w:jc w:val="both"/>
              <w:rPr>
                <w:rFonts w:ascii="Times New Roman" w:hAnsi="Times New Roman"/>
              </w:rPr>
            </w:pPr>
            <w:r>
              <w:rPr>
                <w:rFonts w:ascii="Times New Roman" w:hAnsi="Times New Roman"/>
              </w:rPr>
              <w:t>3.Введение реестра перестраховочных организаций-нерезидентов РК, которым будет запрещено передавать страховые риски в перестрахование.</w:t>
            </w:r>
          </w:p>
        </w:tc>
        <w:tc>
          <w:tcPr>
            <w:tcW w:w="2408" w:type="dxa"/>
          </w:tcPr>
          <w:p w:rsidR="00721550" w:rsidRPr="00E721BD" w:rsidRDefault="00042958" w:rsidP="006346A7">
            <w:pPr>
              <w:contextualSpacing/>
              <w:jc w:val="both"/>
              <w:rPr>
                <w:rFonts w:ascii="Times New Roman" w:hAnsi="Times New Roman"/>
              </w:rPr>
            </w:pPr>
            <w:r>
              <w:rPr>
                <w:rFonts w:ascii="Times New Roman" w:hAnsi="Times New Roman" w:cs="Times New Roman"/>
              </w:rPr>
              <w:t>См. аналитическую записку</w:t>
            </w:r>
          </w:p>
        </w:tc>
        <w:tc>
          <w:tcPr>
            <w:tcW w:w="2095" w:type="dxa"/>
          </w:tcPr>
          <w:p w:rsidR="00721550" w:rsidRPr="00E721BD" w:rsidRDefault="00721550" w:rsidP="006346A7">
            <w:pPr>
              <w:contextualSpacing/>
              <w:jc w:val="both"/>
              <w:rPr>
                <w:rFonts w:ascii="Times New Roman" w:hAnsi="Times New Roman" w:cs="Times New Roman"/>
              </w:rPr>
            </w:pPr>
          </w:p>
        </w:tc>
      </w:tr>
      <w:tr w:rsidR="00721550" w:rsidRPr="00E721BD" w:rsidTr="0091449F">
        <w:tc>
          <w:tcPr>
            <w:tcW w:w="3367" w:type="dxa"/>
          </w:tcPr>
          <w:p w:rsidR="00721550" w:rsidRPr="00E721BD" w:rsidRDefault="00721550" w:rsidP="006346A7">
            <w:pPr>
              <w:contextualSpacing/>
              <w:jc w:val="both"/>
              <w:rPr>
                <w:rFonts w:ascii="Times New Roman" w:hAnsi="Times New Roman"/>
              </w:rPr>
            </w:pPr>
            <w:r w:rsidRPr="00E721BD">
              <w:rPr>
                <w:rFonts w:ascii="Times New Roman" w:hAnsi="Times New Roman"/>
              </w:rPr>
              <w:t>Увеличение расходов страховых организаций.</w:t>
            </w:r>
          </w:p>
        </w:tc>
        <w:tc>
          <w:tcPr>
            <w:tcW w:w="2551" w:type="dxa"/>
          </w:tcPr>
          <w:p w:rsidR="00721550" w:rsidRPr="00E721BD" w:rsidRDefault="00721550" w:rsidP="006346A7">
            <w:pPr>
              <w:contextualSpacing/>
              <w:jc w:val="both"/>
              <w:rPr>
                <w:rFonts w:ascii="Times New Roman" w:hAnsi="Times New Roman"/>
              </w:rPr>
            </w:pPr>
            <w:r>
              <w:rPr>
                <w:rFonts w:ascii="Times New Roman" w:hAnsi="Times New Roman"/>
              </w:rPr>
              <w:t>Пересмотр способов заключения договоров страхования (заключение договоров страхования в электронной форме) что, в дальнейшем, позволит упростить процедуру заключения договоров страхования страхователями без обращения к страховым посредникам, а также снизить расходы страховых организаций (расходы на хранение изготовление бумажных страховых полисов).</w:t>
            </w:r>
          </w:p>
        </w:tc>
        <w:tc>
          <w:tcPr>
            <w:tcW w:w="2408" w:type="dxa"/>
          </w:tcPr>
          <w:p w:rsidR="00721550" w:rsidRPr="00E721BD" w:rsidRDefault="00042958" w:rsidP="006346A7">
            <w:pPr>
              <w:contextualSpacing/>
              <w:jc w:val="both"/>
              <w:rPr>
                <w:rFonts w:ascii="Times New Roman" w:hAnsi="Times New Roman"/>
              </w:rPr>
            </w:pPr>
            <w:r>
              <w:rPr>
                <w:rFonts w:ascii="Times New Roman" w:hAnsi="Times New Roman" w:cs="Times New Roman"/>
              </w:rPr>
              <w:t>См. аналитическую записку</w:t>
            </w:r>
          </w:p>
        </w:tc>
        <w:tc>
          <w:tcPr>
            <w:tcW w:w="2095" w:type="dxa"/>
          </w:tcPr>
          <w:p w:rsidR="00721550" w:rsidRPr="00E721BD" w:rsidRDefault="00721550" w:rsidP="006346A7">
            <w:pPr>
              <w:contextualSpacing/>
              <w:jc w:val="both"/>
              <w:rPr>
                <w:rFonts w:ascii="Times New Roman" w:hAnsi="Times New Roman" w:cs="Times New Roman"/>
              </w:rPr>
            </w:pPr>
          </w:p>
        </w:tc>
      </w:tr>
      <w:tr w:rsidR="00721550" w:rsidRPr="00E721BD" w:rsidTr="0091449F">
        <w:tc>
          <w:tcPr>
            <w:tcW w:w="3367" w:type="dxa"/>
          </w:tcPr>
          <w:p w:rsidR="00721550" w:rsidRPr="00E721BD" w:rsidRDefault="00721550" w:rsidP="0025395A">
            <w:pPr>
              <w:contextualSpacing/>
              <w:jc w:val="both"/>
              <w:rPr>
                <w:rFonts w:ascii="Times New Roman" w:hAnsi="Times New Roman"/>
              </w:rPr>
            </w:pPr>
            <w:r w:rsidRPr="00E721BD">
              <w:rPr>
                <w:rFonts w:ascii="Times New Roman" w:hAnsi="Times New Roman"/>
              </w:rPr>
              <w:t xml:space="preserve">Ухудшение </w:t>
            </w:r>
            <w:r>
              <w:rPr>
                <w:rFonts w:ascii="Times New Roman" w:hAnsi="Times New Roman"/>
              </w:rPr>
              <w:t xml:space="preserve">инвестиционной позиции страховых организаций вследствие изменения ситуации на отечественном и международном финансовом </w:t>
            </w:r>
            <w:r>
              <w:rPr>
                <w:rFonts w:ascii="Times New Roman" w:hAnsi="Times New Roman"/>
              </w:rPr>
              <w:lastRenderedPageBreak/>
              <w:t>рынках.</w:t>
            </w:r>
          </w:p>
        </w:tc>
        <w:tc>
          <w:tcPr>
            <w:tcW w:w="2551" w:type="dxa"/>
          </w:tcPr>
          <w:p w:rsidR="00721550" w:rsidRPr="00E721BD" w:rsidRDefault="00721550" w:rsidP="006346A7">
            <w:pPr>
              <w:contextualSpacing/>
              <w:jc w:val="both"/>
              <w:rPr>
                <w:rFonts w:ascii="Times New Roman" w:hAnsi="Times New Roman"/>
              </w:rPr>
            </w:pPr>
            <w:r>
              <w:rPr>
                <w:rFonts w:ascii="Times New Roman" w:hAnsi="Times New Roman"/>
              </w:rPr>
              <w:lastRenderedPageBreak/>
              <w:t>Пересмотр требований к инвестированию и диверсификации активов страховых организаций.</w:t>
            </w:r>
          </w:p>
        </w:tc>
        <w:tc>
          <w:tcPr>
            <w:tcW w:w="2408" w:type="dxa"/>
          </w:tcPr>
          <w:p w:rsidR="00721550" w:rsidRPr="00E721BD" w:rsidRDefault="00042958" w:rsidP="006346A7">
            <w:pPr>
              <w:contextualSpacing/>
              <w:jc w:val="both"/>
              <w:rPr>
                <w:rFonts w:ascii="Times New Roman" w:hAnsi="Times New Roman"/>
              </w:rPr>
            </w:pPr>
            <w:r>
              <w:rPr>
                <w:rFonts w:ascii="Times New Roman" w:hAnsi="Times New Roman" w:cs="Times New Roman"/>
              </w:rPr>
              <w:t>См. аналитическую записку</w:t>
            </w:r>
          </w:p>
        </w:tc>
        <w:tc>
          <w:tcPr>
            <w:tcW w:w="2095" w:type="dxa"/>
          </w:tcPr>
          <w:p w:rsidR="00721550" w:rsidRPr="00E721BD" w:rsidRDefault="00721550" w:rsidP="006346A7">
            <w:pPr>
              <w:contextualSpacing/>
              <w:jc w:val="both"/>
              <w:rPr>
                <w:rFonts w:ascii="Times New Roman" w:hAnsi="Times New Roman" w:cs="Times New Roman"/>
              </w:rPr>
            </w:pPr>
          </w:p>
        </w:tc>
      </w:tr>
      <w:tr w:rsidR="00721550" w:rsidRPr="00E721BD" w:rsidTr="006A312D">
        <w:tc>
          <w:tcPr>
            <w:tcW w:w="10421" w:type="dxa"/>
            <w:gridSpan w:val="4"/>
          </w:tcPr>
          <w:p w:rsidR="00721550" w:rsidRPr="00E721BD" w:rsidRDefault="00721550" w:rsidP="00C97C57">
            <w:pPr>
              <w:contextualSpacing/>
              <w:jc w:val="center"/>
              <w:rPr>
                <w:rFonts w:ascii="Times New Roman" w:hAnsi="Times New Roman" w:cs="Times New Roman"/>
              </w:rPr>
            </w:pPr>
            <w:r w:rsidRPr="00E721BD">
              <w:rPr>
                <w:rFonts w:ascii="Times New Roman" w:hAnsi="Times New Roman" w:cs="Times New Roman"/>
                <w:b/>
              </w:rPr>
              <w:lastRenderedPageBreak/>
              <w:t>Цель 2.3.</w:t>
            </w:r>
            <w:r w:rsidRPr="00E721BD">
              <w:rPr>
                <w:rFonts w:ascii="Times New Roman" w:hAnsi="Times New Roman" w:cs="Times New Roman"/>
              </w:rPr>
              <w:t xml:space="preserve"> </w:t>
            </w:r>
            <w:r w:rsidRPr="00E721BD">
              <w:rPr>
                <w:rFonts w:ascii="Times New Roman" w:hAnsi="Times New Roman"/>
              </w:rPr>
              <w:t>Создание необходимых условий для дальнейшего развития рынка ценных бумаг</w:t>
            </w:r>
          </w:p>
        </w:tc>
      </w:tr>
      <w:tr w:rsidR="00721550" w:rsidRPr="00E721BD" w:rsidTr="0091449F">
        <w:tc>
          <w:tcPr>
            <w:tcW w:w="3367" w:type="dxa"/>
          </w:tcPr>
          <w:p w:rsidR="00721550" w:rsidRPr="00E721BD" w:rsidRDefault="00721550" w:rsidP="006346A7">
            <w:pPr>
              <w:contextualSpacing/>
              <w:jc w:val="both"/>
              <w:rPr>
                <w:rFonts w:ascii="Times New Roman" w:hAnsi="Times New Roman" w:cs="Times New Roman"/>
              </w:rPr>
            </w:pPr>
            <w:r w:rsidRPr="00E721BD">
              <w:rPr>
                <w:rFonts w:ascii="Times New Roman" w:hAnsi="Times New Roman" w:cs="Times New Roman"/>
              </w:rPr>
              <w:t>Рост проникновения финансовых услуг, оказываемых филиалами финансовых организаций нерезидентов после проведения гармонизации законодательства и снятия ограничений, предусмотренных Договором о</w:t>
            </w:r>
            <w:r>
              <w:rPr>
                <w:rFonts w:ascii="Times New Roman" w:hAnsi="Times New Roman" w:cs="Times New Roman"/>
              </w:rPr>
              <w:t xml:space="preserve">б Евразийском экономическом союзе (далее – </w:t>
            </w:r>
            <w:r w:rsidRPr="00E721BD">
              <w:rPr>
                <w:rFonts w:ascii="Times New Roman" w:hAnsi="Times New Roman" w:cs="Times New Roman"/>
              </w:rPr>
              <w:t>ЕАЭС</w:t>
            </w:r>
            <w:r>
              <w:rPr>
                <w:rFonts w:ascii="Times New Roman" w:hAnsi="Times New Roman" w:cs="Times New Roman"/>
              </w:rPr>
              <w:t>)</w:t>
            </w:r>
            <w:r w:rsidRPr="00E721BD">
              <w:rPr>
                <w:rFonts w:ascii="Times New Roman" w:hAnsi="Times New Roman" w:cs="Times New Roman"/>
              </w:rPr>
              <w:t xml:space="preserve"> и вступлением Казахстана в ВТО.</w:t>
            </w:r>
          </w:p>
        </w:tc>
        <w:tc>
          <w:tcPr>
            <w:tcW w:w="2551" w:type="dxa"/>
          </w:tcPr>
          <w:p w:rsidR="00721550" w:rsidRPr="00E721BD" w:rsidRDefault="00721550" w:rsidP="006346A7">
            <w:pPr>
              <w:contextualSpacing/>
              <w:jc w:val="both"/>
              <w:rPr>
                <w:rFonts w:ascii="Times New Roman" w:hAnsi="Times New Roman" w:cs="Times New Roman"/>
              </w:rPr>
            </w:pPr>
            <w:r w:rsidRPr="00E721BD">
              <w:rPr>
                <w:rFonts w:ascii="Times New Roman" w:hAnsi="Times New Roman" w:cs="Times New Roman"/>
              </w:rPr>
              <w:t>Создание равноправных условий для участников финансового рынка путем введения регулирования для прямых филиалов иностранных банков, страховых (перестраховочных) организаций и страховых брокеров – нерезидентов Республики Казахстан.</w:t>
            </w:r>
          </w:p>
        </w:tc>
        <w:tc>
          <w:tcPr>
            <w:tcW w:w="2408" w:type="dxa"/>
          </w:tcPr>
          <w:p w:rsidR="00721550" w:rsidRPr="00E721BD" w:rsidRDefault="00D83FDB" w:rsidP="006346A7">
            <w:pPr>
              <w:contextualSpacing/>
              <w:jc w:val="both"/>
              <w:rPr>
                <w:rFonts w:ascii="Times New Roman" w:hAnsi="Times New Roman" w:cs="Times New Roman"/>
              </w:rPr>
            </w:pPr>
            <w:r w:rsidRPr="00D83FDB">
              <w:rPr>
                <w:rFonts w:ascii="Times New Roman" w:hAnsi="Times New Roman" w:cs="Times New Roman"/>
              </w:rPr>
              <w:t>Меры оперативного реагирования не были востребованы. Риск не реализован.</w:t>
            </w:r>
          </w:p>
        </w:tc>
        <w:tc>
          <w:tcPr>
            <w:tcW w:w="2095" w:type="dxa"/>
          </w:tcPr>
          <w:p w:rsidR="00721550" w:rsidRPr="00E721BD" w:rsidRDefault="00721550" w:rsidP="006346A7">
            <w:pPr>
              <w:contextualSpacing/>
              <w:jc w:val="both"/>
              <w:rPr>
                <w:rFonts w:ascii="Times New Roman" w:hAnsi="Times New Roman" w:cs="Times New Roman"/>
              </w:rPr>
            </w:pPr>
          </w:p>
        </w:tc>
      </w:tr>
      <w:tr w:rsidR="00721550" w:rsidRPr="00E721BD" w:rsidTr="0091449F">
        <w:tc>
          <w:tcPr>
            <w:tcW w:w="3367" w:type="dxa"/>
          </w:tcPr>
          <w:p w:rsidR="00721550" w:rsidRPr="00E721BD" w:rsidRDefault="00721550" w:rsidP="006346A7">
            <w:pPr>
              <w:contextualSpacing/>
              <w:jc w:val="both"/>
              <w:rPr>
                <w:rFonts w:ascii="Times New Roman" w:hAnsi="Times New Roman" w:cs="Times New Roman"/>
              </w:rPr>
            </w:pPr>
            <w:r w:rsidRPr="00E721BD">
              <w:rPr>
                <w:rFonts w:ascii="Times New Roman" w:hAnsi="Times New Roman" w:cs="Times New Roman"/>
              </w:rPr>
              <w:t>Отток отечественных эмитентов на международные торговые площадки, в том числе стран - участниц ЕАЭС.</w:t>
            </w:r>
          </w:p>
        </w:tc>
        <w:tc>
          <w:tcPr>
            <w:tcW w:w="2551" w:type="dxa"/>
          </w:tcPr>
          <w:p w:rsidR="00721550" w:rsidRPr="00E721BD" w:rsidRDefault="00721550" w:rsidP="00476A57">
            <w:pPr>
              <w:contextualSpacing/>
              <w:jc w:val="both"/>
              <w:rPr>
                <w:rFonts w:ascii="Times New Roman" w:hAnsi="Times New Roman" w:cs="Times New Roman"/>
              </w:rPr>
            </w:pPr>
            <w:r>
              <w:rPr>
                <w:rFonts w:ascii="Times New Roman" w:hAnsi="Times New Roman" w:cs="Times New Roman"/>
              </w:rPr>
              <w:t xml:space="preserve">Принятие мер по повышению </w:t>
            </w:r>
            <w:r w:rsidRPr="00E721BD">
              <w:rPr>
                <w:rFonts w:ascii="Times New Roman" w:hAnsi="Times New Roman" w:cs="Times New Roman"/>
              </w:rPr>
              <w:t xml:space="preserve">привлекательности </w:t>
            </w:r>
            <w:r>
              <w:rPr>
                <w:rFonts w:ascii="Times New Roman" w:hAnsi="Times New Roman" w:cs="Times New Roman"/>
              </w:rPr>
              <w:t>отечественного фондового рынка, расширению инвесторской базы и повышению конкурентоспособности отечественных участников рынка.</w:t>
            </w:r>
          </w:p>
        </w:tc>
        <w:tc>
          <w:tcPr>
            <w:tcW w:w="2408" w:type="dxa"/>
          </w:tcPr>
          <w:p w:rsidR="00721550" w:rsidRPr="00E721BD" w:rsidRDefault="00042958" w:rsidP="006346A7">
            <w:pPr>
              <w:contextualSpacing/>
              <w:jc w:val="both"/>
              <w:rPr>
                <w:rFonts w:ascii="Times New Roman" w:hAnsi="Times New Roman" w:cs="Times New Roman"/>
              </w:rPr>
            </w:pPr>
            <w:r>
              <w:rPr>
                <w:rFonts w:ascii="Times New Roman" w:hAnsi="Times New Roman" w:cs="Times New Roman"/>
              </w:rPr>
              <w:t>См. аналитическую записку</w:t>
            </w:r>
          </w:p>
        </w:tc>
        <w:tc>
          <w:tcPr>
            <w:tcW w:w="2095" w:type="dxa"/>
          </w:tcPr>
          <w:p w:rsidR="00721550" w:rsidRPr="00E721BD" w:rsidRDefault="00721550" w:rsidP="006346A7">
            <w:pPr>
              <w:contextualSpacing/>
              <w:jc w:val="both"/>
              <w:rPr>
                <w:rFonts w:ascii="Times New Roman" w:hAnsi="Times New Roman" w:cs="Times New Roman"/>
              </w:rPr>
            </w:pPr>
          </w:p>
        </w:tc>
      </w:tr>
      <w:tr w:rsidR="00721550" w:rsidRPr="00E721BD" w:rsidTr="0091449F">
        <w:tc>
          <w:tcPr>
            <w:tcW w:w="3367" w:type="dxa"/>
          </w:tcPr>
          <w:p w:rsidR="00721550" w:rsidRPr="00E721BD" w:rsidRDefault="00721550" w:rsidP="006346A7">
            <w:pPr>
              <w:contextualSpacing/>
              <w:jc w:val="both"/>
              <w:rPr>
                <w:rFonts w:ascii="Times New Roman" w:hAnsi="Times New Roman" w:cs="Times New Roman"/>
              </w:rPr>
            </w:pPr>
            <w:r>
              <w:rPr>
                <w:rFonts w:ascii="Times New Roman" w:hAnsi="Times New Roman" w:cs="Times New Roman"/>
              </w:rPr>
              <w:t>Регуляторный арбитраж между юрисдикциями Международного финансового центра «Астана» (МФЦА) и Республики Казахстан.</w:t>
            </w:r>
          </w:p>
        </w:tc>
        <w:tc>
          <w:tcPr>
            <w:tcW w:w="2551" w:type="dxa"/>
          </w:tcPr>
          <w:p w:rsidR="00721550" w:rsidRDefault="00721550" w:rsidP="00476A57">
            <w:pPr>
              <w:contextualSpacing/>
              <w:jc w:val="both"/>
              <w:rPr>
                <w:rFonts w:ascii="Times New Roman" w:hAnsi="Times New Roman" w:cs="Times New Roman"/>
              </w:rPr>
            </w:pPr>
            <w:r>
              <w:rPr>
                <w:rFonts w:ascii="Times New Roman" w:hAnsi="Times New Roman" w:cs="Times New Roman"/>
              </w:rPr>
              <w:t>Принятие превентивных мер по снижению рисков регуляторного арбитража.</w:t>
            </w:r>
          </w:p>
        </w:tc>
        <w:tc>
          <w:tcPr>
            <w:tcW w:w="2408" w:type="dxa"/>
          </w:tcPr>
          <w:p w:rsidR="00721550" w:rsidRPr="00E721BD" w:rsidRDefault="00042958" w:rsidP="006346A7">
            <w:pPr>
              <w:contextualSpacing/>
              <w:jc w:val="both"/>
              <w:rPr>
                <w:rFonts w:ascii="Times New Roman" w:hAnsi="Times New Roman" w:cs="Times New Roman"/>
              </w:rPr>
            </w:pPr>
            <w:r>
              <w:rPr>
                <w:rFonts w:ascii="Times New Roman" w:hAnsi="Times New Roman" w:cs="Times New Roman"/>
              </w:rPr>
              <w:t>См. аналитическую записку</w:t>
            </w:r>
          </w:p>
        </w:tc>
        <w:tc>
          <w:tcPr>
            <w:tcW w:w="2095" w:type="dxa"/>
          </w:tcPr>
          <w:p w:rsidR="00721550" w:rsidRPr="00E721BD" w:rsidRDefault="00721550" w:rsidP="006346A7">
            <w:pPr>
              <w:contextualSpacing/>
              <w:jc w:val="both"/>
              <w:rPr>
                <w:rFonts w:ascii="Times New Roman" w:hAnsi="Times New Roman" w:cs="Times New Roman"/>
              </w:rPr>
            </w:pPr>
          </w:p>
        </w:tc>
      </w:tr>
      <w:tr w:rsidR="00721550" w:rsidRPr="00E721BD" w:rsidTr="0091449F">
        <w:tc>
          <w:tcPr>
            <w:tcW w:w="3367" w:type="dxa"/>
          </w:tcPr>
          <w:p w:rsidR="00721550" w:rsidRPr="00E721BD" w:rsidRDefault="00721550" w:rsidP="006A312D">
            <w:pPr>
              <w:pStyle w:val="a4"/>
              <w:keepNext/>
              <w:keepLines/>
              <w:tabs>
                <w:tab w:val="left" w:pos="0"/>
              </w:tabs>
              <w:spacing w:before="0" w:beforeAutospacing="0" w:after="0" w:afterAutospacing="0"/>
              <w:contextualSpacing/>
              <w:jc w:val="both"/>
              <w:rPr>
                <w:sz w:val="22"/>
                <w:szCs w:val="22"/>
              </w:rPr>
            </w:pPr>
            <w:r w:rsidRPr="00E721BD">
              <w:rPr>
                <w:sz w:val="22"/>
                <w:szCs w:val="22"/>
              </w:rPr>
              <w:t>Недостаточный интерес эмитентов к привлечению средств посредством размещения ценных бумаг на организованном рынке ценных бумаг.</w:t>
            </w:r>
          </w:p>
        </w:tc>
        <w:tc>
          <w:tcPr>
            <w:tcW w:w="2551" w:type="dxa"/>
          </w:tcPr>
          <w:p w:rsidR="00721550" w:rsidRPr="00E721BD" w:rsidRDefault="00721550" w:rsidP="006A312D">
            <w:pPr>
              <w:pStyle w:val="a4"/>
              <w:keepNext/>
              <w:keepLines/>
              <w:tabs>
                <w:tab w:val="left" w:pos="0"/>
              </w:tabs>
              <w:spacing w:before="0" w:beforeAutospacing="0" w:after="0" w:afterAutospacing="0"/>
              <w:contextualSpacing/>
              <w:jc w:val="both"/>
              <w:rPr>
                <w:sz w:val="22"/>
                <w:szCs w:val="22"/>
              </w:rPr>
            </w:pPr>
            <w:r>
              <w:rPr>
                <w:sz w:val="22"/>
                <w:szCs w:val="22"/>
              </w:rPr>
              <w:t>Создание механизмов стимулирования выхода на рынок новых эмитентов и внедрение программ их поддержки.</w:t>
            </w:r>
          </w:p>
        </w:tc>
        <w:tc>
          <w:tcPr>
            <w:tcW w:w="2408" w:type="dxa"/>
          </w:tcPr>
          <w:p w:rsidR="00721550" w:rsidRPr="00E721BD" w:rsidRDefault="00042958" w:rsidP="006A312D">
            <w:pPr>
              <w:pStyle w:val="a4"/>
              <w:keepNext/>
              <w:keepLines/>
              <w:tabs>
                <w:tab w:val="left" w:pos="0"/>
              </w:tabs>
              <w:spacing w:before="0" w:beforeAutospacing="0" w:after="0" w:afterAutospacing="0"/>
              <w:contextualSpacing/>
              <w:jc w:val="both"/>
              <w:rPr>
                <w:sz w:val="22"/>
                <w:szCs w:val="22"/>
              </w:rPr>
            </w:pPr>
            <w:r>
              <w:t>См. аналитическую записку</w:t>
            </w:r>
          </w:p>
        </w:tc>
        <w:tc>
          <w:tcPr>
            <w:tcW w:w="2095" w:type="dxa"/>
          </w:tcPr>
          <w:p w:rsidR="00721550" w:rsidRPr="00E721BD" w:rsidRDefault="00721550" w:rsidP="006346A7">
            <w:pPr>
              <w:contextualSpacing/>
              <w:jc w:val="both"/>
              <w:rPr>
                <w:rFonts w:ascii="Times New Roman" w:hAnsi="Times New Roman" w:cs="Times New Roman"/>
              </w:rPr>
            </w:pPr>
          </w:p>
        </w:tc>
      </w:tr>
      <w:tr w:rsidR="00721550" w:rsidRPr="00E721BD" w:rsidTr="0091449F">
        <w:tc>
          <w:tcPr>
            <w:tcW w:w="3367" w:type="dxa"/>
          </w:tcPr>
          <w:p w:rsidR="00721550" w:rsidRPr="00E721BD" w:rsidRDefault="00721550" w:rsidP="00476A57">
            <w:pPr>
              <w:pStyle w:val="a4"/>
              <w:keepNext/>
              <w:keepLines/>
              <w:tabs>
                <w:tab w:val="left" w:pos="0"/>
              </w:tabs>
              <w:spacing w:before="0" w:beforeAutospacing="0" w:after="0" w:afterAutospacing="0"/>
              <w:contextualSpacing/>
              <w:jc w:val="both"/>
              <w:rPr>
                <w:sz w:val="22"/>
                <w:szCs w:val="22"/>
              </w:rPr>
            </w:pPr>
            <w:r>
              <w:rPr>
                <w:sz w:val="22"/>
                <w:szCs w:val="22"/>
              </w:rPr>
              <w:t>Жесткость регуляторных требований к профессиональным</w:t>
            </w:r>
            <w:r w:rsidRPr="00E721BD">
              <w:rPr>
                <w:sz w:val="22"/>
                <w:szCs w:val="22"/>
              </w:rPr>
              <w:t xml:space="preserve"> участник</w:t>
            </w:r>
            <w:r>
              <w:rPr>
                <w:sz w:val="22"/>
                <w:szCs w:val="22"/>
              </w:rPr>
              <w:t>ам</w:t>
            </w:r>
            <w:r w:rsidRPr="00E721BD">
              <w:rPr>
                <w:sz w:val="22"/>
                <w:szCs w:val="22"/>
              </w:rPr>
              <w:t xml:space="preserve"> рынка ценных бумаг.</w:t>
            </w:r>
          </w:p>
        </w:tc>
        <w:tc>
          <w:tcPr>
            <w:tcW w:w="2551" w:type="dxa"/>
          </w:tcPr>
          <w:p w:rsidR="00721550" w:rsidRPr="00E721BD" w:rsidRDefault="00721550" w:rsidP="006346A7">
            <w:pPr>
              <w:pStyle w:val="a4"/>
              <w:keepNext/>
              <w:keepLines/>
              <w:tabs>
                <w:tab w:val="left" w:pos="0"/>
              </w:tabs>
              <w:spacing w:before="0" w:beforeAutospacing="0" w:after="0" w:afterAutospacing="0"/>
              <w:contextualSpacing/>
              <w:jc w:val="both"/>
              <w:rPr>
                <w:sz w:val="22"/>
                <w:szCs w:val="22"/>
              </w:rPr>
            </w:pPr>
            <w:r w:rsidRPr="00E721BD">
              <w:rPr>
                <w:sz w:val="22"/>
                <w:szCs w:val="22"/>
              </w:rPr>
              <w:t>Либерализация регулирования профессиональных участников рынка ценных бумаг.</w:t>
            </w:r>
          </w:p>
        </w:tc>
        <w:tc>
          <w:tcPr>
            <w:tcW w:w="2408" w:type="dxa"/>
          </w:tcPr>
          <w:p w:rsidR="00721550" w:rsidRPr="00E721BD" w:rsidRDefault="00D83FDB" w:rsidP="006346A7">
            <w:pPr>
              <w:pStyle w:val="a4"/>
              <w:keepNext/>
              <w:keepLines/>
              <w:tabs>
                <w:tab w:val="left" w:pos="0"/>
              </w:tabs>
              <w:spacing w:before="0" w:beforeAutospacing="0" w:after="0" w:afterAutospacing="0"/>
              <w:contextualSpacing/>
              <w:jc w:val="both"/>
              <w:rPr>
                <w:sz w:val="22"/>
                <w:szCs w:val="22"/>
              </w:rPr>
            </w:pPr>
            <w:r w:rsidRPr="00D83FDB">
              <w:rPr>
                <w:sz w:val="22"/>
              </w:rPr>
              <w:t>Меры оперативного реагирования не были востребованы. Риск не реализован.</w:t>
            </w:r>
          </w:p>
        </w:tc>
        <w:tc>
          <w:tcPr>
            <w:tcW w:w="2095" w:type="dxa"/>
          </w:tcPr>
          <w:p w:rsidR="00721550" w:rsidRPr="00E721BD" w:rsidRDefault="00721550" w:rsidP="006346A7">
            <w:pPr>
              <w:contextualSpacing/>
              <w:jc w:val="both"/>
              <w:rPr>
                <w:rFonts w:ascii="Times New Roman" w:hAnsi="Times New Roman" w:cs="Times New Roman"/>
              </w:rPr>
            </w:pPr>
          </w:p>
        </w:tc>
      </w:tr>
      <w:tr w:rsidR="00721550" w:rsidRPr="00E721BD" w:rsidTr="0091449F">
        <w:tc>
          <w:tcPr>
            <w:tcW w:w="3367" w:type="dxa"/>
          </w:tcPr>
          <w:p w:rsidR="00721550" w:rsidRPr="00E721BD" w:rsidRDefault="00721550" w:rsidP="006346A7">
            <w:pPr>
              <w:contextualSpacing/>
              <w:jc w:val="both"/>
              <w:rPr>
                <w:rFonts w:ascii="Times New Roman" w:hAnsi="Times New Roman" w:cs="Times New Roman"/>
              </w:rPr>
            </w:pPr>
            <w:r w:rsidRPr="00E721BD">
              <w:rPr>
                <w:rFonts w:ascii="Times New Roman" w:hAnsi="Times New Roman" w:cs="Times New Roman"/>
              </w:rPr>
              <w:t>Ограниченность инвесторской базы и низкая степень вовлеченности населения в фондовый рынок.</w:t>
            </w:r>
          </w:p>
        </w:tc>
        <w:tc>
          <w:tcPr>
            <w:tcW w:w="2551" w:type="dxa"/>
          </w:tcPr>
          <w:p w:rsidR="00721550" w:rsidRPr="00E721BD" w:rsidRDefault="00721550" w:rsidP="00476A57">
            <w:pPr>
              <w:contextualSpacing/>
              <w:jc w:val="both"/>
              <w:rPr>
                <w:rFonts w:ascii="Times New Roman" w:hAnsi="Times New Roman" w:cs="Times New Roman"/>
              </w:rPr>
            </w:pPr>
            <w:r>
              <w:rPr>
                <w:rFonts w:ascii="Times New Roman" w:hAnsi="Times New Roman" w:cs="Times New Roman"/>
              </w:rPr>
              <w:t xml:space="preserve">Расширение </w:t>
            </w:r>
            <w:r w:rsidRPr="00E721BD">
              <w:rPr>
                <w:rFonts w:ascii="Times New Roman" w:hAnsi="Times New Roman" w:cs="Times New Roman"/>
              </w:rPr>
              <w:t xml:space="preserve">инвесторской базы </w:t>
            </w:r>
            <w:r>
              <w:rPr>
                <w:rFonts w:ascii="Times New Roman" w:hAnsi="Times New Roman" w:cs="Times New Roman"/>
              </w:rPr>
              <w:t xml:space="preserve">посредством внедрения возможности предоставления брокерами электронных услуг, упрощения правил торговли ценными бумагами, либерализации процессов создания и функционирования </w:t>
            </w:r>
            <w:r>
              <w:rPr>
                <w:rFonts w:ascii="Times New Roman" w:hAnsi="Times New Roman" w:cs="Times New Roman"/>
              </w:rPr>
              <w:lastRenderedPageBreak/>
              <w:t>коллективных форм инвестирования и построения системы, гарантирующей безопасную среду для инвестиций.</w:t>
            </w:r>
          </w:p>
        </w:tc>
        <w:tc>
          <w:tcPr>
            <w:tcW w:w="2408" w:type="dxa"/>
          </w:tcPr>
          <w:p w:rsidR="00721550" w:rsidRPr="00E721BD" w:rsidRDefault="00042958" w:rsidP="006346A7">
            <w:pPr>
              <w:contextualSpacing/>
              <w:jc w:val="both"/>
              <w:rPr>
                <w:rFonts w:ascii="Times New Roman" w:hAnsi="Times New Roman" w:cs="Times New Roman"/>
              </w:rPr>
            </w:pPr>
            <w:r>
              <w:rPr>
                <w:rFonts w:ascii="Times New Roman" w:hAnsi="Times New Roman" w:cs="Times New Roman"/>
              </w:rPr>
              <w:lastRenderedPageBreak/>
              <w:t>См. аналитическую записку</w:t>
            </w:r>
          </w:p>
        </w:tc>
        <w:tc>
          <w:tcPr>
            <w:tcW w:w="2095" w:type="dxa"/>
          </w:tcPr>
          <w:p w:rsidR="00721550" w:rsidRPr="00E721BD" w:rsidRDefault="00721550" w:rsidP="006346A7">
            <w:pPr>
              <w:contextualSpacing/>
              <w:jc w:val="both"/>
              <w:rPr>
                <w:rFonts w:ascii="Times New Roman" w:hAnsi="Times New Roman" w:cs="Times New Roman"/>
              </w:rPr>
            </w:pPr>
          </w:p>
        </w:tc>
      </w:tr>
      <w:tr w:rsidR="00721550" w:rsidRPr="00E721BD" w:rsidTr="0091449F">
        <w:tc>
          <w:tcPr>
            <w:tcW w:w="3367" w:type="dxa"/>
          </w:tcPr>
          <w:p w:rsidR="00721550" w:rsidRPr="00E721BD" w:rsidRDefault="00721550" w:rsidP="006346A7">
            <w:pPr>
              <w:contextualSpacing/>
              <w:jc w:val="both"/>
              <w:rPr>
                <w:rFonts w:ascii="Times New Roman" w:hAnsi="Times New Roman" w:cs="Times New Roman"/>
              </w:rPr>
            </w:pPr>
            <w:r w:rsidRPr="00E721BD">
              <w:rPr>
                <w:rFonts w:ascii="Times New Roman" w:hAnsi="Times New Roman" w:cs="Times New Roman"/>
              </w:rPr>
              <w:lastRenderedPageBreak/>
              <w:t>Ограничения инвестиционной политики банковских и страховых (финансовых) холдингов.</w:t>
            </w:r>
          </w:p>
        </w:tc>
        <w:tc>
          <w:tcPr>
            <w:tcW w:w="2551" w:type="dxa"/>
          </w:tcPr>
          <w:p w:rsidR="00721550" w:rsidRPr="00E721BD" w:rsidRDefault="00721550" w:rsidP="008E40C2">
            <w:pPr>
              <w:contextualSpacing/>
              <w:jc w:val="both"/>
              <w:rPr>
                <w:rFonts w:ascii="Times New Roman" w:hAnsi="Times New Roman" w:cs="Times New Roman"/>
              </w:rPr>
            </w:pPr>
            <w:r w:rsidRPr="00E721BD">
              <w:rPr>
                <w:rFonts w:ascii="Times New Roman" w:hAnsi="Times New Roman" w:cs="Times New Roman"/>
              </w:rPr>
              <w:t>Расширение перечня разрешенных к приобр</w:t>
            </w:r>
            <w:r>
              <w:rPr>
                <w:rFonts w:ascii="Times New Roman" w:hAnsi="Times New Roman" w:cs="Times New Roman"/>
              </w:rPr>
              <w:t>етению финансовых инструментов.</w:t>
            </w:r>
          </w:p>
        </w:tc>
        <w:tc>
          <w:tcPr>
            <w:tcW w:w="2408" w:type="dxa"/>
          </w:tcPr>
          <w:p w:rsidR="00721550" w:rsidRPr="00E721BD" w:rsidRDefault="00D83FDB" w:rsidP="006346A7">
            <w:pPr>
              <w:contextualSpacing/>
              <w:jc w:val="both"/>
              <w:rPr>
                <w:rFonts w:ascii="Times New Roman" w:hAnsi="Times New Roman" w:cs="Times New Roman"/>
              </w:rPr>
            </w:pPr>
            <w:r w:rsidRPr="00D83FDB">
              <w:rPr>
                <w:rFonts w:ascii="Times New Roman" w:hAnsi="Times New Roman" w:cs="Times New Roman"/>
              </w:rPr>
              <w:t>Меры оперативного реагирования не были востребованы. Риск не реализован.</w:t>
            </w:r>
          </w:p>
        </w:tc>
        <w:tc>
          <w:tcPr>
            <w:tcW w:w="2095" w:type="dxa"/>
          </w:tcPr>
          <w:p w:rsidR="00721550" w:rsidRPr="00E721BD" w:rsidRDefault="00721550" w:rsidP="006346A7">
            <w:pPr>
              <w:contextualSpacing/>
              <w:jc w:val="both"/>
              <w:rPr>
                <w:rFonts w:ascii="Times New Roman" w:hAnsi="Times New Roman" w:cs="Times New Roman"/>
              </w:rPr>
            </w:pPr>
          </w:p>
        </w:tc>
      </w:tr>
      <w:tr w:rsidR="00721550" w:rsidRPr="00E721BD" w:rsidTr="0091449F">
        <w:tc>
          <w:tcPr>
            <w:tcW w:w="3367" w:type="dxa"/>
          </w:tcPr>
          <w:p w:rsidR="00721550" w:rsidRPr="00E721BD" w:rsidRDefault="00721550" w:rsidP="006346A7">
            <w:pPr>
              <w:contextualSpacing/>
              <w:jc w:val="both"/>
              <w:rPr>
                <w:rFonts w:ascii="Times New Roman" w:hAnsi="Times New Roman"/>
              </w:rPr>
            </w:pPr>
            <w:r w:rsidRPr="00E721BD">
              <w:rPr>
                <w:rFonts w:ascii="Times New Roman" w:hAnsi="Times New Roman"/>
              </w:rPr>
              <w:t xml:space="preserve">Неполное выполнение запанированных целей и задач по стимулированию развития рынка ценных бумаг, установленных Концепцией по развитию финансового сектора Республики </w:t>
            </w:r>
          </w:p>
          <w:p w:rsidR="00721550" w:rsidRPr="00E721BD" w:rsidRDefault="00721550" w:rsidP="006346A7">
            <w:pPr>
              <w:contextualSpacing/>
              <w:jc w:val="both"/>
              <w:rPr>
                <w:rFonts w:ascii="Times New Roman" w:hAnsi="Times New Roman" w:cs="Times New Roman"/>
              </w:rPr>
            </w:pPr>
            <w:r w:rsidRPr="00E721BD">
              <w:rPr>
                <w:rFonts w:ascii="Times New Roman" w:hAnsi="Times New Roman"/>
              </w:rPr>
              <w:t>Казахстан до 2030 года.</w:t>
            </w:r>
          </w:p>
        </w:tc>
        <w:tc>
          <w:tcPr>
            <w:tcW w:w="2551" w:type="dxa"/>
          </w:tcPr>
          <w:p w:rsidR="00721550" w:rsidRPr="00E721BD" w:rsidRDefault="00721550" w:rsidP="006346A7">
            <w:pPr>
              <w:contextualSpacing/>
              <w:jc w:val="both"/>
              <w:rPr>
                <w:rFonts w:ascii="Times New Roman" w:hAnsi="Times New Roman" w:cs="Times New Roman"/>
              </w:rPr>
            </w:pPr>
            <w:r>
              <w:rPr>
                <w:rFonts w:ascii="Times New Roman" w:hAnsi="Times New Roman"/>
              </w:rPr>
              <w:t>Усиление межведомственной координации при проработке вопросов стимулирования развития рынка ценных бумаг, установленных Концепцией по развитию финансового сектора РК до 2030 года.</w:t>
            </w:r>
          </w:p>
        </w:tc>
        <w:tc>
          <w:tcPr>
            <w:tcW w:w="2408" w:type="dxa"/>
          </w:tcPr>
          <w:p w:rsidR="00721550" w:rsidRPr="00E721BD" w:rsidRDefault="00042958" w:rsidP="006346A7">
            <w:pPr>
              <w:contextualSpacing/>
              <w:jc w:val="both"/>
              <w:rPr>
                <w:rFonts w:ascii="Times New Roman" w:hAnsi="Times New Roman" w:cs="Times New Roman"/>
              </w:rPr>
            </w:pPr>
            <w:r>
              <w:rPr>
                <w:rFonts w:ascii="Times New Roman" w:hAnsi="Times New Roman" w:cs="Times New Roman"/>
              </w:rPr>
              <w:t>См. аналитическую записку</w:t>
            </w:r>
          </w:p>
        </w:tc>
        <w:tc>
          <w:tcPr>
            <w:tcW w:w="2095" w:type="dxa"/>
          </w:tcPr>
          <w:p w:rsidR="00721550" w:rsidRPr="00E721BD" w:rsidRDefault="00721550" w:rsidP="006346A7">
            <w:pPr>
              <w:contextualSpacing/>
              <w:jc w:val="both"/>
              <w:rPr>
                <w:rFonts w:ascii="Times New Roman" w:hAnsi="Times New Roman" w:cs="Times New Roman"/>
              </w:rPr>
            </w:pPr>
          </w:p>
        </w:tc>
      </w:tr>
      <w:tr w:rsidR="00721550" w:rsidRPr="00E721BD" w:rsidTr="00DC50C9">
        <w:tc>
          <w:tcPr>
            <w:tcW w:w="10421" w:type="dxa"/>
            <w:gridSpan w:val="4"/>
          </w:tcPr>
          <w:p w:rsidR="00721550" w:rsidRPr="00E721BD" w:rsidRDefault="00721550" w:rsidP="00540BA6">
            <w:pPr>
              <w:contextualSpacing/>
              <w:jc w:val="center"/>
              <w:rPr>
                <w:rFonts w:ascii="Times New Roman" w:hAnsi="Times New Roman" w:cs="Times New Roman"/>
              </w:rPr>
            </w:pPr>
            <w:r w:rsidRPr="00E721BD">
              <w:rPr>
                <w:rFonts w:ascii="Times New Roman" w:hAnsi="Times New Roman" w:cs="Times New Roman"/>
                <w:b/>
              </w:rPr>
              <w:t>Цель 2.4.</w:t>
            </w:r>
            <w:r w:rsidRPr="00E721BD">
              <w:rPr>
                <w:rFonts w:ascii="Times New Roman" w:hAnsi="Times New Roman" w:cs="Times New Roman"/>
              </w:rPr>
              <w:t xml:space="preserve"> </w:t>
            </w:r>
            <w:r>
              <w:rPr>
                <w:rFonts w:ascii="Times New Roman" w:hAnsi="Times New Roman"/>
              </w:rPr>
              <w:t>Создание условий по дальнейшему развитию накопительной пенсионной системы</w:t>
            </w:r>
          </w:p>
        </w:tc>
      </w:tr>
      <w:tr w:rsidR="00721550" w:rsidRPr="00E721BD" w:rsidTr="0091449F">
        <w:tc>
          <w:tcPr>
            <w:tcW w:w="3367" w:type="dxa"/>
          </w:tcPr>
          <w:p w:rsidR="00721550" w:rsidRPr="00E721BD" w:rsidRDefault="00721550" w:rsidP="006346A7">
            <w:pPr>
              <w:contextualSpacing/>
              <w:jc w:val="both"/>
              <w:rPr>
                <w:rFonts w:ascii="Times New Roman" w:hAnsi="Times New Roman"/>
              </w:rPr>
            </w:pPr>
            <w:r>
              <w:rPr>
                <w:rFonts w:ascii="Times New Roman" w:hAnsi="Times New Roman"/>
              </w:rPr>
              <w:t>Недоверие населения накопительной пенсионной системе.</w:t>
            </w:r>
          </w:p>
        </w:tc>
        <w:tc>
          <w:tcPr>
            <w:tcW w:w="2551" w:type="dxa"/>
          </w:tcPr>
          <w:p w:rsidR="00721550" w:rsidRDefault="00721550" w:rsidP="006346A7">
            <w:pPr>
              <w:contextualSpacing/>
              <w:jc w:val="both"/>
              <w:rPr>
                <w:rFonts w:ascii="Times New Roman" w:hAnsi="Times New Roman"/>
              </w:rPr>
            </w:pPr>
            <w:r>
              <w:rPr>
                <w:rFonts w:ascii="Times New Roman" w:hAnsi="Times New Roman"/>
              </w:rPr>
              <w:t>Тщательная информационно-разъяснительная работа среди населения по актуальным вопросам накопительной пенсионной системы.</w:t>
            </w:r>
          </w:p>
        </w:tc>
        <w:tc>
          <w:tcPr>
            <w:tcW w:w="2408" w:type="dxa"/>
          </w:tcPr>
          <w:p w:rsidR="00721550" w:rsidRPr="00E721BD" w:rsidRDefault="00042958" w:rsidP="006346A7">
            <w:pPr>
              <w:contextualSpacing/>
              <w:jc w:val="both"/>
              <w:rPr>
                <w:rFonts w:ascii="Times New Roman" w:hAnsi="Times New Roman" w:cs="Times New Roman"/>
              </w:rPr>
            </w:pPr>
            <w:r>
              <w:rPr>
                <w:rFonts w:ascii="Times New Roman" w:hAnsi="Times New Roman" w:cs="Times New Roman"/>
              </w:rPr>
              <w:t>См. аналитическую записку</w:t>
            </w:r>
          </w:p>
        </w:tc>
        <w:tc>
          <w:tcPr>
            <w:tcW w:w="2095" w:type="dxa"/>
          </w:tcPr>
          <w:p w:rsidR="00721550" w:rsidRPr="00E721BD" w:rsidRDefault="00721550" w:rsidP="006346A7">
            <w:pPr>
              <w:contextualSpacing/>
              <w:jc w:val="both"/>
              <w:rPr>
                <w:rFonts w:ascii="Times New Roman" w:hAnsi="Times New Roman" w:cs="Times New Roman"/>
              </w:rPr>
            </w:pPr>
          </w:p>
        </w:tc>
      </w:tr>
      <w:tr w:rsidR="00721550" w:rsidRPr="00E721BD" w:rsidTr="0091449F">
        <w:tc>
          <w:tcPr>
            <w:tcW w:w="3367" w:type="dxa"/>
          </w:tcPr>
          <w:p w:rsidR="00721550" w:rsidRPr="00E721BD" w:rsidRDefault="00721550" w:rsidP="006346A7">
            <w:pPr>
              <w:contextualSpacing/>
              <w:jc w:val="both"/>
              <w:rPr>
                <w:rFonts w:ascii="Times New Roman" w:hAnsi="Times New Roman"/>
              </w:rPr>
            </w:pPr>
            <w:r>
              <w:rPr>
                <w:rFonts w:ascii="Times New Roman" w:hAnsi="Times New Roman"/>
              </w:rPr>
              <w:t>Низкая ликвидность отечественного фондового рынка как основной площадки для инвестирования пенсионных активов.</w:t>
            </w:r>
          </w:p>
        </w:tc>
        <w:tc>
          <w:tcPr>
            <w:tcW w:w="2551" w:type="dxa"/>
          </w:tcPr>
          <w:p w:rsidR="00721550" w:rsidRDefault="00721550" w:rsidP="006346A7">
            <w:pPr>
              <w:contextualSpacing/>
              <w:jc w:val="both"/>
              <w:rPr>
                <w:rFonts w:ascii="Times New Roman" w:hAnsi="Times New Roman"/>
              </w:rPr>
            </w:pPr>
            <w:r>
              <w:rPr>
                <w:rFonts w:ascii="Times New Roman" w:hAnsi="Times New Roman"/>
              </w:rPr>
              <w:t>Принятие мер, направленных на создание стимулов для выхода эмитентов на фондовый рынок, упрощение доступа инвесторов, в том числе иностранных, на отечественный фондовый рынок.</w:t>
            </w:r>
          </w:p>
          <w:p w:rsidR="00721550" w:rsidRPr="00540BA6" w:rsidRDefault="00721550" w:rsidP="006346A7">
            <w:pPr>
              <w:contextualSpacing/>
              <w:jc w:val="both"/>
              <w:rPr>
                <w:rFonts w:ascii="Times New Roman" w:hAnsi="Times New Roman"/>
              </w:rPr>
            </w:pPr>
            <w:r>
              <w:rPr>
                <w:rFonts w:ascii="Times New Roman" w:hAnsi="Times New Roman"/>
              </w:rPr>
              <w:t xml:space="preserve">Возобновление программы «Народное </w:t>
            </w:r>
            <w:r>
              <w:rPr>
                <w:rFonts w:ascii="Times New Roman" w:hAnsi="Times New Roman"/>
                <w:lang w:val="en-US"/>
              </w:rPr>
              <w:t>IPO</w:t>
            </w:r>
            <w:r>
              <w:rPr>
                <w:rFonts w:ascii="Times New Roman" w:hAnsi="Times New Roman"/>
              </w:rPr>
              <w:t xml:space="preserve">» по выводу компаний квазигосударственного сектора на </w:t>
            </w:r>
            <w:r w:rsidR="007656B7">
              <w:rPr>
                <w:rFonts w:ascii="Times New Roman" w:hAnsi="Times New Roman"/>
              </w:rPr>
              <w:t>т</w:t>
            </w:r>
            <w:r>
              <w:rPr>
                <w:rFonts w:ascii="Times New Roman" w:hAnsi="Times New Roman"/>
              </w:rPr>
              <w:t>орговую площадку АО «Казахстанская фондовая биржа».</w:t>
            </w:r>
          </w:p>
        </w:tc>
        <w:tc>
          <w:tcPr>
            <w:tcW w:w="2408" w:type="dxa"/>
          </w:tcPr>
          <w:p w:rsidR="00721550" w:rsidRPr="00E721BD" w:rsidRDefault="00042958" w:rsidP="006346A7">
            <w:pPr>
              <w:contextualSpacing/>
              <w:jc w:val="both"/>
              <w:rPr>
                <w:rFonts w:ascii="Times New Roman" w:hAnsi="Times New Roman" w:cs="Times New Roman"/>
              </w:rPr>
            </w:pPr>
            <w:r>
              <w:rPr>
                <w:rFonts w:ascii="Times New Roman" w:hAnsi="Times New Roman" w:cs="Times New Roman"/>
              </w:rPr>
              <w:t>См. аналитическую записку</w:t>
            </w:r>
          </w:p>
        </w:tc>
        <w:tc>
          <w:tcPr>
            <w:tcW w:w="2095" w:type="dxa"/>
          </w:tcPr>
          <w:p w:rsidR="00721550" w:rsidRPr="00E721BD" w:rsidRDefault="00721550" w:rsidP="006346A7">
            <w:pPr>
              <w:contextualSpacing/>
              <w:jc w:val="both"/>
              <w:rPr>
                <w:rFonts w:ascii="Times New Roman" w:hAnsi="Times New Roman" w:cs="Times New Roman"/>
              </w:rPr>
            </w:pPr>
          </w:p>
        </w:tc>
      </w:tr>
      <w:tr w:rsidR="00721550" w:rsidRPr="00E721BD" w:rsidTr="006A312D">
        <w:tc>
          <w:tcPr>
            <w:tcW w:w="10421" w:type="dxa"/>
            <w:gridSpan w:val="4"/>
          </w:tcPr>
          <w:p w:rsidR="00721550" w:rsidRPr="00E721BD" w:rsidRDefault="00721550" w:rsidP="00BE2244">
            <w:pPr>
              <w:contextualSpacing/>
              <w:jc w:val="center"/>
              <w:rPr>
                <w:rFonts w:ascii="Times New Roman" w:hAnsi="Times New Roman" w:cs="Times New Roman"/>
              </w:rPr>
            </w:pPr>
            <w:r>
              <w:rPr>
                <w:rFonts w:ascii="Times New Roman" w:hAnsi="Times New Roman" w:cs="Times New Roman"/>
                <w:b/>
              </w:rPr>
              <w:t>Цель 2.5</w:t>
            </w:r>
            <w:r w:rsidRPr="00E721BD">
              <w:rPr>
                <w:rFonts w:ascii="Times New Roman" w:hAnsi="Times New Roman" w:cs="Times New Roman"/>
                <w:b/>
              </w:rPr>
              <w:t>.</w:t>
            </w:r>
            <w:r w:rsidRPr="00E721BD">
              <w:rPr>
                <w:rFonts w:ascii="Times New Roman" w:hAnsi="Times New Roman" w:cs="Times New Roman"/>
              </w:rPr>
              <w:t xml:space="preserve"> </w:t>
            </w:r>
            <w:r w:rsidRPr="00E721BD">
              <w:rPr>
                <w:rFonts w:ascii="Times New Roman" w:hAnsi="Times New Roman"/>
              </w:rPr>
              <w:t>О</w:t>
            </w:r>
            <w:r>
              <w:rPr>
                <w:rFonts w:ascii="Times New Roman" w:hAnsi="Times New Roman"/>
              </w:rPr>
              <w:t xml:space="preserve">беспечение </w:t>
            </w:r>
            <w:r w:rsidRPr="00E721BD">
              <w:rPr>
                <w:rFonts w:ascii="Times New Roman" w:hAnsi="Times New Roman"/>
              </w:rPr>
              <w:t>эффективного валютного регулирования и валютного контроля</w:t>
            </w:r>
          </w:p>
        </w:tc>
      </w:tr>
      <w:tr w:rsidR="00721550" w:rsidRPr="00E721BD" w:rsidTr="0091449F">
        <w:tc>
          <w:tcPr>
            <w:tcW w:w="3367" w:type="dxa"/>
          </w:tcPr>
          <w:p w:rsidR="00721550" w:rsidRPr="00E721BD" w:rsidRDefault="00721550" w:rsidP="006346A7">
            <w:pPr>
              <w:contextualSpacing/>
              <w:jc w:val="both"/>
              <w:rPr>
                <w:rFonts w:ascii="Times New Roman" w:hAnsi="Times New Roman" w:cs="Times New Roman"/>
              </w:rPr>
            </w:pPr>
            <w:r w:rsidRPr="00E721BD">
              <w:rPr>
                <w:rFonts w:ascii="Times New Roman" w:hAnsi="Times New Roman" w:cs="Times New Roman"/>
              </w:rPr>
              <w:t xml:space="preserve">Ухудшение внешних факторов, создающих угрозы экономической безопасности страны (дестабилизация валютного рынка, риск </w:t>
            </w:r>
            <w:r w:rsidRPr="00E721BD">
              <w:rPr>
                <w:rFonts w:ascii="Times New Roman" w:hAnsi="Times New Roman" w:cs="Times New Roman"/>
              </w:rPr>
              <w:lastRenderedPageBreak/>
              <w:t>истощения золотовалютных резервов).</w:t>
            </w:r>
          </w:p>
        </w:tc>
        <w:tc>
          <w:tcPr>
            <w:tcW w:w="2551" w:type="dxa"/>
          </w:tcPr>
          <w:p w:rsidR="00721550" w:rsidRPr="00E721BD" w:rsidRDefault="00721550" w:rsidP="007656B7">
            <w:pPr>
              <w:contextualSpacing/>
              <w:jc w:val="both"/>
              <w:rPr>
                <w:rFonts w:ascii="Times New Roman" w:hAnsi="Times New Roman" w:cs="Times New Roman"/>
              </w:rPr>
            </w:pPr>
            <w:r>
              <w:rPr>
                <w:rFonts w:ascii="Times New Roman" w:hAnsi="Times New Roman" w:cs="Times New Roman"/>
              </w:rPr>
              <w:lastRenderedPageBreak/>
              <w:t>М</w:t>
            </w:r>
            <w:r w:rsidRPr="00E721BD">
              <w:rPr>
                <w:rFonts w:ascii="Times New Roman" w:hAnsi="Times New Roman" w:cs="Times New Roman"/>
              </w:rPr>
              <w:t>ер</w:t>
            </w:r>
            <w:r>
              <w:rPr>
                <w:rFonts w:ascii="Times New Roman" w:hAnsi="Times New Roman" w:cs="Times New Roman"/>
              </w:rPr>
              <w:t>ы</w:t>
            </w:r>
            <w:r w:rsidRPr="00E721BD">
              <w:rPr>
                <w:rFonts w:ascii="Times New Roman" w:hAnsi="Times New Roman" w:cs="Times New Roman"/>
              </w:rPr>
              <w:t xml:space="preserve"> оперативного реагирования, предусмотренны</w:t>
            </w:r>
            <w:r w:rsidR="007656B7">
              <w:rPr>
                <w:rFonts w:ascii="Times New Roman" w:hAnsi="Times New Roman" w:cs="Times New Roman"/>
              </w:rPr>
              <w:t>е</w:t>
            </w:r>
            <w:r w:rsidRPr="00E721BD">
              <w:rPr>
                <w:rFonts w:ascii="Times New Roman" w:hAnsi="Times New Roman" w:cs="Times New Roman"/>
              </w:rPr>
              <w:t xml:space="preserve"> статьей 32 Закона Республики Казахстан </w:t>
            </w:r>
            <w:r w:rsidRPr="00E721BD">
              <w:rPr>
                <w:rFonts w:ascii="Times New Roman" w:hAnsi="Times New Roman" w:cs="Times New Roman"/>
              </w:rPr>
              <w:lastRenderedPageBreak/>
              <w:t>«О валютном регулировании и валютном контроле».</w:t>
            </w:r>
          </w:p>
        </w:tc>
        <w:tc>
          <w:tcPr>
            <w:tcW w:w="2408" w:type="dxa"/>
          </w:tcPr>
          <w:p w:rsidR="00721550" w:rsidRPr="00857832" w:rsidRDefault="00721550" w:rsidP="006346A7">
            <w:pPr>
              <w:contextualSpacing/>
              <w:jc w:val="both"/>
              <w:rPr>
                <w:rFonts w:ascii="Times New Roman" w:hAnsi="Times New Roman" w:cs="Times New Roman"/>
              </w:rPr>
            </w:pPr>
            <w:r w:rsidRPr="00857832">
              <w:rPr>
                <w:rFonts w:ascii="Times New Roman" w:hAnsi="Times New Roman" w:cs="Times New Roman"/>
              </w:rPr>
              <w:lastRenderedPageBreak/>
              <w:t>Меры оперативного реагирования не были востребованы. Риск не реализован.</w:t>
            </w:r>
          </w:p>
        </w:tc>
        <w:tc>
          <w:tcPr>
            <w:tcW w:w="2095" w:type="dxa"/>
          </w:tcPr>
          <w:p w:rsidR="00721550" w:rsidRPr="00E721BD" w:rsidRDefault="00721550" w:rsidP="006346A7">
            <w:pPr>
              <w:contextualSpacing/>
              <w:jc w:val="both"/>
              <w:rPr>
                <w:rFonts w:ascii="Times New Roman" w:hAnsi="Times New Roman" w:cs="Times New Roman"/>
              </w:rPr>
            </w:pPr>
          </w:p>
        </w:tc>
      </w:tr>
      <w:tr w:rsidR="00721550" w:rsidRPr="00E721BD" w:rsidTr="0091449F">
        <w:tc>
          <w:tcPr>
            <w:tcW w:w="3367" w:type="dxa"/>
          </w:tcPr>
          <w:p w:rsidR="00721550" w:rsidRPr="00E721BD" w:rsidRDefault="00721550" w:rsidP="006346A7">
            <w:pPr>
              <w:contextualSpacing/>
              <w:jc w:val="both"/>
              <w:rPr>
                <w:rFonts w:ascii="Times New Roman" w:hAnsi="Times New Roman" w:cs="Times New Roman"/>
              </w:rPr>
            </w:pPr>
            <w:r w:rsidRPr="00E721BD">
              <w:rPr>
                <w:rFonts w:ascii="Times New Roman" w:hAnsi="Times New Roman" w:cs="Times New Roman"/>
              </w:rPr>
              <w:lastRenderedPageBreak/>
              <w:t>Макроэкономическая и политическая нестабильность в государствах – участниках ЕАЭС. Риск регуляторного арбитража, создающего условия для перетоков капитала в случае нескоординированного принятия мер валютного регулирования государствами – участниками ЕАЭС.</w:t>
            </w:r>
          </w:p>
        </w:tc>
        <w:tc>
          <w:tcPr>
            <w:tcW w:w="2551" w:type="dxa"/>
          </w:tcPr>
          <w:p w:rsidR="00721550" w:rsidRPr="00E721BD" w:rsidRDefault="00721550" w:rsidP="00C97C57">
            <w:pPr>
              <w:pStyle w:val="a4"/>
              <w:keepNext/>
              <w:keepLines/>
              <w:tabs>
                <w:tab w:val="left" w:pos="0"/>
              </w:tabs>
              <w:spacing w:before="0" w:beforeAutospacing="0" w:after="0" w:afterAutospacing="0"/>
              <w:contextualSpacing/>
              <w:jc w:val="both"/>
              <w:rPr>
                <w:sz w:val="22"/>
                <w:szCs w:val="22"/>
              </w:rPr>
            </w:pPr>
            <w:r w:rsidRPr="00E721BD">
              <w:rPr>
                <w:sz w:val="22"/>
              </w:rPr>
              <w:t>Р</w:t>
            </w:r>
            <w:r w:rsidRPr="00E721BD">
              <w:rPr>
                <w:sz w:val="22"/>
                <w:szCs w:val="22"/>
              </w:rPr>
              <w:t>еализация принципов согласования подходов в сфере валютного регулирования путем участия в разрабо</w:t>
            </w:r>
            <w:r>
              <w:rPr>
                <w:sz w:val="22"/>
                <w:szCs w:val="22"/>
              </w:rPr>
              <w:t>тке нормативно-правовой базы ЕАЭС</w:t>
            </w:r>
            <w:r w:rsidRPr="00E721BD">
              <w:rPr>
                <w:sz w:val="22"/>
                <w:szCs w:val="22"/>
              </w:rPr>
              <w:t>.</w:t>
            </w:r>
          </w:p>
          <w:p w:rsidR="00721550" w:rsidRPr="00E721BD" w:rsidRDefault="00721550" w:rsidP="00C97C57">
            <w:pPr>
              <w:contextualSpacing/>
              <w:jc w:val="both"/>
              <w:rPr>
                <w:rFonts w:ascii="Times New Roman" w:hAnsi="Times New Roman" w:cs="Times New Roman"/>
              </w:rPr>
            </w:pPr>
            <w:r>
              <w:rPr>
                <w:rFonts w:ascii="Times New Roman" w:hAnsi="Times New Roman" w:cs="Times New Roman"/>
              </w:rPr>
              <w:t>М</w:t>
            </w:r>
            <w:r w:rsidRPr="00E721BD">
              <w:rPr>
                <w:rFonts w:ascii="Times New Roman" w:hAnsi="Times New Roman" w:cs="Times New Roman"/>
              </w:rPr>
              <w:t>ер</w:t>
            </w:r>
            <w:r>
              <w:rPr>
                <w:rFonts w:ascii="Times New Roman" w:hAnsi="Times New Roman" w:cs="Times New Roman"/>
              </w:rPr>
              <w:t>ы</w:t>
            </w:r>
            <w:r w:rsidRPr="00E721BD">
              <w:rPr>
                <w:rFonts w:ascii="Times New Roman" w:hAnsi="Times New Roman" w:cs="Times New Roman"/>
              </w:rPr>
              <w:t xml:space="preserve"> оперативно</w:t>
            </w:r>
            <w:r w:rsidR="007656B7">
              <w:rPr>
                <w:rFonts w:ascii="Times New Roman" w:hAnsi="Times New Roman" w:cs="Times New Roman"/>
              </w:rPr>
              <w:t>го реагирования, предусмотренные</w:t>
            </w:r>
            <w:r w:rsidRPr="00E721BD">
              <w:rPr>
                <w:rFonts w:ascii="Times New Roman" w:hAnsi="Times New Roman" w:cs="Times New Roman"/>
              </w:rPr>
              <w:t xml:space="preserve"> статьей 32 Закона Республики Казахстан «О валютном регулировании и валютном контроле».</w:t>
            </w:r>
          </w:p>
        </w:tc>
        <w:tc>
          <w:tcPr>
            <w:tcW w:w="2408" w:type="dxa"/>
          </w:tcPr>
          <w:p w:rsidR="00721550" w:rsidRPr="00E721BD" w:rsidRDefault="00721550" w:rsidP="00C97C57">
            <w:pPr>
              <w:contextualSpacing/>
              <w:jc w:val="both"/>
              <w:rPr>
                <w:rFonts w:ascii="Times New Roman" w:hAnsi="Times New Roman" w:cs="Times New Roman"/>
                <w:i/>
              </w:rPr>
            </w:pPr>
            <w:r w:rsidRPr="00857832">
              <w:rPr>
                <w:rFonts w:ascii="Times New Roman" w:hAnsi="Times New Roman" w:cs="Times New Roman"/>
              </w:rPr>
              <w:t>Меры оперативного реагирования не были востребованы. Риск не реализован.</w:t>
            </w:r>
          </w:p>
        </w:tc>
        <w:tc>
          <w:tcPr>
            <w:tcW w:w="2095" w:type="dxa"/>
          </w:tcPr>
          <w:p w:rsidR="00721550" w:rsidRPr="00E721BD" w:rsidRDefault="00721550" w:rsidP="006346A7">
            <w:pPr>
              <w:contextualSpacing/>
              <w:jc w:val="both"/>
              <w:rPr>
                <w:rFonts w:ascii="Times New Roman" w:hAnsi="Times New Roman" w:cs="Times New Roman"/>
              </w:rPr>
            </w:pPr>
          </w:p>
        </w:tc>
      </w:tr>
      <w:tr w:rsidR="00721550" w:rsidRPr="00E721BD" w:rsidTr="0091449F">
        <w:tc>
          <w:tcPr>
            <w:tcW w:w="3367" w:type="dxa"/>
          </w:tcPr>
          <w:p w:rsidR="00721550" w:rsidRPr="00E721BD" w:rsidRDefault="00721550" w:rsidP="006346A7">
            <w:pPr>
              <w:contextualSpacing/>
              <w:jc w:val="both"/>
              <w:rPr>
                <w:rFonts w:ascii="Times New Roman" w:hAnsi="Times New Roman" w:cs="Times New Roman"/>
              </w:rPr>
            </w:pPr>
            <w:r w:rsidRPr="00E721BD">
              <w:rPr>
                <w:rFonts w:ascii="Times New Roman" w:hAnsi="Times New Roman" w:cs="Times New Roman"/>
              </w:rPr>
              <w:t>Нескоординированность действий государственных органов в части мер, влияющих на мобильность капитала.</w:t>
            </w:r>
          </w:p>
        </w:tc>
        <w:tc>
          <w:tcPr>
            <w:tcW w:w="2551" w:type="dxa"/>
          </w:tcPr>
          <w:p w:rsidR="00721550" w:rsidRPr="00E721BD" w:rsidRDefault="00721550" w:rsidP="006346A7">
            <w:pPr>
              <w:contextualSpacing/>
              <w:jc w:val="both"/>
              <w:rPr>
                <w:rFonts w:ascii="Times New Roman" w:hAnsi="Times New Roman" w:cs="Times New Roman"/>
              </w:rPr>
            </w:pPr>
            <w:r w:rsidRPr="00E721BD">
              <w:rPr>
                <w:rFonts w:ascii="Times New Roman" w:hAnsi="Times New Roman" w:cs="Times New Roman"/>
              </w:rPr>
              <w:t>Усиление межведомственной координации при разработке нормативной базы, принятие согласованных решений по мерам, влияющим на мобильность капитала.</w:t>
            </w:r>
          </w:p>
        </w:tc>
        <w:tc>
          <w:tcPr>
            <w:tcW w:w="2408" w:type="dxa"/>
          </w:tcPr>
          <w:p w:rsidR="00721550" w:rsidRPr="00E721BD" w:rsidRDefault="00721550" w:rsidP="0046062E">
            <w:pPr>
              <w:contextualSpacing/>
              <w:jc w:val="both"/>
              <w:rPr>
                <w:rFonts w:ascii="Times New Roman" w:hAnsi="Times New Roman" w:cs="Times New Roman"/>
                <w:i/>
              </w:rPr>
            </w:pPr>
            <w:r w:rsidRPr="00857832">
              <w:rPr>
                <w:rFonts w:ascii="Times New Roman" w:hAnsi="Times New Roman" w:cs="Times New Roman"/>
              </w:rPr>
              <w:t>Меры оперативного реагирования не были востребованы. Риск не реализован.</w:t>
            </w:r>
          </w:p>
        </w:tc>
        <w:tc>
          <w:tcPr>
            <w:tcW w:w="2095" w:type="dxa"/>
          </w:tcPr>
          <w:p w:rsidR="00721550" w:rsidRPr="00E721BD" w:rsidRDefault="00721550" w:rsidP="006346A7">
            <w:pPr>
              <w:contextualSpacing/>
              <w:jc w:val="both"/>
              <w:rPr>
                <w:rFonts w:ascii="Times New Roman" w:hAnsi="Times New Roman" w:cs="Times New Roman"/>
              </w:rPr>
            </w:pPr>
            <w:r>
              <w:rPr>
                <w:rFonts w:ascii="Times New Roman" w:hAnsi="Times New Roman" w:cs="Times New Roman"/>
              </w:rPr>
              <w:t>См. аналитическую записку</w:t>
            </w:r>
          </w:p>
        </w:tc>
      </w:tr>
      <w:tr w:rsidR="00721550" w:rsidRPr="00E721BD" w:rsidTr="00565036">
        <w:tc>
          <w:tcPr>
            <w:tcW w:w="10421" w:type="dxa"/>
            <w:gridSpan w:val="4"/>
          </w:tcPr>
          <w:p w:rsidR="00721550" w:rsidRPr="00E721BD" w:rsidRDefault="00721550" w:rsidP="007666DF">
            <w:pPr>
              <w:contextualSpacing/>
              <w:jc w:val="center"/>
              <w:rPr>
                <w:rFonts w:ascii="Times New Roman" w:hAnsi="Times New Roman" w:cs="Times New Roman"/>
              </w:rPr>
            </w:pPr>
            <w:r>
              <w:rPr>
                <w:rFonts w:ascii="Times New Roman" w:hAnsi="Times New Roman"/>
                <w:b/>
                <w:szCs w:val="28"/>
              </w:rPr>
              <w:t>Цель 2.6</w:t>
            </w:r>
            <w:r w:rsidRPr="00E721BD">
              <w:rPr>
                <w:rFonts w:ascii="Times New Roman" w:hAnsi="Times New Roman"/>
                <w:b/>
                <w:szCs w:val="28"/>
              </w:rPr>
              <w:t xml:space="preserve">. </w:t>
            </w:r>
            <w:r>
              <w:rPr>
                <w:rFonts w:ascii="Times New Roman" w:hAnsi="Times New Roman"/>
                <w:szCs w:val="28"/>
              </w:rPr>
              <w:t>Обеспечение надлежащего уровня защиты прав и законных интересов потребителей финансовых услуг</w:t>
            </w:r>
          </w:p>
        </w:tc>
      </w:tr>
      <w:tr w:rsidR="002E10EA" w:rsidRPr="00E721BD" w:rsidTr="0091449F">
        <w:tc>
          <w:tcPr>
            <w:tcW w:w="3367" w:type="dxa"/>
          </w:tcPr>
          <w:p w:rsidR="002E10EA" w:rsidRPr="00E721BD" w:rsidRDefault="002E10EA" w:rsidP="007666DF">
            <w:pPr>
              <w:contextualSpacing/>
              <w:jc w:val="both"/>
              <w:rPr>
                <w:rFonts w:ascii="Times New Roman" w:hAnsi="Times New Roman" w:cs="Times New Roman"/>
              </w:rPr>
            </w:pPr>
            <w:r w:rsidRPr="00E721BD">
              <w:rPr>
                <w:rFonts w:ascii="Times New Roman" w:hAnsi="Times New Roman" w:cs="Times New Roman"/>
              </w:rPr>
              <w:t xml:space="preserve">Нестабильная ценовая ситуация на мировых рынках нефти,  </w:t>
            </w:r>
            <w:r>
              <w:rPr>
                <w:rFonts w:ascii="Times New Roman" w:hAnsi="Times New Roman" w:cs="Times New Roman"/>
              </w:rPr>
              <w:t xml:space="preserve">обесценение национальной валюты, снижение темпов развития экономики, рост безработицы </w:t>
            </w:r>
            <w:r w:rsidRPr="00E721BD">
              <w:rPr>
                <w:rFonts w:ascii="Times New Roman" w:hAnsi="Times New Roman" w:cs="Times New Roman"/>
              </w:rPr>
              <w:t>мо</w:t>
            </w:r>
            <w:r>
              <w:rPr>
                <w:rFonts w:ascii="Times New Roman" w:hAnsi="Times New Roman" w:cs="Times New Roman"/>
              </w:rPr>
              <w:t>гут</w:t>
            </w:r>
            <w:r w:rsidRPr="00E721BD">
              <w:rPr>
                <w:rFonts w:ascii="Times New Roman" w:hAnsi="Times New Roman" w:cs="Times New Roman"/>
              </w:rPr>
              <w:t xml:space="preserve"> привести к дал</w:t>
            </w:r>
            <w:r>
              <w:rPr>
                <w:rFonts w:ascii="Times New Roman" w:hAnsi="Times New Roman" w:cs="Times New Roman"/>
              </w:rPr>
              <w:t xml:space="preserve">ьнейшему  усугублению положения </w:t>
            </w:r>
            <w:r w:rsidRPr="00E721BD">
              <w:rPr>
                <w:rFonts w:ascii="Times New Roman" w:hAnsi="Times New Roman" w:cs="Times New Roman"/>
              </w:rPr>
              <w:t>заемщиков,</w:t>
            </w:r>
            <w:r>
              <w:rPr>
                <w:rFonts w:ascii="Times New Roman" w:hAnsi="Times New Roman" w:cs="Times New Roman"/>
              </w:rPr>
              <w:t xml:space="preserve"> в том числе валютных,</w:t>
            </w:r>
            <w:r w:rsidRPr="00E721BD">
              <w:rPr>
                <w:rFonts w:ascii="Times New Roman" w:hAnsi="Times New Roman" w:cs="Times New Roman"/>
              </w:rPr>
              <w:t xml:space="preserve"> снижению  их возможности обслуживать и погашать займы.</w:t>
            </w:r>
          </w:p>
        </w:tc>
        <w:tc>
          <w:tcPr>
            <w:tcW w:w="2551" w:type="dxa"/>
          </w:tcPr>
          <w:p w:rsidR="002E10EA" w:rsidRPr="00E721BD" w:rsidRDefault="002E10EA" w:rsidP="006A39A2">
            <w:pPr>
              <w:contextualSpacing/>
              <w:jc w:val="both"/>
              <w:rPr>
                <w:rFonts w:ascii="Times New Roman" w:hAnsi="Times New Roman" w:cs="Times New Roman"/>
              </w:rPr>
            </w:pPr>
            <w:r w:rsidRPr="00E721BD">
              <w:rPr>
                <w:rFonts w:ascii="Times New Roman" w:eastAsia="Calibri" w:hAnsi="Times New Roman" w:cs="Times New Roman"/>
                <w:lang w:eastAsia="ru-RU"/>
              </w:rPr>
              <w:t xml:space="preserve">Осуществление </w:t>
            </w:r>
            <w:r>
              <w:rPr>
                <w:rFonts w:ascii="Times New Roman" w:eastAsia="Calibri" w:hAnsi="Times New Roman" w:cs="Times New Roman"/>
                <w:lang w:eastAsia="ru-RU"/>
              </w:rPr>
              <w:t>комплекса мероприятий по решению проблем заемщиков, в том числе путем дальнейшей реализации Программы рефинансирования ипотечных жилищных займов (ипотечных займов).</w:t>
            </w:r>
          </w:p>
        </w:tc>
        <w:tc>
          <w:tcPr>
            <w:tcW w:w="2408" w:type="dxa"/>
          </w:tcPr>
          <w:p w:rsidR="002E10EA" w:rsidRPr="002E10EA" w:rsidRDefault="002E10EA" w:rsidP="00504FEA">
            <w:pPr>
              <w:contextualSpacing/>
              <w:jc w:val="both"/>
              <w:rPr>
                <w:rFonts w:ascii="Times New Roman" w:hAnsi="Times New Roman" w:cs="Times New Roman"/>
              </w:rPr>
            </w:pPr>
            <w:r w:rsidRPr="002E10EA">
              <w:rPr>
                <w:rFonts w:ascii="Times New Roman" w:hAnsi="Times New Roman" w:cs="Times New Roman"/>
              </w:rPr>
              <w:t>Меры оперативного реагирования не были востребованы. Риск не реализовался.</w:t>
            </w:r>
          </w:p>
        </w:tc>
        <w:tc>
          <w:tcPr>
            <w:tcW w:w="2095" w:type="dxa"/>
          </w:tcPr>
          <w:p w:rsidR="002E10EA" w:rsidRPr="002E10EA" w:rsidRDefault="002E10EA" w:rsidP="00504FEA">
            <w:pPr>
              <w:contextualSpacing/>
              <w:jc w:val="both"/>
              <w:rPr>
                <w:rFonts w:ascii="Times New Roman" w:hAnsi="Times New Roman" w:cs="Times New Roman"/>
              </w:rPr>
            </w:pPr>
            <w:r w:rsidRPr="002E10EA">
              <w:rPr>
                <w:rFonts w:ascii="Times New Roman" w:hAnsi="Times New Roman" w:cs="Times New Roman"/>
              </w:rPr>
              <w:t>См. аналитическую записку</w:t>
            </w:r>
          </w:p>
        </w:tc>
      </w:tr>
      <w:tr w:rsidR="002E10EA" w:rsidRPr="00E721BD" w:rsidTr="009E2774">
        <w:tc>
          <w:tcPr>
            <w:tcW w:w="10421" w:type="dxa"/>
            <w:gridSpan w:val="4"/>
          </w:tcPr>
          <w:p w:rsidR="002E10EA" w:rsidRPr="00E721BD" w:rsidRDefault="002E10EA" w:rsidP="00562767">
            <w:pPr>
              <w:contextualSpacing/>
              <w:jc w:val="center"/>
              <w:rPr>
                <w:rFonts w:ascii="Times New Roman" w:hAnsi="Times New Roman" w:cs="Times New Roman"/>
              </w:rPr>
            </w:pPr>
            <w:r>
              <w:rPr>
                <w:rFonts w:ascii="Times New Roman" w:hAnsi="Times New Roman"/>
                <w:b/>
                <w:szCs w:val="28"/>
              </w:rPr>
              <w:t>Цель 2.7</w:t>
            </w:r>
            <w:r w:rsidRPr="00E721BD">
              <w:rPr>
                <w:rFonts w:ascii="Times New Roman" w:hAnsi="Times New Roman"/>
                <w:b/>
                <w:szCs w:val="28"/>
              </w:rPr>
              <w:t xml:space="preserve">. </w:t>
            </w:r>
            <w:r w:rsidRPr="00E721BD">
              <w:rPr>
                <w:rFonts w:ascii="Times New Roman" w:hAnsi="Times New Roman"/>
                <w:szCs w:val="28"/>
              </w:rPr>
              <w:t>Обеспечение функционирования платежных систем</w:t>
            </w:r>
          </w:p>
        </w:tc>
      </w:tr>
      <w:tr w:rsidR="002E10EA" w:rsidRPr="00E721BD" w:rsidTr="0091449F">
        <w:tc>
          <w:tcPr>
            <w:tcW w:w="3367" w:type="dxa"/>
          </w:tcPr>
          <w:p w:rsidR="002E10EA" w:rsidRPr="00E721BD" w:rsidRDefault="002E10EA" w:rsidP="006346A7">
            <w:pPr>
              <w:contextualSpacing/>
              <w:jc w:val="both"/>
            </w:pPr>
            <w:r w:rsidRPr="00E721BD">
              <w:rPr>
                <w:rFonts w:ascii="Times New Roman" w:hAnsi="Times New Roman"/>
                <w:szCs w:val="24"/>
              </w:rPr>
              <w:t>Возникновение чрезвычайных ситуаций, в том числе, природные катаклизмы, нарушение работоспособности третьих лиц, оказывающих услуги для функционирования платежной системы (к примеру, услуги энергоснабжения и связи).</w:t>
            </w:r>
          </w:p>
        </w:tc>
        <w:tc>
          <w:tcPr>
            <w:tcW w:w="2551" w:type="dxa"/>
          </w:tcPr>
          <w:p w:rsidR="002E10EA" w:rsidRDefault="002E10EA" w:rsidP="006346A7">
            <w:pPr>
              <w:contextualSpacing/>
              <w:jc w:val="both"/>
              <w:rPr>
                <w:rFonts w:ascii="Times New Roman" w:hAnsi="Times New Roman"/>
                <w:szCs w:val="24"/>
              </w:rPr>
            </w:pPr>
            <w:r w:rsidRPr="00E721BD">
              <w:rPr>
                <w:rFonts w:ascii="Times New Roman" w:hAnsi="Times New Roman"/>
                <w:szCs w:val="24"/>
              </w:rPr>
              <w:t>Поддержание работы резервного центра платежных систем, на серверы которого может быть переведена работа систем в случае возникновения чрезвычайных ситуаций в целях управления данными рисками в «горячем» режиме.</w:t>
            </w:r>
          </w:p>
          <w:p w:rsidR="002E10EA" w:rsidRDefault="002E10EA" w:rsidP="00562767">
            <w:pPr>
              <w:contextualSpacing/>
              <w:jc w:val="both"/>
              <w:rPr>
                <w:rFonts w:ascii="Times New Roman" w:hAnsi="Times New Roman"/>
                <w:szCs w:val="24"/>
              </w:rPr>
            </w:pPr>
            <w:r>
              <w:rPr>
                <w:rFonts w:ascii="Times New Roman" w:hAnsi="Times New Roman"/>
                <w:szCs w:val="24"/>
              </w:rPr>
              <w:t xml:space="preserve">Программно-технический комплекс платежных систем имеет двойную систему </w:t>
            </w:r>
            <w:r>
              <w:rPr>
                <w:rFonts w:ascii="Times New Roman" w:hAnsi="Times New Roman"/>
                <w:szCs w:val="24"/>
              </w:rPr>
              <w:lastRenderedPageBreak/>
              <w:t>гарантированного энергоснабжения, а также резервные каналы связи.</w:t>
            </w:r>
          </w:p>
          <w:p w:rsidR="002E10EA" w:rsidRPr="00562767" w:rsidRDefault="002E10EA" w:rsidP="00562767">
            <w:pPr>
              <w:contextualSpacing/>
              <w:jc w:val="both"/>
              <w:rPr>
                <w:rFonts w:ascii="Times New Roman" w:hAnsi="Times New Roman"/>
                <w:szCs w:val="24"/>
              </w:rPr>
            </w:pPr>
            <w:r>
              <w:rPr>
                <w:rFonts w:ascii="Times New Roman" w:hAnsi="Times New Roman"/>
                <w:szCs w:val="24"/>
              </w:rPr>
              <w:t>Проведение иных работ в рамках обеспечения непрерывности деятельности.</w:t>
            </w:r>
          </w:p>
        </w:tc>
        <w:tc>
          <w:tcPr>
            <w:tcW w:w="2408" w:type="dxa"/>
          </w:tcPr>
          <w:p w:rsidR="002E10EA" w:rsidRPr="006A4FF4" w:rsidRDefault="002E10EA" w:rsidP="00F8749F">
            <w:pPr>
              <w:contextualSpacing/>
              <w:jc w:val="both"/>
              <w:rPr>
                <w:rFonts w:ascii="Times New Roman" w:hAnsi="Times New Roman"/>
                <w:szCs w:val="24"/>
              </w:rPr>
            </w:pPr>
            <w:r w:rsidRPr="008D421B">
              <w:rPr>
                <w:rFonts w:ascii="Times New Roman" w:hAnsi="Times New Roman"/>
                <w:szCs w:val="24"/>
              </w:rPr>
              <w:lastRenderedPageBreak/>
              <w:t>Чрезвычайных ситуаций, в том числе катаклизмов природного характера не наблюдалось. В с</w:t>
            </w:r>
            <w:r>
              <w:rPr>
                <w:rFonts w:ascii="Times New Roman" w:hAnsi="Times New Roman"/>
                <w:szCs w:val="24"/>
              </w:rPr>
              <w:t>вязи с чем, в плановом порядке</w:t>
            </w:r>
            <w:r w:rsidRPr="008D421B">
              <w:rPr>
                <w:rFonts w:ascii="Times New Roman" w:hAnsi="Times New Roman"/>
                <w:szCs w:val="24"/>
              </w:rPr>
              <w:t xml:space="preserve"> был осуществлен перевод работы платежных систем на программно-технический комплекс резервного центра.</w:t>
            </w:r>
          </w:p>
        </w:tc>
        <w:tc>
          <w:tcPr>
            <w:tcW w:w="2095" w:type="dxa"/>
          </w:tcPr>
          <w:p w:rsidR="002E10EA" w:rsidRPr="00D37914" w:rsidRDefault="002E10EA" w:rsidP="00F8749F">
            <w:pPr>
              <w:contextualSpacing/>
              <w:jc w:val="both"/>
              <w:rPr>
                <w:rFonts w:ascii="Times New Roman" w:hAnsi="Times New Roman"/>
                <w:szCs w:val="24"/>
              </w:rPr>
            </w:pPr>
            <w:r w:rsidRPr="006A4FF4">
              <w:rPr>
                <w:rFonts w:ascii="Times New Roman" w:hAnsi="Times New Roman"/>
                <w:szCs w:val="24"/>
              </w:rPr>
              <w:t>В течение 201</w:t>
            </w:r>
            <w:r>
              <w:rPr>
                <w:rFonts w:ascii="Times New Roman" w:hAnsi="Times New Roman"/>
                <w:szCs w:val="24"/>
              </w:rPr>
              <w:t>8</w:t>
            </w:r>
            <w:r w:rsidRPr="006A4FF4">
              <w:rPr>
                <w:rFonts w:ascii="Times New Roman" w:hAnsi="Times New Roman"/>
                <w:szCs w:val="24"/>
              </w:rPr>
              <w:t xml:space="preserve"> года</w:t>
            </w:r>
            <w:r w:rsidRPr="00D37914">
              <w:rPr>
                <w:rFonts w:ascii="Times New Roman" w:hAnsi="Times New Roman"/>
                <w:szCs w:val="24"/>
              </w:rPr>
              <w:t xml:space="preserve"> проводился мониторинг программно-технического комплекса платежных систем, оборудования и каналов связи в основном и резервных серверах.</w:t>
            </w:r>
          </w:p>
        </w:tc>
      </w:tr>
      <w:tr w:rsidR="002E10EA" w:rsidRPr="00E721BD" w:rsidTr="0091449F">
        <w:tc>
          <w:tcPr>
            <w:tcW w:w="3367" w:type="dxa"/>
          </w:tcPr>
          <w:p w:rsidR="002E10EA" w:rsidRPr="0095436B" w:rsidRDefault="002E10EA" w:rsidP="006346A7">
            <w:pPr>
              <w:contextualSpacing/>
              <w:jc w:val="both"/>
              <w:rPr>
                <w:rFonts w:ascii="Times New Roman" w:hAnsi="Times New Roman"/>
                <w:szCs w:val="24"/>
              </w:rPr>
            </w:pPr>
            <w:r w:rsidRPr="00E721BD">
              <w:rPr>
                <w:rFonts w:ascii="Times New Roman" w:hAnsi="Times New Roman"/>
                <w:szCs w:val="24"/>
              </w:rPr>
              <w:lastRenderedPageBreak/>
              <w:t xml:space="preserve">Операционные риски (сбой оборудования, </w:t>
            </w:r>
            <w:r>
              <w:rPr>
                <w:rFonts w:ascii="Times New Roman" w:hAnsi="Times New Roman"/>
                <w:szCs w:val="24"/>
              </w:rPr>
              <w:t xml:space="preserve">отказ (сбой) информационных систем, моральное устаревание оборудования и информационных систем, </w:t>
            </w:r>
            <w:r w:rsidRPr="00E721BD">
              <w:rPr>
                <w:rFonts w:ascii="Times New Roman" w:hAnsi="Times New Roman"/>
                <w:szCs w:val="24"/>
              </w:rPr>
              <w:t>ошибки персонала, нарушение физической и информационной безопасности).</w:t>
            </w:r>
          </w:p>
        </w:tc>
        <w:tc>
          <w:tcPr>
            <w:tcW w:w="2551" w:type="dxa"/>
          </w:tcPr>
          <w:p w:rsidR="002E10EA" w:rsidRPr="00E721BD" w:rsidRDefault="002E10EA" w:rsidP="006346A7">
            <w:pPr>
              <w:pStyle w:val="a4"/>
              <w:keepNext/>
              <w:keepLines/>
              <w:tabs>
                <w:tab w:val="left" w:pos="0"/>
              </w:tabs>
              <w:spacing w:before="0" w:beforeAutospacing="0" w:after="0" w:afterAutospacing="0"/>
              <w:contextualSpacing/>
              <w:jc w:val="both"/>
              <w:rPr>
                <w:i/>
                <w:sz w:val="22"/>
                <w:szCs w:val="22"/>
              </w:rPr>
            </w:pPr>
            <w:r w:rsidRPr="00E721BD">
              <w:rPr>
                <w:sz w:val="22"/>
              </w:rPr>
              <w:t>Применение комплекса мер (в том числе, действуют внутренние документы по управлению рисками), предусматривающих проведение плановых (тестовых) мероприятий по переводу платежных систем на программно-технический комплекс резервного центра; постоянный мониторинг работоспособности оборудования; обеспечение необходимого уровня квалификации персонала, его обучение; защита от несанкционированного доступа; обеспечение информационной безопасности посредством ряда установленных мероприятий; управление физическим доступом посредства ряда мер и иные меры.</w:t>
            </w:r>
            <w:r w:rsidRPr="00E721BD">
              <w:rPr>
                <w:i/>
                <w:sz w:val="22"/>
                <w:szCs w:val="22"/>
              </w:rPr>
              <w:t> </w:t>
            </w:r>
          </w:p>
        </w:tc>
        <w:tc>
          <w:tcPr>
            <w:tcW w:w="2408" w:type="dxa"/>
          </w:tcPr>
          <w:p w:rsidR="002E10EA" w:rsidRPr="0076597B" w:rsidRDefault="002E10EA" w:rsidP="0076597B">
            <w:pPr>
              <w:pStyle w:val="a4"/>
              <w:keepNext/>
              <w:keepLines/>
              <w:tabs>
                <w:tab w:val="left" w:pos="0"/>
              </w:tabs>
              <w:spacing w:before="0" w:beforeAutospacing="0" w:after="0" w:afterAutospacing="0"/>
              <w:contextualSpacing/>
              <w:jc w:val="both"/>
              <w:rPr>
                <w:sz w:val="22"/>
                <w:szCs w:val="22"/>
              </w:rPr>
            </w:pPr>
            <w:r w:rsidRPr="0076597B">
              <w:rPr>
                <w:sz w:val="22"/>
                <w:szCs w:val="22"/>
              </w:rPr>
              <w:t>В целях обеспечения беспрерывного функционирования платежных систем и поддержания резервного центра в постоянной готовности КЦМР за 2018 год был осуществлен плановый перевод работы платежных систем на программно-технический комплекс резервного центра.</w:t>
            </w:r>
            <w:r w:rsidRPr="0076597B">
              <w:rPr>
                <w:i/>
                <w:sz w:val="22"/>
                <w:szCs w:val="22"/>
              </w:rPr>
              <w:t> </w:t>
            </w:r>
          </w:p>
        </w:tc>
        <w:tc>
          <w:tcPr>
            <w:tcW w:w="2095" w:type="dxa"/>
          </w:tcPr>
          <w:p w:rsidR="002E10EA" w:rsidRPr="0076597B" w:rsidRDefault="002E10EA" w:rsidP="0076597B">
            <w:pPr>
              <w:contextualSpacing/>
              <w:jc w:val="both"/>
              <w:rPr>
                <w:rFonts w:ascii="Times New Roman" w:hAnsi="Times New Roman"/>
              </w:rPr>
            </w:pPr>
            <w:r w:rsidRPr="0076597B">
              <w:rPr>
                <w:rFonts w:ascii="Times New Roman" w:hAnsi="Times New Roman"/>
              </w:rPr>
              <w:t>В течение 2018 года проводился постоянный мониторинг оборудования, профилактические работы и администрирование систем, в том числе, систем безопасности. Ошибки персонала, нарушения физической и информационной безопасности отсутствовали.</w:t>
            </w:r>
          </w:p>
        </w:tc>
      </w:tr>
    </w:tbl>
    <w:p w:rsidR="00D954F6" w:rsidRPr="00E721BD" w:rsidRDefault="00D954F6" w:rsidP="006346A7">
      <w:pPr>
        <w:spacing w:line="240" w:lineRule="auto"/>
        <w:contextualSpacing/>
        <w:jc w:val="both"/>
        <w:rPr>
          <w:rFonts w:ascii="Times New Roman" w:hAnsi="Times New Roman" w:cs="Times New Roman"/>
          <w:b/>
          <w:sz w:val="24"/>
          <w:szCs w:val="24"/>
        </w:rPr>
      </w:pPr>
    </w:p>
    <w:p w:rsidR="00250274" w:rsidRPr="00E721BD" w:rsidRDefault="00250274" w:rsidP="006346A7">
      <w:pPr>
        <w:spacing w:line="240" w:lineRule="auto"/>
        <w:contextualSpacing/>
        <w:jc w:val="center"/>
        <w:rPr>
          <w:rFonts w:ascii="Times New Roman" w:hAnsi="Times New Roman" w:cs="Times New Roman"/>
          <w:b/>
          <w:bCs/>
          <w:sz w:val="24"/>
          <w:szCs w:val="24"/>
        </w:rPr>
      </w:pPr>
      <w:r w:rsidRPr="00E721BD">
        <w:rPr>
          <w:rFonts w:ascii="Times New Roman" w:hAnsi="Times New Roman" w:cs="Times New Roman"/>
          <w:b/>
          <w:sz w:val="24"/>
          <w:szCs w:val="24"/>
        </w:rPr>
        <w:t>2.</w:t>
      </w:r>
      <w:r w:rsidRPr="00E721BD">
        <w:rPr>
          <w:rFonts w:ascii="Times New Roman" w:hAnsi="Times New Roman" w:cs="Times New Roman"/>
          <w:b/>
          <w:bCs/>
          <w:sz w:val="24"/>
          <w:szCs w:val="24"/>
        </w:rPr>
        <w:t xml:space="preserve"> Достижение целей и целевых индикаторов</w:t>
      </w:r>
    </w:p>
    <w:p w:rsidR="00250274" w:rsidRPr="00E721BD" w:rsidRDefault="00250274" w:rsidP="006346A7">
      <w:pPr>
        <w:spacing w:line="240" w:lineRule="auto"/>
        <w:contextualSpacing/>
        <w:jc w:val="both"/>
        <w:rPr>
          <w:rFonts w:ascii="Times New Roman" w:hAnsi="Times New Roman" w:cs="Times New Roman"/>
          <w:b/>
          <w:sz w:val="24"/>
          <w:szCs w:val="24"/>
        </w:rPr>
      </w:pPr>
    </w:p>
    <w:tbl>
      <w:tblPr>
        <w:tblStyle w:val="a8"/>
        <w:tblW w:w="0" w:type="auto"/>
        <w:tblLook w:val="04A0" w:firstRow="1" w:lastRow="0" w:firstColumn="1" w:lastColumn="0" w:noHBand="0" w:noVBand="1"/>
      </w:tblPr>
      <w:tblGrid>
        <w:gridCol w:w="3064"/>
        <w:gridCol w:w="1844"/>
        <w:gridCol w:w="1478"/>
        <w:gridCol w:w="850"/>
        <w:gridCol w:w="1164"/>
        <w:gridCol w:w="2021"/>
      </w:tblGrid>
      <w:tr w:rsidR="008D71F9" w:rsidRPr="00E721BD" w:rsidTr="00F17E4A">
        <w:trPr>
          <w:tblHeader/>
        </w:trPr>
        <w:tc>
          <w:tcPr>
            <w:tcW w:w="3064" w:type="dxa"/>
            <w:vMerge w:val="restart"/>
          </w:tcPr>
          <w:p w:rsidR="008D71F9" w:rsidRPr="00E721BD" w:rsidRDefault="008D71F9" w:rsidP="006346A7">
            <w:pPr>
              <w:contextualSpacing/>
              <w:jc w:val="center"/>
              <w:rPr>
                <w:rFonts w:ascii="Times New Roman" w:hAnsi="Times New Roman" w:cs="Times New Roman"/>
                <w:b/>
                <w:sz w:val="24"/>
                <w:szCs w:val="24"/>
              </w:rPr>
            </w:pPr>
            <w:r w:rsidRPr="00E721BD">
              <w:rPr>
                <w:rFonts w:ascii="Times New Roman" w:hAnsi="Times New Roman"/>
                <w:b/>
                <w:i/>
              </w:rPr>
              <w:t>Наименование целевого индикатора</w:t>
            </w:r>
          </w:p>
        </w:tc>
        <w:tc>
          <w:tcPr>
            <w:tcW w:w="1844" w:type="dxa"/>
            <w:vMerge w:val="restart"/>
          </w:tcPr>
          <w:p w:rsidR="008D71F9" w:rsidRPr="00E721BD" w:rsidRDefault="008D71F9" w:rsidP="006346A7">
            <w:pPr>
              <w:contextualSpacing/>
              <w:jc w:val="center"/>
              <w:rPr>
                <w:rFonts w:ascii="Times New Roman" w:hAnsi="Times New Roman"/>
                <w:b/>
                <w:i/>
              </w:rPr>
            </w:pPr>
            <w:r w:rsidRPr="00E721BD">
              <w:rPr>
                <w:rFonts w:ascii="Times New Roman" w:hAnsi="Times New Roman"/>
                <w:b/>
                <w:i/>
              </w:rPr>
              <w:t>Источник информации</w:t>
            </w:r>
          </w:p>
        </w:tc>
        <w:tc>
          <w:tcPr>
            <w:tcW w:w="1478" w:type="dxa"/>
            <w:vMerge w:val="restart"/>
          </w:tcPr>
          <w:p w:rsidR="008D71F9" w:rsidRPr="00E721BD" w:rsidRDefault="008D71F9" w:rsidP="00E446A1">
            <w:pPr>
              <w:contextualSpacing/>
              <w:jc w:val="center"/>
              <w:rPr>
                <w:rFonts w:ascii="Times New Roman" w:hAnsi="Times New Roman"/>
                <w:b/>
                <w:i/>
              </w:rPr>
            </w:pPr>
            <w:r w:rsidRPr="00E721BD">
              <w:rPr>
                <w:rFonts w:ascii="Times New Roman" w:hAnsi="Times New Roman"/>
                <w:b/>
                <w:i/>
              </w:rPr>
              <w:t>Ед</w:t>
            </w:r>
            <w:r w:rsidR="00E446A1">
              <w:rPr>
                <w:rFonts w:ascii="Times New Roman" w:hAnsi="Times New Roman"/>
                <w:b/>
                <w:i/>
              </w:rPr>
              <w:t>иница измерения</w:t>
            </w:r>
          </w:p>
        </w:tc>
        <w:tc>
          <w:tcPr>
            <w:tcW w:w="2014" w:type="dxa"/>
            <w:gridSpan w:val="2"/>
          </w:tcPr>
          <w:p w:rsidR="008D71F9" w:rsidRPr="00E721BD" w:rsidRDefault="008D71F9" w:rsidP="006346A7">
            <w:pPr>
              <w:contextualSpacing/>
              <w:jc w:val="center"/>
              <w:rPr>
                <w:rFonts w:ascii="Times New Roman" w:hAnsi="Times New Roman"/>
                <w:b/>
                <w:i/>
              </w:rPr>
            </w:pPr>
            <w:r w:rsidRPr="00E721BD">
              <w:rPr>
                <w:rFonts w:ascii="Times New Roman" w:hAnsi="Times New Roman"/>
                <w:b/>
                <w:i/>
              </w:rPr>
              <w:t>Отчетный</w:t>
            </w:r>
          </w:p>
          <w:p w:rsidR="008D71F9" w:rsidRPr="00E721BD" w:rsidRDefault="008D71F9" w:rsidP="006346A7">
            <w:pPr>
              <w:contextualSpacing/>
              <w:jc w:val="center"/>
              <w:rPr>
                <w:rFonts w:ascii="Times New Roman" w:hAnsi="Times New Roman"/>
                <w:b/>
                <w:i/>
              </w:rPr>
            </w:pPr>
            <w:r w:rsidRPr="00E721BD">
              <w:rPr>
                <w:rFonts w:ascii="Times New Roman" w:hAnsi="Times New Roman"/>
                <w:b/>
                <w:i/>
              </w:rPr>
              <w:t>период</w:t>
            </w:r>
          </w:p>
          <w:p w:rsidR="008D71F9" w:rsidRPr="00E721BD" w:rsidRDefault="008D71F9" w:rsidP="006346A7">
            <w:pPr>
              <w:contextualSpacing/>
              <w:jc w:val="center"/>
              <w:rPr>
                <w:rFonts w:ascii="Times New Roman" w:hAnsi="Times New Roman" w:cs="Times New Roman"/>
                <w:b/>
                <w:sz w:val="24"/>
                <w:szCs w:val="24"/>
              </w:rPr>
            </w:pPr>
          </w:p>
        </w:tc>
        <w:tc>
          <w:tcPr>
            <w:tcW w:w="2021" w:type="dxa"/>
            <w:vMerge w:val="restart"/>
          </w:tcPr>
          <w:p w:rsidR="008D71F9" w:rsidRPr="00E721BD" w:rsidRDefault="008D71F9" w:rsidP="006346A7">
            <w:pPr>
              <w:contextualSpacing/>
              <w:jc w:val="center"/>
              <w:rPr>
                <w:rFonts w:ascii="Times New Roman" w:hAnsi="Times New Roman" w:cs="Times New Roman"/>
                <w:b/>
                <w:sz w:val="24"/>
                <w:szCs w:val="24"/>
              </w:rPr>
            </w:pPr>
            <w:r w:rsidRPr="00E721BD">
              <w:rPr>
                <w:rFonts w:ascii="Times New Roman" w:hAnsi="Times New Roman"/>
                <w:b/>
                <w:i/>
              </w:rPr>
              <w:t>Примечание (информация об исполнении/ неисполнении)</w:t>
            </w:r>
          </w:p>
        </w:tc>
      </w:tr>
      <w:tr w:rsidR="008D71F9" w:rsidRPr="00E721BD" w:rsidTr="00F17E4A">
        <w:tc>
          <w:tcPr>
            <w:tcW w:w="3064" w:type="dxa"/>
            <w:vMerge/>
          </w:tcPr>
          <w:p w:rsidR="008D71F9" w:rsidRPr="00E721BD" w:rsidRDefault="008D71F9" w:rsidP="006346A7">
            <w:pPr>
              <w:contextualSpacing/>
              <w:jc w:val="center"/>
              <w:rPr>
                <w:rFonts w:ascii="Times New Roman" w:hAnsi="Times New Roman" w:cs="Times New Roman"/>
                <w:b/>
                <w:sz w:val="24"/>
                <w:szCs w:val="24"/>
              </w:rPr>
            </w:pPr>
          </w:p>
        </w:tc>
        <w:tc>
          <w:tcPr>
            <w:tcW w:w="1844" w:type="dxa"/>
            <w:vMerge/>
          </w:tcPr>
          <w:p w:rsidR="008D71F9" w:rsidRPr="00E721BD" w:rsidRDefault="008D71F9" w:rsidP="006346A7">
            <w:pPr>
              <w:contextualSpacing/>
              <w:jc w:val="center"/>
              <w:rPr>
                <w:rFonts w:ascii="Times New Roman" w:hAnsi="Times New Roman" w:cs="Times New Roman"/>
                <w:b/>
                <w:sz w:val="24"/>
                <w:szCs w:val="24"/>
              </w:rPr>
            </w:pPr>
          </w:p>
        </w:tc>
        <w:tc>
          <w:tcPr>
            <w:tcW w:w="1478" w:type="dxa"/>
            <w:vMerge/>
          </w:tcPr>
          <w:p w:rsidR="008D71F9" w:rsidRPr="00E721BD" w:rsidRDefault="008D71F9" w:rsidP="006346A7">
            <w:pPr>
              <w:contextualSpacing/>
              <w:jc w:val="center"/>
              <w:rPr>
                <w:rFonts w:ascii="Times New Roman" w:hAnsi="Times New Roman" w:cs="Times New Roman"/>
                <w:b/>
                <w:sz w:val="24"/>
                <w:szCs w:val="24"/>
              </w:rPr>
            </w:pPr>
          </w:p>
        </w:tc>
        <w:tc>
          <w:tcPr>
            <w:tcW w:w="850" w:type="dxa"/>
          </w:tcPr>
          <w:p w:rsidR="008D71F9" w:rsidRPr="00E721BD" w:rsidRDefault="008D71F9" w:rsidP="006346A7">
            <w:pPr>
              <w:contextualSpacing/>
              <w:jc w:val="center"/>
              <w:rPr>
                <w:rFonts w:ascii="Times New Roman" w:hAnsi="Times New Roman"/>
                <w:i/>
              </w:rPr>
            </w:pPr>
            <w:r w:rsidRPr="00E721BD">
              <w:rPr>
                <w:rFonts w:ascii="Times New Roman" w:hAnsi="Times New Roman"/>
                <w:i/>
              </w:rPr>
              <w:t>План</w:t>
            </w:r>
          </w:p>
        </w:tc>
        <w:tc>
          <w:tcPr>
            <w:tcW w:w="1164" w:type="dxa"/>
          </w:tcPr>
          <w:p w:rsidR="008D71F9" w:rsidRPr="00E721BD" w:rsidRDefault="008D71F9" w:rsidP="006346A7">
            <w:pPr>
              <w:contextualSpacing/>
              <w:jc w:val="center"/>
              <w:rPr>
                <w:rFonts w:ascii="Times New Roman" w:hAnsi="Times New Roman"/>
                <w:i/>
              </w:rPr>
            </w:pPr>
            <w:r w:rsidRPr="00E721BD">
              <w:rPr>
                <w:rFonts w:ascii="Times New Roman" w:hAnsi="Times New Roman"/>
                <w:i/>
              </w:rPr>
              <w:t>Факт</w:t>
            </w:r>
          </w:p>
        </w:tc>
        <w:tc>
          <w:tcPr>
            <w:tcW w:w="2021" w:type="dxa"/>
            <w:vMerge/>
          </w:tcPr>
          <w:p w:rsidR="008D71F9" w:rsidRPr="00E721BD" w:rsidRDefault="008D71F9" w:rsidP="006346A7">
            <w:pPr>
              <w:contextualSpacing/>
              <w:jc w:val="center"/>
              <w:rPr>
                <w:rFonts w:ascii="Times New Roman" w:hAnsi="Times New Roman" w:cs="Times New Roman"/>
                <w:b/>
                <w:sz w:val="24"/>
                <w:szCs w:val="24"/>
              </w:rPr>
            </w:pPr>
          </w:p>
        </w:tc>
      </w:tr>
      <w:tr w:rsidR="008D71F9" w:rsidRPr="00E721BD" w:rsidTr="00F17E4A">
        <w:tc>
          <w:tcPr>
            <w:tcW w:w="3064" w:type="dxa"/>
          </w:tcPr>
          <w:p w:rsidR="008D71F9" w:rsidRPr="00E721BD" w:rsidRDefault="008D71F9" w:rsidP="006346A7">
            <w:pPr>
              <w:contextualSpacing/>
              <w:jc w:val="center"/>
              <w:rPr>
                <w:rFonts w:ascii="Times New Roman" w:hAnsi="Times New Roman" w:cs="Times New Roman"/>
                <w:b/>
                <w:i/>
                <w:sz w:val="24"/>
                <w:szCs w:val="24"/>
              </w:rPr>
            </w:pPr>
            <w:r w:rsidRPr="00E721BD">
              <w:rPr>
                <w:rFonts w:ascii="Times New Roman" w:hAnsi="Times New Roman" w:cs="Times New Roman"/>
                <w:b/>
                <w:i/>
                <w:sz w:val="24"/>
                <w:szCs w:val="24"/>
              </w:rPr>
              <w:t>1</w:t>
            </w:r>
          </w:p>
        </w:tc>
        <w:tc>
          <w:tcPr>
            <w:tcW w:w="1844" w:type="dxa"/>
          </w:tcPr>
          <w:p w:rsidR="008D71F9" w:rsidRPr="00E721BD" w:rsidRDefault="008D71F9" w:rsidP="006346A7">
            <w:pPr>
              <w:contextualSpacing/>
              <w:jc w:val="center"/>
              <w:rPr>
                <w:rFonts w:ascii="Times New Roman" w:hAnsi="Times New Roman" w:cs="Times New Roman"/>
                <w:b/>
                <w:i/>
                <w:sz w:val="24"/>
                <w:szCs w:val="24"/>
              </w:rPr>
            </w:pPr>
            <w:r w:rsidRPr="00E721BD">
              <w:rPr>
                <w:rFonts w:ascii="Times New Roman" w:hAnsi="Times New Roman" w:cs="Times New Roman"/>
                <w:b/>
                <w:i/>
                <w:sz w:val="24"/>
                <w:szCs w:val="24"/>
              </w:rPr>
              <w:t>2</w:t>
            </w:r>
          </w:p>
        </w:tc>
        <w:tc>
          <w:tcPr>
            <w:tcW w:w="1478" w:type="dxa"/>
          </w:tcPr>
          <w:p w:rsidR="008D71F9" w:rsidRPr="00E721BD" w:rsidRDefault="008D71F9" w:rsidP="006346A7">
            <w:pPr>
              <w:contextualSpacing/>
              <w:jc w:val="center"/>
              <w:rPr>
                <w:rFonts w:ascii="Times New Roman" w:hAnsi="Times New Roman" w:cs="Times New Roman"/>
                <w:b/>
                <w:i/>
                <w:sz w:val="24"/>
                <w:szCs w:val="24"/>
              </w:rPr>
            </w:pPr>
            <w:r w:rsidRPr="00E721BD">
              <w:rPr>
                <w:rFonts w:ascii="Times New Roman" w:hAnsi="Times New Roman" w:cs="Times New Roman"/>
                <w:b/>
                <w:i/>
                <w:sz w:val="24"/>
                <w:szCs w:val="24"/>
              </w:rPr>
              <w:t>3</w:t>
            </w:r>
          </w:p>
        </w:tc>
        <w:tc>
          <w:tcPr>
            <w:tcW w:w="850" w:type="dxa"/>
          </w:tcPr>
          <w:p w:rsidR="008D71F9" w:rsidRPr="00E721BD" w:rsidRDefault="008D71F9" w:rsidP="006346A7">
            <w:pPr>
              <w:contextualSpacing/>
              <w:jc w:val="center"/>
              <w:rPr>
                <w:rFonts w:ascii="Times New Roman" w:hAnsi="Times New Roman" w:cs="Times New Roman"/>
                <w:b/>
                <w:i/>
                <w:sz w:val="24"/>
                <w:szCs w:val="24"/>
              </w:rPr>
            </w:pPr>
            <w:r w:rsidRPr="00E721BD">
              <w:rPr>
                <w:rFonts w:ascii="Times New Roman" w:hAnsi="Times New Roman" w:cs="Times New Roman"/>
                <w:b/>
                <w:i/>
                <w:sz w:val="24"/>
                <w:szCs w:val="24"/>
              </w:rPr>
              <w:t>4</w:t>
            </w:r>
          </w:p>
        </w:tc>
        <w:tc>
          <w:tcPr>
            <w:tcW w:w="1164" w:type="dxa"/>
          </w:tcPr>
          <w:p w:rsidR="008D71F9" w:rsidRPr="00E721BD" w:rsidRDefault="008D71F9" w:rsidP="006346A7">
            <w:pPr>
              <w:contextualSpacing/>
              <w:jc w:val="center"/>
              <w:rPr>
                <w:rFonts w:ascii="Times New Roman" w:hAnsi="Times New Roman" w:cs="Times New Roman"/>
                <w:b/>
                <w:i/>
                <w:sz w:val="24"/>
                <w:szCs w:val="24"/>
              </w:rPr>
            </w:pPr>
            <w:r w:rsidRPr="00E721BD">
              <w:rPr>
                <w:rFonts w:ascii="Times New Roman" w:hAnsi="Times New Roman" w:cs="Times New Roman"/>
                <w:b/>
                <w:i/>
                <w:sz w:val="24"/>
                <w:szCs w:val="24"/>
              </w:rPr>
              <w:t>5</w:t>
            </w:r>
          </w:p>
        </w:tc>
        <w:tc>
          <w:tcPr>
            <w:tcW w:w="2021" w:type="dxa"/>
          </w:tcPr>
          <w:p w:rsidR="008D71F9" w:rsidRPr="00E721BD" w:rsidRDefault="008D71F9" w:rsidP="006346A7">
            <w:pPr>
              <w:contextualSpacing/>
              <w:jc w:val="center"/>
              <w:rPr>
                <w:rFonts w:ascii="Times New Roman" w:hAnsi="Times New Roman" w:cs="Times New Roman"/>
                <w:b/>
                <w:i/>
                <w:sz w:val="24"/>
                <w:szCs w:val="24"/>
              </w:rPr>
            </w:pPr>
            <w:r w:rsidRPr="00E721BD">
              <w:rPr>
                <w:rFonts w:ascii="Times New Roman" w:hAnsi="Times New Roman" w:cs="Times New Roman"/>
                <w:b/>
                <w:i/>
                <w:sz w:val="24"/>
                <w:szCs w:val="24"/>
              </w:rPr>
              <w:t>6</w:t>
            </w:r>
          </w:p>
        </w:tc>
      </w:tr>
      <w:tr w:rsidR="008D71F9" w:rsidRPr="00E721BD" w:rsidTr="009E2774">
        <w:tc>
          <w:tcPr>
            <w:tcW w:w="10421" w:type="dxa"/>
            <w:gridSpan w:val="6"/>
          </w:tcPr>
          <w:p w:rsidR="008D71F9" w:rsidRPr="00E721BD" w:rsidRDefault="008D71F9" w:rsidP="006346A7">
            <w:pPr>
              <w:contextualSpacing/>
              <w:jc w:val="center"/>
              <w:rPr>
                <w:rFonts w:ascii="Times New Roman" w:hAnsi="Times New Roman" w:cs="Times New Roman"/>
                <w:b/>
                <w:sz w:val="24"/>
                <w:szCs w:val="24"/>
              </w:rPr>
            </w:pPr>
            <w:r w:rsidRPr="00E721BD">
              <w:rPr>
                <w:rFonts w:ascii="Times New Roman" w:hAnsi="Times New Roman"/>
                <w:b/>
              </w:rPr>
              <w:t xml:space="preserve">Стратегическое направление 1. </w:t>
            </w:r>
            <w:r w:rsidRPr="00E721BD">
              <w:rPr>
                <w:rFonts w:ascii="Times New Roman" w:hAnsi="Times New Roman"/>
              </w:rPr>
              <w:t>Обеспечение стабильности цен</w:t>
            </w:r>
          </w:p>
        </w:tc>
      </w:tr>
      <w:tr w:rsidR="008D71F9" w:rsidRPr="00E721BD" w:rsidTr="009E2774">
        <w:tc>
          <w:tcPr>
            <w:tcW w:w="10421" w:type="dxa"/>
            <w:gridSpan w:val="6"/>
          </w:tcPr>
          <w:p w:rsidR="008D71F9" w:rsidRPr="00E721BD" w:rsidRDefault="008D71F9" w:rsidP="00307FF5">
            <w:pPr>
              <w:contextualSpacing/>
              <w:jc w:val="center"/>
              <w:rPr>
                <w:rFonts w:ascii="Times New Roman" w:hAnsi="Times New Roman" w:cs="Times New Roman"/>
                <w:b/>
                <w:sz w:val="24"/>
                <w:szCs w:val="24"/>
              </w:rPr>
            </w:pPr>
            <w:r w:rsidRPr="00E721BD">
              <w:rPr>
                <w:rFonts w:ascii="Times New Roman" w:hAnsi="Times New Roman"/>
                <w:b/>
              </w:rPr>
              <w:t xml:space="preserve">Цель 1.1. </w:t>
            </w:r>
            <w:r w:rsidR="00307FF5">
              <w:rPr>
                <w:rFonts w:ascii="Times New Roman" w:hAnsi="Times New Roman"/>
              </w:rPr>
              <w:t>Разработка и проведение денежно-кредитной политики государства. Удержание инфляции в целевом коридоре</w:t>
            </w:r>
          </w:p>
        </w:tc>
      </w:tr>
      <w:tr w:rsidR="008D71F9" w:rsidRPr="00E721BD" w:rsidTr="00F17E4A">
        <w:tc>
          <w:tcPr>
            <w:tcW w:w="3064" w:type="dxa"/>
          </w:tcPr>
          <w:p w:rsidR="008D71F9" w:rsidRPr="00E721BD" w:rsidRDefault="008D71F9" w:rsidP="006346A7">
            <w:pPr>
              <w:contextualSpacing/>
              <w:jc w:val="both"/>
              <w:rPr>
                <w:rFonts w:ascii="Times New Roman" w:hAnsi="Times New Roman" w:cs="Times New Roman"/>
                <w:b/>
                <w:sz w:val="24"/>
                <w:szCs w:val="24"/>
              </w:rPr>
            </w:pPr>
            <w:r w:rsidRPr="00E721BD">
              <w:rPr>
                <w:rFonts w:ascii="Times New Roman" w:hAnsi="Times New Roman"/>
                <w:b/>
              </w:rPr>
              <w:t>Целевой индикатор</w:t>
            </w:r>
          </w:p>
        </w:tc>
        <w:tc>
          <w:tcPr>
            <w:tcW w:w="1844" w:type="dxa"/>
          </w:tcPr>
          <w:p w:rsidR="008D71F9" w:rsidRPr="00E721BD" w:rsidRDefault="008D71F9" w:rsidP="006346A7">
            <w:pPr>
              <w:contextualSpacing/>
              <w:jc w:val="both"/>
              <w:rPr>
                <w:rFonts w:ascii="Times New Roman" w:hAnsi="Times New Roman" w:cs="Times New Roman"/>
                <w:b/>
                <w:sz w:val="24"/>
                <w:szCs w:val="24"/>
              </w:rPr>
            </w:pPr>
          </w:p>
        </w:tc>
        <w:tc>
          <w:tcPr>
            <w:tcW w:w="1478" w:type="dxa"/>
          </w:tcPr>
          <w:p w:rsidR="008D71F9" w:rsidRPr="00E721BD" w:rsidRDefault="008D71F9" w:rsidP="006346A7">
            <w:pPr>
              <w:contextualSpacing/>
              <w:jc w:val="both"/>
              <w:rPr>
                <w:rFonts w:ascii="Times New Roman" w:hAnsi="Times New Roman" w:cs="Times New Roman"/>
                <w:b/>
                <w:sz w:val="24"/>
                <w:szCs w:val="24"/>
              </w:rPr>
            </w:pPr>
          </w:p>
        </w:tc>
        <w:tc>
          <w:tcPr>
            <w:tcW w:w="850" w:type="dxa"/>
          </w:tcPr>
          <w:p w:rsidR="008D71F9" w:rsidRPr="00E721BD" w:rsidRDefault="008D71F9" w:rsidP="006346A7">
            <w:pPr>
              <w:contextualSpacing/>
              <w:jc w:val="both"/>
              <w:rPr>
                <w:rFonts w:ascii="Times New Roman" w:hAnsi="Times New Roman" w:cs="Times New Roman"/>
                <w:b/>
                <w:sz w:val="24"/>
                <w:szCs w:val="24"/>
              </w:rPr>
            </w:pPr>
          </w:p>
        </w:tc>
        <w:tc>
          <w:tcPr>
            <w:tcW w:w="1164" w:type="dxa"/>
          </w:tcPr>
          <w:p w:rsidR="008D71F9" w:rsidRPr="00E721BD" w:rsidRDefault="008D71F9" w:rsidP="006346A7">
            <w:pPr>
              <w:contextualSpacing/>
              <w:jc w:val="both"/>
              <w:rPr>
                <w:rFonts w:ascii="Times New Roman" w:hAnsi="Times New Roman" w:cs="Times New Roman"/>
                <w:b/>
                <w:sz w:val="24"/>
                <w:szCs w:val="24"/>
              </w:rPr>
            </w:pPr>
          </w:p>
        </w:tc>
        <w:tc>
          <w:tcPr>
            <w:tcW w:w="2021" w:type="dxa"/>
          </w:tcPr>
          <w:p w:rsidR="008D71F9" w:rsidRPr="00E721BD" w:rsidRDefault="008D71F9" w:rsidP="006346A7">
            <w:pPr>
              <w:contextualSpacing/>
              <w:jc w:val="both"/>
              <w:rPr>
                <w:rFonts w:ascii="Times New Roman" w:hAnsi="Times New Roman" w:cs="Times New Roman"/>
                <w:b/>
                <w:sz w:val="24"/>
                <w:szCs w:val="24"/>
              </w:rPr>
            </w:pPr>
          </w:p>
        </w:tc>
      </w:tr>
      <w:tr w:rsidR="002534C2" w:rsidRPr="00E721BD" w:rsidTr="00F17E4A">
        <w:tc>
          <w:tcPr>
            <w:tcW w:w="3064" w:type="dxa"/>
          </w:tcPr>
          <w:p w:rsidR="002534C2" w:rsidRPr="00E721BD" w:rsidRDefault="002534C2" w:rsidP="003A4FFA">
            <w:pPr>
              <w:contextualSpacing/>
              <w:jc w:val="both"/>
              <w:rPr>
                <w:rFonts w:ascii="Times New Roman" w:hAnsi="Times New Roman"/>
              </w:rPr>
            </w:pPr>
            <w:r>
              <w:rPr>
                <w:rFonts w:ascii="Times New Roman" w:hAnsi="Times New Roman"/>
              </w:rPr>
              <w:t>Г</w:t>
            </w:r>
            <w:r w:rsidRPr="00E721BD">
              <w:rPr>
                <w:rFonts w:ascii="Times New Roman" w:hAnsi="Times New Roman"/>
              </w:rPr>
              <w:t xml:space="preserve">одовой </w:t>
            </w:r>
            <w:r w:rsidR="003A4FFA">
              <w:rPr>
                <w:rFonts w:ascii="Times New Roman" w:hAnsi="Times New Roman"/>
              </w:rPr>
              <w:t>уровень</w:t>
            </w:r>
            <w:r w:rsidRPr="00E721BD">
              <w:rPr>
                <w:rFonts w:ascii="Times New Roman" w:hAnsi="Times New Roman"/>
              </w:rPr>
              <w:t xml:space="preserve"> инфляции</w:t>
            </w:r>
            <w:r>
              <w:rPr>
                <w:rFonts w:ascii="Times New Roman" w:hAnsi="Times New Roman"/>
              </w:rPr>
              <w:t xml:space="preserve"> (декабрь к декабрю предыдущего года)</w:t>
            </w:r>
            <w:r w:rsidRPr="00E721BD">
              <w:rPr>
                <w:rFonts w:ascii="Times New Roman" w:hAnsi="Times New Roman"/>
              </w:rPr>
              <w:t>, %</w:t>
            </w:r>
          </w:p>
        </w:tc>
        <w:tc>
          <w:tcPr>
            <w:tcW w:w="1844" w:type="dxa"/>
          </w:tcPr>
          <w:p w:rsidR="002534C2" w:rsidRPr="00E721BD" w:rsidRDefault="002534C2" w:rsidP="006346A7">
            <w:pPr>
              <w:keepNext/>
              <w:keepLines/>
              <w:contextualSpacing/>
              <w:jc w:val="both"/>
              <w:outlineLvl w:val="2"/>
              <w:rPr>
                <w:rFonts w:ascii="Times New Roman" w:hAnsi="Times New Roman"/>
              </w:rPr>
            </w:pPr>
            <w:r>
              <w:rPr>
                <w:rFonts w:ascii="Times New Roman" w:hAnsi="Times New Roman"/>
              </w:rPr>
              <w:t>КС МНЭ РК</w:t>
            </w:r>
          </w:p>
        </w:tc>
        <w:tc>
          <w:tcPr>
            <w:tcW w:w="1478" w:type="dxa"/>
          </w:tcPr>
          <w:p w:rsidR="002534C2" w:rsidRPr="00E721BD" w:rsidRDefault="002534C2" w:rsidP="006346A7">
            <w:pPr>
              <w:contextualSpacing/>
              <w:jc w:val="both"/>
              <w:rPr>
                <w:rFonts w:ascii="Times New Roman" w:hAnsi="Times New Roman"/>
              </w:rPr>
            </w:pPr>
            <w:r>
              <w:rPr>
                <w:rFonts w:ascii="Times New Roman" w:hAnsi="Times New Roman"/>
              </w:rPr>
              <w:t>%</w:t>
            </w:r>
          </w:p>
        </w:tc>
        <w:tc>
          <w:tcPr>
            <w:tcW w:w="850" w:type="dxa"/>
          </w:tcPr>
          <w:p w:rsidR="002534C2" w:rsidRPr="00E721BD" w:rsidRDefault="002534C2" w:rsidP="006346A7">
            <w:pPr>
              <w:contextualSpacing/>
              <w:jc w:val="both"/>
              <w:rPr>
                <w:rFonts w:ascii="Times New Roman" w:hAnsi="Times New Roman"/>
              </w:rPr>
            </w:pPr>
            <w:r>
              <w:rPr>
                <w:rFonts w:ascii="Times New Roman" w:hAnsi="Times New Roman"/>
              </w:rPr>
              <w:t>5-7</w:t>
            </w:r>
          </w:p>
        </w:tc>
        <w:tc>
          <w:tcPr>
            <w:tcW w:w="1164" w:type="dxa"/>
          </w:tcPr>
          <w:p w:rsidR="002534C2" w:rsidRPr="007E1397" w:rsidRDefault="002534C2" w:rsidP="007E1397">
            <w:pPr>
              <w:contextualSpacing/>
              <w:jc w:val="both"/>
              <w:rPr>
                <w:rFonts w:ascii="Times New Roman" w:hAnsi="Times New Roman"/>
              </w:rPr>
            </w:pPr>
            <w:r w:rsidRPr="007E1397">
              <w:rPr>
                <w:rFonts w:ascii="Times New Roman" w:hAnsi="Times New Roman"/>
              </w:rPr>
              <w:t>5,3%</w:t>
            </w:r>
          </w:p>
        </w:tc>
        <w:tc>
          <w:tcPr>
            <w:tcW w:w="2021" w:type="dxa"/>
          </w:tcPr>
          <w:p w:rsidR="002534C2" w:rsidRPr="007E1397" w:rsidRDefault="002534C2" w:rsidP="007E1397">
            <w:pPr>
              <w:contextualSpacing/>
              <w:jc w:val="both"/>
              <w:rPr>
                <w:rFonts w:ascii="Times New Roman" w:hAnsi="Times New Roman" w:cs="Times New Roman"/>
              </w:rPr>
            </w:pPr>
            <w:r w:rsidRPr="007E1397">
              <w:rPr>
                <w:rFonts w:ascii="Times New Roman" w:hAnsi="Times New Roman" w:cs="Times New Roman"/>
              </w:rPr>
              <w:t xml:space="preserve">В декабре 2018 года годовая инфляция составила 5,3%, </w:t>
            </w:r>
            <w:r w:rsidRPr="007E1397">
              <w:rPr>
                <w:rFonts w:ascii="Times New Roman" w:hAnsi="Times New Roman" w:cs="Times New Roman"/>
              </w:rPr>
              <w:lastRenderedPageBreak/>
              <w:t>что соответствует целевому коридору, установленному на конец 2018 года, 5-7%.</w:t>
            </w:r>
          </w:p>
        </w:tc>
      </w:tr>
      <w:tr w:rsidR="002534C2" w:rsidRPr="00E721BD" w:rsidTr="009E2774">
        <w:tc>
          <w:tcPr>
            <w:tcW w:w="10421" w:type="dxa"/>
            <w:gridSpan w:val="6"/>
          </w:tcPr>
          <w:p w:rsidR="002534C2" w:rsidRPr="00E721BD" w:rsidRDefault="002534C2" w:rsidP="006346A7">
            <w:pPr>
              <w:contextualSpacing/>
              <w:jc w:val="center"/>
              <w:rPr>
                <w:rFonts w:ascii="Times New Roman" w:hAnsi="Times New Roman" w:cs="Times New Roman"/>
                <w:b/>
                <w:sz w:val="24"/>
                <w:szCs w:val="24"/>
              </w:rPr>
            </w:pPr>
            <w:r w:rsidRPr="00E721BD">
              <w:rPr>
                <w:rFonts w:ascii="Times New Roman" w:hAnsi="Times New Roman"/>
                <w:b/>
              </w:rPr>
              <w:lastRenderedPageBreak/>
              <w:t xml:space="preserve">Цель 1.2. </w:t>
            </w:r>
            <w:r w:rsidRPr="00E721BD">
              <w:rPr>
                <w:rFonts w:ascii="Times New Roman" w:hAnsi="Times New Roman"/>
              </w:rPr>
              <w:t>Обеспечение сохранности золотовалютных активов Национального Банка</w:t>
            </w:r>
          </w:p>
        </w:tc>
      </w:tr>
      <w:tr w:rsidR="002534C2" w:rsidRPr="00E721BD" w:rsidTr="00F17E4A">
        <w:tc>
          <w:tcPr>
            <w:tcW w:w="3064" w:type="dxa"/>
          </w:tcPr>
          <w:p w:rsidR="002534C2" w:rsidRPr="00E721BD" w:rsidRDefault="002534C2" w:rsidP="006346A7">
            <w:pPr>
              <w:contextualSpacing/>
              <w:jc w:val="both"/>
              <w:rPr>
                <w:rFonts w:ascii="Times New Roman" w:hAnsi="Times New Roman"/>
              </w:rPr>
            </w:pPr>
            <w:r w:rsidRPr="00E721BD">
              <w:rPr>
                <w:rFonts w:ascii="Times New Roman" w:hAnsi="Times New Roman"/>
                <w:b/>
              </w:rPr>
              <w:t>Целевой индикатор</w:t>
            </w:r>
          </w:p>
        </w:tc>
        <w:tc>
          <w:tcPr>
            <w:tcW w:w="1844" w:type="dxa"/>
          </w:tcPr>
          <w:p w:rsidR="002534C2" w:rsidRPr="00E721BD" w:rsidRDefault="002534C2" w:rsidP="006346A7">
            <w:pPr>
              <w:keepNext/>
              <w:keepLines/>
              <w:contextualSpacing/>
              <w:jc w:val="both"/>
              <w:outlineLvl w:val="2"/>
              <w:rPr>
                <w:rFonts w:ascii="Times New Roman" w:hAnsi="Times New Roman"/>
              </w:rPr>
            </w:pPr>
          </w:p>
        </w:tc>
        <w:tc>
          <w:tcPr>
            <w:tcW w:w="1478" w:type="dxa"/>
          </w:tcPr>
          <w:p w:rsidR="002534C2" w:rsidRPr="00E721BD" w:rsidRDefault="002534C2" w:rsidP="006346A7">
            <w:pPr>
              <w:contextualSpacing/>
              <w:jc w:val="both"/>
              <w:rPr>
                <w:rFonts w:ascii="Times New Roman" w:hAnsi="Times New Roman"/>
              </w:rPr>
            </w:pPr>
          </w:p>
        </w:tc>
        <w:tc>
          <w:tcPr>
            <w:tcW w:w="850" w:type="dxa"/>
          </w:tcPr>
          <w:p w:rsidR="002534C2" w:rsidRPr="00E721BD" w:rsidRDefault="002534C2" w:rsidP="006346A7">
            <w:pPr>
              <w:contextualSpacing/>
              <w:jc w:val="both"/>
              <w:rPr>
                <w:rFonts w:ascii="Times New Roman" w:hAnsi="Times New Roman"/>
              </w:rPr>
            </w:pPr>
          </w:p>
        </w:tc>
        <w:tc>
          <w:tcPr>
            <w:tcW w:w="1164" w:type="dxa"/>
          </w:tcPr>
          <w:p w:rsidR="002534C2" w:rsidRPr="00E721BD" w:rsidRDefault="002534C2" w:rsidP="006346A7">
            <w:pPr>
              <w:contextualSpacing/>
              <w:jc w:val="both"/>
              <w:rPr>
                <w:rFonts w:ascii="Times New Roman" w:hAnsi="Times New Roman"/>
              </w:rPr>
            </w:pPr>
          </w:p>
        </w:tc>
        <w:tc>
          <w:tcPr>
            <w:tcW w:w="2021" w:type="dxa"/>
          </w:tcPr>
          <w:p w:rsidR="002534C2" w:rsidRPr="00E721BD" w:rsidRDefault="002534C2" w:rsidP="006346A7">
            <w:pPr>
              <w:contextualSpacing/>
              <w:jc w:val="both"/>
              <w:rPr>
                <w:rFonts w:ascii="Times New Roman" w:hAnsi="Times New Roman" w:cs="Times New Roman"/>
                <w:b/>
                <w:sz w:val="24"/>
                <w:szCs w:val="24"/>
              </w:rPr>
            </w:pPr>
          </w:p>
        </w:tc>
      </w:tr>
      <w:tr w:rsidR="002534C2" w:rsidRPr="00E721BD" w:rsidTr="00F17E4A">
        <w:tc>
          <w:tcPr>
            <w:tcW w:w="3064" w:type="dxa"/>
          </w:tcPr>
          <w:p w:rsidR="002534C2" w:rsidRPr="00E721BD" w:rsidRDefault="002534C2" w:rsidP="006346A7">
            <w:pPr>
              <w:contextualSpacing/>
              <w:jc w:val="both"/>
              <w:rPr>
                <w:rFonts w:ascii="Times New Roman" w:hAnsi="Times New Roman"/>
                <w:b/>
              </w:rPr>
            </w:pPr>
            <w:r w:rsidRPr="00E721BD">
              <w:rPr>
                <w:rFonts w:ascii="Times New Roman" w:hAnsi="Times New Roman"/>
              </w:rPr>
              <w:t>Объем золотовалютных резервов Национального Банка</w:t>
            </w:r>
          </w:p>
        </w:tc>
        <w:tc>
          <w:tcPr>
            <w:tcW w:w="1844" w:type="dxa"/>
          </w:tcPr>
          <w:p w:rsidR="002534C2" w:rsidRPr="00E721BD" w:rsidRDefault="002534C2" w:rsidP="006346A7">
            <w:pPr>
              <w:keepNext/>
              <w:keepLines/>
              <w:tabs>
                <w:tab w:val="left" w:pos="900"/>
                <w:tab w:val="left" w:pos="1080"/>
              </w:tabs>
              <w:contextualSpacing/>
              <w:jc w:val="both"/>
              <w:rPr>
                <w:rFonts w:ascii="Times New Roman" w:hAnsi="Times New Roman"/>
              </w:rPr>
            </w:pPr>
            <w:r w:rsidRPr="00E721BD">
              <w:rPr>
                <w:rFonts w:ascii="Times New Roman" w:hAnsi="Times New Roman"/>
              </w:rPr>
              <w:t>НБРК</w:t>
            </w:r>
          </w:p>
        </w:tc>
        <w:tc>
          <w:tcPr>
            <w:tcW w:w="1478" w:type="dxa"/>
          </w:tcPr>
          <w:p w:rsidR="002534C2" w:rsidRPr="00E721BD" w:rsidRDefault="002534C2" w:rsidP="006346A7">
            <w:pPr>
              <w:keepNext/>
              <w:keepLines/>
              <w:tabs>
                <w:tab w:val="left" w:pos="900"/>
                <w:tab w:val="left" w:pos="1080"/>
              </w:tabs>
              <w:contextualSpacing/>
              <w:jc w:val="both"/>
              <w:rPr>
                <w:rFonts w:ascii="Times New Roman" w:hAnsi="Times New Roman"/>
              </w:rPr>
            </w:pPr>
            <w:r w:rsidRPr="00E721BD">
              <w:rPr>
                <w:rFonts w:ascii="Times New Roman" w:hAnsi="Times New Roman"/>
              </w:rPr>
              <w:t>Покрытие объема трех месяцев импорта товаров и услуг («1» покрывает, «0» не покрывает)</w:t>
            </w:r>
            <w:r>
              <w:rPr>
                <w:rStyle w:val="a9"/>
                <w:rFonts w:ascii="Times New Roman" w:hAnsi="Times New Roman"/>
              </w:rPr>
              <w:footnoteReference w:id="1"/>
            </w:r>
          </w:p>
        </w:tc>
        <w:tc>
          <w:tcPr>
            <w:tcW w:w="850" w:type="dxa"/>
          </w:tcPr>
          <w:p w:rsidR="002534C2" w:rsidRPr="00E721BD" w:rsidRDefault="002534C2" w:rsidP="006346A7">
            <w:pPr>
              <w:keepNext/>
              <w:keepLines/>
              <w:tabs>
                <w:tab w:val="left" w:pos="900"/>
                <w:tab w:val="left" w:pos="1080"/>
              </w:tabs>
              <w:contextualSpacing/>
              <w:jc w:val="both"/>
              <w:rPr>
                <w:rFonts w:ascii="Times New Roman" w:hAnsi="Times New Roman"/>
              </w:rPr>
            </w:pPr>
            <w:r w:rsidRPr="00E721BD">
              <w:rPr>
                <w:rFonts w:ascii="Times New Roman" w:hAnsi="Times New Roman"/>
              </w:rPr>
              <w:t>1</w:t>
            </w:r>
          </w:p>
          <w:p w:rsidR="002534C2" w:rsidRPr="00E721BD" w:rsidRDefault="002534C2" w:rsidP="006346A7">
            <w:pPr>
              <w:keepNext/>
              <w:keepLines/>
              <w:tabs>
                <w:tab w:val="left" w:pos="900"/>
                <w:tab w:val="left" w:pos="1080"/>
              </w:tabs>
              <w:contextualSpacing/>
              <w:jc w:val="both"/>
              <w:rPr>
                <w:rFonts w:ascii="Times New Roman" w:hAnsi="Times New Roman"/>
              </w:rPr>
            </w:pPr>
          </w:p>
        </w:tc>
        <w:tc>
          <w:tcPr>
            <w:tcW w:w="1164" w:type="dxa"/>
          </w:tcPr>
          <w:p w:rsidR="002534C2" w:rsidRPr="00E721BD" w:rsidRDefault="00982486" w:rsidP="006346A7">
            <w:pPr>
              <w:keepNext/>
              <w:keepLines/>
              <w:tabs>
                <w:tab w:val="left" w:pos="900"/>
                <w:tab w:val="left" w:pos="1080"/>
              </w:tabs>
              <w:contextualSpacing/>
              <w:jc w:val="both"/>
              <w:rPr>
                <w:rFonts w:ascii="Times New Roman" w:hAnsi="Times New Roman"/>
              </w:rPr>
            </w:pPr>
            <w:r>
              <w:rPr>
                <w:rFonts w:ascii="Times New Roman" w:hAnsi="Times New Roman"/>
              </w:rPr>
              <w:t>1</w:t>
            </w:r>
          </w:p>
        </w:tc>
        <w:tc>
          <w:tcPr>
            <w:tcW w:w="2021" w:type="dxa"/>
          </w:tcPr>
          <w:p w:rsidR="002534C2" w:rsidRPr="00982486" w:rsidRDefault="00982486" w:rsidP="006346A7">
            <w:pPr>
              <w:contextualSpacing/>
              <w:jc w:val="both"/>
              <w:rPr>
                <w:rFonts w:ascii="Times New Roman" w:hAnsi="Times New Roman" w:cs="Times New Roman"/>
                <w:szCs w:val="24"/>
              </w:rPr>
            </w:pPr>
            <w:r>
              <w:rPr>
                <w:rFonts w:ascii="Times New Roman" w:hAnsi="Times New Roman" w:cs="Times New Roman"/>
                <w:szCs w:val="24"/>
              </w:rPr>
              <w:t>См. аналитическую записку</w:t>
            </w:r>
          </w:p>
        </w:tc>
      </w:tr>
      <w:tr w:rsidR="002534C2" w:rsidRPr="00E721BD" w:rsidTr="009E2774">
        <w:tc>
          <w:tcPr>
            <w:tcW w:w="10421" w:type="dxa"/>
            <w:gridSpan w:val="6"/>
          </w:tcPr>
          <w:p w:rsidR="002534C2" w:rsidRPr="00E721BD" w:rsidRDefault="002534C2" w:rsidP="006346A7">
            <w:pPr>
              <w:contextualSpacing/>
              <w:jc w:val="center"/>
              <w:rPr>
                <w:rFonts w:ascii="Times New Roman" w:hAnsi="Times New Roman" w:cs="Times New Roman"/>
                <w:b/>
                <w:sz w:val="24"/>
                <w:szCs w:val="24"/>
              </w:rPr>
            </w:pPr>
            <w:r w:rsidRPr="00E721BD">
              <w:rPr>
                <w:rFonts w:ascii="Times New Roman" w:hAnsi="Times New Roman"/>
                <w:b/>
              </w:rPr>
              <w:t xml:space="preserve">Стратегическое направление 2. </w:t>
            </w:r>
            <w:r w:rsidRPr="00E721BD">
              <w:rPr>
                <w:rFonts w:ascii="Times New Roman" w:hAnsi="Times New Roman"/>
              </w:rPr>
              <w:t>Обеспечение финансовой стабильности</w:t>
            </w:r>
          </w:p>
        </w:tc>
      </w:tr>
      <w:tr w:rsidR="002534C2" w:rsidRPr="00E721BD" w:rsidTr="009E2774">
        <w:tc>
          <w:tcPr>
            <w:tcW w:w="10421" w:type="dxa"/>
            <w:gridSpan w:val="6"/>
          </w:tcPr>
          <w:p w:rsidR="002534C2" w:rsidRPr="00E721BD" w:rsidRDefault="002534C2" w:rsidP="006346A7">
            <w:pPr>
              <w:contextualSpacing/>
              <w:jc w:val="center"/>
              <w:rPr>
                <w:rFonts w:ascii="Times New Roman" w:hAnsi="Times New Roman" w:cs="Times New Roman"/>
                <w:b/>
                <w:sz w:val="24"/>
                <w:szCs w:val="24"/>
              </w:rPr>
            </w:pPr>
            <w:r w:rsidRPr="00E721BD">
              <w:rPr>
                <w:rFonts w:ascii="Times New Roman" w:hAnsi="Times New Roman"/>
                <w:b/>
              </w:rPr>
              <w:t xml:space="preserve">Цель 2.1. </w:t>
            </w:r>
            <w:r w:rsidRPr="00E721BD">
              <w:rPr>
                <w:rFonts w:ascii="Times New Roman" w:hAnsi="Times New Roman"/>
              </w:rPr>
              <w:t>Повышение финансовой устойчивости и конкурентоспособности банковского сектора</w:t>
            </w:r>
          </w:p>
        </w:tc>
      </w:tr>
      <w:tr w:rsidR="002534C2" w:rsidRPr="00E721BD" w:rsidTr="00F17E4A">
        <w:tc>
          <w:tcPr>
            <w:tcW w:w="3064" w:type="dxa"/>
          </w:tcPr>
          <w:p w:rsidR="002534C2" w:rsidRPr="00E721BD" w:rsidRDefault="002534C2" w:rsidP="006346A7">
            <w:pPr>
              <w:contextualSpacing/>
              <w:jc w:val="both"/>
              <w:rPr>
                <w:rFonts w:ascii="Times New Roman" w:hAnsi="Times New Roman"/>
              </w:rPr>
            </w:pPr>
            <w:r w:rsidRPr="00E721BD">
              <w:rPr>
                <w:rFonts w:ascii="Times New Roman" w:hAnsi="Times New Roman"/>
                <w:b/>
              </w:rPr>
              <w:t>Целевой индикатор 1</w:t>
            </w:r>
          </w:p>
        </w:tc>
        <w:tc>
          <w:tcPr>
            <w:tcW w:w="1844" w:type="dxa"/>
          </w:tcPr>
          <w:p w:rsidR="002534C2" w:rsidRPr="00E721BD" w:rsidRDefault="002534C2" w:rsidP="006346A7">
            <w:pPr>
              <w:keepNext/>
              <w:keepLines/>
              <w:tabs>
                <w:tab w:val="left" w:pos="900"/>
                <w:tab w:val="left" w:pos="1080"/>
              </w:tabs>
              <w:contextualSpacing/>
              <w:jc w:val="both"/>
              <w:rPr>
                <w:rFonts w:ascii="Times New Roman" w:hAnsi="Times New Roman"/>
              </w:rPr>
            </w:pPr>
          </w:p>
        </w:tc>
        <w:tc>
          <w:tcPr>
            <w:tcW w:w="1478" w:type="dxa"/>
          </w:tcPr>
          <w:p w:rsidR="002534C2" w:rsidRPr="00E721BD" w:rsidRDefault="002534C2" w:rsidP="006346A7">
            <w:pPr>
              <w:keepNext/>
              <w:keepLines/>
              <w:tabs>
                <w:tab w:val="left" w:pos="900"/>
                <w:tab w:val="left" w:pos="1080"/>
              </w:tabs>
              <w:contextualSpacing/>
              <w:jc w:val="both"/>
              <w:rPr>
                <w:rFonts w:ascii="Times New Roman" w:hAnsi="Times New Roman"/>
              </w:rPr>
            </w:pPr>
          </w:p>
        </w:tc>
        <w:tc>
          <w:tcPr>
            <w:tcW w:w="850" w:type="dxa"/>
          </w:tcPr>
          <w:p w:rsidR="002534C2" w:rsidRPr="00E721BD" w:rsidRDefault="002534C2" w:rsidP="006346A7">
            <w:pPr>
              <w:keepNext/>
              <w:keepLines/>
              <w:tabs>
                <w:tab w:val="left" w:pos="900"/>
                <w:tab w:val="left" w:pos="1080"/>
              </w:tabs>
              <w:contextualSpacing/>
              <w:jc w:val="both"/>
              <w:rPr>
                <w:rFonts w:ascii="Times New Roman" w:hAnsi="Times New Roman"/>
              </w:rPr>
            </w:pPr>
          </w:p>
        </w:tc>
        <w:tc>
          <w:tcPr>
            <w:tcW w:w="1164" w:type="dxa"/>
          </w:tcPr>
          <w:p w:rsidR="002534C2" w:rsidRPr="00E721BD" w:rsidRDefault="002534C2" w:rsidP="006346A7">
            <w:pPr>
              <w:keepNext/>
              <w:keepLines/>
              <w:tabs>
                <w:tab w:val="left" w:pos="900"/>
                <w:tab w:val="left" w:pos="1080"/>
              </w:tabs>
              <w:contextualSpacing/>
              <w:jc w:val="both"/>
              <w:rPr>
                <w:rFonts w:ascii="Times New Roman" w:hAnsi="Times New Roman"/>
              </w:rPr>
            </w:pPr>
          </w:p>
        </w:tc>
        <w:tc>
          <w:tcPr>
            <w:tcW w:w="2021" w:type="dxa"/>
          </w:tcPr>
          <w:p w:rsidR="002534C2" w:rsidRPr="00E721BD" w:rsidRDefault="002534C2" w:rsidP="006346A7">
            <w:pPr>
              <w:contextualSpacing/>
              <w:jc w:val="both"/>
              <w:rPr>
                <w:rFonts w:ascii="Times New Roman" w:hAnsi="Times New Roman" w:cs="Times New Roman"/>
                <w:b/>
                <w:sz w:val="24"/>
                <w:szCs w:val="24"/>
              </w:rPr>
            </w:pPr>
          </w:p>
        </w:tc>
      </w:tr>
      <w:tr w:rsidR="002534C2" w:rsidRPr="00E721BD" w:rsidTr="00F17E4A">
        <w:tc>
          <w:tcPr>
            <w:tcW w:w="3064" w:type="dxa"/>
          </w:tcPr>
          <w:p w:rsidR="002534C2" w:rsidRPr="00E721BD" w:rsidRDefault="002534C2" w:rsidP="006346A7">
            <w:pPr>
              <w:contextualSpacing/>
              <w:jc w:val="both"/>
              <w:rPr>
                <w:rFonts w:ascii="Times New Roman" w:hAnsi="Times New Roman"/>
              </w:rPr>
            </w:pPr>
            <w:r w:rsidRPr="00E721BD">
              <w:rPr>
                <w:rFonts w:ascii="Times New Roman" w:hAnsi="Times New Roman"/>
                <w:iCs/>
              </w:rPr>
              <w:t>Надежность банков</w:t>
            </w:r>
          </w:p>
        </w:tc>
        <w:tc>
          <w:tcPr>
            <w:tcW w:w="1844" w:type="dxa"/>
          </w:tcPr>
          <w:p w:rsidR="002534C2" w:rsidRPr="00E721BD" w:rsidRDefault="002534C2" w:rsidP="006346A7">
            <w:pPr>
              <w:contextualSpacing/>
              <w:jc w:val="both"/>
              <w:rPr>
                <w:rFonts w:ascii="Times New Roman" w:hAnsi="Times New Roman"/>
              </w:rPr>
            </w:pPr>
            <w:r w:rsidRPr="00E721BD">
              <w:rPr>
                <w:rFonts w:ascii="Times New Roman" w:hAnsi="Times New Roman"/>
              </w:rPr>
              <w:t>Отчет ГИК ВЭФ</w:t>
            </w:r>
          </w:p>
        </w:tc>
        <w:tc>
          <w:tcPr>
            <w:tcW w:w="1478" w:type="dxa"/>
          </w:tcPr>
          <w:p w:rsidR="002534C2" w:rsidRPr="00E721BD" w:rsidRDefault="002534C2" w:rsidP="006346A7">
            <w:pPr>
              <w:keepNext/>
              <w:keepLines/>
              <w:tabs>
                <w:tab w:val="left" w:pos="900"/>
                <w:tab w:val="left" w:pos="1080"/>
              </w:tabs>
              <w:contextualSpacing/>
              <w:jc w:val="both"/>
              <w:rPr>
                <w:rFonts w:ascii="Times New Roman" w:hAnsi="Times New Roman"/>
              </w:rPr>
            </w:pPr>
            <w:r w:rsidRPr="00E721BD">
              <w:rPr>
                <w:rFonts w:ascii="Times New Roman" w:hAnsi="Times New Roman"/>
              </w:rPr>
              <w:t>Место в рейтинге ГИК ВЭФ</w:t>
            </w:r>
          </w:p>
        </w:tc>
        <w:tc>
          <w:tcPr>
            <w:tcW w:w="850" w:type="dxa"/>
          </w:tcPr>
          <w:p w:rsidR="002534C2" w:rsidRPr="00E721BD" w:rsidRDefault="002534C2" w:rsidP="00307FF5">
            <w:pPr>
              <w:keepNext/>
              <w:keepLines/>
              <w:tabs>
                <w:tab w:val="left" w:pos="900"/>
                <w:tab w:val="left" w:pos="1080"/>
              </w:tabs>
              <w:contextualSpacing/>
              <w:jc w:val="both"/>
              <w:rPr>
                <w:rFonts w:ascii="Times New Roman" w:hAnsi="Times New Roman"/>
              </w:rPr>
            </w:pPr>
            <w:r w:rsidRPr="00E721BD">
              <w:rPr>
                <w:rFonts w:ascii="Times New Roman" w:hAnsi="Times New Roman"/>
              </w:rPr>
              <w:t>10</w:t>
            </w:r>
            <w:r>
              <w:rPr>
                <w:rFonts w:ascii="Times New Roman" w:hAnsi="Times New Roman"/>
              </w:rPr>
              <w:t>1</w:t>
            </w:r>
          </w:p>
        </w:tc>
        <w:tc>
          <w:tcPr>
            <w:tcW w:w="1164" w:type="dxa"/>
          </w:tcPr>
          <w:p w:rsidR="002534C2" w:rsidRPr="00E721BD" w:rsidRDefault="00721550" w:rsidP="006346A7">
            <w:pPr>
              <w:keepNext/>
              <w:keepLines/>
              <w:tabs>
                <w:tab w:val="left" w:pos="900"/>
                <w:tab w:val="left" w:pos="1080"/>
              </w:tabs>
              <w:contextualSpacing/>
              <w:jc w:val="both"/>
              <w:rPr>
                <w:rFonts w:ascii="Times New Roman" w:hAnsi="Times New Roman"/>
              </w:rPr>
            </w:pPr>
            <w:r>
              <w:rPr>
                <w:rFonts w:ascii="Times New Roman" w:hAnsi="Times New Roman"/>
              </w:rPr>
              <w:t>120</w:t>
            </w:r>
          </w:p>
        </w:tc>
        <w:tc>
          <w:tcPr>
            <w:tcW w:w="2021" w:type="dxa"/>
          </w:tcPr>
          <w:p w:rsidR="002534C2" w:rsidRPr="00B45EFC" w:rsidRDefault="00721550" w:rsidP="006346A7">
            <w:pPr>
              <w:contextualSpacing/>
              <w:jc w:val="both"/>
              <w:rPr>
                <w:rFonts w:ascii="Times New Roman" w:hAnsi="Times New Roman" w:cs="Times New Roman"/>
                <w:sz w:val="24"/>
                <w:szCs w:val="24"/>
              </w:rPr>
            </w:pPr>
            <w:r>
              <w:rPr>
                <w:rFonts w:ascii="Times New Roman" w:hAnsi="Times New Roman" w:cs="Times New Roman"/>
                <w:szCs w:val="24"/>
              </w:rPr>
              <w:t>См. аналитическую записку</w:t>
            </w:r>
          </w:p>
        </w:tc>
      </w:tr>
      <w:tr w:rsidR="002534C2" w:rsidRPr="00E721BD" w:rsidTr="00F17E4A">
        <w:tc>
          <w:tcPr>
            <w:tcW w:w="3064" w:type="dxa"/>
          </w:tcPr>
          <w:p w:rsidR="002534C2" w:rsidRPr="00E721BD" w:rsidRDefault="002534C2" w:rsidP="006346A7">
            <w:pPr>
              <w:contextualSpacing/>
              <w:jc w:val="both"/>
              <w:rPr>
                <w:rFonts w:ascii="Times New Roman" w:hAnsi="Times New Roman"/>
                <w:iCs/>
              </w:rPr>
            </w:pPr>
            <w:r w:rsidRPr="00E721BD">
              <w:rPr>
                <w:rFonts w:ascii="Times New Roman" w:hAnsi="Times New Roman"/>
                <w:b/>
              </w:rPr>
              <w:t>Целевой индикатор 2</w:t>
            </w:r>
          </w:p>
        </w:tc>
        <w:tc>
          <w:tcPr>
            <w:tcW w:w="1844" w:type="dxa"/>
          </w:tcPr>
          <w:p w:rsidR="002534C2" w:rsidRPr="00E721BD" w:rsidRDefault="002534C2" w:rsidP="006346A7">
            <w:pPr>
              <w:contextualSpacing/>
              <w:jc w:val="both"/>
              <w:rPr>
                <w:rFonts w:ascii="Times New Roman" w:hAnsi="Times New Roman"/>
              </w:rPr>
            </w:pPr>
          </w:p>
        </w:tc>
        <w:tc>
          <w:tcPr>
            <w:tcW w:w="1478" w:type="dxa"/>
          </w:tcPr>
          <w:p w:rsidR="002534C2" w:rsidRPr="00E721BD" w:rsidRDefault="002534C2" w:rsidP="006346A7">
            <w:pPr>
              <w:keepNext/>
              <w:keepLines/>
              <w:tabs>
                <w:tab w:val="left" w:pos="900"/>
                <w:tab w:val="left" w:pos="1080"/>
              </w:tabs>
              <w:contextualSpacing/>
              <w:jc w:val="both"/>
              <w:rPr>
                <w:rFonts w:ascii="Times New Roman" w:hAnsi="Times New Roman"/>
              </w:rPr>
            </w:pPr>
          </w:p>
        </w:tc>
        <w:tc>
          <w:tcPr>
            <w:tcW w:w="850" w:type="dxa"/>
          </w:tcPr>
          <w:p w:rsidR="002534C2" w:rsidRPr="00E721BD" w:rsidRDefault="002534C2" w:rsidP="00307FF5">
            <w:pPr>
              <w:keepNext/>
              <w:keepLines/>
              <w:tabs>
                <w:tab w:val="left" w:pos="900"/>
                <w:tab w:val="left" w:pos="1080"/>
              </w:tabs>
              <w:contextualSpacing/>
              <w:jc w:val="both"/>
              <w:rPr>
                <w:rFonts w:ascii="Times New Roman" w:hAnsi="Times New Roman"/>
              </w:rPr>
            </w:pPr>
          </w:p>
        </w:tc>
        <w:tc>
          <w:tcPr>
            <w:tcW w:w="1164" w:type="dxa"/>
          </w:tcPr>
          <w:p w:rsidR="002534C2" w:rsidRPr="00E721BD" w:rsidRDefault="002534C2" w:rsidP="006346A7">
            <w:pPr>
              <w:keepNext/>
              <w:keepLines/>
              <w:tabs>
                <w:tab w:val="left" w:pos="900"/>
                <w:tab w:val="left" w:pos="1080"/>
              </w:tabs>
              <w:contextualSpacing/>
              <w:jc w:val="both"/>
              <w:rPr>
                <w:rFonts w:ascii="Times New Roman" w:hAnsi="Times New Roman"/>
              </w:rPr>
            </w:pPr>
          </w:p>
        </w:tc>
        <w:tc>
          <w:tcPr>
            <w:tcW w:w="2021" w:type="dxa"/>
          </w:tcPr>
          <w:p w:rsidR="002534C2" w:rsidRPr="00E721BD" w:rsidRDefault="002534C2" w:rsidP="006346A7">
            <w:pPr>
              <w:contextualSpacing/>
              <w:jc w:val="both"/>
              <w:rPr>
                <w:rFonts w:ascii="Times New Roman" w:hAnsi="Times New Roman" w:cs="Times New Roman"/>
                <w:b/>
                <w:sz w:val="24"/>
                <w:szCs w:val="24"/>
              </w:rPr>
            </w:pPr>
          </w:p>
        </w:tc>
      </w:tr>
      <w:tr w:rsidR="002534C2" w:rsidRPr="00E721BD" w:rsidTr="00F17E4A">
        <w:tc>
          <w:tcPr>
            <w:tcW w:w="3064" w:type="dxa"/>
          </w:tcPr>
          <w:p w:rsidR="002534C2" w:rsidRPr="005A4D07" w:rsidRDefault="002534C2" w:rsidP="00A33068">
            <w:pPr>
              <w:contextualSpacing/>
              <w:jc w:val="both"/>
              <w:rPr>
                <w:rFonts w:ascii="Times New Roman" w:hAnsi="Times New Roman"/>
                <w:iCs/>
              </w:rPr>
            </w:pPr>
            <w:r w:rsidRPr="005A4D07">
              <w:rPr>
                <w:rFonts w:ascii="Times New Roman" w:hAnsi="Times New Roman"/>
                <w:iCs/>
              </w:rPr>
              <w:t>Объем ссудного портфеля</w:t>
            </w:r>
          </w:p>
        </w:tc>
        <w:tc>
          <w:tcPr>
            <w:tcW w:w="1844" w:type="dxa"/>
          </w:tcPr>
          <w:p w:rsidR="002534C2" w:rsidRPr="005A4D07" w:rsidRDefault="002534C2" w:rsidP="006346A7">
            <w:pPr>
              <w:contextualSpacing/>
              <w:jc w:val="both"/>
              <w:rPr>
                <w:rFonts w:ascii="Times New Roman" w:hAnsi="Times New Roman"/>
              </w:rPr>
            </w:pPr>
            <w:r w:rsidRPr="005A4D07">
              <w:rPr>
                <w:rFonts w:ascii="Times New Roman" w:hAnsi="Times New Roman"/>
              </w:rPr>
              <w:t>НБРК</w:t>
            </w:r>
          </w:p>
        </w:tc>
        <w:tc>
          <w:tcPr>
            <w:tcW w:w="1478" w:type="dxa"/>
          </w:tcPr>
          <w:p w:rsidR="002534C2" w:rsidRPr="005A4D07" w:rsidRDefault="002534C2" w:rsidP="006346A7">
            <w:pPr>
              <w:keepNext/>
              <w:keepLines/>
              <w:tabs>
                <w:tab w:val="left" w:pos="900"/>
                <w:tab w:val="left" w:pos="1080"/>
              </w:tabs>
              <w:contextualSpacing/>
              <w:jc w:val="both"/>
              <w:rPr>
                <w:rFonts w:ascii="Times New Roman" w:hAnsi="Times New Roman"/>
              </w:rPr>
            </w:pPr>
            <w:r w:rsidRPr="005A4D07">
              <w:rPr>
                <w:rFonts w:ascii="Times New Roman" w:hAnsi="Times New Roman"/>
              </w:rPr>
              <w:t>% от ВВП</w:t>
            </w:r>
          </w:p>
        </w:tc>
        <w:tc>
          <w:tcPr>
            <w:tcW w:w="850" w:type="dxa"/>
          </w:tcPr>
          <w:p w:rsidR="002534C2" w:rsidRPr="005A4D07" w:rsidRDefault="002534C2" w:rsidP="00A33068">
            <w:pPr>
              <w:keepNext/>
              <w:keepLines/>
              <w:tabs>
                <w:tab w:val="left" w:pos="900"/>
                <w:tab w:val="left" w:pos="1080"/>
              </w:tabs>
              <w:contextualSpacing/>
              <w:jc w:val="both"/>
              <w:rPr>
                <w:rFonts w:ascii="Times New Roman" w:hAnsi="Times New Roman"/>
              </w:rPr>
            </w:pPr>
            <w:r w:rsidRPr="005A4D07">
              <w:rPr>
                <w:rFonts w:ascii="Times New Roman" w:hAnsi="Times New Roman"/>
              </w:rPr>
              <w:t>27</w:t>
            </w:r>
          </w:p>
        </w:tc>
        <w:tc>
          <w:tcPr>
            <w:tcW w:w="1164" w:type="dxa"/>
          </w:tcPr>
          <w:p w:rsidR="002534C2" w:rsidRPr="00E721BD" w:rsidRDefault="005A4D07" w:rsidP="006346A7">
            <w:pPr>
              <w:keepNext/>
              <w:keepLines/>
              <w:tabs>
                <w:tab w:val="left" w:pos="900"/>
                <w:tab w:val="left" w:pos="1080"/>
              </w:tabs>
              <w:contextualSpacing/>
              <w:jc w:val="both"/>
              <w:rPr>
                <w:rFonts w:ascii="Times New Roman" w:hAnsi="Times New Roman"/>
              </w:rPr>
            </w:pPr>
            <w:r>
              <w:rPr>
                <w:rFonts w:ascii="Times New Roman" w:hAnsi="Times New Roman"/>
              </w:rPr>
              <w:t>33,2</w:t>
            </w:r>
          </w:p>
        </w:tc>
        <w:tc>
          <w:tcPr>
            <w:tcW w:w="2021" w:type="dxa"/>
          </w:tcPr>
          <w:p w:rsidR="002534C2" w:rsidRPr="00CA4A4B" w:rsidRDefault="002534C2" w:rsidP="006346A7">
            <w:pPr>
              <w:contextualSpacing/>
              <w:jc w:val="both"/>
              <w:rPr>
                <w:rFonts w:ascii="Times New Roman" w:hAnsi="Times New Roman" w:cs="Times New Roman"/>
                <w:sz w:val="24"/>
                <w:szCs w:val="24"/>
              </w:rPr>
            </w:pPr>
          </w:p>
        </w:tc>
      </w:tr>
      <w:tr w:rsidR="002534C2" w:rsidRPr="00E721BD" w:rsidTr="00F17E4A">
        <w:tc>
          <w:tcPr>
            <w:tcW w:w="3064" w:type="dxa"/>
          </w:tcPr>
          <w:p w:rsidR="002534C2" w:rsidRDefault="002534C2" w:rsidP="006346A7">
            <w:pPr>
              <w:contextualSpacing/>
              <w:jc w:val="both"/>
              <w:rPr>
                <w:rFonts w:ascii="Times New Roman" w:hAnsi="Times New Roman"/>
                <w:iCs/>
              </w:rPr>
            </w:pPr>
            <w:r>
              <w:rPr>
                <w:rFonts w:ascii="Times New Roman" w:hAnsi="Times New Roman"/>
                <w:b/>
              </w:rPr>
              <w:t>Целевой индикатор 3</w:t>
            </w:r>
          </w:p>
        </w:tc>
        <w:tc>
          <w:tcPr>
            <w:tcW w:w="1844" w:type="dxa"/>
          </w:tcPr>
          <w:p w:rsidR="002534C2" w:rsidRDefault="002534C2" w:rsidP="006346A7">
            <w:pPr>
              <w:contextualSpacing/>
              <w:jc w:val="both"/>
              <w:rPr>
                <w:rFonts w:ascii="Times New Roman" w:hAnsi="Times New Roman"/>
              </w:rPr>
            </w:pPr>
          </w:p>
        </w:tc>
        <w:tc>
          <w:tcPr>
            <w:tcW w:w="1478" w:type="dxa"/>
          </w:tcPr>
          <w:p w:rsidR="002534C2" w:rsidRDefault="002534C2" w:rsidP="006346A7">
            <w:pPr>
              <w:keepNext/>
              <w:keepLines/>
              <w:tabs>
                <w:tab w:val="left" w:pos="900"/>
                <w:tab w:val="left" w:pos="1080"/>
              </w:tabs>
              <w:contextualSpacing/>
              <w:jc w:val="both"/>
              <w:rPr>
                <w:rFonts w:ascii="Times New Roman" w:hAnsi="Times New Roman"/>
              </w:rPr>
            </w:pPr>
          </w:p>
        </w:tc>
        <w:tc>
          <w:tcPr>
            <w:tcW w:w="850" w:type="dxa"/>
          </w:tcPr>
          <w:p w:rsidR="002534C2" w:rsidRDefault="002534C2" w:rsidP="00307FF5">
            <w:pPr>
              <w:keepNext/>
              <w:keepLines/>
              <w:tabs>
                <w:tab w:val="left" w:pos="900"/>
                <w:tab w:val="left" w:pos="1080"/>
              </w:tabs>
              <w:contextualSpacing/>
              <w:jc w:val="both"/>
              <w:rPr>
                <w:rFonts w:ascii="Times New Roman" w:hAnsi="Times New Roman"/>
              </w:rPr>
            </w:pPr>
          </w:p>
        </w:tc>
        <w:tc>
          <w:tcPr>
            <w:tcW w:w="1164" w:type="dxa"/>
          </w:tcPr>
          <w:p w:rsidR="002534C2" w:rsidRPr="00E721BD" w:rsidRDefault="002534C2" w:rsidP="006346A7">
            <w:pPr>
              <w:keepNext/>
              <w:keepLines/>
              <w:tabs>
                <w:tab w:val="left" w:pos="900"/>
                <w:tab w:val="left" w:pos="1080"/>
              </w:tabs>
              <w:contextualSpacing/>
              <w:jc w:val="both"/>
              <w:rPr>
                <w:rFonts w:ascii="Times New Roman" w:hAnsi="Times New Roman"/>
              </w:rPr>
            </w:pPr>
          </w:p>
        </w:tc>
        <w:tc>
          <w:tcPr>
            <w:tcW w:w="2021" w:type="dxa"/>
          </w:tcPr>
          <w:p w:rsidR="002534C2" w:rsidRPr="00E721BD" w:rsidRDefault="002534C2" w:rsidP="006346A7">
            <w:pPr>
              <w:contextualSpacing/>
              <w:jc w:val="both"/>
              <w:rPr>
                <w:rFonts w:ascii="Times New Roman" w:hAnsi="Times New Roman" w:cs="Times New Roman"/>
                <w:b/>
                <w:sz w:val="24"/>
                <w:szCs w:val="24"/>
              </w:rPr>
            </w:pPr>
          </w:p>
        </w:tc>
      </w:tr>
      <w:tr w:rsidR="002534C2" w:rsidRPr="00E721BD" w:rsidTr="00F17E4A">
        <w:tc>
          <w:tcPr>
            <w:tcW w:w="3064" w:type="dxa"/>
          </w:tcPr>
          <w:p w:rsidR="002534C2" w:rsidRDefault="002534C2" w:rsidP="006346A7">
            <w:pPr>
              <w:contextualSpacing/>
              <w:jc w:val="both"/>
              <w:rPr>
                <w:rFonts w:ascii="Times New Roman" w:hAnsi="Times New Roman"/>
                <w:iCs/>
              </w:rPr>
            </w:pPr>
            <w:r>
              <w:rPr>
                <w:rFonts w:ascii="Times New Roman" w:hAnsi="Times New Roman"/>
                <w:iCs/>
              </w:rPr>
              <w:t>Доля неработающих займов в ссудном портфеле банков</w:t>
            </w:r>
          </w:p>
        </w:tc>
        <w:tc>
          <w:tcPr>
            <w:tcW w:w="1844" w:type="dxa"/>
          </w:tcPr>
          <w:p w:rsidR="002534C2" w:rsidRDefault="002534C2" w:rsidP="006346A7">
            <w:pPr>
              <w:contextualSpacing/>
              <w:jc w:val="both"/>
              <w:rPr>
                <w:rFonts w:ascii="Times New Roman" w:hAnsi="Times New Roman"/>
              </w:rPr>
            </w:pPr>
            <w:r>
              <w:rPr>
                <w:rFonts w:ascii="Times New Roman" w:hAnsi="Times New Roman"/>
              </w:rPr>
              <w:t>НБРК</w:t>
            </w:r>
          </w:p>
        </w:tc>
        <w:tc>
          <w:tcPr>
            <w:tcW w:w="1478" w:type="dxa"/>
          </w:tcPr>
          <w:p w:rsidR="002534C2" w:rsidRDefault="002534C2" w:rsidP="006346A7">
            <w:pPr>
              <w:keepNext/>
              <w:keepLines/>
              <w:tabs>
                <w:tab w:val="left" w:pos="900"/>
                <w:tab w:val="left" w:pos="1080"/>
              </w:tabs>
              <w:contextualSpacing/>
              <w:jc w:val="both"/>
              <w:rPr>
                <w:rFonts w:ascii="Times New Roman" w:hAnsi="Times New Roman"/>
              </w:rPr>
            </w:pPr>
            <w:r>
              <w:rPr>
                <w:rFonts w:ascii="Times New Roman" w:hAnsi="Times New Roman"/>
              </w:rPr>
              <w:t>%</w:t>
            </w:r>
          </w:p>
        </w:tc>
        <w:tc>
          <w:tcPr>
            <w:tcW w:w="850" w:type="dxa"/>
          </w:tcPr>
          <w:p w:rsidR="002534C2" w:rsidRDefault="002534C2" w:rsidP="00307FF5">
            <w:pPr>
              <w:keepNext/>
              <w:keepLines/>
              <w:tabs>
                <w:tab w:val="left" w:pos="900"/>
                <w:tab w:val="left" w:pos="1080"/>
              </w:tabs>
              <w:contextualSpacing/>
              <w:jc w:val="both"/>
              <w:rPr>
                <w:rFonts w:ascii="Times New Roman" w:hAnsi="Times New Roman"/>
              </w:rPr>
            </w:pPr>
            <w:r>
              <w:rPr>
                <w:rFonts w:ascii="Times New Roman" w:hAnsi="Times New Roman"/>
              </w:rPr>
              <w:t>10</w:t>
            </w:r>
          </w:p>
        </w:tc>
        <w:tc>
          <w:tcPr>
            <w:tcW w:w="1164" w:type="dxa"/>
          </w:tcPr>
          <w:p w:rsidR="000C2504" w:rsidRPr="00775D2A" w:rsidRDefault="000C2504" w:rsidP="000C2504">
            <w:pPr>
              <w:keepNext/>
              <w:keepLines/>
              <w:tabs>
                <w:tab w:val="left" w:pos="900"/>
                <w:tab w:val="left" w:pos="1080"/>
              </w:tabs>
              <w:contextualSpacing/>
              <w:jc w:val="both"/>
              <w:rPr>
                <w:rFonts w:ascii="Times New Roman" w:hAnsi="Times New Roman"/>
              </w:rPr>
            </w:pPr>
            <w:r w:rsidRPr="00775D2A">
              <w:rPr>
                <w:rFonts w:ascii="Times New Roman" w:hAnsi="Times New Roman"/>
              </w:rPr>
              <w:t>7,</w:t>
            </w:r>
            <w:r w:rsidR="00775D2A" w:rsidRPr="00775D2A">
              <w:rPr>
                <w:rFonts w:ascii="Times New Roman" w:hAnsi="Times New Roman"/>
              </w:rPr>
              <w:t>4</w:t>
            </w:r>
          </w:p>
          <w:p w:rsidR="002534C2" w:rsidRPr="00775D2A" w:rsidRDefault="002534C2" w:rsidP="006346A7">
            <w:pPr>
              <w:keepNext/>
              <w:keepLines/>
              <w:tabs>
                <w:tab w:val="left" w:pos="900"/>
                <w:tab w:val="left" w:pos="1080"/>
              </w:tabs>
              <w:contextualSpacing/>
              <w:jc w:val="both"/>
              <w:rPr>
                <w:rFonts w:ascii="Times New Roman" w:hAnsi="Times New Roman"/>
              </w:rPr>
            </w:pPr>
          </w:p>
        </w:tc>
        <w:tc>
          <w:tcPr>
            <w:tcW w:w="2021" w:type="dxa"/>
          </w:tcPr>
          <w:p w:rsidR="002534C2" w:rsidRPr="00E721BD" w:rsidRDefault="002534C2" w:rsidP="006346A7">
            <w:pPr>
              <w:contextualSpacing/>
              <w:jc w:val="both"/>
              <w:rPr>
                <w:rFonts w:ascii="Times New Roman" w:hAnsi="Times New Roman" w:cs="Times New Roman"/>
                <w:b/>
                <w:sz w:val="24"/>
                <w:szCs w:val="24"/>
              </w:rPr>
            </w:pPr>
          </w:p>
        </w:tc>
      </w:tr>
      <w:tr w:rsidR="002534C2" w:rsidRPr="00E721BD" w:rsidTr="00F17E4A">
        <w:tc>
          <w:tcPr>
            <w:tcW w:w="3064" w:type="dxa"/>
          </w:tcPr>
          <w:p w:rsidR="002534C2" w:rsidRPr="00E721BD" w:rsidRDefault="002534C2" w:rsidP="006346A7">
            <w:pPr>
              <w:contextualSpacing/>
              <w:jc w:val="both"/>
              <w:rPr>
                <w:rFonts w:ascii="Times New Roman" w:hAnsi="Times New Roman"/>
                <w:iCs/>
              </w:rPr>
            </w:pPr>
            <w:r>
              <w:rPr>
                <w:rFonts w:ascii="Times New Roman" w:hAnsi="Times New Roman"/>
                <w:b/>
              </w:rPr>
              <w:t>Целевой индикатор 4</w:t>
            </w:r>
          </w:p>
        </w:tc>
        <w:tc>
          <w:tcPr>
            <w:tcW w:w="1844" w:type="dxa"/>
          </w:tcPr>
          <w:p w:rsidR="002534C2" w:rsidRPr="00E721BD" w:rsidRDefault="002534C2" w:rsidP="006346A7">
            <w:pPr>
              <w:contextualSpacing/>
              <w:jc w:val="both"/>
              <w:rPr>
                <w:rFonts w:ascii="Times New Roman" w:hAnsi="Times New Roman"/>
              </w:rPr>
            </w:pPr>
          </w:p>
        </w:tc>
        <w:tc>
          <w:tcPr>
            <w:tcW w:w="1478" w:type="dxa"/>
          </w:tcPr>
          <w:p w:rsidR="002534C2" w:rsidRPr="00E721BD" w:rsidRDefault="002534C2" w:rsidP="006346A7">
            <w:pPr>
              <w:keepNext/>
              <w:keepLines/>
              <w:tabs>
                <w:tab w:val="left" w:pos="900"/>
                <w:tab w:val="left" w:pos="1080"/>
              </w:tabs>
              <w:contextualSpacing/>
              <w:jc w:val="both"/>
              <w:rPr>
                <w:rFonts w:ascii="Times New Roman" w:hAnsi="Times New Roman"/>
              </w:rPr>
            </w:pPr>
          </w:p>
        </w:tc>
        <w:tc>
          <w:tcPr>
            <w:tcW w:w="850" w:type="dxa"/>
          </w:tcPr>
          <w:p w:rsidR="002534C2" w:rsidRPr="00E721BD" w:rsidRDefault="002534C2" w:rsidP="006346A7">
            <w:pPr>
              <w:keepNext/>
              <w:keepLines/>
              <w:tabs>
                <w:tab w:val="left" w:pos="900"/>
                <w:tab w:val="left" w:pos="1080"/>
              </w:tabs>
              <w:contextualSpacing/>
              <w:jc w:val="both"/>
              <w:rPr>
                <w:rFonts w:ascii="Times New Roman" w:hAnsi="Times New Roman"/>
              </w:rPr>
            </w:pPr>
          </w:p>
        </w:tc>
        <w:tc>
          <w:tcPr>
            <w:tcW w:w="1164" w:type="dxa"/>
          </w:tcPr>
          <w:p w:rsidR="002534C2" w:rsidRPr="00E721BD" w:rsidRDefault="002534C2" w:rsidP="006346A7">
            <w:pPr>
              <w:keepNext/>
              <w:keepLines/>
              <w:tabs>
                <w:tab w:val="left" w:pos="900"/>
                <w:tab w:val="left" w:pos="1080"/>
              </w:tabs>
              <w:contextualSpacing/>
              <w:jc w:val="both"/>
              <w:rPr>
                <w:rFonts w:ascii="Times New Roman" w:hAnsi="Times New Roman"/>
              </w:rPr>
            </w:pPr>
          </w:p>
        </w:tc>
        <w:tc>
          <w:tcPr>
            <w:tcW w:w="2021" w:type="dxa"/>
          </w:tcPr>
          <w:p w:rsidR="002534C2" w:rsidRPr="00E721BD" w:rsidRDefault="002534C2" w:rsidP="006346A7">
            <w:pPr>
              <w:contextualSpacing/>
              <w:jc w:val="both"/>
              <w:rPr>
                <w:rFonts w:ascii="Times New Roman" w:hAnsi="Times New Roman"/>
                <w:sz w:val="18"/>
                <w:szCs w:val="18"/>
              </w:rPr>
            </w:pPr>
          </w:p>
        </w:tc>
      </w:tr>
      <w:tr w:rsidR="002534C2" w:rsidRPr="00E721BD" w:rsidTr="00F17E4A">
        <w:tc>
          <w:tcPr>
            <w:tcW w:w="3064" w:type="dxa"/>
          </w:tcPr>
          <w:p w:rsidR="002534C2" w:rsidRPr="00E721BD" w:rsidRDefault="002534C2" w:rsidP="006346A7">
            <w:pPr>
              <w:contextualSpacing/>
              <w:jc w:val="both"/>
              <w:rPr>
                <w:rFonts w:ascii="Times New Roman" w:hAnsi="Times New Roman"/>
              </w:rPr>
            </w:pPr>
            <w:r w:rsidRPr="00E721BD">
              <w:rPr>
                <w:rFonts w:ascii="Times New Roman" w:hAnsi="Times New Roman"/>
              </w:rPr>
              <w:t>Доступность финансовых услуг</w:t>
            </w:r>
          </w:p>
        </w:tc>
        <w:tc>
          <w:tcPr>
            <w:tcW w:w="1844" w:type="dxa"/>
          </w:tcPr>
          <w:p w:rsidR="002534C2" w:rsidRPr="00E721BD" w:rsidRDefault="002534C2" w:rsidP="006346A7">
            <w:pPr>
              <w:contextualSpacing/>
              <w:jc w:val="both"/>
              <w:rPr>
                <w:rFonts w:ascii="Times New Roman" w:hAnsi="Times New Roman"/>
              </w:rPr>
            </w:pPr>
            <w:r w:rsidRPr="00E721BD">
              <w:rPr>
                <w:rFonts w:ascii="Times New Roman" w:hAnsi="Times New Roman"/>
              </w:rPr>
              <w:t>Отчет ГИК ВЭФ</w:t>
            </w:r>
          </w:p>
        </w:tc>
        <w:tc>
          <w:tcPr>
            <w:tcW w:w="1478" w:type="dxa"/>
          </w:tcPr>
          <w:p w:rsidR="002534C2" w:rsidRPr="00E721BD" w:rsidRDefault="002534C2" w:rsidP="006346A7">
            <w:pPr>
              <w:keepNext/>
              <w:keepLines/>
              <w:tabs>
                <w:tab w:val="left" w:pos="900"/>
                <w:tab w:val="left" w:pos="1080"/>
              </w:tabs>
              <w:contextualSpacing/>
              <w:jc w:val="both"/>
              <w:rPr>
                <w:rFonts w:ascii="Times New Roman" w:hAnsi="Times New Roman"/>
              </w:rPr>
            </w:pPr>
            <w:r w:rsidRPr="00E721BD">
              <w:rPr>
                <w:rFonts w:ascii="Times New Roman" w:hAnsi="Times New Roman"/>
              </w:rPr>
              <w:t>Место в рейтинге ГИК ВЭФ</w:t>
            </w:r>
          </w:p>
        </w:tc>
        <w:tc>
          <w:tcPr>
            <w:tcW w:w="850" w:type="dxa"/>
          </w:tcPr>
          <w:p w:rsidR="002534C2" w:rsidRPr="00E721BD" w:rsidRDefault="002534C2" w:rsidP="00A33068">
            <w:pPr>
              <w:contextualSpacing/>
              <w:jc w:val="both"/>
              <w:rPr>
                <w:rFonts w:ascii="Times New Roman" w:hAnsi="Times New Roman"/>
              </w:rPr>
            </w:pPr>
            <w:r>
              <w:rPr>
                <w:rFonts w:ascii="Times New Roman" w:hAnsi="Times New Roman"/>
              </w:rPr>
              <w:t>63</w:t>
            </w:r>
          </w:p>
        </w:tc>
        <w:tc>
          <w:tcPr>
            <w:tcW w:w="1164" w:type="dxa"/>
          </w:tcPr>
          <w:p w:rsidR="002534C2" w:rsidRPr="00E721BD" w:rsidRDefault="00E120B8" w:rsidP="006346A7">
            <w:pPr>
              <w:contextualSpacing/>
              <w:jc w:val="both"/>
              <w:rPr>
                <w:rFonts w:ascii="Times New Roman" w:hAnsi="Times New Roman"/>
              </w:rPr>
            </w:pPr>
            <w:r>
              <w:rPr>
                <w:rFonts w:ascii="Times New Roman" w:hAnsi="Times New Roman"/>
              </w:rPr>
              <w:t>-</w:t>
            </w:r>
          </w:p>
        </w:tc>
        <w:tc>
          <w:tcPr>
            <w:tcW w:w="2021" w:type="dxa"/>
          </w:tcPr>
          <w:p w:rsidR="002534C2" w:rsidRPr="00E721BD" w:rsidRDefault="00E120B8" w:rsidP="006346A7">
            <w:pPr>
              <w:contextualSpacing/>
              <w:jc w:val="both"/>
              <w:rPr>
                <w:rFonts w:ascii="Times New Roman" w:hAnsi="Times New Roman"/>
              </w:rPr>
            </w:pPr>
            <w:r>
              <w:rPr>
                <w:rFonts w:ascii="Times New Roman" w:hAnsi="Times New Roman" w:cs="Times New Roman"/>
                <w:szCs w:val="24"/>
              </w:rPr>
              <w:t>См. аналитическую записку</w:t>
            </w:r>
          </w:p>
        </w:tc>
      </w:tr>
      <w:tr w:rsidR="002534C2" w:rsidRPr="00E721BD" w:rsidTr="00F17E4A">
        <w:tc>
          <w:tcPr>
            <w:tcW w:w="3064" w:type="dxa"/>
          </w:tcPr>
          <w:p w:rsidR="002534C2" w:rsidRPr="00E721BD" w:rsidRDefault="002534C2" w:rsidP="00A33068">
            <w:pPr>
              <w:contextualSpacing/>
              <w:jc w:val="both"/>
              <w:rPr>
                <w:rFonts w:ascii="Times New Roman" w:hAnsi="Times New Roman"/>
              </w:rPr>
            </w:pPr>
            <w:r>
              <w:rPr>
                <w:rFonts w:ascii="Times New Roman" w:hAnsi="Times New Roman"/>
                <w:b/>
              </w:rPr>
              <w:t>Целевой индикатор 5</w:t>
            </w:r>
          </w:p>
        </w:tc>
        <w:tc>
          <w:tcPr>
            <w:tcW w:w="1844" w:type="dxa"/>
          </w:tcPr>
          <w:p w:rsidR="002534C2" w:rsidRPr="00E721BD" w:rsidRDefault="002534C2" w:rsidP="006346A7">
            <w:pPr>
              <w:contextualSpacing/>
              <w:jc w:val="both"/>
              <w:rPr>
                <w:rFonts w:ascii="Times New Roman" w:hAnsi="Times New Roman"/>
              </w:rPr>
            </w:pPr>
          </w:p>
        </w:tc>
        <w:tc>
          <w:tcPr>
            <w:tcW w:w="1478" w:type="dxa"/>
          </w:tcPr>
          <w:p w:rsidR="002534C2" w:rsidRPr="00E721BD" w:rsidRDefault="002534C2" w:rsidP="006346A7">
            <w:pPr>
              <w:contextualSpacing/>
              <w:jc w:val="both"/>
              <w:rPr>
                <w:rFonts w:ascii="Times New Roman" w:hAnsi="Times New Roman"/>
              </w:rPr>
            </w:pPr>
          </w:p>
        </w:tc>
        <w:tc>
          <w:tcPr>
            <w:tcW w:w="850" w:type="dxa"/>
          </w:tcPr>
          <w:p w:rsidR="002534C2" w:rsidRPr="00E721BD" w:rsidRDefault="002534C2" w:rsidP="006346A7">
            <w:pPr>
              <w:contextualSpacing/>
              <w:jc w:val="both"/>
              <w:rPr>
                <w:rFonts w:ascii="Times New Roman" w:hAnsi="Times New Roman"/>
              </w:rPr>
            </w:pPr>
          </w:p>
        </w:tc>
        <w:tc>
          <w:tcPr>
            <w:tcW w:w="1164" w:type="dxa"/>
          </w:tcPr>
          <w:p w:rsidR="002534C2" w:rsidRPr="00E721BD" w:rsidRDefault="002534C2" w:rsidP="006346A7">
            <w:pPr>
              <w:contextualSpacing/>
              <w:jc w:val="both"/>
              <w:rPr>
                <w:rFonts w:ascii="Times New Roman" w:hAnsi="Times New Roman"/>
              </w:rPr>
            </w:pPr>
          </w:p>
        </w:tc>
        <w:tc>
          <w:tcPr>
            <w:tcW w:w="2021" w:type="dxa"/>
          </w:tcPr>
          <w:p w:rsidR="002534C2" w:rsidRPr="00E721BD" w:rsidRDefault="002534C2" w:rsidP="006346A7">
            <w:pPr>
              <w:contextualSpacing/>
              <w:jc w:val="both"/>
              <w:rPr>
                <w:rFonts w:ascii="Times New Roman" w:hAnsi="Times New Roman"/>
              </w:rPr>
            </w:pPr>
          </w:p>
        </w:tc>
      </w:tr>
      <w:tr w:rsidR="002534C2" w:rsidRPr="00E721BD" w:rsidTr="00F17E4A">
        <w:tc>
          <w:tcPr>
            <w:tcW w:w="3064" w:type="dxa"/>
          </w:tcPr>
          <w:p w:rsidR="002534C2" w:rsidRPr="00E721BD" w:rsidRDefault="002534C2" w:rsidP="006346A7">
            <w:pPr>
              <w:contextualSpacing/>
              <w:jc w:val="both"/>
              <w:rPr>
                <w:rFonts w:ascii="Times New Roman" w:hAnsi="Times New Roman"/>
              </w:rPr>
            </w:pPr>
            <w:r w:rsidRPr="00E721BD">
              <w:rPr>
                <w:rFonts w:ascii="Times New Roman" w:hAnsi="Times New Roman"/>
              </w:rPr>
              <w:t>Стоимость финансовых услуг</w:t>
            </w:r>
          </w:p>
        </w:tc>
        <w:tc>
          <w:tcPr>
            <w:tcW w:w="1844" w:type="dxa"/>
          </w:tcPr>
          <w:p w:rsidR="002534C2" w:rsidRPr="00E721BD" w:rsidRDefault="002534C2" w:rsidP="006346A7">
            <w:pPr>
              <w:contextualSpacing/>
              <w:jc w:val="both"/>
              <w:rPr>
                <w:rFonts w:ascii="Times New Roman" w:hAnsi="Times New Roman"/>
              </w:rPr>
            </w:pPr>
            <w:r w:rsidRPr="00E721BD">
              <w:rPr>
                <w:rFonts w:ascii="Times New Roman" w:hAnsi="Times New Roman"/>
              </w:rPr>
              <w:t>Отчет ГИК ВЭФ</w:t>
            </w:r>
          </w:p>
        </w:tc>
        <w:tc>
          <w:tcPr>
            <w:tcW w:w="1478" w:type="dxa"/>
          </w:tcPr>
          <w:p w:rsidR="002534C2" w:rsidRPr="00E721BD" w:rsidRDefault="002534C2" w:rsidP="006346A7">
            <w:pPr>
              <w:keepNext/>
              <w:keepLines/>
              <w:tabs>
                <w:tab w:val="left" w:pos="900"/>
                <w:tab w:val="left" w:pos="1080"/>
              </w:tabs>
              <w:contextualSpacing/>
              <w:jc w:val="both"/>
              <w:rPr>
                <w:rFonts w:ascii="Times New Roman" w:hAnsi="Times New Roman"/>
              </w:rPr>
            </w:pPr>
            <w:r w:rsidRPr="00E721BD">
              <w:rPr>
                <w:rFonts w:ascii="Times New Roman" w:hAnsi="Times New Roman"/>
              </w:rPr>
              <w:t>Место в рейтинге ГИК ВЭФ</w:t>
            </w:r>
          </w:p>
        </w:tc>
        <w:tc>
          <w:tcPr>
            <w:tcW w:w="850" w:type="dxa"/>
          </w:tcPr>
          <w:p w:rsidR="002534C2" w:rsidRPr="00E721BD" w:rsidRDefault="002534C2" w:rsidP="00A33068">
            <w:pPr>
              <w:contextualSpacing/>
              <w:jc w:val="both"/>
              <w:rPr>
                <w:rFonts w:ascii="Times New Roman" w:hAnsi="Times New Roman"/>
              </w:rPr>
            </w:pPr>
            <w:r>
              <w:rPr>
                <w:rFonts w:ascii="Times New Roman" w:hAnsi="Times New Roman"/>
              </w:rPr>
              <w:t>57</w:t>
            </w:r>
          </w:p>
        </w:tc>
        <w:tc>
          <w:tcPr>
            <w:tcW w:w="1164" w:type="dxa"/>
          </w:tcPr>
          <w:p w:rsidR="002534C2" w:rsidRPr="00E721BD" w:rsidRDefault="00E120B8" w:rsidP="006346A7">
            <w:pPr>
              <w:contextualSpacing/>
              <w:jc w:val="both"/>
              <w:rPr>
                <w:rFonts w:ascii="Times New Roman" w:hAnsi="Times New Roman"/>
              </w:rPr>
            </w:pPr>
            <w:r>
              <w:rPr>
                <w:rFonts w:ascii="Times New Roman" w:hAnsi="Times New Roman"/>
              </w:rPr>
              <w:t>-</w:t>
            </w:r>
          </w:p>
        </w:tc>
        <w:tc>
          <w:tcPr>
            <w:tcW w:w="2021" w:type="dxa"/>
          </w:tcPr>
          <w:p w:rsidR="002534C2" w:rsidRPr="00E721BD" w:rsidRDefault="00E120B8" w:rsidP="006346A7">
            <w:pPr>
              <w:contextualSpacing/>
              <w:jc w:val="both"/>
              <w:rPr>
                <w:rFonts w:ascii="Times New Roman" w:hAnsi="Times New Roman"/>
              </w:rPr>
            </w:pPr>
            <w:r>
              <w:rPr>
                <w:rFonts w:ascii="Times New Roman" w:hAnsi="Times New Roman" w:cs="Times New Roman"/>
                <w:szCs w:val="24"/>
              </w:rPr>
              <w:t>См. аналитическую записку</w:t>
            </w:r>
          </w:p>
        </w:tc>
      </w:tr>
      <w:tr w:rsidR="002534C2" w:rsidRPr="00E721BD" w:rsidTr="00F17E4A">
        <w:tc>
          <w:tcPr>
            <w:tcW w:w="3064" w:type="dxa"/>
          </w:tcPr>
          <w:p w:rsidR="002534C2" w:rsidRPr="00E721BD" w:rsidRDefault="002534C2" w:rsidP="00A33068">
            <w:pPr>
              <w:contextualSpacing/>
              <w:jc w:val="both"/>
              <w:rPr>
                <w:rFonts w:ascii="Times New Roman" w:hAnsi="Times New Roman"/>
              </w:rPr>
            </w:pPr>
            <w:r>
              <w:rPr>
                <w:rFonts w:ascii="Times New Roman" w:hAnsi="Times New Roman"/>
                <w:b/>
              </w:rPr>
              <w:t>Целевой индикатор 6</w:t>
            </w:r>
          </w:p>
        </w:tc>
        <w:tc>
          <w:tcPr>
            <w:tcW w:w="1844" w:type="dxa"/>
          </w:tcPr>
          <w:p w:rsidR="002534C2" w:rsidRPr="00E721BD" w:rsidRDefault="002534C2" w:rsidP="006346A7">
            <w:pPr>
              <w:contextualSpacing/>
              <w:jc w:val="both"/>
              <w:rPr>
                <w:rFonts w:ascii="Times New Roman" w:hAnsi="Times New Roman"/>
              </w:rPr>
            </w:pPr>
          </w:p>
        </w:tc>
        <w:tc>
          <w:tcPr>
            <w:tcW w:w="1478" w:type="dxa"/>
          </w:tcPr>
          <w:p w:rsidR="002534C2" w:rsidRPr="00E721BD" w:rsidRDefault="002534C2" w:rsidP="006346A7">
            <w:pPr>
              <w:contextualSpacing/>
              <w:jc w:val="both"/>
              <w:rPr>
                <w:rFonts w:ascii="Times New Roman" w:hAnsi="Times New Roman"/>
              </w:rPr>
            </w:pPr>
          </w:p>
        </w:tc>
        <w:tc>
          <w:tcPr>
            <w:tcW w:w="850" w:type="dxa"/>
          </w:tcPr>
          <w:p w:rsidR="002534C2" w:rsidRPr="00E721BD" w:rsidRDefault="002534C2" w:rsidP="006346A7">
            <w:pPr>
              <w:contextualSpacing/>
              <w:jc w:val="both"/>
              <w:rPr>
                <w:rFonts w:ascii="Times New Roman" w:hAnsi="Times New Roman"/>
              </w:rPr>
            </w:pPr>
          </w:p>
        </w:tc>
        <w:tc>
          <w:tcPr>
            <w:tcW w:w="1164" w:type="dxa"/>
          </w:tcPr>
          <w:p w:rsidR="002534C2" w:rsidRPr="00E721BD" w:rsidRDefault="002534C2" w:rsidP="006346A7">
            <w:pPr>
              <w:contextualSpacing/>
              <w:jc w:val="both"/>
              <w:rPr>
                <w:rFonts w:ascii="Times New Roman" w:hAnsi="Times New Roman"/>
              </w:rPr>
            </w:pPr>
          </w:p>
        </w:tc>
        <w:tc>
          <w:tcPr>
            <w:tcW w:w="2021" w:type="dxa"/>
          </w:tcPr>
          <w:p w:rsidR="002534C2" w:rsidRPr="00E721BD" w:rsidRDefault="002534C2" w:rsidP="006346A7">
            <w:pPr>
              <w:contextualSpacing/>
              <w:jc w:val="both"/>
              <w:rPr>
                <w:rFonts w:ascii="Times New Roman" w:hAnsi="Times New Roman"/>
              </w:rPr>
            </w:pPr>
          </w:p>
        </w:tc>
      </w:tr>
      <w:tr w:rsidR="002534C2" w:rsidRPr="00E721BD" w:rsidTr="00F17E4A">
        <w:tc>
          <w:tcPr>
            <w:tcW w:w="3064" w:type="dxa"/>
          </w:tcPr>
          <w:p w:rsidR="002534C2" w:rsidRPr="00E721BD" w:rsidRDefault="002534C2" w:rsidP="006346A7">
            <w:pPr>
              <w:contextualSpacing/>
              <w:jc w:val="both"/>
              <w:rPr>
                <w:rFonts w:ascii="Times New Roman" w:hAnsi="Times New Roman"/>
              </w:rPr>
            </w:pPr>
            <w:r w:rsidRPr="00E721BD">
              <w:rPr>
                <w:rFonts w:ascii="Times New Roman" w:hAnsi="Times New Roman"/>
              </w:rPr>
              <w:t>Легкость получения заемных средств</w:t>
            </w:r>
          </w:p>
        </w:tc>
        <w:tc>
          <w:tcPr>
            <w:tcW w:w="1844" w:type="dxa"/>
          </w:tcPr>
          <w:p w:rsidR="002534C2" w:rsidRPr="00E721BD" w:rsidRDefault="002534C2" w:rsidP="006346A7">
            <w:pPr>
              <w:contextualSpacing/>
              <w:jc w:val="both"/>
              <w:rPr>
                <w:rFonts w:ascii="Times New Roman" w:hAnsi="Times New Roman"/>
              </w:rPr>
            </w:pPr>
            <w:r w:rsidRPr="00E721BD">
              <w:rPr>
                <w:rFonts w:ascii="Times New Roman" w:hAnsi="Times New Roman"/>
              </w:rPr>
              <w:t>Отчет ГИК ВЭФ</w:t>
            </w:r>
          </w:p>
        </w:tc>
        <w:tc>
          <w:tcPr>
            <w:tcW w:w="1478" w:type="dxa"/>
          </w:tcPr>
          <w:p w:rsidR="002534C2" w:rsidRPr="00E721BD" w:rsidRDefault="002534C2" w:rsidP="006346A7">
            <w:pPr>
              <w:keepNext/>
              <w:keepLines/>
              <w:tabs>
                <w:tab w:val="left" w:pos="900"/>
                <w:tab w:val="left" w:pos="1080"/>
              </w:tabs>
              <w:contextualSpacing/>
              <w:jc w:val="both"/>
              <w:rPr>
                <w:rFonts w:ascii="Times New Roman" w:hAnsi="Times New Roman"/>
              </w:rPr>
            </w:pPr>
            <w:r w:rsidRPr="00E721BD">
              <w:rPr>
                <w:rFonts w:ascii="Times New Roman" w:hAnsi="Times New Roman"/>
              </w:rPr>
              <w:t>Место в рейтинге ГИК ВЭФ</w:t>
            </w:r>
          </w:p>
        </w:tc>
        <w:tc>
          <w:tcPr>
            <w:tcW w:w="850" w:type="dxa"/>
          </w:tcPr>
          <w:p w:rsidR="002534C2" w:rsidRPr="00E721BD" w:rsidRDefault="002534C2" w:rsidP="00A33068">
            <w:pPr>
              <w:contextualSpacing/>
              <w:jc w:val="both"/>
              <w:rPr>
                <w:rFonts w:ascii="Times New Roman" w:hAnsi="Times New Roman"/>
              </w:rPr>
            </w:pPr>
            <w:r>
              <w:rPr>
                <w:rFonts w:ascii="Times New Roman" w:hAnsi="Times New Roman"/>
              </w:rPr>
              <w:t>42</w:t>
            </w:r>
          </w:p>
        </w:tc>
        <w:tc>
          <w:tcPr>
            <w:tcW w:w="1164" w:type="dxa"/>
          </w:tcPr>
          <w:p w:rsidR="002534C2" w:rsidRPr="00E721BD" w:rsidRDefault="00E120B8" w:rsidP="006346A7">
            <w:pPr>
              <w:contextualSpacing/>
              <w:jc w:val="both"/>
              <w:rPr>
                <w:rFonts w:ascii="Times New Roman" w:hAnsi="Times New Roman"/>
              </w:rPr>
            </w:pPr>
            <w:r>
              <w:rPr>
                <w:rFonts w:ascii="Times New Roman" w:hAnsi="Times New Roman"/>
              </w:rPr>
              <w:t>-</w:t>
            </w:r>
          </w:p>
        </w:tc>
        <w:tc>
          <w:tcPr>
            <w:tcW w:w="2021" w:type="dxa"/>
          </w:tcPr>
          <w:p w:rsidR="002534C2" w:rsidRPr="00E721BD" w:rsidRDefault="00E120B8" w:rsidP="006346A7">
            <w:pPr>
              <w:contextualSpacing/>
              <w:jc w:val="both"/>
              <w:rPr>
                <w:rFonts w:ascii="Times New Roman" w:hAnsi="Times New Roman"/>
              </w:rPr>
            </w:pPr>
            <w:r>
              <w:rPr>
                <w:rFonts w:ascii="Times New Roman" w:hAnsi="Times New Roman" w:cs="Times New Roman"/>
                <w:szCs w:val="24"/>
              </w:rPr>
              <w:t>См. аналитическую записку</w:t>
            </w:r>
          </w:p>
        </w:tc>
      </w:tr>
      <w:tr w:rsidR="002534C2" w:rsidRPr="00E721BD" w:rsidTr="009E2774">
        <w:tc>
          <w:tcPr>
            <w:tcW w:w="10421" w:type="dxa"/>
            <w:gridSpan w:val="6"/>
          </w:tcPr>
          <w:p w:rsidR="002534C2" w:rsidRPr="00E721BD" w:rsidRDefault="002534C2" w:rsidP="006346A7">
            <w:pPr>
              <w:contextualSpacing/>
              <w:jc w:val="center"/>
              <w:rPr>
                <w:rFonts w:ascii="Times New Roman" w:hAnsi="Times New Roman" w:cs="Times New Roman"/>
                <w:b/>
                <w:sz w:val="24"/>
                <w:szCs w:val="24"/>
              </w:rPr>
            </w:pPr>
            <w:r w:rsidRPr="00E721BD">
              <w:rPr>
                <w:rFonts w:ascii="Times New Roman" w:hAnsi="Times New Roman"/>
                <w:b/>
              </w:rPr>
              <w:t xml:space="preserve">Цель 2.2. </w:t>
            </w:r>
            <w:r w:rsidRPr="00E721BD">
              <w:rPr>
                <w:rFonts w:ascii="Times New Roman" w:hAnsi="Times New Roman"/>
              </w:rPr>
              <w:t>Повышение финансовой устойчивости и создание необходимых условий для дальнейшего развития страхового рынка</w:t>
            </w:r>
          </w:p>
        </w:tc>
      </w:tr>
      <w:tr w:rsidR="002534C2" w:rsidRPr="00E721BD" w:rsidTr="00F17E4A">
        <w:tc>
          <w:tcPr>
            <w:tcW w:w="3064" w:type="dxa"/>
          </w:tcPr>
          <w:p w:rsidR="002534C2" w:rsidRPr="00E721BD" w:rsidRDefault="002534C2" w:rsidP="006346A7">
            <w:pPr>
              <w:contextualSpacing/>
              <w:jc w:val="both"/>
              <w:rPr>
                <w:rFonts w:ascii="Times New Roman" w:hAnsi="Times New Roman"/>
                <w:b/>
              </w:rPr>
            </w:pPr>
            <w:r w:rsidRPr="00E721BD">
              <w:rPr>
                <w:rFonts w:ascii="Times New Roman" w:hAnsi="Times New Roman"/>
                <w:b/>
              </w:rPr>
              <w:t>Целевой индикатор</w:t>
            </w:r>
            <w:r>
              <w:rPr>
                <w:rFonts w:ascii="Times New Roman" w:hAnsi="Times New Roman"/>
                <w:b/>
              </w:rPr>
              <w:t xml:space="preserve"> 1</w:t>
            </w:r>
          </w:p>
        </w:tc>
        <w:tc>
          <w:tcPr>
            <w:tcW w:w="1844" w:type="dxa"/>
          </w:tcPr>
          <w:p w:rsidR="002534C2" w:rsidRPr="00E721BD" w:rsidRDefault="002534C2" w:rsidP="006346A7">
            <w:pPr>
              <w:contextualSpacing/>
              <w:jc w:val="both"/>
              <w:rPr>
                <w:rFonts w:ascii="Times New Roman" w:hAnsi="Times New Roman"/>
              </w:rPr>
            </w:pPr>
          </w:p>
        </w:tc>
        <w:tc>
          <w:tcPr>
            <w:tcW w:w="1478" w:type="dxa"/>
          </w:tcPr>
          <w:p w:rsidR="002534C2" w:rsidRPr="00E721BD" w:rsidRDefault="002534C2" w:rsidP="006346A7">
            <w:pPr>
              <w:contextualSpacing/>
              <w:jc w:val="both"/>
              <w:rPr>
                <w:rFonts w:ascii="Times New Roman" w:hAnsi="Times New Roman"/>
              </w:rPr>
            </w:pPr>
          </w:p>
        </w:tc>
        <w:tc>
          <w:tcPr>
            <w:tcW w:w="850" w:type="dxa"/>
          </w:tcPr>
          <w:p w:rsidR="002534C2" w:rsidRPr="00E721BD" w:rsidRDefault="002534C2" w:rsidP="006346A7">
            <w:pPr>
              <w:contextualSpacing/>
              <w:jc w:val="both"/>
              <w:rPr>
                <w:rFonts w:ascii="Times New Roman" w:hAnsi="Times New Roman"/>
              </w:rPr>
            </w:pPr>
          </w:p>
        </w:tc>
        <w:tc>
          <w:tcPr>
            <w:tcW w:w="1164" w:type="dxa"/>
          </w:tcPr>
          <w:p w:rsidR="002534C2" w:rsidRPr="00E721BD" w:rsidRDefault="002534C2" w:rsidP="006346A7">
            <w:pPr>
              <w:contextualSpacing/>
              <w:jc w:val="both"/>
              <w:rPr>
                <w:rFonts w:ascii="Times New Roman" w:hAnsi="Times New Roman"/>
              </w:rPr>
            </w:pPr>
          </w:p>
        </w:tc>
        <w:tc>
          <w:tcPr>
            <w:tcW w:w="2021" w:type="dxa"/>
          </w:tcPr>
          <w:p w:rsidR="002534C2" w:rsidRPr="00E721BD" w:rsidRDefault="002534C2" w:rsidP="006346A7">
            <w:pPr>
              <w:contextualSpacing/>
              <w:jc w:val="both"/>
              <w:rPr>
                <w:rFonts w:ascii="Times New Roman" w:hAnsi="Times New Roman" w:cs="Times New Roman"/>
                <w:b/>
                <w:sz w:val="24"/>
                <w:szCs w:val="24"/>
              </w:rPr>
            </w:pPr>
          </w:p>
        </w:tc>
      </w:tr>
      <w:tr w:rsidR="002534C2" w:rsidRPr="00E721BD" w:rsidTr="00F17E4A">
        <w:tc>
          <w:tcPr>
            <w:tcW w:w="3064" w:type="dxa"/>
          </w:tcPr>
          <w:p w:rsidR="002534C2" w:rsidRPr="00E721BD" w:rsidRDefault="002534C2" w:rsidP="006346A7">
            <w:pPr>
              <w:contextualSpacing/>
              <w:jc w:val="both"/>
              <w:rPr>
                <w:rFonts w:ascii="Times New Roman" w:hAnsi="Times New Roman"/>
              </w:rPr>
            </w:pPr>
            <w:r w:rsidRPr="00E721BD">
              <w:rPr>
                <w:rFonts w:ascii="Times New Roman" w:hAnsi="Times New Roman"/>
              </w:rPr>
              <w:t>Агрегированный индекс финансовой устойчивости</w:t>
            </w:r>
          </w:p>
        </w:tc>
        <w:tc>
          <w:tcPr>
            <w:tcW w:w="1844" w:type="dxa"/>
          </w:tcPr>
          <w:p w:rsidR="002534C2" w:rsidRPr="00E721BD" w:rsidRDefault="002534C2" w:rsidP="006346A7">
            <w:pPr>
              <w:contextualSpacing/>
              <w:jc w:val="both"/>
              <w:rPr>
                <w:rFonts w:ascii="Times New Roman" w:hAnsi="Times New Roman"/>
              </w:rPr>
            </w:pPr>
            <w:r w:rsidRPr="00E721BD">
              <w:rPr>
                <w:rFonts w:ascii="Times New Roman" w:hAnsi="Times New Roman"/>
              </w:rPr>
              <w:t>НБРК</w:t>
            </w:r>
          </w:p>
        </w:tc>
        <w:tc>
          <w:tcPr>
            <w:tcW w:w="1478" w:type="dxa"/>
          </w:tcPr>
          <w:p w:rsidR="002534C2" w:rsidRPr="00E721BD" w:rsidRDefault="002534C2" w:rsidP="006346A7">
            <w:pPr>
              <w:keepNext/>
              <w:keepLines/>
              <w:tabs>
                <w:tab w:val="left" w:pos="900"/>
                <w:tab w:val="left" w:pos="1080"/>
              </w:tabs>
              <w:contextualSpacing/>
              <w:jc w:val="both"/>
              <w:rPr>
                <w:rFonts w:ascii="Times New Roman" w:hAnsi="Times New Roman"/>
              </w:rPr>
            </w:pPr>
            <w:r w:rsidRPr="00E721BD">
              <w:rPr>
                <w:rFonts w:ascii="Times New Roman" w:hAnsi="Times New Roman"/>
              </w:rPr>
              <w:t>коэффициент</w:t>
            </w:r>
          </w:p>
        </w:tc>
        <w:tc>
          <w:tcPr>
            <w:tcW w:w="850" w:type="dxa"/>
          </w:tcPr>
          <w:p w:rsidR="002534C2" w:rsidRPr="00E721BD" w:rsidRDefault="002534C2" w:rsidP="00A33068">
            <w:pPr>
              <w:keepNext/>
              <w:keepLines/>
              <w:tabs>
                <w:tab w:val="left" w:pos="900"/>
                <w:tab w:val="left" w:pos="1080"/>
              </w:tabs>
              <w:contextualSpacing/>
              <w:jc w:val="both"/>
              <w:rPr>
                <w:rFonts w:ascii="Times New Roman" w:hAnsi="Times New Roman"/>
                <w:lang w:val="kk-KZ"/>
              </w:rPr>
            </w:pPr>
            <w:r>
              <w:rPr>
                <w:rFonts w:ascii="Times New Roman" w:hAnsi="Times New Roman"/>
              </w:rPr>
              <w:t>От 1 до 2,49</w:t>
            </w:r>
          </w:p>
        </w:tc>
        <w:tc>
          <w:tcPr>
            <w:tcW w:w="1164" w:type="dxa"/>
          </w:tcPr>
          <w:p w:rsidR="002534C2" w:rsidRPr="00E721BD" w:rsidRDefault="00042958" w:rsidP="006346A7">
            <w:pPr>
              <w:contextualSpacing/>
              <w:jc w:val="both"/>
              <w:rPr>
                <w:rFonts w:ascii="Times New Roman" w:hAnsi="Times New Roman"/>
              </w:rPr>
            </w:pPr>
            <w:r>
              <w:rPr>
                <w:rFonts w:ascii="Times New Roman" w:hAnsi="Times New Roman"/>
              </w:rPr>
              <w:t>1,66</w:t>
            </w:r>
          </w:p>
        </w:tc>
        <w:tc>
          <w:tcPr>
            <w:tcW w:w="2021" w:type="dxa"/>
          </w:tcPr>
          <w:p w:rsidR="002534C2" w:rsidRPr="00D662DA" w:rsidRDefault="00042958" w:rsidP="006346A7">
            <w:pPr>
              <w:contextualSpacing/>
              <w:jc w:val="both"/>
              <w:rPr>
                <w:rFonts w:ascii="Times New Roman" w:hAnsi="Times New Roman" w:cs="Times New Roman"/>
                <w:sz w:val="24"/>
                <w:szCs w:val="24"/>
              </w:rPr>
            </w:pPr>
            <w:r>
              <w:rPr>
                <w:rFonts w:ascii="Times New Roman" w:hAnsi="Times New Roman" w:cs="Times New Roman"/>
              </w:rPr>
              <w:t>См. аналитическую записку</w:t>
            </w:r>
          </w:p>
        </w:tc>
      </w:tr>
      <w:tr w:rsidR="002534C2" w:rsidRPr="00E721BD" w:rsidTr="00F17E4A">
        <w:tc>
          <w:tcPr>
            <w:tcW w:w="3064" w:type="dxa"/>
          </w:tcPr>
          <w:p w:rsidR="002534C2" w:rsidRPr="00E721BD" w:rsidRDefault="002534C2" w:rsidP="006346A7">
            <w:pPr>
              <w:contextualSpacing/>
              <w:jc w:val="both"/>
              <w:rPr>
                <w:rFonts w:ascii="Times New Roman" w:hAnsi="Times New Roman"/>
              </w:rPr>
            </w:pPr>
            <w:r w:rsidRPr="00E721BD">
              <w:rPr>
                <w:rFonts w:ascii="Times New Roman" w:hAnsi="Times New Roman"/>
                <w:b/>
              </w:rPr>
              <w:t>Целевой индикатор</w:t>
            </w:r>
            <w:r>
              <w:rPr>
                <w:rFonts w:ascii="Times New Roman" w:hAnsi="Times New Roman"/>
                <w:b/>
              </w:rPr>
              <w:t xml:space="preserve"> 2</w:t>
            </w:r>
          </w:p>
        </w:tc>
        <w:tc>
          <w:tcPr>
            <w:tcW w:w="1844" w:type="dxa"/>
          </w:tcPr>
          <w:p w:rsidR="002534C2" w:rsidRPr="00E721BD" w:rsidRDefault="002534C2" w:rsidP="006346A7">
            <w:pPr>
              <w:contextualSpacing/>
              <w:jc w:val="both"/>
              <w:rPr>
                <w:rFonts w:ascii="Times New Roman" w:hAnsi="Times New Roman"/>
              </w:rPr>
            </w:pPr>
          </w:p>
        </w:tc>
        <w:tc>
          <w:tcPr>
            <w:tcW w:w="1478" w:type="dxa"/>
          </w:tcPr>
          <w:p w:rsidR="002534C2" w:rsidRPr="00E721BD" w:rsidRDefault="002534C2" w:rsidP="006346A7">
            <w:pPr>
              <w:keepNext/>
              <w:keepLines/>
              <w:tabs>
                <w:tab w:val="left" w:pos="900"/>
                <w:tab w:val="left" w:pos="1080"/>
              </w:tabs>
              <w:contextualSpacing/>
              <w:jc w:val="both"/>
              <w:rPr>
                <w:rFonts w:ascii="Times New Roman" w:hAnsi="Times New Roman"/>
              </w:rPr>
            </w:pPr>
          </w:p>
        </w:tc>
        <w:tc>
          <w:tcPr>
            <w:tcW w:w="850" w:type="dxa"/>
          </w:tcPr>
          <w:p w:rsidR="002534C2" w:rsidRDefault="002534C2" w:rsidP="006346A7">
            <w:pPr>
              <w:keepNext/>
              <w:keepLines/>
              <w:tabs>
                <w:tab w:val="left" w:pos="900"/>
                <w:tab w:val="left" w:pos="1080"/>
              </w:tabs>
              <w:contextualSpacing/>
              <w:jc w:val="both"/>
              <w:rPr>
                <w:rFonts w:ascii="Times New Roman" w:hAnsi="Times New Roman"/>
              </w:rPr>
            </w:pPr>
          </w:p>
        </w:tc>
        <w:tc>
          <w:tcPr>
            <w:tcW w:w="1164" w:type="dxa"/>
          </w:tcPr>
          <w:p w:rsidR="002534C2" w:rsidRPr="00E721BD" w:rsidRDefault="002534C2" w:rsidP="006346A7">
            <w:pPr>
              <w:contextualSpacing/>
              <w:jc w:val="both"/>
              <w:rPr>
                <w:rFonts w:ascii="Times New Roman" w:hAnsi="Times New Roman"/>
              </w:rPr>
            </w:pPr>
          </w:p>
        </w:tc>
        <w:tc>
          <w:tcPr>
            <w:tcW w:w="2021" w:type="dxa"/>
          </w:tcPr>
          <w:p w:rsidR="002534C2" w:rsidRPr="00E721BD" w:rsidRDefault="002534C2" w:rsidP="006346A7">
            <w:pPr>
              <w:contextualSpacing/>
              <w:jc w:val="both"/>
              <w:rPr>
                <w:rFonts w:ascii="Times New Roman" w:hAnsi="Times New Roman" w:cs="Times New Roman"/>
                <w:b/>
                <w:sz w:val="24"/>
                <w:szCs w:val="24"/>
              </w:rPr>
            </w:pPr>
          </w:p>
        </w:tc>
      </w:tr>
      <w:tr w:rsidR="002534C2" w:rsidRPr="00E721BD" w:rsidTr="00F17E4A">
        <w:tc>
          <w:tcPr>
            <w:tcW w:w="3064" w:type="dxa"/>
          </w:tcPr>
          <w:p w:rsidR="002534C2" w:rsidRPr="00E721BD" w:rsidRDefault="002534C2" w:rsidP="006346A7">
            <w:pPr>
              <w:contextualSpacing/>
              <w:jc w:val="both"/>
              <w:rPr>
                <w:rFonts w:ascii="Times New Roman" w:hAnsi="Times New Roman"/>
              </w:rPr>
            </w:pPr>
            <w:r>
              <w:rPr>
                <w:rFonts w:ascii="Times New Roman" w:hAnsi="Times New Roman"/>
              </w:rPr>
              <w:t>Индекс развития страхового рынка</w:t>
            </w:r>
          </w:p>
        </w:tc>
        <w:tc>
          <w:tcPr>
            <w:tcW w:w="1844" w:type="dxa"/>
          </w:tcPr>
          <w:p w:rsidR="002534C2" w:rsidRPr="00E721BD" w:rsidRDefault="002534C2" w:rsidP="00DC50C9">
            <w:pPr>
              <w:contextualSpacing/>
              <w:jc w:val="both"/>
              <w:rPr>
                <w:rFonts w:ascii="Times New Roman" w:hAnsi="Times New Roman"/>
              </w:rPr>
            </w:pPr>
            <w:r w:rsidRPr="00E721BD">
              <w:rPr>
                <w:rFonts w:ascii="Times New Roman" w:hAnsi="Times New Roman"/>
              </w:rPr>
              <w:t>НБРК</w:t>
            </w:r>
          </w:p>
        </w:tc>
        <w:tc>
          <w:tcPr>
            <w:tcW w:w="1478" w:type="dxa"/>
          </w:tcPr>
          <w:p w:rsidR="002534C2" w:rsidRPr="00E721BD" w:rsidRDefault="002534C2" w:rsidP="00DC50C9">
            <w:pPr>
              <w:keepNext/>
              <w:keepLines/>
              <w:tabs>
                <w:tab w:val="left" w:pos="900"/>
                <w:tab w:val="left" w:pos="1080"/>
              </w:tabs>
              <w:contextualSpacing/>
              <w:jc w:val="both"/>
              <w:rPr>
                <w:rFonts w:ascii="Times New Roman" w:hAnsi="Times New Roman"/>
              </w:rPr>
            </w:pPr>
            <w:r w:rsidRPr="00E721BD">
              <w:rPr>
                <w:rFonts w:ascii="Times New Roman" w:hAnsi="Times New Roman"/>
              </w:rPr>
              <w:t>коэффициент</w:t>
            </w:r>
          </w:p>
        </w:tc>
        <w:tc>
          <w:tcPr>
            <w:tcW w:w="850" w:type="dxa"/>
          </w:tcPr>
          <w:p w:rsidR="002534C2" w:rsidRDefault="002534C2" w:rsidP="00A33068">
            <w:pPr>
              <w:keepNext/>
              <w:keepLines/>
              <w:tabs>
                <w:tab w:val="left" w:pos="900"/>
                <w:tab w:val="left" w:pos="1080"/>
              </w:tabs>
              <w:contextualSpacing/>
              <w:jc w:val="both"/>
              <w:rPr>
                <w:rFonts w:ascii="Times New Roman" w:hAnsi="Times New Roman"/>
              </w:rPr>
            </w:pPr>
            <w:r>
              <w:rPr>
                <w:rFonts w:ascii="Times New Roman" w:hAnsi="Times New Roman"/>
              </w:rPr>
              <w:t>От 1 до 2,49</w:t>
            </w:r>
          </w:p>
        </w:tc>
        <w:tc>
          <w:tcPr>
            <w:tcW w:w="1164" w:type="dxa"/>
          </w:tcPr>
          <w:p w:rsidR="002534C2" w:rsidRPr="00E721BD" w:rsidRDefault="00042958" w:rsidP="006346A7">
            <w:pPr>
              <w:contextualSpacing/>
              <w:jc w:val="both"/>
              <w:rPr>
                <w:rFonts w:ascii="Times New Roman" w:hAnsi="Times New Roman"/>
              </w:rPr>
            </w:pPr>
            <w:r>
              <w:rPr>
                <w:rFonts w:ascii="Times New Roman" w:hAnsi="Times New Roman"/>
              </w:rPr>
              <w:t>1,75</w:t>
            </w:r>
          </w:p>
        </w:tc>
        <w:tc>
          <w:tcPr>
            <w:tcW w:w="2021" w:type="dxa"/>
          </w:tcPr>
          <w:p w:rsidR="002534C2" w:rsidRPr="00E721BD" w:rsidRDefault="00042958" w:rsidP="006346A7">
            <w:pPr>
              <w:contextualSpacing/>
              <w:jc w:val="both"/>
              <w:rPr>
                <w:rFonts w:ascii="Times New Roman" w:hAnsi="Times New Roman" w:cs="Times New Roman"/>
                <w:b/>
                <w:sz w:val="24"/>
                <w:szCs w:val="24"/>
              </w:rPr>
            </w:pPr>
            <w:r>
              <w:rPr>
                <w:rFonts w:ascii="Times New Roman" w:hAnsi="Times New Roman" w:cs="Times New Roman"/>
              </w:rPr>
              <w:t>См. аналитическую записку</w:t>
            </w:r>
          </w:p>
        </w:tc>
      </w:tr>
      <w:tr w:rsidR="002534C2" w:rsidRPr="00E721BD" w:rsidTr="009E2774">
        <w:tc>
          <w:tcPr>
            <w:tcW w:w="10421" w:type="dxa"/>
            <w:gridSpan w:val="6"/>
          </w:tcPr>
          <w:p w:rsidR="002534C2" w:rsidRPr="00E721BD" w:rsidRDefault="002534C2" w:rsidP="006346A7">
            <w:pPr>
              <w:contextualSpacing/>
              <w:jc w:val="center"/>
              <w:rPr>
                <w:rFonts w:ascii="Times New Roman" w:hAnsi="Times New Roman" w:cs="Times New Roman"/>
                <w:b/>
                <w:sz w:val="24"/>
                <w:szCs w:val="24"/>
              </w:rPr>
            </w:pPr>
            <w:r w:rsidRPr="00E721BD">
              <w:rPr>
                <w:rFonts w:ascii="Times New Roman" w:hAnsi="Times New Roman"/>
                <w:b/>
              </w:rPr>
              <w:t xml:space="preserve">Цель 2.3. </w:t>
            </w:r>
            <w:r w:rsidRPr="00E721BD">
              <w:rPr>
                <w:rFonts w:ascii="Times New Roman" w:hAnsi="Times New Roman"/>
              </w:rPr>
              <w:t>Создание необходимых условий для дальнейшего развития рынка ценных бумаг</w:t>
            </w:r>
          </w:p>
        </w:tc>
      </w:tr>
      <w:tr w:rsidR="002534C2" w:rsidRPr="00E721BD" w:rsidTr="00F17E4A">
        <w:tc>
          <w:tcPr>
            <w:tcW w:w="3064" w:type="dxa"/>
          </w:tcPr>
          <w:p w:rsidR="002534C2" w:rsidRPr="00E721BD" w:rsidRDefault="002534C2" w:rsidP="006346A7">
            <w:pPr>
              <w:contextualSpacing/>
              <w:jc w:val="both"/>
              <w:rPr>
                <w:rFonts w:ascii="Times New Roman" w:hAnsi="Times New Roman"/>
              </w:rPr>
            </w:pPr>
            <w:r>
              <w:rPr>
                <w:rFonts w:ascii="Times New Roman" w:hAnsi="Times New Roman"/>
                <w:b/>
              </w:rPr>
              <w:t xml:space="preserve">Целевой индикатор </w:t>
            </w:r>
          </w:p>
        </w:tc>
        <w:tc>
          <w:tcPr>
            <w:tcW w:w="1844" w:type="dxa"/>
          </w:tcPr>
          <w:p w:rsidR="002534C2" w:rsidRPr="00E721BD" w:rsidRDefault="002534C2" w:rsidP="006346A7">
            <w:pPr>
              <w:contextualSpacing/>
              <w:jc w:val="both"/>
              <w:rPr>
                <w:rFonts w:ascii="Times New Roman" w:hAnsi="Times New Roman"/>
              </w:rPr>
            </w:pPr>
          </w:p>
        </w:tc>
        <w:tc>
          <w:tcPr>
            <w:tcW w:w="1478" w:type="dxa"/>
          </w:tcPr>
          <w:p w:rsidR="002534C2" w:rsidRPr="00E721BD" w:rsidRDefault="002534C2" w:rsidP="006346A7">
            <w:pPr>
              <w:keepNext/>
              <w:keepLines/>
              <w:tabs>
                <w:tab w:val="left" w:pos="900"/>
                <w:tab w:val="left" w:pos="1080"/>
              </w:tabs>
              <w:contextualSpacing/>
              <w:jc w:val="both"/>
              <w:rPr>
                <w:rFonts w:ascii="Times New Roman" w:hAnsi="Times New Roman"/>
              </w:rPr>
            </w:pPr>
          </w:p>
        </w:tc>
        <w:tc>
          <w:tcPr>
            <w:tcW w:w="850" w:type="dxa"/>
          </w:tcPr>
          <w:p w:rsidR="002534C2" w:rsidRPr="00E721BD" w:rsidRDefault="002534C2" w:rsidP="00552348">
            <w:pPr>
              <w:contextualSpacing/>
              <w:jc w:val="both"/>
              <w:rPr>
                <w:rFonts w:ascii="Times New Roman" w:hAnsi="Times New Roman"/>
              </w:rPr>
            </w:pPr>
          </w:p>
        </w:tc>
        <w:tc>
          <w:tcPr>
            <w:tcW w:w="1164" w:type="dxa"/>
          </w:tcPr>
          <w:p w:rsidR="002534C2" w:rsidRPr="00E721BD" w:rsidRDefault="002534C2" w:rsidP="006346A7">
            <w:pPr>
              <w:contextualSpacing/>
              <w:jc w:val="both"/>
              <w:rPr>
                <w:rFonts w:ascii="Times New Roman" w:hAnsi="Times New Roman"/>
              </w:rPr>
            </w:pPr>
          </w:p>
        </w:tc>
        <w:tc>
          <w:tcPr>
            <w:tcW w:w="2021" w:type="dxa"/>
          </w:tcPr>
          <w:p w:rsidR="002534C2" w:rsidRDefault="002534C2" w:rsidP="006346A7">
            <w:pPr>
              <w:contextualSpacing/>
              <w:jc w:val="both"/>
              <w:rPr>
                <w:rFonts w:ascii="Times New Roman" w:hAnsi="Times New Roman"/>
                <w:i/>
              </w:rPr>
            </w:pPr>
          </w:p>
        </w:tc>
      </w:tr>
      <w:tr w:rsidR="002534C2" w:rsidRPr="00E721BD" w:rsidTr="00F17E4A">
        <w:tc>
          <w:tcPr>
            <w:tcW w:w="3064" w:type="dxa"/>
          </w:tcPr>
          <w:p w:rsidR="002534C2" w:rsidRPr="00E721BD" w:rsidRDefault="002534C2" w:rsidP="006346A7">
            <w:pPr>
              <w:contextualSpacing/>
              <w:jc w:val="both"/>
              <w:rPr>
                <w:rFonts w:ascii="Times New Roman" w:hAnsi="Times New Roman"/>
              </w:rPr>
            </w:pPr>
            <w:r w:rsidRPr="00E721BD">
              <w:rPr>
                <w:rFonts w:ascii="Times New Roman" w:hAnsi="Times New Roman"/>
              </w:rPr>
              <w:lastRenderedPageBreak/>
              <w:t>Эффективность работы совета директоров</w:t>
            </w:r>
          </w:p>
        </w:tc>
        <w:tc>
          <w:tcPr>
            <w:tcW w:w="1844" w:type="dxa"/>
          </w:tcPr>
          <w:p w:rsidR="002534C2" w:rsidRPr="00E721BD" w:rsidRDefault="002534C2" w:rsidP="00DC50C9">
            <w:pPr>
              <w:contextualSpacing/>
              <w:jc w:val="both"/>
              <w:rPr>
                <w:rFonts w:ascii="Times New Roman" w:hAnsi="Times New Roman"/>
              </w:rPr>
            </w:pPr>
            <w:r w:rsidRPr="00E721BD">
              <w:rPr>
                <w:rFonts w:ascii="Times New Roman" w:hAnsi="Times New Roman"/>
              </w:rPr>
              <w:t>Отчет ГИК ВЭФ</w:t>
            </w:r>
          </w:p>
        </w:tc>
        <w:tc>
          <w:tcPr>
            <w:tcW w:w="1478" w:type="dxa"/>
          </w:tcPr>
          <w:p w:rsidR="002534C2" w:rsidRPr="00E721BD" w:rsidRDefault="002534C2" w:rsidP="00DC50C9">
            <w:pPr>
              <w:keepNext/>
              <w:keepLines/>
              <w:tabs>
                <w:tab w:val="left" w:pos="900"/>
                <w:tab w:val="left" w:pos="1080"/>
              </w:tabs>
              <w:contextualSpacing/>
              <w:jc w:val="both"/>
              <w:rPr>
                <w:rFonts w:ascii="Times New Roman" w:hAnsi="Times New Roman"/>
              </w:rPr>
            </w:pPr>
            <w:r w:rsidRPr="00E721BD">
              <w:rPr>
                <w:rFonts w:ascii="Times New Roman" w:hAnsi="Times New Roman"/>
              </w:rPr>
              <w:t>Место в рейтинге ГИК ВЭФ</w:t>
            </w:r>
          </w:p>
        </w:tc>
        <w:tc>
          <w:tcPr>
            <w:tcW w:w="850" w:type="dxa"/>
          </w:tcPr>
          <w:p w:rsidR="002534C2" w:rsidRPr="00E721BD" w:rsidRDefault="002534C2" w:rsidP="00207A6B">
            <w:pPr>
              <w:contextualSpacing/>
              <w:jc w:val="both"/>
              <w:rPr>
                <w:rFonts w:ascii="Times New Roman" w:hAnsi="Times New Roman"/>
              </w:rPr>
            </w:pPr>
            <w:r>
              <w:rPr>
                <w:rFonts w:ascii="Times New Roman" w:hAnsi="Times New Roman"/>
              </w:rPr>
              <w:t>52</w:t>
            </w:r>
          </w:p>
        </w:tc>
        <w:tc>
          <w:tcPr>
            <w:tcW w:w="1164" w:type="dxa"/>
          </w:tcPr>
          <w:p w:rsidR="002534C2" w:rsidRPr="00E721BD" w:rsidRDefault="00042958" w:rsidP="006346A7">
            <w:pPr>
              <w:contextualSpacing/>
              <w:jc w:val="both"/>
              <w:rPr>
                <w:rFonts w:ascii="Times New Roman" w:hAnsi="Times New Roman"/>
              </w:rPr>
            </w:pPr>
            <w:r>
              <w:rPr>
                <w:rFonts w:ascii="Times New Roman" w:hAnsi="Times New Roman"/>
              </w:rPr>
              <w:t>-</w:t>
            </w:r>
          </w:p>
        </w:tc>
        <w:tc>
          <w:tcPr>
            <w:tcW w:w="2021" w:type="dxa"/>
          </w:tcPr>
          <w:p w:rsidR="002534C2" w:rsidRDefault="00042958" w:rsidP="006346A7">
            <w:pPr>
              <w:contextualSpacing/>
              <w:jc w:val="both"/>
              <w:rPr>
                <w:rFonts w:ascii="Times New Roman" w:hAnsi="Times New Roman"/>
                <w:i/>
              </w:rPr>
            </w:pPr>
            <w:r>
              <w:rPr>
                <w:rFonts w:ascii="Times New Roman" w:hAnsi="Times New Roman" w:cs="Times New Roman"/>
              </w:rPr>
              <w:t>См. аналитическую записку</w:t>
            </w:r>
          </w:p>
        </w:tc>
      </w:tr>
      <w:tr w:rsidR="002534C2" w:rsidRPr="00E721BD" w:rsidTr="00DC50C9">
        <w:tc>
          <w:tcPr>
            <w:tcW w:w="10421" w:type="dxa"/>
            <w:gridSpan w:val="6"/>
          </w:tcPr>
          <w:p w:rsidR="002534C2" w:rsidRPr="00E721BD" w:rsidRDefault="002534C2" w:rsidP="00552348">
            <w:pPr>
              <w:contextualSpacing/>
              <w:jc w:val="center"/>
              <w:rPr>
                <w:rFonts w:ascii="Times New Roman" w:hAnsi="Times New Roman"/>
              </w:rPr>
            </w:pPr>
            <w:r w:rsidRPr="00E721BD">
              <w:rPr>
                <w:rFonts w:ascii="Times New Roman" w:hAnsi="Times New Roman"/>
                <w:b/>
              </w:rPr>
              <w:t xml:space="preserve">Цель 2.4. </w:t>
            </w:r>
            <w:r>
              <w:rPr>
                <w:rFonts w:ascii="Times New Roman" w:hAnsi="Times New Roman"/>
              </w:rPr>
              <w:t>Создание условий по дальнейшему развитию накопительной пенсионной системы</w:t>
            </w:r>
          </w:p>
        </w:tc>
      </w:tr>
      <w:tr w:rsidR="002534C2" w:rsidRPr="00E721BD" w:rsidTr="00F17E4A">
        <w:tc>
          <w:tcPr>
            <w:tcW w:w="3064" w:type="dxa"/>
          </w:tcPr>
          <w:p w:rsidR="002534C2" w:rsidRPr="00552348" w:rsidRDefault="002534C2" w:rsidP="006346A7">
            <w:pPr>
              <w:contextualSpacing/>
              <w:jc w:val="both"/>
              <w:rPr>
                <w:rFonts w:ascii="Times New Roman" w:hAnsi="Times New Roman"/>
                <w:b/>
              </w:rPr>
            </w:pPr>
            <w:r>
              <w:rPr>
                <w:rFonts w:ascii="Times New Roman" w:hAnsi="Times New Roman"/>
                <w:b/>
              </w:rPr>
              <w:t xml:space="preserve">Целевой индикатор </w:t>
            </w:r>
          </w:p>
        </w:tc>
        <w:tc>
          <w:tcPr>
            <w:tcW w:w="1844" w:type="dxa"/>
          </w:tcPr>
          <w:p w:rsidR="002534C2" w:rsidRDefault="002534C2" w:rsidP="006346A7">
            <w:pPr>
              <w:contextualSpacing/>
              <w:jc w:val="both"/>
              <w:rPr>
                <w:rFonts w:ascii="Times New Roman" w:hAnsi="Times New Roman"/>
              </w:rPr>
            </w:pPr>
          </w:p>
        </w:tc>
        <w:tc>
          <w:tcPr>
            <w:tcW w:w="1478" w:type="dxa"/>
          </w:tcPr>
          <w:p w:rsidR="002534C2" w:rsidRPr="00E721BD" w:rsidRDefault="002534C2" w:rsidP="006346A7">
            <w:pPr>
              <w:keepNext/>
              <w:keepLines/>
              <w:tabs>
                <w:tab w:val="left" w:pos="900"/>
                <w:tab w:val="left" w:pos="1080"/>
              </w:tabs>
              <w:contextualSpacing/>
              <w:jc w:val="both"/>
              <w:rPr>
                <w:rFonts w:ascii="Times New Roman" w:hAnsi="Times New Roman"/>
              </w:rPr>
            </w:pPr>
          </w:p>
        </w:tc>
        <w:tc>
          <w:tcPr>
            <w:tcW w:w="850" w:type="dxa"/>
          </w:tcPr>
          <w:p w:rsidR="002534C2" w:rsidRPr="00E721BD" w:rsidRDefault="002534C2" w:rsidP="006346A7">
            <w:pPr>
              <w:contextualSpacing/>
              <w:jc w:val="both"/>
              <w:rPr>
                <w:rFonts w:ascii="Times New Roman" w:hAnsi="Times New Roman"/>
              </w:rPr>
            </w:pPr>
          </w:p>
        </w:tc>
        <w:tc>
          <w:tcPr>
            <w:tcW w:w="1164" w:type="dxa"/>
          </w:tcPr>
          <w:p w:rsidR="002534C2" w:rsidRPr="00E721BD" w:rsidRDefault="002534C2" w:rsidP="006346A7">
            <w:pPr>
              <w:contextualSpacing/>
              <w:jc w:val="both"/>
              <w:rPr>
                <w:rFonts w:ascii="Times New Roman" w:hAnsi="Times New Roman"/>
              </w:rPr>
            </w:pPr>
          </w:p>
        </w:tc>
        <w:tc>
          <w:tcPr>
            <w:tcW w:w="2021" w:type="dxa"/>
          </w:tcPr>
          <w:p w:rsidR="002534C2" w:rsidRPr="00E721BD" w:rsidRDefault="002534C2" w:rsidP="006346A7">
            <w:pPr>
              <w:contextualSpacing/>
              <w:jc w:val="both"/>
              <w:rPr>
                <w:rFonts w:ascii="Times New Roman" w:hAnsi="Times New Roman"/>
              </w:rPr>
            </w:pPr>
          </w:p>
        </w:tc>
      </w:tr>
      <w:tr w:rsidR="002534C2" w:rsidRPr="00E721BD" w:rsidTr="00F17E4A">
        <w:tc>
          <w:tcPr>
            <w:tcW w:w="3064" w:type="dxa"/>
          </w:tcPr>
          <w:p w:rsidR="002534C2" w:rsidRPr="00E721BD" w:rsidRDefault="002534C2" w:rsidP="006346A7">
            <w:pPr>
              <w:contextualSpacing/>
              <w:jc w:val="both"/>
              <w:rPr>
                <w:rFonts w:ascii="Times New Roman" w:hAnsi="Times New Roman"/>
              </w:rPr>
            </w:pPr>
            <w:r>
              <w:rPr>
                <w:rFonts w:ascii="Times New Roman" w:hAnsi="Times New Roman"/>
              </w:rPr>
              <w:t>Доходность пенсионных активов ЕНПФ</w:t>
            </w:r>
          </w:p>
        </w:tc>
        <w:tc>
          <w:tcPr>
            <w:tcW w:w="1844" w:type="dxa"/>
          </w:tcPr>
          <w:p w:rsidR="002534C2" w:rsidRDefault="002534C2" w:rsidP="006346A7">
            <w:pPr>
              <w:contextualSpacing/>
              <w:jc w:val="both"/>
              <w:rPr>
                <w:rFonts w:ascii="Times New Roman" w:hAnsi="Times New Roman"/>
              </w:rPr>
            </w:pPr>
            <w:r>
              <w:rPr>
                <w:rFonts w:ascii="Times New Roman" w:hAnsi="Times New Roman"/>
              </w:rPr>
              <w:t>НБРК</w:t>
            </w:r>
          </w:p>
        </w:tc>
        <w:tc>
          <w:tcPr>
            <w:tcW w:w="1478" w:type="dxa"/>
          </w:tcPr>
          <w:p w:rsidR="002534C2" w:rsidRPr="00E721BD" w:rsidRDefault="002534C2" w:rsidP="006346A7">
            <w:pPr>
              <w:keepNext/>
              <w:keepLines/>
              <w:tabs>
                <w:tab w:val="left" w:pos="900"/>
                <w:tab w:val="left" w:pos="1080"/>
              </w:tabs>
              <w:contextualSpacing/>
              <w:jc w:val="both"/>
              <w:rPr>
                <w:rFonts w:ascii="Times New Roman" w:hAnsi="Times New Roman"/>
              </w:rPr>
            </w:pPr>
            <w:r>
              <w:rPr>
                <w:rFonts w:ascii="Times New Roman" w:hAnsi="Times New Roman"/>
              </w:rPr>
              <w:t>%</w:t>
            </w:r>
          </w:p>
        </w:tc>
        <w:tc>
          <w:tcPr>
            <w:tcW w:w="850" w:type="dxa"/>
          </w:tcPr>
          <w:p w:rsidR="002534C2" w:rsidRPr="00E721BD" w:rsidRDefault="002534C2" w:rsidP="006346A7">
            <w:pPr>
              <w:contextualSpacing/>
              <w:jc w:val="both"/>
              <w:rPr>
                <w:rFonts w:ascii="Times New Roman" w:hAnsi="Times New Roman"/>
              </w:rPr>
            </w:pPr>
            <w:r>
              <w:rPr>
                <w:rFonts w:ascii="Times New Roman" w:hAnsi="Times New Roman"/>
              </w:rPr>
              <w:t>Не менее 5</w:t>
            </w:r>
          </w:p>
        </w:tc>
        <w:tc>
          <w:tcPr>
            <w:tcW w:w="1164" w:type="dxa"/>
          </w:tcPr>
          <w:p w:rsidR="002534C2" w:rsidRPr="00E721BD" w:rsidRDefault="00982486" w:rsidP="006346A7">
            <w:pPr>
              <w:contextualSpacing/>
              <w:jc w:val="both"/>
              <w:rPr>
                <w:rFonts w:ascii="Times New Roman" w:hAnsi="Times New Roman"/>
              </w:rPr>
            </w:pPr>
            <w:r>
              <w:rPr>
                <w:rFonts w:ascii="Times New Roman" w:hAnsi="Times New Roman"/>
              </w:rPr>
              <w:t>11,27</w:t>
            </w:r>
          </w:p>
        </w:tc>
        <w:tc>
          <w:tcPr>
            <w:tcW w:w="2021" w:type="dxa"/>
          </w:tcPr>
          <w:p w:rsidR="002534C2" w:rsidRPr="00E721BD" w:rsidRDefault="00982486" w:rsidP="006346A7">
            <w:pPr>
              <w:contextualSpacing/>
              <w:jc w:val="both"/>
              <w:rPr>
                <w:rFonts w:ascii="Times New Roman" w:hAnsi="Times New Roman"/>
              </w:rPr>
            </w:pPr>
            <w:r>
              <w:rPr>
                <w:rFonts w:ascii="Times New Roman" w:hAnsi="Times New Roman"/>
              </w:rPr>
              <w:t>См. аналитическую записку</w:t>
            </w:r>
          </w:p>
        </w:tc>
      </w:tr>
      <w:tr w:rsidR="002534C2" w:rsidRPr="00E721BD" w:rsidTr="009E2774">
        <w:tc>
          <w:tcPr>
            <w:tcW w:w="10421" w:type="dxa"/>
            <w:gridSpan w:val="6"/>
          </w:tcPr>
          <w:p w:rsidR="002534C2" w:rsidRPr="00E721BD" w:rsidRDefault="002534C2" w:rsidP="00552348">
            <w:pPr>
              <w:contextualSpacing/>
              <w:jc w:val="center"/>
              <w:rPr>
                <w:rFonts w:ascii="Times New Roman" w:hAnsi="Times New Roman" w:cs="Times New Roman"/>
                <w:b/>
                <w:sz w:val="24"/>
                <w:szCs w:val="24"/>
              </w:rPr>
            </w:pPr>
            <w:r>
              <w:rPr>
                <w:rFonts w:ascii="Times New Roman" w:hAnsi="Times New Roman"/>
                <w:b/>
              </w:rPr>
              <w:t>Цель 2.5</w:t>
            </w:r>
            <w:r w:rsidRPr="00E721BD">
              <w:rPr>
                <w:rFonts w:ascii="Times New Roman" w:hAnsi="Times New Roman"/>
                <w:b/>
              </w:rPr>
              <w:t xml:space="preserve">. </w:t>
            </w:r>
            <w:r w:rsidRPr="00E721BD">
              <w:rPr>
                <w:rFonts w:ascii="Times New Roman" w:hAnsi="Times New Roman"/>
              </w:rPr>
              <w:t>О</w:t>
            </w:r>
            <w:r>
              <w:rPr>
                <w:rFonts w:ascii="Times New Roman" w:hAnsi="Times New Roman"/>
              </w:rPr>
              <w:t>беспечение</w:t>
            </w:r>
            <w:r w:rsidRPr="00E721BD">
              <w:rPr>
                <w:rFonts w:ascii="Times New Roman" w:hAnsi="Times New Roman"/>
              </w:rPr>
              <w:t xml:space="preserve"> эффективного валютного регулирования и валютного контроля</w:t>
            </w:r>
          </w:p>
        </w:tc>
      </w:tr>
      <w:tr w:rsidR="002534C2" w:rsidRPr="00E721BD" w:rsidTr="00F17E4A">
        <w:tc>
          <w:tcPr>
            <w:tcW w:w="3064" w:type="dxa"/>
          </w:tcPr>
          <w:p w:rsidR="002534C2" w:rsidRPr="00E721BD" w:rsidRDefault="002534C2" w:rsidP="006346A7">
            <w:pPr>
              <w:contextualSpacing/>
              <w:jc w:val="both"/>
              <w:rPr>
                <w:rFonts w:ascii="Times New Roman" w:hAnsi="Times New Roman"/>
                <w:b/>
              </w:rPr>
            </w:pPr>
            <w:r w:rsidRPr="00E721BD">
              <w:rPr>
                <w:rFonts w:ascii="Times New Roman" w:hAnsi="Times New Roman"/>
                <w:b/>
              </w:rPr>
              <w:t>Целевой индикатор 1</w:t>
            </w:r>
          </w:p>
        </w:tc>
        <w:tc>
          <w:tcPr>
            <w:tcW w:w="1844" w:type="dxa"/>
          </w:tcPr>
          <w:p w:rsidR="002534C2" w:rsidRPr="00E721BD" w:rsidRDefault="002534C2" w:rsidP="006346A7">
            <w:pPr>
              <w:contextualSpacing/>
              <w:jc w:val="both"/>
              <w:rPr>
                <w:rFonts w:ascii="Times New Roman" w:hAnsi="Times New Roman"/>
              </w:rPr>
            </w:pPr>
          </w:p>
        </w:tc>
        <w:tc>
          <w:tcPr>
            <w:tcW w:w="1478" w:type="dxa"/>
          </w:tcPr>
          <w:p w:rsidR="002534C2" w:rsidRPr="00E721BD" w:rsidRDefault="002534C2" w:rsidP="006346A7">
            <w:pPr>
              <w:contextualSpacing/>
              <w:jc w:val="both"/>
              <w:rPr>
                <w:rFonts w:ascii="Times New Roman" w:hAnsi="Times New Roman"/>
              </w:rPr>
            </w:pPr>
          </w:p>
        </w:tc>
        <w:tc>
          <w:tcPr>
            <w:tcW w:w="850" w:type="dxa"/>
          </w:tcPr>
          <w:p w:rsidR="002534C2" w:rsidRPr="00E721BD" w:rsidRDefault="002534C2" w:rsidP="006346A7">
            <w:pPr>
              <w:contextualSpacing/>
              <w:jc w:val="both"/>
              <w:rPr>
                <w:rFonts w:ascii="Times New Roman" w:hAnsi="Times New Roman"/>
              </w:rPr>
            </w:pPr>
          </w:p>
        </w:tc>
        <w:tc>
          <w:tcPr>
            <w:tcW w:w="1164" w:type="dxa"/>
          </w:tcPr>
          <w:p w:rsidR="002534C2" w:rsidRPr="00E721BD" w:rsidRDefault="002534C2" w:rsidP="006346A7">
            <w:pPr>
              <w:contextualSpacing/>
              <w:jc w:val="both"/>
              <w:rPr>
                <w:rFonts w:ascii="Times New Roman" w:hAnsi="Times New Roman"/>
              </w:rPr>
            </w:pPr>
          </w:p>
        </w:tc>
        <w:tc>
          <w:tcPr>
            <w:tcW w:w="2021" w:type="dxa"/>
          </w:tcPr>
          <w:p w:rsidR="002534C2" w:rsidRPr="00E721BD" w:rsidRDefault="002534C2" w:rsidP="006346A7">
            <w:pPr>
              <w:contextualSpacing/>
              <w:jc w:val="both"/>
              <w:rPr>
                <w:rFonts w:ascii="Times New Roman" w:hAnsi="Times New Roman" w:cs="Times New Roman"/>
                <w:b/>
                <w:sz w:val="24"/>
                <w:szCs w:val="24"/>
              </w:rPr>
            </w:pPr>
          </w:p>
        </w:tc>
      </w:tr>
      <w:tr w:rsidR="002534C2" w:rsidRPr="00E721BD" w:rsidTr="00F17E4A">
        <w:tc>
          <w:tcPr>
            <w:tcW w:w="3064" w:type="dxa"/>
          </w:tcPr>
          <w:p w:rsidR="002534C2" w:rsidRPr="00E721BD" w:rsidRDefault="002534C2" w:rsidP="006346A7">
            <w:pPr>
              <w:contextualSpacing/>
              <w:jc w:val="both"/>
              <w:rPr>
                <w:rFonts w:ascii="Times New Roman" w:hAnsi="Times New Roman"/>
              </w:rPr>
            </w:pPr>
            <w:r w:rsidRPr="00E721BD">
              <w:rPr>
                <w:rFonts w:ascii="Times New Roman" w:hAnsi="Times New Roman"/>
                <w:iCs/>
              </w:rPr>
              <w:t>Пороговое значение в отношении суммы внешнеторгового контракта, при превышении которого такой контракт попадает под требование учетной регистрации</w:t>
            </w:r>
          </w:p>
        </w:tc>
        <w:tc>
          <w:tcPr>
            <w:tcW w:w="1844" w:type="dxa"/>
          </w:tcPr>
          <w:p w:rsidR="002534C2" w:rsidRPr="00E721BD" w:rsidRDefault="002534C2" w:rsidP="006346A7">
            <w:pPr>
              <w:contextualSpacing/>
              <w:jc w:val="both"/>
              <w:rPr>
                <w:rFonts w:ascii="Times New Roman" w:hAnsi="Times New Roman"/>
              </w:rPr>
            </w:pPr>
            <w:r w:rsidRPr="00E721BD">
              <w:rPr>
                <w:rFonts w:ascii="Times New Roman" w:hAnsi="Times New Roman"/>
              </w:rPr>
              <w:t>НПА</w:t>
            </w:r>
          </w:p>
        </w:tc>
        <w:tc>
          <w:tcPr>
            <w:tcW w:w="1478" w:type="dxa"/>
          </w:tcPr>
          <w:p w:rsidR="002534C2" w:rsidRPr="00E721BD" w:rsidRDefault="002534C2" w:rsidP="006346A7">
            <w:pPr>
              <w:keepNext/>
              <w:keepLines/>
              <w:tabs>
                <w:tab w:val="left" w:pos="900"/>
                <w:tab w:val="left" w:pos="1080"/>
              </w:tabs>
              <w:contextualSpacing/>
              <w:jc w:val="both"/>
              <w:rPr>
                <w:rFonts w:ascii="Times New Roman" w:hAnsi="Times New Roman"/>
              </w:rPr>
            </w:pPr>
            <w:r w:rsidRPr="00E721BD">
              <w:rPr>
                <w:rFonts w:ascii="Times New Roman" w:hAnsi="Times New Roman"/>
              </w:rPr>
              <w:t>Тыс.</w:t>
            </w:r>
          </w:p>
          <w:p w:rsidR="002534C2" w:rsidRPr="00E721BD" w:rsidRDefault="002534C2" w:rsidP="006346A7">
            <w:pPr>
              <w:keepNext/>
              <w:keepLines/>
              <w:tabs>
                <w:tab w:val="left" w:pos="900"/>
                <w:tab w:val="left" w:pos="1080"/>
              </w:tabs>
              <w:contextualSpacing/>
              <w:jc w:val="both"/>
              <w:rPr>
                <w:rFonts w:ascii="Times New Roman" w:hAnsi="Times New Roman"/>
              </w:rPr>
            </w:pPr>
            <w:r w:rsidRPr="00E721BD">
              <w:rPr>
                <w:rFonts w:ascii="Times New Roman" w:hAnsi="Times New Roman"/>
              </w:rPr>
              <w:t>долл.</w:t>
            </w:r>
          </w:p>
          <w:p w:rsidR="002534C2" w:rsidRPr="00E721BD" w:rsidRDefault="002534C2" w:rsidP="006346A7">
            <w:pPr>
              <w:keepNext/>
              <w:keepLines/>
              <w:tabs>
                <w:tab w:val="left" w:pos="900"/>
                <w:tab w:val="left" w:pos="1080"/>
              </w:tabs>
              <w:contextualSpacing/>
              <w:jc w:val="both"/>
              <w:rPr>
                <w:rFonts w:ascii="Times New Roman" w:hAnsi="Times New Roman"/>
              </w:rPr>
            </w:pPr>
            <w:r w:rsidRPr="00E721BD">
              <w:rPr>
                <w:rFonts w:ascii="Times New Roman" w:hAnsi="Times New Roman"/>
              </w:rPr>
              <w:t>США</w:t>
            </w:r>
          </w:p>
        </w:tc>
        <w:tc>
          <w:tcPr>
            <w:tcW w:w="850" w:type="dxa"/>
          </w:tcPr>
          <w:p w:rsidR="002534C2" w:rsidRPr="00E721BD" w:rsidRDefault="002534C2" w:rsidP="006346A7">
            <w:pPr>
              <w:keepNext/>
              <w:keepLines/>
              <w:tabs>
                <w:tab w:val="left" w:pos="900"/>
                <w:tab w:val="left" w:pos="1080"/>
              </w:tabs>
              <w:contextualSpacing/>
              <w:jc w:val="both"/>
              <w:rPr>
                <w:rFonts w:ascii="Times New Roman" w:hAnsi="Times New Roman"/>
              </w:rPr>
            </w:pPr>
            <w:r w:rsidRPr="00E721BD">
              <w:rPr>
                <w:rFonts w:ascii="Times New Roman" w:hAnsi="Times New Roman"/>
              </w:rPr>
              <w:t>50</w:t>
            </w:r>
          </w:p>
        </w:tc>
        <w:tc>
          <w:tcPr>
            <w:tcW w:w="1164" w:type="dxa"/>
          </w:tcPr>
          <w:p w:rsidR="002534C2" w:rsidRPr="00E721BD" w:rsidRDefault="00430F53" w:rsidP="006346A7">
            <w:pPr>
              <w:keepNext/>
              <w:keepLines/>
              <w:tabs>
                <w:tab w:val="left" w:pos="972"/>
                <w:tab w:val="left" w:pos="1080"/>
              </w:tabs>
              <w:contextualSpacing/>
              <w:jc w:val="both"/>
              <w:rPr>
                <w:rFonts w:ascii="Times New Roman" w:hAnsi="Times New Roman"/>
              </w:rPr>
            </w:pPr>
            <w:r>
              <w:rPr>
                <w:rFonts w:ascii="Times New Roman" w:hAnsi="Times New Roman"/>
              </w:rPr>
              <w:t>50</w:t>
            </w:r>
          </w:p>
        </w:tc>
        <w:tc>
          <w:tcPr>
            <w:tcW w:w="2021" w:type="dxa"/>
          </w:tcPr>
          <w:p w:rsidR="002534C2" w:rsidRPr="00E721BD" w:rsidRDefault="002534C2" w:rsidP="006346A7">
            <w:pPr>
              <w:contextualSpacing/>
              <w:jc w:val="both"/>
              <w:rPr>
                <w:rFonts w:ascii="Times New Roman" w:hAnsi="Times New Roman" w:cs="Times New Roman"/>
                <w:b/>
                <w:sz w:val="24"/>
                <w:szCs w:val="24"/>
              </w:rPr>
            </w:pPr>
          </w:p>
        </w:tc>
      </w:tr>
      <w:tr w:rsidR="002534C2" w:rsidRPr="00E721BD" w:rsidTr="00F17E4A">
        <w:tc>
          <w:tcPr>
            <w:tcW w:w="3064" w:type="dxa"/>
          </w:tcPr>
          <w:p w:rsidR="002534C2" w:rsidRPr="00E721BD" w:rsidRDefault="002534C2" w:rsidP="006346A7">
            <w:pPr>
              <w:contextualSpacing/>
              <w:jc w:val="both"/>
              <w:rPr>
                <w:rFonts w:ascii="Times New Roman" w:hAnsi="Times New Roman"/>
              </w:rPr>
            </w:pPr>
            <w:r w:rsidRPr="00E721BD">
              <w:rPr>
                <w:rFonts w:ascii="Times New Roman" w:hAnsi="Times New Roman"/>
                <w:b/>
              </w:rPr>
              <w:t>Целевой индикатор 2</w:t>
            </w:r>
          </w:p>
        </w:tc>
        <w:tc>
          <w:tcPr>
            <w:tcW w:w="1844" w:type="dxa"/>
          </w:tcPr>
          <w:p w:rsidR="002534C2" w:rsidRPr="00E721BD" w:rsidRDefault="002534C2" w:rsidP="006346A7">
            <w:pPr>
              <w:contextualSpacing/>
              <w:jc w:val="both"/>
              <w:rPr>
                <w:rFonts w:ascii="Times New Roman" w:hAnsi="Times New Roman"/>
              </w:rPr>
            </w:pPr>
          </w:p>
        </w:tc>
        <w:tc>
          <w:tcPr>
            <w:tcW w:w="1478" w:type="dxa"/>
          </w:tcPr>
          <w:p w:rsidR="002534C2" w:rsidRPr="00E721BD" w:rsidRDefault="002534C2" w:rsidP="006346A7">
            <w:pPr>
              <w:contextualSpacing/>
              <w:jc w:val="both"/>
              <w:rPr>
                <w:rFonts w:ascii="Times New Roman" w:hAnsi="Times New Roman"/>
              </w:rPr>
            </w:pPr>
          </w:p>
        </w:tc>
        <w:tc>
          <w:tcPr>
            <w:tcW w:w="850" w:type="dxa"/>
          </w:tcPr>
          <w:p w:rsidR="002534C2" w:rsidRPr="00E721BD" w:rsidRDefault="002534C2" w:rsidP="006346A7">
            <w:pPr>
              <w:contextualSpacing/>
              <w:jc w:val="both"/>
              <w:rPr>
                <w:rFonts w:ascii="Times New Roman" w:hAnsi="Times New Roman"/>
              </w:rPr>
            </w:pPr>
          </w:p>
        </w:tc>
        <w:tc>
          <w:tcPr>
            <w:tcW w:w="1164" w:type="dxa"/>
          </w:tcPr>
          <w:p w:rsidR="002534C2" w:rsidRPr="00E721BD" w:rsidRDefault="002534C2" w:rsidP="006346A7">
            <w:pPr>
              <w:contextualSpacing/>
              <w:jc w:val="both"/>
              <w:rPr>
                <w:rFonts w:ascii="Times New Roman" w:hAnsi="Times New Roman"/>
              </w:rPr>
            </w:pPr>
          </w:p>
        </w:tc>
        <w:tc>
          <w:tcPr>
            <w:tcW w:w="2021" w:type="dxa"/>
          </w:tcPr>
          <w:p w:rsidR="002534C2" w:rsidRPr="00E721BD" w:rsidRDefault="002534C2" w:rsidP="006346A7">
            <w:pPr>
              <w:contextualSpacing/>
              <w:jc w:val="both"/>
              <w:rPr>
                <w:rFonts w:ascii="Times New Roman" w:hAnsi="Times New Roman" w:cs="Times New Roman"/>
                <w:b/>
                <w:sz w:val="24"/>
                <w:szCs w:val="24"/>
              </w:rPr>
            </w:pPr>
          </w:p>
        </w:tc>
      </w:tr>
      <w:tr w:rsidR="002534C2" w:rsidRPr="00E721BD" w:rsidTr="00F17E4A">
        <w:tc>
          <w:tcPr>
            <w:tcW w:w="3064" w:type="dxa"/>
          </w:tcPr>
          <w:p w:rsidR="002534C2" w:rsidRPr="00E721BD" w:rsidRDefault="002534C2" w:rsidP="006346A7">
            <w:pPr>
              <w:contextualSpacing/>
              <w:jc w:val="both"/>
              <w:rPr>
                <w:rFonts w:ascii="Times New Roman" w:hAnsi="Times New Roman"/>
              </w:rPr>
            </w:pPr>
            <w:r w:rsidRPr="00E721BD">
              <w:rPr>
                <w:rFonts w:ascii="Times New Roman" w:hAnsi="Times New Roman"/>
              </w:rPr>
              <w:t>Количество юридических лиц, исключительным видом деятельности которых является организация обменных операций с наличной иностранной валютой, охваченных проверками на основе системы оценки степени рисков</w:t>
            </w:r>
          </w:p>
        </w:tc>
        <w:tc>
          <w:tcPr>
            <w:tcW w:w="1844" w:type="dxa"/>
          </w:tcPr>
          <w:p w:rsidR="002534C2" w:rsidRPr="00E721BD" w:rsidRDefault="002534C2" w:rsidP="006346A7">
            <w:pPr>
              <w:contextualSpacing/>
              <w:jc w:val="both"/>
              <w:rPr>
                <w:rFonts w:ascii="Times New Roman" w:hAnsi="Times New Roman"/>
              </w:rPr>
            </w:pPr>
            <w:r w:rsidRPr="00E721BD">
              <w:rPr>
                <w:rFonts w:ascii="Times New Roman" w:hAnsi="Times New Roman"/>
              </w:rPr>
              <w:t>НБРК</w:t>
            </w:r>
          </w:p>
        </w:tc>
        <w:tc>
          <w:tcPr>
            <w:tcW w:w="1478" w:type="dxa"/>
          </w:tcPr>
          <w:p w:rsidR="002534C2" w:rsidRPr="00E721BD" w:rsidRDefault="002534C2" w:rsidP="006346A7">
            <w:pPr>
              <w:keepNext/>
              <w:keepLines/>
              <w:tabs>
                <w:tab w:val="left" w:pos="900"/>
                <w:tab w:val="left" w:pos="1080"/>
              </w:tabs>
              <w:contextualSpacing/>
              <w:jc w:val="both"/>
              <w:rPr>
                <w:rFonts w:ascii="Times New Roman" w:hAnsi="Times New Roman"/>
              </w:rPr>
            </w:pPr>
            <w:r w:rsidRPr="00E721BD">
              <w:rPr>
                <w:rFonts w:ascii="Times New Roman" w:hAnsi="Times New Roman"/>
              </w:rPr>
              <w:t>%</w:t>
            </w:r>
          </w:p>
        </w:tc>
        <w:tc>
          <w:tcPr>
            <w:tcW w:w="850" w:type="dxa"/>
          </w:tcPr>
          <w:p w:rsidR="002534C2" w:rsidRPr="00E721BD" w:rsidRDefault="002534C2" w:rsidP="006346A7">
            <w:pPr>
              <w:contextualSpacing/>
              <w:jc w:val="both"/>
              <w:rPr>
                <w:rFonts w:ascii="Times New Roman" w:hAnsi="Times New Roman"/>
              </w:rPr>
            </w:pPr>
            <w:r w:rsidRPr="00E721BD">
              <w:rPr>
                <w:rFonts w:ascii="Times New Roman" w:hAnsi="Times New Roman"/>
              </w:rPr>
              <w:t>30-60%</w:t>
            </w:r>
          </w:p>
        </w:tc>
        <w:tc>
          <w:tcPr>
            <w:tcW w:w="1164" w:type="dxa"/>
          </w:tcPr>
          <w:p w:rsidR="002534C2" w:rsidRPr="00E721BD" w:rsidRDefault="00430F53" w:rsidP="006346A7">
            <w:pPr>
              <w:contextualSpacing/>
              <w:jc w:val="both"/>
              <w:rPr>
                <w:rFonts w:ascii="Times New Roman" w:hAnsi="Times New Roman"/>
              </w:rPr>
            </w:pPr>
            <w:r>
              <w:rPr>
                <w:rFonts w:ascii="Times New Roman" w:hAnsi="Times New Roman"/>
              </w:rPr>
              <w:t>41,1% (204 проверки)</w:t>
            </w:r>
          </w:p>
        </w:tc>
        <w:tc>
          <w:tcPr>
            <w:tcW w:w="2021" w:type="dxa"/>
          </w:tcPr>
          <w:p w:rsidR="002534C2" w:rsidRPr="00E721BD" w:rsidRDefault="002534C2" w:rsidP="006346A7">
            <w:pPr>
              <w:contextualSpacing/>
              <w:jc w:val="both"/>
              <w:rPr>
                <w:rFonts w:ascii="Times New Roman" w:hAnsi="Times New Roman" w:cs="Times New Roman"/>
                <w:b/>
                <w:sz w:val="24"/>
                <w:szCs w:val="24"/>
              </w:rPr>
            </w:pPr>
          </w:p>
        </w:tc>
      </w:tr>
      <w:tr w:rsidR="002534C2" w:rsidRPr="00E721BD" w:rsidTr="009E2774">
        <w:tc>
          <w:tcPr>
            <w:tcW w:w="10421" w:type="dxa"/>
            <w:gridSpan w:val="6"/>
          </w:tcPr>
          <w:p w:rsidR="002534C2" w:rsidRPr="00E721BD" w:rsidRDefault="002534C2" w:rsidP="00552348">
            <w:pPr>
              <w:contextualSpacing/>
              <w:jc w:val="center"/>
              <w:rPr>
                <w:rFonts w:ascii="Times New Roman" w:hAnsi="Times New Roman" w:cs="Times New Roman"/>
                <w:b/>
                <w:sz w:val="24"/>
                <w:szCs w:val="24"/>
              </w:rPr>
            </w:pPr>
            <w:r>
              <w:rPr>
                <w:rFonts w:ascii="Times New Roman" w:hAnsi="Times New Roman"/>
                <w:b/>
              </w:rPr>
              <w:t>Цель 2.6</w:t>
            </w:r>
            <w:r w:rsidRPr="00E721BD">
              <w:rPr>
                <w:rFonts w:ascii="Times New Roman" w:hAnsi="Times New Roman"/>
                <w:b/>
              </w:rPr>
              <w:t xml:space="preserve">. </w:t>
            </w:r>
            <w:r>
              <w:rPr>
                <w:rFonts w:ascii="Times New Roman" w:hAnsi="Times New Roman"/>
              </w:rPr>
              <w:t>Обеспечение надлежащего уровня защиты прав и законных интересов потребителей финансовых услуг</w:t>
            </w:r>
          </w:p>
        </w:tc>
      </w:tr>
      <w:tr w:rsidR="002534C2" w:rsidRPr="00E721BD" w:rsidTr="00F17E4A">
        <w:tc>
          <w:tcPr>
            <w:tcW w:w="3064" w:type="dxa"/>
          </w:tcPr>
          <w:p w:rsidR="002534C2" w:rsidRPr="00E721BD" w:rsidRDefault="002534C2" w:rsidP="006346A7">
            <w:pPr>
              <w:contextualSpacing/>
              <w:jc w:val="both"/>
              <w:rPr>
                <w:rFonts w:ascii="Times New Roman" w:hAnsi="Times New Roman"/>
                <w:b/>
              </w:rPr>
            </w:pPr>
            <w:r w:rsidRPr="00E721BD">
              <w:rPr>
                <w:rFonts w:ascii="Times New Roman" w:hAnsi="Times New Roman"/>
                <w:b/>
              </w:rPr>
              <w:t>Целевой индикатор</w:t>
            </w:r>
          </w:p>
        </w:tc>
        <w:tc>
          <w:tcPr>
            <w:tcW w:w="1844" w:type="dxa"/>
          </w:tcPr>
          <w:p w:rsidR="002534C2" w:rsidRPr="00E721BD" w:rsidRDefault="002534C2" w:rsidP="006346A7">
            <w:pPr>
              <w:contextualSpacing/>
              <w:jc w:val="both"/>
              <w:rPr>
                <w:rFonts w:ascii="Times New Roman" w:hAnsi="Times New Roman"/>
              </w:rPr>
            </w:pPr>
          </w:p>
        </w:tc>
        <w:tc>
          <w:tcPr>
            <w:tcW w:w="1478" w:type="dxa"/>
          </w:tcPr>
          <w:p w:rsidR="002534C2" w:rsidRPr="00E721BD" w:rsidRDefault="002534C2" w:rsidP="006346A7">
            <w:pPr>
              <w:contextualSpacing/>
              <w:jc w:val="both"/>
              <w:rPr>
                <w:rFonts w:ascii="Times New Roman" w:hAnsi="Times New Roman"/>
              </w:rPr>
            </w:pPr>
          </w:p>
        </w:tc>
        <w:tc>
          <w:tcPr>
            <w:tcW w:w="850" w:type="dxa"/>
          </w:tcPr>
          <w:p w:rsidR="002534C2" w:rsidRPr="00E721BD" w:rsidRDefault="002534C2" w:rsidP="006346A7">
            <w:pPr>
              <w:contextualSpacing/>
              <w:jc w:val="both"/>
              <w:rPr>
                <w:rFonts w:ascii="Times New Roman" w:hAnsi="Times New Roman"/>
              </w:rPr>
            </w:pPr>
          </w:p>
        </w:tc>
        <w:tc>
          <w:tcPr>
            <w:tcW w:w="1164" w:type="dxa"/>
          </w:tcPr>
          <w:p w:rsidR="002534C2" w:rsidRPr="00E721BD" w:rsidRDefault="002534C2" w:rsidP="006346A7">
            <w:pPr>
              <w:contextualSpacing/>
              <w:jc w:val="both"/>
              <w:rPr>
                <w:rFonts w:ascii="Times New Roman" w:hAnsi="Times New Roman"/>
              </w:rPr>
            </w:pPr>
          </w:p>
        </w:tc>
        <w:tc>
          <w:tcPr>
            <w:tcW w:w="2021" w:type="dxa"/>
          </w:tcPr>
          <w:p w:rsidR="002534C2" w:rsidRPr="00E721BD" w:rsidRDefault="002534C2" w:rsidP="006346A7">
            <w:pPr>
              <w:contextualSpacing/>
              <w:jc w:val="both"/>
              <w:rPr>
                <w:rFonts w:ascii="Times New Roman" w:hAnsi="Times New Roman"/>
              </w:rPr>
            </w:pPr>
          </w:p>
        </w:tc>
      </w:tr>
      <w:tr w:rsidR="00F17E4A" w:rsidRPr="00E721BD" w:rsidTr="00F17E4A">
        <w:tc>
          <w:tcPr>
            <w:tcW w:w="3064" w:type="dxa"/>
          </w:tcPr>
          <w:p w:rsidR="00F17E4A" w:rsidRPr="00E721BD" w:rsidRDefault="00F17E4A" w:rsidP="006346A7">
            <w:pPr>
              <w:contextualSpacing/>
              <w:jc w:val="both"/>
              <w:rPr>
                <w:rFonts w:ascii="Times New Roman" w:hAnsi="Times New Roman"/>
              </w:rPr>
            </w:pPr>
            <w:r w:rsidRPr="00E721BD">
              <w:rPr>
                <w:rFonts w:ascii="Times New Roman" w:hAnsi="Times New Roman"/>
              </w:rPr>
              <w:t>Доля потребителей, оказывающих доверие финансовому рынку</w:t>
            </w:r>
          </w:p>
        </w:tc>
        <w:tc>
          <w:tcPr>
            <w:tcW w:w="1844" w:type="dxa"/>
          </w:tcPr>
          <w:p w:rsidR="00F17E4A" w:rsidRPr="00E721BD" w:rsidRDefault="00F17E4A" w:rsidP="006346A7">
            <w:pPr>
              <w:contextualSpacing/>
              <w:jc w:val="both"/>
              <w:rPr>
                <w:rFonts w:ascii="Times New Roman" w:hAnsi="Times New Roman"/>
              </w:rPr>
            </w:pPr>
            <w:r w:rsidRPr="00E721BD">
              <w:rPr>
                <w:rFonts w:ascii="Times New Roman" w:hAnsi="Times New Roman"/>
              </w:rPr>
              <w:t>Опрос</w:t>
            </w:r>
            <w:r>
              <w:rPr>
                <w:rFonts w:ascii="Times New Roman" w:hAnsi="Times New Roman"/>
              </w:rPr>
              <w:t xml:space="preserve"> НБРК</w:t>
            </w:r>
          </w:p>
        </w:tc>
        <w:tc>
          <w:tcPr>
            <w:tcW w:w="1478" w:type="dxa"/>
          </w:tcPr>
          <w:p w:rsidR="00F17E4A" w:rsidRPr="00E721BD" w:rsidRDefault="00F17E4A" w:rsidP="006346A7">
            <w:pPr>
              <w:contextualSpacing/>
              <w:jc w:val="both"/>
              <w:rPr>
                <w:rFonts w:ascii="Times New Roman" w:hAnsi="Times New Roman"/>
              </w:rPr>
            </w:pPr>
            <w:r w:rsidRPr="00E721BD">
              <w:rPr>
                <w:rFonts w:ascii="Times New Roman" w:hAnsi="Times New Roman"/>
              </w:rPr>
              <w:t>% опрошенных</w:t>
            </w:r>
          </w:p>
        </w:tc>
        <w:tc>
          <w:tcPr>
            <w:tcW w:w="850" w:type="dxa"/>
          </w:tcPr>
          <w:p w:rsidR="00F17E4A" w:rsidRPr="00E721BD" w:rsidRDefault="00F17E4A" w:rsidP="00207A6B">
            <w:pPr>
              <w:keepNext/>
              <w:keepLines/>
              <w:tabs>
                <w:tab w:val="left" w:pos="900"/>
                <w:tab w:val="left" w:pos="1080"/>
              </w:tabs>
              <w:contextualSpacing/>
              <w:jc w:val="both"/>
              <w:rPr>
                <w:rFonts w:ascii="Times New Roman" w:hAnsi="Times New Roman"/>
              </w:rPr>
            </w:pPr>
            <w:r>
              <w:rPr>
                <w:rFonts w:ascii="Times New Roman" w:hAnsi="Times New Roman"/>
              </w:rPr>
              <w:t>43</w:t>
            </w:r>
          </w:p>
        </w:tc>
        <w:tc>
          <w:tcPr>
            <w:tcW w:w="1164" w:type="dxa"/>
          </w:tcPr>
          <w:p w:rsidR="00F17E4A" w:rsidRPr="00F17E4A" w:rsidRDefault="00F17E4A" w:rsidP="00504FEA">
            <w:pPr>
              <w:keepNext/>
              <w:keepLines/>
              <w:tabs>
                <w:tab w:val="left" w:pos="900"/>
                <w:tab w:val="left" w:pos="1080"/>
              </w:tabs>
              <w:contextualSpacing/>
              <w:jc w:val="both"/>
              <w:rPr>
                <w:rFonts w:ascii="Times New Roman" w:hAnsi="Times New Roman"/>
              </w:rPr>
            </w:pPr>
            <w:r w:rsidRPr="00F17E4A">
              <w:rPr>
                <w:rFonts w:ascii="Times New Roman" w:hAnsi="Times New Roman"/>
              </w:rPr>
              <w:t>32</w:t>
            </w:r>
          </w:p>
        </w:tc>
        <w:tc>
          <w:tcPr>
            <w:tcW w:w="2021" w:type="dxa"/>
          </w:tcPr>
          <w:p w:rsidR="00F17E4A" w:rsidRPr="00F17E4A" w:rsidRDefault="00F17E4A" w:rsidP="00504FEA">
            <w:pPr>
              <w:contextualSpacing/>
              <w:jc w:val="both"/>
              <w:rPr>
                <w:rFonts w:ascii="Times New Roman" w:hAnsi="Times New Roman"/>
              </w:rPr>
            </w:pPr>
            <w:r w:rsidRPr="00F17E4A">
              <w:rPr>
                <w:rFonts w:ascii="Times New Roman" w:hAnsi="Times New Roman"/>
              </w:rPr>
              <w:t>См. аналитическую записку</w:t>
            </w:r>
          </w:p>
        </w:tc>
      </w:tr>
      <w:tr w:rsidR="00F17E4A" w:rsidRPr="00E721BD" w:rsidTr="009E2774">
        <w:tc>
          <w:tcPr>
            <w:tcW w:w="10421" w:type="dxa"/>
            <w:gridSpan w:val="6"/>
          </w:tcPr>
          <w:p w:rsidR="00F17E4A" w:rsidRPr="00E721BD" w:rsidRDefault="00F17E4A" w:rsidP="00552348">
            <w:pPr>
              <w:contextualSpacing/>
              <w:jc w:val="center"/>
              <w:rPr>
                <w:rFonts w:ascii="Times New Roman" w:hAnsi="Times New Roman" w:cs="Times New Roman"/>
                <w:b/>
                <w:sz w:val="24"/>
                <w:szCs w:val="24"/>
              </w:rPr>
            </w:pPr>
            <w:r>
              <w:rPr>
                <w:rFonts w:ascii="Times New Roman" w:hAnsi="Times New Roman"/>
                <w:b/>
              </w:rPr>
              <w:t>Цель 2.7</w:t>
            </w:r>
            <w:r w:rsidRPr="00E721BD">
              <w:rPr>
                <w:rFonts w:ascii="Times New Roman" w:hAnsi="Times New Roman"/>
                <w:b/>
              </w:rPr>
              <w:t xml:space="preserve">. </w:t>
            </w:r>
            <w:r w:rsidRPr="00E721BD">
              <w:rPr>
                <w:rFonts w:ascii="Times New Roman" w:hAnsi="Times New Roman"/>
              </w:rPr>
              <w:t>Обеспечение функционирования платежных систем</w:t>
            </w:r>
          </w:p>
        </w:tc>
      </w:tr>
      <w:tr w:rsidR="00F17E4A" w:rsidRPr="00E721BD" w:rsidTr="00F17E4A">
        <w:tc>
          <w:tcPr>
            <w:tcW w:w="3064" w:type="dxa"/>
          </w:tcPr>
          <w:p w:rsidR="00F17E4A" w:rsidRPr="00E721BD" w:rsidRDefault="00F17E4A" w:rsidP="006346A7">
            <w:pPr>
              <w:contextualSpacing/>
              <w:jc w:val="both"/>
              <w:rPr>
                <w:rFonts w:ascii="Times New Roman" w:hAnsi="Times New Roman"/>
                <w:b/>
              </w:rPr>
            </w:pPr>
            <w:r w:rsidRPr="00E721BD">
              <w:rPr>
                <w:rFonts w:ascii="Times New Roman" w:hAnsi="Times New Roman"/>
                <w:b/>
              </w:rPr>
              <w:t>Целевой индикатор 1</w:t>
            </w:r>
          </w:p>
        </w:tc>
        <w:tc>
          <w:tcPr>
            <w:tcW w:w="1844" w:type="dxa"/>
          </w:tcPr>
          <w:p w:rsidR="00F17E4A" w:rsidRPr="00E721BD" w:rsidRDefault="00F17E4A" w:rsidP="006346A7">
            <w:pPr>
              <w:contextualSpacing/>
              <w:jc w:val="both"/>
              <w:rPr>
                <w:rFonts w:ascii="Times New Roman" w:hAnsi="Times New Roman"/>
              </w:rPr>
            </w:pPr>
          </w:p>
        </w:tc>
        <w:tc>
          <w:tcPr>
            <w:tcW w:w="1478" w:type="dxa"/>
          </w:tcPr>
          <w:p w:rsidR="00F17E4A" w:rsidRPr="00E721BD" w:rsidRDefault="00F17E4A" w:rsidP="006346A7">
            <w:pPr>
              <w:contextualSpacing/>
              <w:jc w:val="both"/>
              <w:rPr>
                <w:rFonts w:ascii="Times New Roman" w:hAnsi="Times New Roman"/>
              </w:rPr>
            </w:pPr>
          </w:p>
        </w:tc>
        <w:tc>
          <w:tcPr>
            <w:tcW w:w="850" w:type="dxa"/>
          </w:tcPr>
          <w:p w:rsidR="00F17E4A" w:rsidRPr="00E721BD" w:rsidRDefault="00F17E4A" w:rsidP="006346A7">
            <w:pPr>
              <w:contextualSpacing/>
              <w:jc w:val="both"/>
              <w:rPr>
                <w:rFonts w:ascii="Times New Roman" w:hAnsi="Times New Roman"/>
              </w:rPr>
            </w:pPr>
          </w:p>
        </w:tc>
        <w:tc>
          <w:tcPr>
            <w:tcW w:w="1164" w:type="dxa"/>
          </w:tcPr>
          <w:p w:rsidR="00F17E4A" w:rsidRPr="00E721BD" w:rsidRDefault="00F17E4A" w:rsidP="006346A7">
            <w:pPr>
              <w:contextualSpacing/>
              <w:jc w:val="both"/>
              <w:rPr>
                <w:rFonts w:ascii="Times New Roman" w:hAnsi="Times New Roman"/>
              </w:rPr>
            </w:pPr>
          </w:p>
        </w:tc>
        <w:tc>
          <w:tcPr>
            <w:tcW w:w="2021" w:type="dxa"/>
          </w:tcPr>
          <w:p w:rsidR="00F17E4A" w:rsidRPr="00E721BD" w:rsidRDefault="00F17E4A" w:rsidP="006346A7">
            <w:pPr>
              <w:contextualSpacing/>
              <w:jc w:val="both"/>
              <w:rPr>
                <w:rFonts w:ascii="Times New Roman" w:hAnsi="Times New Roman" w:cs="Times New Roman"/>
                <w:b/>
                <w:sz w:val="24"/>
                <w:szCs w:val="24"/>
              </w:rPr>
            </w:pPr>
          </w:p>
        </w:tc>
      </w:tr>
      <w:tr w:rsidR="00F17E4A" w:rsidRPr="00E721BD" w:rsidTr="00F17E4A">
        <w:tc>
          <w:tcPr>
            <w:tcW w:w="3064" w:type="dxa"/>
          </w:tcPr>
          <w:p w:rsidR="00F17E4A" w:rsidRPr="00E721BD" w:rsidRDefault="00F17E4A" w:rsidP="00552348">
            <w:pPr>
              <w:contextualSpacing/>
              <w:jc w:val="both"/>
              <w:rPr>
                <w:rFonts w:ascii="Times New Roman" w:hAnsi="Times New Roman"/>
              </w:rPr>
            </w:pPr>
            <w:r w:rsidRPr="00E721BD">
              <w:rPr>
                <w:rFonts w:ascii="Times New Roman" w:hAnsi="Times New Roman"/>
                <w:iCs/>
              </w:rPr>
              <w:t>Коэффициент работоспособности</w:t>
            </w:r>
            <w:r w:rsidRPr="00E721BD">
              <w:rPr>
                <w:rStyle w:val="a9"/>
                <w:iCs/>
              </w:rPr>
              <w:footnoteReference w:id="2"/>
            </w:r>
            <w:r w:rsidRPr="00E721BD">
              <w:rPr>
                <w:rFonts w:ascii="Times New Roman" w:hAnsi="Times New Roman"/>
                <w:iCs/>
              </w:rPr>
              <w:t xml:space="preserve"> </w:t>
            </w:r>
            <w:r>
              <w:rPr>
                <w:rFonts w:ascii="Times New Roman" w:hAnsi="Times New Roman"/>
                <w:iCs/>
              </w:rPr>
              <w:t>Межбанковской системы переводов денег</w:t>
            </w:r>
            <w:r w:rsidRPr="00E721BD">
              <w:rPr>
                <w:rFonts w:ascii="Times New Roman" w:hAnsi="Times New Roman"/>
                <w:iCs/>
              </w:rPr>
              <w:t xml:space="preserve"> за год</w:t>
            </w:r>
          </w:p>
        </w:tc>
        <w:tc>
          <w:tcPr>
            <w:tcW w:w="1844" w:type="dxa"/>
          </w:tcPr>
          <w:p w:rsidR="00F17E4A" w:rsidRPr="00E721BD" w:rsidRDefault="00F17E4A" w:rsidP="006346A7">
            <w:pPr>
              <w:contextualSpacing/>
              <w:jc w:val="both"/>
              <w:rPr>
                <w:rFonts w:ascii="Times New Roman" w:hAnsi="Times New Roman"/>
              </w:rPr>
            </w:pPr>
            <w:r w:rsidRPr="00E721BD">
              <w:rPr>
                <w:rFonts w:ascii="Times New Roman" w:hAnsi="Times New Roman"/>
              </w:rPr>
              <w:t>НБРК</w:t>
            </w:r>
          </w:p>
        </w:tc>
        <w:tc>
          <w:tcPr>
            <w:tcW w:w="1478" w:type="dxa"/>
          </w:tcPr>
          <w:p w:rsidR="00F17E4A" w:rsidRPr="00E721BD" w:rsidRDefault="00F17E4A" w:rsidP="006346A7">
            <w:pPr>
              <w:contextualSpacing/>
              <w:jc w:val="both"/>
              <w:rPr>
                <w:rFonts w:ascii="Times New Roman" w:hAnsi="Times New Roman"/>
              </w:rPr>
            </w:pPr>
            <w:r w:rsidRPr="00E721BD">
              <w:rPr>
                <w:rFonts w:ascii="Times New Roman" w:hAnsi="Times New Roman"/>
              </w:rPr>
              <w:t>%</w:t>
            </w:r>
          </w:p>
        </w:tc>
        <w:tc>
          <w:tcPr>
            <w:tcW w:w="850" w:type="dxa"/>
          </w:tcPr>
          <w:p w:rsidR="00F17E4A" w:rsidRPr="00E721BD" w:rsidRDefault="00F17E4A" w:rsidP="006346A7">
            <w:pPr>
              <w:contextualSpacing/>
              <w:jc w:val="both"/>
              <w:rPr>
                <w:rFonts w:ascii="Times New Roman" w:hAnsi="Times New Roman"/>
              </w:rPr>
            </w:pPr>
            <w:r>
              <w:rPr>
                <w:rFonts w:ascii="Times New Roman" w:hAnsi="Times New Roman"/>
              </w:rPr>
              <w:t>95-100</w:t>
            </w:r>
          </w:p>
        </w:tc>
        <w:tc>
          <w:tcPr>
            <w:tcW w:w="1164" w:type="dxa"/>
          </w:tcPr>
          <w:p w:rsidR="00F17E4A" w:rsidRPr="00BE4A09" w:rsidRDefault="00F17E4A" w:rsidP="00021B0A">
            <w:pPr>
              <w:contextualSpacing/>
              <w:jc w:val="both"/>
              <w:rPr>
                <w:rFonts w:ascii="Times New Roman" w:hAnsi="Times New Roman"/>
              </w:rPr>
            </w:pPr>
            <w:r w:rsidRPr="00BE4A09">
              <w:rPr>
                <w:rFonts w:ascii="Times New Roman" w:hAnsi="Times New Roman"/>
              </w:rPr>
              <w:t>99,99%</w:t>
            </w:r>
          </w:p>
          <w:p w:rsidR="00F17E4A" w:rsidRPr="00E721BD" w:rsidRDefault="00F17E4A" w:rsidP="00021B0A">
            <w:pPr>
              <w:keepNext/>
              <w:keepLines/>
              <w:tabs>
                <w:tab w:val="left" w:pos="972"/>
                <w:tab w:val="left" w:pos="1080"/>
              </w:tabs>
              <w:contextualSpacing/>
              <w:jc w:val="both"/>
              <w:rPr>
                <w:rFonts w:ascii="Times New Roman" w:hAnsi="Times New Roman"/>
              </w:rPr>
            </w:pPr>
          </w:p>
        </w:tc>
        <w:tc>
          <w:tcPr>
            <w:tcW w:w="2021" w:type="dxa"/>
          </w:tcPr>
          <w:p w:rsidR="00F17E4A" w:rsidRPr="00E721BD" w:rsidRDefault="00F17E4A" w:rsidP="006346A7">
            <w:pPr>
              <w:contextualSpacing/>
              <w:jc w:val="both"/>
              <w:rPr>
                <w:rFonts w:ascii="Times New Roman" w:hAnsi="Times New Roman" w:cs="Times New Roman"/>
                <w:b/>
                <w:sz w:val="24"/>
                <w:szCs w:val="24"/>
              </w:rPr>
            </w:pPr>
          </w:p>
        </w:tc>
      </w:tr>
      <w:tr w:rsidR="00F17E4A" w:rsidRPr="00E721BD" w:rsidTr="00F17E4A">
        <w:tc>
          <w:tcPr>
            <w:tcW w:w="3064" w:type="dxa"/>
          </w:tcPr>
          <w:p w:rsidR="00F17E4A" w:rsidRPr="00E721BD" w:rsidRDefault="00F17E4A" w:rsidP="006346A7">
            <w:pPr>
              <w:contextualSpacing/>
              <w:jc w:val="both"/>
              <w:rPr>
                <w:rFonts w:ascii="Times New Roman" w:hAnsi="Times New Roman"/>
              </w:rPr>
            </w:pPr>
            <w:r w:rsidRPr="00E721BD">
              <w:rPr>
                <w:rFonts w:ascii="Times New Roman" w:hAnsi="Times New Roman"/>
                <w:b/>
              </w:rPr>
              <w:t>Целевой индикатор 2</w:t>
            </w:r>
          </w:p>
        </w:tc>
        <w:tc>
          <w:tcPr>
            <w:tcW w:w="1844" w:type="dxa"/>
          </w:tcPr>
          <w:p w:rsidR="00F17E4A" w:rsidRPr="00E721BD" w:rsidRDefault="00F17E4A" w:rsidP="006346A7">
            <w:pPr>
              <w:contextualSpacing/>
              <w:jc w:val="both"/>
              <w:rPr>
                <w:rFonts w:ascii="Times New Roman" w:hAnsi="Times New Roman"/>
              </w:rPr>
            </w:pPr>
          </w:p>
        </w:tc>
        <w:tc>
          <w:tcPr>
            <w:tcW w:w="1478" w:type="dxa"/>
          </w:tcPr>
          <w:p w:rsidR="00F17E4A" w:rsidRPr="00E721BD" w:rsidRDefault="00F17E4A" w:rsidP="006346A7">
            <w:pPr>
              <w:contextualSpacing/>
              <w:jc w:val="both"/>
              <w:rPr>
                <w:rFonts w:ascii="Times New Roman" w:hAnsi="Times New Roman"/>
              </w:rPr>
            </w:pPr>
          </w:p>
        </w:tc>
        <w:tc>
          <w:tcPr>
            <w:tcW w:w="850" w:type="dxa"/>
          </w:tcPr>
          <w:p w:rsidR="00F17E4A" w:rsidRPr="00E721BD" w:rsidRDefault="00F17E4A" w:rsidP="006346A7">
            <w:pPr>
              <w:contextualSpacing/>
              <w:jc w:val="both"/>
              <w:rPr>
                <w:rFonts w:ascii="Times New Roman" w:hAnsi="Times New Roman"/>
              </w:rPr>
            </w:pPr>
          </w:p>
        </w:tc>
        <w:tc>
          <w:tcPr>
            <w:tcW w:w="1164" w:type="dxa"/>
          </w:tcPr>
          <w:p w:rsidR="00F17E4A" w:rsidRPr="00E721BD" w:rsidRDefault="00F17E4A" w:rsidP="00021B0A">
            <w:pPr>
              <w:contextualSpacing/>
              <w:jc w:val="both"/>
              <w:rPr>
                <w:rFonts w:ascii="Times New Roman" w:hAnsi="Times New Roman"/>
              </w:rPr>
            </w:pPr>
          </w:p>
        </w:tc>
        <w:tc>
          <w:tcPr>
            <w:tcW w:w="2021" w:type="dxa"/>
          </w:tcPr>
          <w:p w:rsidR="00F17E4A" w:rsidRPr="00E721BD" w:rsidRDefault="00F17E4A" w:rsidP="006346A7">
            <w:pPr>
              <w:contextualSpacing/>
              <w:jc w:val="both"/>
              <w:rPr>
                <w:rFonts w:ascii="Times New Roman" w:hAnsi="Times New Roman" w:cs="Times New Roman"/>
                <w:b/>
                <w:sz w:val="24"/>
                <w:szCs w:val="24"/>
              </w:rPr>
            </w:pPr>
          </w:p>
        </w:tc>
      </w:tr>
      <w:tr w:rsidR="00F17E4A" w:rsidRPr="00E721BD" w:rsidTr="00F17E4A">
        <w:tc>
          <w:tcPr>
            <w:tcW w:w="3064" w:type="dxa"/>
          </w:tcPr>
          <w:p w:rsidR="00F17E4A" w:rsidRPr="00E721BD" w:rsidRDefault="00F17E4A" w:rsidP="00552348">
            <w:pPr>
              <w:contextualSpacing/>
              <w:jc w:val="both"/>
              <w:rPr>
                <w:rFonts w:ascii="Times New Roman" w:hAnsi="Times New Roman"/>
              </w:rPr>
            </w:pPr>
            <w:r w:rsidRPr="00E721BD">
              <w:rPr>
                <w:rFonts w:ascii="Times New Roman" w:hAnsi="Times New Roman"/>
              </w:rPr>
              <w:t>Коэффициент работоспособности С</w:t>
            </w:r>
            <w:r>
              <w:rPr>
                <w:rFonts w:ascii="Times New Roman" w:hAnsi="Times New Roman"/>
              </w:rPr>
              <w:t>истемы межбанковского клиринга</w:t>
            </w:r>
            <w:r w:rsidRPr="00E721BD">
              <w:rPr>
                <w:rFonts w:ascii="Times New Roman" w:hAnsi="Times New Roman"/>
              </w:rPr>
              <w:t xml:space="preserve"> за год</w:t>
            </w:r>
          </w:p>
        </w:tc>
        <w:tc>
          <w:tcPr>
            <w:tcW w:w="1844" w:type="dxa"/>
          </w:tcPr>
          <w:p w:rsidR="00F17E4A" w:rsidRPr="00E721BD" w:rsidRDefault="00F17E4A" w:rsidP="006346A7">
            <w:pPr>
              <w:contextualSpacing/>
              <w:jc w:val="both"/>
              <w:rPr>
                <w:rFonts w:ascii="Times New Roman" w:hAnsi="Times New Roman"/>
              </w:rPr>
            </w:pPr>
            <w:r w:rsidRPr="00E721BD">
              <w:rPr>
                <w:rFonts w:ascii="Times New Roman" w:hAnsi="Times New Roman"/>
              </w:rPr>
              <w:t>НБРК</w:t>
            </w:r>
          </w:p>
        </w:tc>
        <w:tc>
          <w:tcPr>
            <w:tcW w:w="1478" w:type="dxa"/>
          </w:tcPr>
          <w:p w:rsidR="00F17E4A" w:rsidRPr="00E721BD" w:rsidRDefault="00F17E4A" w:rsidP="006346A7">
            <w:pPr>
              <w:keepNext/>
              <w:keepLines/>
              <w:tabs>
                <w:tab w:val="left" w:pos="900"/>
                <w:tab w:val="left" w:pos="1080"/>
              </w:tabs>
              <w:contextualSpacing/>
              <w:jc w:val="both"/>
              <w:rPr>
                <w:rFonts w:ascii="Times New Roman" w:hAnsi="Times New Roman"/>
              </w:rPr>
            </w:pPr>
            <w:r w:rsidRPr="00E721BD">
              <w:rPr>
                <w:rFonts w:ascii="Times New Roman" w:hAnsi="Times New Roman"/>
              </w:rPr>
              <w:t>%</w:t>
            </w:r>
          </w:p>
        </w:tc>
        <w:tc>
          <w:tcPr>
            <w:tcW w:w="850" w:type="dxa"/>
          </w:tcPr>
          <w:p w:rsidR="00F17E4A" w:rsidRPr="00E721BD" w:rsidRDefault="00F17E4A" w:rsidP="006346A7">
            <w:pPr>
              <w:contextualSpacing/>
              <w:jc w:val="both"/>
              <w:rPr>
                <w:rFonts w:ascii="Times New Roman" w:hAnsi="Times New Roman"/>
              </w:rPr>
            </w:pPr>
            <w:r>
              <w:rPr>
                <w:rFonts w:ascii="Times New Roman" w:hAnsi="Times New Roman"/>
              </w:rPr>
              <w:t>95-100</w:t>
            </w:r>
          </w:p>
        </w:tc>
        <w:tc>
          <w:tcPr>
            <w:tcW w:w="1164" w:type="dxa"/>
          </w:tcPr>
          <w:p w:rsidR="00F17E4A" w:rsidRPr="00BE4A09" w:rsidRDefault="00F17E4A" w:rsidP="00021B0A">
            <w:pPr>
              <w:contextualSpacing/>
              <w:jc w:val="both"/>
              <w:rPr>
                <w:rFonts w:ascii="Times New Roman" w:hAnsi="Times New Roman"/>
              </w:rPr>
            </w:pPr>
            <w:r w:rsidRPr="00BE4A09">
              <w:rPr>
                <w:rFonts w:ascii="Times New Roman" w:hAnsi="Times New Roman"/>
              </w:rPr>
              <w:t>99,99%</w:t>
            </w:r>
          </w:p>
          <w:p w:rsidR="00F17E4A" w:rsidRPr="00E721BD" w:rsidRDefault="00F17E4A" w:rsidP="00021B0A">
            <w:pPr>
              <w:contextualSpacing/>
              <w:jc w:val="both"/>
              <w:rPr>
                <w:rFonts w:ascii="Times New Roman" w:hAnsi="Times New Roman"/>
              </w:rPr>
            </w:pPr>
          </w:p>
        </w:tc>
        <w:tc>
          <w:tcPr>
            <w:tcW w:w="2021" w:type="dxa"/>
          </w:tcPr>
          <w:p w:rsidR="00F17E4A" w:rsidRPr="00E721BD" w:rsidRDefault="00F17E4A" w:rsidP="006346A7">
            <w:pPr>
              <w:contextualSpacing/>
              <w:jc w:val="both"/>
              <w:rPr>
                <w:rFonts w:ascii="Times New Roman" w:hAnsi="Times New Roman" w:cs="Times New Roman"/>
                <w:b/>
                <w:sz w:val="24"/>
                <w:szCs w:val="24"/>
              </w:rPr>
            </w:pPr>
          </w:p>
        </w:tc>
      </w:tr>
    </w:tbl>
    <w:p w:rsidR="00C97C57" w:rsidRPr="00E721BD" w:rsidRDefault="00C97C57" w:rsidP="006346A7">
      <w:pPr>
        <w:spacing w:line="240" w:lineRule="auto"/>
        <w:contextualSpacing/>
        <w:jc w:val="center"/>
        <w:rPr>
          <w:rFonts w:ascii="Times New Roman" w:hAnsi="Times New Roman"/>
          <w:b/>
          <w:sz w:val="24"/>
          <w:szCs w:val="24"/>
        </w:rPr>
      </w:pPr>
    </w:p>
    <w:p w:rsidR="00C97C57" w:rsidRPr="00E721BD" w:rsidRDefault="00C97C57" w:rsidP="006346A7">
      <w:pPr>
        <w:spacing w:line="240" w:lineRule="auto"/>
        <w:contextualSpacing/>
        <w:jc w:val="center"/>
        <w:rPr>
          <w:rFonts w:ascii="Times New Roman" w:hAnsi="Times New Roman"/>
          <w:b/>
          <w:sz w:val="24"/>
          <w:szCs w:val="24"/>
        </w:rPr>
      </w:pPr>
    </w:p>
    <w:p w:rsidR="00450B5D" w:rsidRDefault="00450B5D" w:rsidP="006346A7">
      <w:pPr>
        <w:spacing w:line="240" w:lineRule="auto"/>
        <w:contextualSpacing/>
        <w:jc w:val="center"/>
        <w:rPr>
          <w:rFonts w:ascii="Times New Roman" w:hAnsi="Times New Roman"/>
          <w:b/>
          <w:sz w:val="24"/>
          <w:szCs w:val="24"/>
        </w:rPr>
      </w:pPr>
    </w:p>
    <w:p w:rsidR="001D338B" w:rsidRDefault="001D338B" w:rsidP="006346A7">
      <w:pPr>
        <w:spacing w:line="240" w:lineRule="auto"/>
        <w:contextualSpacing/>
        <w:jc w:val="center"/>
        <w:rPr>
          <w:rFonts w:ascii="Times New Roman" w:hAnsi="Times New Roman"/>
          <w:b/>
          <w:sz w:val="24"/>
          <w:szCs w:val="24"/>
        </w:rPr>
      </w:pPr>
    </w:p>
    <w:p w:rsidR="006346A7" w:rsidRPr="00E721BD" w:rsidRDefault="006346A7" w:rsidP="006346A7">
      <w:pPr>
        <w:spacing w:line="240" w:lineRule="auto"/>
        <w:contextualSpacing/>
        <w:jc w:val="center"/>
        <w:rPr>
          <w:rFonts w:ascii="Times New Roman" w:hAnsi="Times New Roman"/>
          <w:b/>
          <w:sz w:val="24"/>
          <w:szCs w:val="24"/>
        </w:rPr>
      </w:pPr>
      <w:r w:rsidRPr="00E721BD">
        <w:rPr>
          <w:rFonts w:ascii="Times New Roman" w:hAnsi="Times New Roman"/>
          <w:b/>
          <w:sz w:val="24"/>
          <w:szCs w:val="24"/>
        </w:rPr>
        <w:lastRenderedPageBreak/>
        <w:t>Аналитическая записка</w:t>
      </w:r>
    </w:p>
    <w:p w:rsidR="006346A7" w:rsidRPr="00E721BD" w:rsidRDefault="006346A7" w:rsidP="006346A7">
      <w:pPr>
        <w:spacing w:line="240" w:lineRule="auto"/>
        <w:contextualSpacing/>
        <w:jc w:val="center"/>
        <w:rPr>
          <w:rFonts w:ascii="Times New Roman" w:hAnsi="Times New Roman"/>
          <w:color w:val="000000"/>
          <w:sz w:val="24"/>
          <w:szCs w:val="24"/>
        </w:rPr>
      </w:pPr>
      <w:r w:rsidRPr="00E721BD">
        <w:rPr>
          <w:rFonts w:ascii="Times New Roman" w:hAnsi="Times New Roman"/>
          <w:color w:val="000000"/>
          <w:sz w:val="24"/>
          <w:szCs w:val="24"/>
        </w:rPr>
        <w:t>к отчету о реализации Стратегического плана</w:t>
      </w:r>
    </w:p>
    <w:p w:rsidR="006346A7" w:rsidRPr="00E721BD" w:rsidRDefault="006346A7" w:rsidP="006346A7">
      <w:pPr>
        <w:spacing w:line="240" w:lineRule="auto"/>
        <w:contextualSpacing/>
        <w:jc w:val="center"/>
        <w:rPr>
          <w:rFonts w:ascii="Times New Roman" w:hAnsi="Times New Roman"/>
          <w:color w:val="000000"/>
          <w:sz w:val="24"/>
          <w:szCs w:val="24"/>
        </w:rPr>
      </w:pPr>
      <w:r w:rsidRPr="00E721BD">
        <w:rPr>
          <w:rFonts w:ascii="Times New Roman" w:hAnsi="Times New Roman"/>
          <w:color w:val="000000"/>
          <w:sz w:val="24"/>
          <w:szCs w:val="24"/>
        </w:rPr>
        <w:t>Национального Банка Республики Казахстан на 201</w:t>
      </w:r>
      <w:r w:rsidR="00644BA0">
        <w:rPr>
          <w:rFonts w:ascii="Times New Roman" w:hAnsi="Times New Roman"/>
          <w:color w:val="000000"/>
          <w:sz w:val="24"/>
          <w:szCs w:val="24"/>
        </w:rPr>
        <w:t>7</w:t>
      </w:r>
      <w:r w:rsidRPr="00E721BD">
        <w:rPr>
          <w:rFonts w:ascii="Times New Roman" w:hAnsi="Times New Roman"/>
          <w:color w:val="000000"/>
          <w:sz w:val="24"/>
          <w:szCs w:val="24"/>
        </w:rPr>
        <w:t>-20</w:t>
      </w:r>
      <w:r w:rsidR="00644BA0">
        <w:rPr>
          <w:rFonts w:ascii="Times New Roman" w:hAnsi="Times New Roman"/>
          <w:color w:val="000000"/>
          <w:sz w:val="24"/>
          <w:szCs w:val="24"/>
        </w:rPr>
        <w:t>21</w:t>
      </w:r>
      <w:r w:rsidRPr="00E721BD">
        <w:rPr>
          <w:rFonts w:ascii="Times New Roman" w:hAnsi="Times New Roman"/>
          <w:color w:val="000000"/>
          <w:sz w:val="24"/>
          <w:szCs w:val="24"/>
        </w:rPr>
        <w:t xml:space="preserve"> годы</w:t>
      </w:r>
    </w:p>
    <w:p w:rsidR="006346A7" w:rsidRPr="00E721BD" w:rsidRDefault="006346A7" w:rsidP="006346A7">
      <w:pPr>
        <w:spacing w:line="240" w:lineRule="auto"/>
        <w:contextualSpacing/>
        <w:jc w:val="center"/>
        <w:rPr>
          <w:rFonts w:ascii="Times New Roman" w:hAnsi="Times New Roman"/>
          <w:b/>
          <w:color w:val="000000"/>
          <w:sz w:val="24"/>
          <w:szCs w:val="24"/>
        </w:rPr>
      </w:pPr>
      <w:r w:rsidRPr="00E721BD">
        <w:rPr>
          <w:rFonts w:ascii="Times New Roman" w:hAnsi="Times New Roman"/>
          <w:color w:val="000000"/>
          <w:sz w:val="24"/>
          <w:szCs w:val="24"/>
        </w:rPr>
        <w:t>за 201</w:t>
      </w:r>
      <w:r w:rsidR="00E446A1">
        <w:rPr>
          <w:rFonts w:ascii="Times New Roman" w:hAnsi="Times New Roman"/>
          <w:color w:val="000000"/>
          <w:sz w:val="24"/>
          <w:szCs w:val="24"/>
        </w:rPr>
        <w:t>8</w:t>
      </w:r>
      <w:r w:rsidRPr="00E721BD">
        <w:rPr>
          <w:rFonts w:ascii="Times New Roman" w:hAnsi="Times New Roman"/>
          <w:color w:val="000000"/>
          <w:sz w:val="24"/>
          <w:szCs w:val="24"/>
        </w:rPr>
        <w:t xml:space="preserve"> год</w:t>
      </w:r>
    </w:p>
    <w:p w:rsidR="006346A7" w:rsidRPr="00E721BD" w:rsidRDefault="006346A7" w:rsidP="006346A7">
      <w:pPr>
        <w:spacing w:line="240" w:lineRule="auto"/>
        <w:contextualSpacing/>
        <w:jc w:val="center"/>
        <w:rPr>
          <w:rFonts w:ascii="Times New Roman" w:hAnsi="Times New Roman" w:cs="Times New Roman"/>
          <w:b/>
          <w:sz w:val="24"/>
          <w:szCs w:val="24"/>
        </w:rPr>
      </w:pPr>
    </w:p>
    <w:p w:rsidR="006346A7" w:rsidRPr="00E721BD" w:rsidRDefault="006346A7" w:rsidP="006346A7">
      <w:pPr>
        <w:spacing w:line="240" w:lineRule="auto"/>
        <w:contextualSpacing/>
        <w:jc w:val="center"/>
        <w:rPr>
          <w:rFonts w:ascii="Times New Roman" w:hAnsi="Times New Roman"/>
          <w:b/>
          <w:sz w:val="24"/>
          <w:szCs w:val="24"/>
        </w:rPr>
      </w:pPr>
      <w:r w:rsidRPr="00E721BD">
        <w:rPr>
          <w:rFonts w:ascii="Times New Roman" w:hAnsi="Times New Roman"/>
          <w:b/>
          <w:sz w:val="24"/>
          <w:szCs w:val="24"/>
        </w:rPr>
        <w:t>Раздел 1. Анализ управления рисками</w:t>
      </w:r>
    </w:p>
    <w:p w:rsidR="00DC50C9" w:rsidRDefault="00DC50C9" w:rsidP="006346A7">
      <w:pPr>
        <w:spacing w:line="240" w:lineRule="auto"/>
        <w:ind w:firstLine="709"/>
        <w:contextualSpacing/>
        <w:jc w:val="both"/>
        <w:rPr>
          <w:rFonts w:ascii="Times New Roman" w:hAnsi="Times New Roman"/>
          <w:b/>
          <w:i/>
          <w:sz w:val="24"/>
          <w:szCs w:val="24"/>
        </w:rPr>
      </w:pPr>
    </w:p>
    <w:p w:rsidR="00E836E0" w:rsidRDefault="00895732" w:rsidP="00E836E0">
      <w:pPr>
        <w:spacing w:line="240" w:lineRule="auto"/>
        <w:ind w:firstLine="709"/>
        <w:contextualSpacing/>
        <w:jc w:val="center"/>
        <w:rPr>
          <w:rFonts w:ascii="Times New Roman" w:hAnsi="Times New Roman"/>
          <w:b/>
          <w:sz w:val="24"/>
          <w:szCs w:val="24"/>
          <w:u w:val="single"/>
        </w:rPr>
      </w:pPr>
      <w:r>
        <w:rPr>
          <w:rFonts w:ascii="Times New Roman" w:hAnsi="Times New Roman"/>
          <w:b/>
          <w:sz w:val="24"/>
          <w:szCs w:val="24"/>
          <w:u w:val="single"/>
        </w:rPr>
        <w:t>Стратегическое направление 1</w:t>
      </w:r>
      <w:r w:rsidR="00DC50C9" w:rsidRPr="00E836E0">
        <w:rPr>
          <w:rFonts w:ascii="Times New Roman" w:hAnsi="Times New Roman"/>
          <w:b/>
          <w:sz w:val="24"/>
          <w:szCs w:val="24"/>
          <w:u w:val="single"/>
        </w:rPr>
        <w:t xml:space="preserve">. </w:t>
      </w:r>
    </w:p>
    <w:p w:rsidR="00DC50C9" w:rsidRPr="00E836E0" w:rsidRDefault="00DC50C9" w:rsidP="00E836E0">
      <w:pPr>
        <w:spacing w:line="240" w:lineRule="auto"/>
        <w:ind w:firstLine="709"/>
        <w:contextualSpacing/>
        <w:jc w:val="center"/>
        <w:rPr>
          <w:rFonts w:ascii="Times New Roman" w:hAnsi="Times New Roman"/>
          <w:b/>
          <w:sz w:val="24"/>
          <w:szCs w:val="24"/>
          <w:u w:val="single"/>
        </w:rPr>
      </w:pPr>
      <w:r w:rsidRPr="00E836E0">
        <w:rPr>
          <w:rFonts w:ascii="Times New Roman" w:hAnsi="Times New Roman"/>
          <w:b/>
          <w:sz w:val="24"/>
          <w:szCs w:val="24"/>
          <w:u w:val="single"/>
        </w:rPr>
        <w:t>Обеспечение стабильности</w:t>
      </w:r>
      <w:r w:rsidR="00895732">
        <w:rPr>
          <w:rFonts w:ascii="Times New Roman" w:hAnsi="Times New Roman"/>
          <w:b/>
          <w:sz w:val="24"/>
          <w:szCs w:val="24"/>
          <w:u w:val="single"/>
        </w:rPr>
        <w:t xml:space="preserve"> цен</w:t>
      </w:r>
      <w:r w:rsidRPr="00E836E0">
        <w:rPr>
          <w:rFonts w:ascii="Times New Roman" w:hAnsi="Times New Roman"/>
          <w:b/>
          <w:sz w:val="24"/>
          <w:szCs w:val="24"/>
          <w:u w:val="single"/>
        </w:rPr>
        <w:t>.</w:t>
      </w:r>
    </w:p>
    <w:p w:rsidR="00E836E0" w:rsidRDefault="00E836E0" w:rsidP="00DC50C9">
      <w:pPr>
        <w:spacing w:line="240" w:lineRule="auto"/>
        <w:ind w:firstLine="709"/>
        <w:contextualSpacing/>
        <w:jc w:val="both"/>
        <w:rPr>
          <w:rFonts w:ascii="Times New Roman" w:hAnsi="Times New Roman"/>
          <w:b/>
          <w:i/>
          <w:sz w:val="24"/>
          <w:szCs w:val="24"/>
        </w:rPr>
      </w:pPr>
    </w:p>
    <w:p w:rsidR="00E81559" w:rsidRDefault="00E81559" w:rsidP="00E81559">
      <w:pPr>
        <w:spacing w:line="240" w:lineRule="auto"/>
        <w:ind w:firstLine="709"/>
        <w:contextualSpacing/>
        <w:jc w:val="both"/>
        <w:rPr>
          <w:rFonts w:ascii="Times New Roman" w:hAnsi="Times New Roman"/>
          <w:b/>
          <w:i/>
          <w:sz w:val="24"/>
          <w:szCs w:val="24"/>
        </w:rPr>
      </w:pPr>
      <w:r>
        <w:rPr>
          <w:rFonts w:ascii="Times New Roman" w:hAnsi="Times New Roman"/>
          <w:b/>
          <w:i/>
          <w:sz w:val="24"/>
          <w:szCs w:val="24"/>
        </w:rPr>
        <w:t>Цель 1.1. Разработка и проведение денежно-кредитной политики государства. Удержание инфляции в целевом коридоре.</w:t>
      </w:r>
    </w:p>
    <w:p w:rsidR="00E81559" w:rsidRDefault="00E81559" w:rsidP="00E81559">
      <w:pPr>
        <w:spacing w:line="240" w:lineRule="auto"/>
        <w:ind w:firstLine="709"/>
        <w:contextualSpacing/>
        <w:jc w:val="both"/>
        <w:rPr>
          <w:rFonts w:ascii="Times New Roman" w:hAnsi="Times New Roman"/>
          <w:b/>
          <w:i/>
          <w:sz w:val="24"/>
          <w:szCs w:val="24"/>
        </w:rPr>
      </w:pPr>
    </w:p>
    <w:p w:rsidR="00E81559" w:rsidRPr="00E721BD" w:rsidRDefault="00E81559" w:rsidP="00E81559">
      <w:pPr>
        <w:spacing w:line="240" w:lineRule="auto"/>
        <w:ind w:firstLine="709"/>
        <w:contextualSpacing/>
        <w:jc w:val="both"/>
        <w:rPr>
          <w:rFonts w:ascii="Times New Roman" w:hAnsi="Times New Roman"/>
          <w:b/>
          <w:i/>
          <w:sz w:val="24"/>
          <w:szCs w:val="24"/>
        </w:rPr>
      </w:pPr>
      <w:r>
        <w:rPr>
          <w:rFonts w:ascii="Times New Roman" w:hAnsi="Times New Roman"/>
          <w:b/>
          <w:i/>
          <w:sz w:val="24"/>
          <w:szCs w:val="24"/>
        </w:rPr>
        <w:t>Более медленное восстановление казахстанской экономики, в том числе за счет медленного восстановления внутреннего спроса при условии стабилизации цен на нефть, может привести к снижению инфляции.</w:t>
      </w:r>
    </w:p>
    <w:p w:rsidR="00E81559" w:rsidRPr="002D5DF9" w:rsidRDefault="00E81559" w:rsidP="00E81559">
      <w:pPr>
        <w:tabs>
          <w:tab w:val="left" w:pos="8840"/>
        </w:tabs>
        <w:spacing w:line="240" w:lineRule="auto"/>
        <w:ind w:firstLine="709"/>
        <w:contextualSpacing/>
        <w:jc w:val="both"/>
        <w:rPr>
          <w:rFonts w:ascii="Times New Roman" w:hAnsi="Times New Roman"/>
          <w:b/>
          <w:i/>
          <w:sz w:val="24"/>
          <w:szCs w:val="24"/>
        </w:rPr>
      </w:pPr>
      <w:r w:rsidRPr="002D5DF9">
        <w:rPr>
          <w:rFonts w:ascii="Times New Roman" w:hAnsi="Times New Roman"/>
          <w:b/>
          <w:bCs/>
          <w:i/>
          <w:sz w:val="24"/>
          <w:szCs w:val="24"/>
        </w:rPr>
        <w:t>Мероприятия по управлению возможным риском:</w:t>
      </w:r>
      <w:r w:rsidRPr="002D5DF9">
        <w:rPr>
          <w:rFonts w:ascii="Times New Roman" w:hAnsi="Times New Roman"/>
          <w:b/>
          <w:bCs/>
          <w:i/>
          <w:sz w:val="24"/>
          <w:szCs w:val="24"/>
        </w:rPr>
        <w:tab/>
      </w:r>
    </w:p>
    <w:p w:rsidR="00E81559" w:rsidRPr="002D5DF9" w:rsidRDefault="00E81559" w:rsidP="00E81559">
      <w:pPr>
        <w:tabs>
          <w:tab w:val="left" w:pos="993"/>
        </w:tabs>
        <w:spacing w:line="240" w:lineRule="auto"/>
        <w:ind w:firstLine="709"/>
        <w:contextualSpacing/>
        <w:jc w:val="both"/>
        <w:rPr>
          <w:rFonts w:ascii="Times New Roman" w:hAnsi="Times New Roman"/>
          <w:sz w:val="24"/>
          <w:szCs w:val="24"/>
        </w:rPr>
      </w:pPr>
      <w:r w:rsidRPr="00E81559">
        <w:rPr>
          <w:rFonts w:ascii="Times New Roman" w:hAnsi="Times New Roman"/>
          <w:sz w:val="24"/>
          <w:szCs w:val="24"/>
        </w:rPr>
        <w:t>В отчетном периоде экономика росла на уровне, близком к своему потенциалу. При таком сценарии денежно-кредитные условия оставались нейтральными.</w:t>
      </w:r>
    </w:p>
    <w:p w:rsidR="00895732" w:rsidRDefault="00895732" w:rsidP="00895732">
      <w:pPr>
        <w:spacing w:line="240" w:lineRule="auto"/>
        <w:ind w:firstLine="709"/>
        <w:contextualSpacing/>
        <w:jc w:val="center"/>
        <w:rPr>
          <w:rFonts w:ascii="Times New Roman" w:hAnsi="Times New Roman"/>
          <w:b/>
          <w:i/>
          <w:sz w:val="24"/>
          <w:szCs w:val="24"/>
        </w:rPr>
      </w:pPr>
    </w:p>
    <w:p w:rsidR="00895732" w:rsidRDefault="00895732" w:rsidP="00895732">
      <w:pPr>
        <w:spacing w:line="240" w:lineRule="auto"/>
        <w:ind w:firstLine="709"/>
        <w:contextualSpacing/>
        <w:jc w:val="center"/>
        <w:rPr>
          <w:rFonts w:ascii="Times New Roman" w:hAnsi="Times New Roman"/>
          <w:b/>
          <w:sz w:val="24"/>
          <w:szCs w:val="24"/>
          <w:u w:val="single"/>
        </w:rPr>
      </w:pPr>
      <w:r>
        <w:rPr>
          <w:rFonts w:ascii="Times New Roman" w:hAnsi="Times New Roman"/>
          <w:b/>
          <w:i/>
          <w:sz w:val="24"/>
          <w:szCs w:val="24"/>
        </w:rPr>
        <w:t xml:space="preserve"> </w:t>
      </w:r>
      <w:r w:rsidRPr="00E836E0">
        <w:rPr>
          <w:rFonts w:ascii="Times New Roman" w:hAnsi="Times New Roman"/>
          <w:b/>
          <w:sz w:val="24"/>
          <w:szCs w:val="24"/>
          <w:u w:val="single"/>
        </w:rPr>
        <w:t xml:space="preserve">Стратегическое направление 2. </w:t>
      </w:r>
    </w:p>
    <w:p w:rsidR="00895732" w:rsidRPr="00E836E0" w:rsidRDefault="00895732" w:rsidP="00895732">
      <w:pPr>
        <w:spacing w:line="240" w:lineRule="auto"/>
        <w:ind w:firstLine="709"/>
        <w:contextualSpacing/>
        <w:jc w:val="center"/>
        <w:rPr>
          <w:rFonts w:ascii="Times New Roman" w:hAnsi="Times New Roman"/>
          <w:b/>
          <w:sz w:val="24"/>
          <w:szCs w:val="24"/>
          <w:u w:val="single"/>
        </w:rPr>
      </w:pPr>
      <w:r w:rsidRPr="00E836E0">
        <w:rPr>
          <w:rFonts w:ascii="Times New Roman" w:hAnsi="Times New Roman"/>
          <w:b/>
          <w:sz w:val="24"/>
          <w:szCs w:val="24"/>
          <w:u w:val="single"/>
        </w:rPr>
        <w:t>Обеспечение финансовой стабильности.</w:t>
      </w:r>
    </w:p>
    <w:p w:rsidR="00E81559" w:rsidRDefault="00E81559" w:rsidP="00E81559">
      <w:pPr>
        <w:spacing w:line="240" w:lineRule="auto"/>
        <w:ind w:firstLine="709"/>
        <w:contextualSpacing/>
        <w:jc w:val="both"/>
        <w:rPr>
          <w:rFonts w:ascii="Times New Roman" w:hAnsi="Times New Roman"/>
          <w:b/>
          <w:i/>
          <w:sz w:val="24"/>
          <w:szCs w:val="24"/>
        </w:rPr>
      </w:pPr>
    </w:p>
    <w:p w:rsidR="0079166B" w:rsidRDefault="00DC50C9" w:rsidP="006346A7">
      <w:pPr>
        <w:spacing w:line="240" w:lineRule="auto"/>
        <w:ind w:firstLine="709"/>
        <w:contextualSpacing/>
        <w:jc w:val="both"/>
        <w:rPr>
          <w:rFonts w:ascii="Times New Roman" w:hAnsi="Times New Roman"/>
          <w:b/>
          <w:i/>
          <w:sz w:val="24"/>
          <w:szCs w:val="24"/>
        </w:rPr>
      </w:pPr>
      <w:r>
        <w:rPr>
          <w:rFonts w:ascii="Times New Roman" w:hAnsi="Times New Roman"/>
          <w:b/>
          <w:i/>
          <w:sz w:val="24"/>
          <w:szCs w:val="24"/>
        </w:rPr>
        <w:t>Цель 2.1. Повышение финансовой устойчивости</w:t>
      </w:r>
      <w:r w:rsidR="00F452AC">
        <w:rPr>
          <w:rFonts w:ascii="Times New Roman" w:hAnsi="Times New Roman"/>
          <w:b/>
          <w:i/>
          <w:sz w:val="24"/>
          <w:szCs w:val="24"/>
        </w:rPr>
        <w:t xml:space="preserve"> и конкурентоспособности банковского сектора.</w:t>
      </w:r>
    </w:p>
    <w:p w:rsidR="0079166B" w:rsidRDefault="0079166B" w:rsidP="006346A7">
      <w:pPr>
        <w:spacing w:line="240" w:lineRule="auto"/>
        <w:ind w:firstLine="709"/>
        <w:contextualSpacing/>
        <w:jc w:val="both"/>
        <w:rPr>
          <w:rFonts w:ascii="Times New Roman" w:hAnsi="Times New Roman"/>
          <w:b/>
          <w:i/>
          <w:sz w:val="24"/>
          <w:szCs w:val="24"/>
        </w:rPr>
      </w:pPr>
    </w:p>
    <w:p w:rsidR="00895732" w:rsidRPr="00E82016" w:rsidRDefault="00895732" w:rsidP="00895732">
      <w:pPr>
        <w:spacing w:after="0" w:line="240" w:lineRule="auto"/>
        <w:ind w:firstLine="709"/>
        <w:contextualSpacing/>
        <w:jc w:val="both"/>
        <w:rPr>
          <w:rFonts w:ascii="Times New Roman" w:hAnsi="Times New Roman"/>
          <w:b/>
          <w:i/>
          <w:sz w:val="24"/>
          <w:szCs w:val="24"/>
        </w:rPr>
      </w:pPr>
      <w:r w:rsidRPr="00E82016">
        <w:rPr>
          <w:rFonts w:ascii="Times New Roman" w:hAnsi="Times New Roman"/>
          <w:b/>
          <w:i/>
          <w:sz w:val="24"/>
          <w:szCs w:val="24"/>
        </w:rPr>
        <w:t>Нестабильная ценовая ситуация на мировых товарных рынках.</w:t>
      </w:r>
    </w:p>
    <w:p w:rsidR="00895732" w:rsidRPr="00E82016" w:rsidRDefault="00895732" w:rsidP="00895732">
      <w:pPr>
        <w:spacing w:after="0" w:line="240" w:lineRule="auto"/>
        <w:ind w:firstLine="709"/>
        <w:contextualSpacing/>
        <w:jc w:val="both"/>
        <w:rPr>
          <w:rFonts w:ascii="Times New Roman" w:hAnsi="Times New Roman"/>
          <w:b/>
          <w:i/>
          <w:sz w:val="24"/>
          <w:szCs w:val="24"/>
        </w:rPr>
      </w:pPr>
      <w:r w:rsidRPr="00E82016">
        <w:rPr>
          <w:rFonts w:ascii="Times New Roman" w:hAnsi="Times New Roman"/>
          <w:b/>
          <w:bCs/>
          <w:i/>
          <w:sz w:val="24"/>
          <w:szCs w:val="24"/>
        </w:rPr>
        <w:t>Мероприятия по управлению возможным риском:</w:t>
      </w:r>
    </w:p>
    <w:p w:rsidR="00895732" w:rsidRDefault="00895732" w:rsidP="00895732">
      <w:pPr>
        <w:tabs>
          <w:tab w:val="left" w:pos="993"/>
        </w:tabs>
        <w:spacing w:after="0" w:line="240" w:lineRule="auto"/>
        <w:ind w:firstLine="709"/>
        <w:contextualSpacing/>
        <w:jc w:val="both"/>
        <w:rPr>
          <w:rFonts w:ascii="Times New Roman" w:hAnsi="Times New Roman"/>
          <w:i/>
          <w:sz w:val="24"/>
          <w:szCs w:val="28"/>
        </w:rPr>
      </w:pPr>
      <w:r w:rsidRPr="009426A0">
        <w:rPr>
          <w:rFonts w:ascii="Times New Roman" w:hAnsi="Times New Roman"/>
          <w:i/>
          <w:sz w:val="24"/>
          <w:szCs w:val="28"/>
        </w:rPr>
        <w:t>Проведение стресс-тестирования субъектов банковского сектора в целях выявления и оценки рисков банковского сектора и принятия соответствующих надзорных мер по результатам стресс-тестирования.</w:t>
      </w:r>
    </w:p>
    <w:p w:rsidR="00721550" w:rsidRDefault="006B2DA2" w:rsidP="00721550">
      <w:pPr>
        <w:spacing w:after="0"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Меры оперативного реагирования не были востребованы. Вместе с тем, в</w:t>
      </w:r>
      <w:r w:rsidR="00721550">
        <w:rPr>
          <w:rFonts w:ascii="Times New Roman" w:hAnsi="Times New Roman"/>
          <w:color w:val="000000"/>
          <w:sz w:val="24"/>
          <w:szCs w:val="24"/>
        </w:rPr>
        <w:t xml:space="preserve"> 2018 году </w:t>
      </w:r>
      <w:r w:rsidR="00721550" w:rsidRPr="00C72AC2">
        <w:rPr>
          <w:rFonts w:ascii="Times New Roman" w:hAnsi="Times New Roman"/>
          <w:color w:val="000000"/>
          <w:sz w:val="24"/>
          <w:szCs w:val="24"/>
        </w:rPr>
        <w:t xml:space="preserve">Национальным Банком </w:t>
      </w:r>
      <w:r w:rsidR="00721550">
        <w:rPr>
          <w:rFonts w:ascii="Times New Roman" w:hAnsi="Times New Roman"/>
          <w:color w:val="000000"/>
          <w:sz w:val="24"/>
          <w:szCs w:val="24"/>
        </w:rPr>
        <w:t>была продолжена реализация Программы</w:t>
      </w:r>
      <w:r w:rsidR="00721550" w:rsidRPr="00C72AC2">
        <w:rPr>
          <w:rFonts w:ascii="Times New Roman" w:hAnsi="Times New Roman"/>
          <w:color w:val="000000"/>
          <w:sz w:val="24"/>
          <w:szCs w:val="24"/>
        </w:rPr>
        <w:t xml:space="preserve"> </w:t>
      </w:r>
      <w:r w:rsidR="00721550">
        <w:rPr>
          <w:rFonts w:ascii="Times New Roman" w:hAnsi="Times New Roman"/>
          <w:color w:val="000000"/>
          <w:sz w:val="24"/>
          <w:szCs w:val="24"/>
        </w:rPr>
        <w:br/>
      </w:r>
      <w:r w:rsidR="00721550" w:rsidRPr="00C72AC2">
        <w:rPr>
          <w:rFonts w:ascii="Times New Roman" w:hAnsi="Times New Roman"/>
          <w:color w:val="000000"/>
          <w:sz w:val="24"/>
          <w:szCs w:val="24"/>
        </w:rPr>
        <w:t>повышения финансовой устойчивости банк</w:t>
      </w:r>
      <w:r w:rsidR="00721550">
        <w:rPr>
          <w:rFonts w:ascii="Times New Roman" w:hAnsi="Times New Roman"/>
          <w:color w:val="000000"/>
          <w:sz w:val="24"/>
          <w:szCs w:val="24"/>
        </w:rPr>
        <w:t>овского сектора (утверждена постановлением П</w:t>
      </w:r>
      <w:r w:rsidR="00721550" w:rsidRPr="00C72AC2">
        <w:rPr>
          <w:rFonts w:ascii="Times New Roman" w:hAnsi="Times New Roman"/>
          <w:color w:val="000000"/>
          <w:sz w:val="24"/>
          <w:szCs w:val="24"/>
        </w:rPr>
        <w:t xml:space="preserve">равления </w:t>
      </w:r>
      <w:r w:rsidR="00721550">
        <w:rPr>
          <w:rFonts w:ascii="Times New Roman" w:hAnsi="Times New Roman"/>
          <w:color w:val="000000"/>
          <w:sz w:val="24"/>
          <w:szCs w:val="24"/>
        </w:rPr>
        <w:t>Национального Банка от 30 июня 2017 года № 129), направленная</w:t>
      </w:r>
      <w:r w:rsidR="00721550" w:rsidRPr="00C72AC2">
        <w:rPr>
          <w:rFonts w:ascii="Times New Roman" w:hAnsi="Times New Roman"/>
          <w:color w:val="000000"/>
          <w:sz w:val="24"/>
          <w:szCs w:val="24"/>
        </w:rPr>
        <w:t xml:space="preserve"> на поглощение убытков по неработающим займам и минимизацию последствий от их признания путем создания дополнительного буфера к капиталу</w:t>
      </w:r>
      <w:r w:rsidR="00721550">
        <w:rPr>
          <w:rFonts w:ascii="Times New Roman" w:hAnsi="Times New Roman"/>
          <w:color w:val="000000"/>
          <w:sz w:val="24"/>
          <w:szCs w:val="24"/>
        </w:rPr>
        <w:t xml:space="preserve">. </w:t>
      </w:r>
      <w:r w:rsidR="00721550" w:rsidRPr="00B26C2A">
        <w:rPr>
          <w:rFonts w:ascii="Times New Roman" w:hAnsi="Times New Roman"/>
          <w:color w:val="000000"/>
          <w:sz w:val="24"/>
          <w:szCs w:val="24"/>
        </w:rPr>
        <w:t xml:space="preserve">Оздоровление </w:t>
      </w:r>
      <w:r w:rsidR="00721550">
        <w:rPr>
          <w:rFonts w:ascii="Times New Roman" w:hAnsi="Times New Roman"/>
          <w:color w:val="000000"/>
          <w:sz w:val="24"/>
          <w:szCs w:val="24"/>
        </w:rPr>
        <w:t xml:space="preserve">банковской системы лежит </w:t>
      </w:r>
      <w:r w:rsidR="00721550" w:rsidRPr="00B26C2A">
        <w:rPr>
          <w:rFonts w:ascii="Times New Roman" w:hAnsi="Times New Roman"/>
          <w:color w:val="000000"/>
          <w:sz w:val="24"/>
          <w:szCs w:val="24"/>
        </w:rPr>
        <w:t xml:space="preserve">в основе фундамента по созданию условий для устойчивого развития банковского сектора. </w:t>
      </w:r>
    </w:p>
    <w:p w:rsidR="00721550" w:rsidRPr="00721550" w:rsidRDefault="00721550" w:rsidP="00721550">
      <w:pPr>
        <w:spacing w:after="0"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 xml:space="preserve">Анализ рисков финансовой системы, наряду с информацией о методике проведения </w:t>
      </w:r>
      <w:r>
        <w:rPr>
          <w:rFonts w:ascii="Times New Roman" w:hAnsi="Times New Roman"/>
          <w:color w:val="000000"/>
          <w:sz w:val="24"/>
          <w:szCs w:val="24"/>
        </w:rPr>
        <w:br/>
        <w:t xml:space="preserve">стресс-тестирования более детально раскрыты в Отчете о финансовой стабильности Казахстана </w:t>
      </w:r>
      <w:r>
        <w:rPr>
          <w:rFonts w:ascii="Times New Roman" w:hAnsi="Times New Roman"/>
          <w:color w:val="000000"/>
          <w:sz w:val="24"/>
          <w:szCs w:val="24"/>
        </w:rPr>
        <w:br/>
        <w:t xml:space="preserve">за 2015-2017 годы, который размещен на официальном интернет-ресурсе Национального Банка. </w:t>
      </w:r>
    </w:p>
    <w:p w:rsidR="00895732" w:rsidRPr="008F13F7" w:rsidRDefault="00895732" w:rsidP="00895732">
      <w:pPr>
        <w:spacing w:after="0" w:line="240" w:lineRule="auto"/>
        <w:ind w:firstLine="709"/>
        <w:contextualSpacing/>
        <w:jc w:val="both"/>
        <w:rPr>
          <w:rFonts w:ascii="Times New Roman" w:hAnsi="Times New Roman"/>
          <w:i/>
          <w:sz w:val="24"/>
        </w:rPr>
      </w:pPr>
      <w:r w:rsidRPr="008F13F7">
        <w:rPr>
          <w:rFonts w:ascii="Times New Roman" w:hAnsi="Times New Roman"/>
          <w:i/>
          <w:sz w:val="24"/>
        </w:rPr>
        <w:t>Совершенствование риск-ориентированного надзора и пруденциального регулирования банков в целях минимизации рисков банковского сектора и повышения устойчивости банков.</w:t>
      </w:r>
    </w:p>
    <w:p w:rsidR="008F13F7" w:rsidRPr="008F13F7" w:rsidRDefault="008F13F7" w:rsidP="008F13F7">
      <w:pPr>
        <w:widowControl w:val="0"/>
        <w:spacing w:after="0" w:line="240" w:lineRule="auto"/>
        <w:ind w:firstLine="709"/>
        <w:contextualSpacing/>
        <w:jc w:val="both"/>
        <w:rPr>
          <w:rFonts w:ascii="Times New Roman" w:hAnsi="Times New Roman"/>
          <w:sz w:val="24"/>
          <w:szCs w:val="24"/>
        </w:rPr>
      </w:pPr>
      <w:r w:rsidRPr="008F13F7">
        <w:rPr>
          <w:rFonts w:ascii="Times New Roman" w:eastAsia="Times New Roman" w:hAnsi="Times New Roman" w:cs="Times New Roman"/>
          <w:sz w:val="24"/>
          <w:szCs w:val="28"/>
          <w:lang w:eastAsia="ru-RU"/>
        </w:rPr>
        <w:t xml:space="preserve">В 2018 году Главой государства был подписан </w:t>
      </w:r>
      <w:r w:rsidRPr="008F13F7">
        <w:rPr>
          <w:rFonts w:ascii="Times New Roman" w:eastAsia="Calibri" w:hAnsi="Times New Roman" w:cs="Times New Roman"/>
          <w:sz w:val="24"/>
          <w:szCs w:val="24"/>
        </w:rPr>
        <w:t>Закон о валютном регулировании</w:t>
      </w:r>
      <w:r w:rsidRPr="008F13F7">
        <w:rPr>
          <w:rFonts w:ascii="Times New Roman" w:eastAsia="Calibri" w:hAnsi="Times New Roman" w:cs="Times New Roman"/>
          <w:sz w:val="24"/>
          <w:szCs w:val="24"/>
          <w:vertAlign w:val="superscript"/>
        </w:rPr>
        <w:footnoteReference w:id="3"/>
      </w:r>
      <w:r w:rsidRPr="008F13F7">
        <w:rPr>
          <w:rFonts w:ascii="Times New Roman" w:eastAsia="Calibri" w:hAnsi="Times New Roman" w:cs="Times New Roman"/>
          <w:sz w:val="24"/>
          <w:szCs w:val="24"/>
        </w:rPr>
        <w:t xml:space="preserve">, в рамках которого </w:t>
      </w:r>
      <w:r w:rsidRPr="008F13F7">
        <w:rPr>
          <w:rFonts w:ascii="Times New Roman" w:hAnsi="Times New Roman"/>
          <w:sz w:val="24"/>
          <w:szCs w:val="24"/>
        </w:rPr>
        <w:t xml:space="preserve">был принят комплекс законодательных норм, предоставляющих с января 2019 года полномочия Национальному Банку по применению мотивированного надзорного суждения в рамках риск-ориентированного надзора,  </w:t>
      </w:r>
      <w:r w:rsidRPr="008F13F7">
        <w:rPr>
          <w:rFonts w:ascii="Times New Roman" w:eastAsia="Calibri" w:hAnsi="Times New Roman" w:cs="Times New Roman"/>
          <w:sz w:val="24"/>
          <w:szCs w:val="24"/>
        </w:rPr>
        <w:t>предполагающего принятие превентивных мер по ограничению рисков, вплоть до ограничения операций банков.</w:t>
      </w:r>
      <w:r w:rsidRPr="008F13F7">
        <w:rPr>
          <w:sz w:val="20"/>
        </w:rPr>
        <w:t xml:space="preserve"> </w:t>
      </w:r>
      <w:r w:rsidRPr="008F13F7">
        <w:rPr>
          <w:rFonts w:ascii="Times New Roman" w:hAnsi="Times New Roman"/>
          <w:sz w:val="24"/>
          <w:szCs w:val="24"/>
        </w:rPr>
        <w:t xml:space="preserve">Это позволит своевременно диагностировать проблемы и реализовывать мероприятия по обеспечению стабильности финансового сектора. Риск-ориентированный надзор предполагает принятие корректирующих мер </w:t>
      </w:r>
      <w:r w:rsidRPr="008F13F7">
        <w:rPr>
          <w:rFonts w:ascii="Times New Roman" w:hAnsi="Times New Roman"/>
          <w:sz w:val="24"/>
          <w:szCs w:val="24"/>
        </w:rPr>
        <w:lastRenderedPageBreak/>
        <w:t xml:space="preserve">сразу по мере возникновения проблемы в финансовой организации. </w:t>
      </w:r>
    </w:p>
    <w:p w:rsidR="008F13F7" w:rsidRPr="008F13F7" w:rsidRDefault="008F13F7" w:rsidP="008F13F7">
      <w:pPr>
        <w:spacing w:after="0" w:line="240" w:lineRule="auto"/>
        <w:ind w:firstLine="709"/>
        <w:jc w:val="both"/>
        <w:rPr>
          <w:rFonts w:ascii="Times New Roman" w:eastAsia="Calibri" w:hAnsi="Times New Roman" w:cs="Times New Roman"/>
          <w:sz w:val="24"/>
          <w:szCs w:val="26"/>
        </w:rPr>
      </w:pPr>
      <w:r w:rsidRPr="008F13F7">
        <w:rPr>
          <w:rFonts w:ascii="Times New Roman" w:eastAsia="Calibri" w:hAnsi="Times New Roman" w:cs="Times New Roman"/>
          <w:sz w:val="24"/>
          <w:szCs w:val="26"/>
        </w:rPr>
        <w:t>Под мотивированным суждением понимается обоснованное профессиональное мнение коллегиального органа Национального Банка под руководством заместителя Председателя Национального Банка, которое будет основанием для применения мер надзорного реагирования.</w:t>
      </w:r>
    </w:p>
    <w:p w:rsidR="008F13F7" w:rsidRPr="008F13F7" w:rsidRDefault="008F13F7" w:rsidP="008F13F7">
      <w:pPr>
        <w:widowControl w:val="0"/>
        <w:spacing w:after="0" w:line="240" w:lineRule="auto"/>
        <w:ind w:firstLine="709"/>
        <w:contextualSpacing/>
        <w:jc w:val="both"/>
        <w:rPr>
          <w:rFonts w:ascii="Times New Roman" w:hAnsi="Times New Roman"/>
          <w:sz w:val="24"/>
          <w:szCs w:val="24"/>
        </w:rPr>
      </w:pPr>
      <w:r w:rsidRPr="008F13F7">
        <w:rPr>
          <w:rFonts w:ascii="Times New Roman" w:hAnsi="Times New Roman"/>
          <w:sz w:val="24"/>
          <w:szCs w:val="24"/>
        </w:rPr>
        <w:t>Мотивированное надзорное суждение будет направлено на оценку таких ключевых направлений, как оценка качества активов банков; сделок со связанными лицами; систем управления рисками и согласования менеджмента и акционеров банка. Полномочия Национального Банка при принятии мотивированного надзорного суждения будут требовать соблюдения законности, обоснованности, объективности и единообразного подхода.</w:t>
      </w:r>
    </w:p>
    <w:p w:rsidR="00895732" w:rsidRPr="00E82016" w:rsidRDefault="00895732" w:rsidP="00895732">
      <w:pPr>
        <w:spacing w:after="0" w:line="240" w:lineRule="auto"/>
        <w:ind w:firstLine="709"/>
        <w:contextualSpacing/>
        <w:jc w:val="both"/>
        <w:rPr>
          <w:rFonts w:ascii="Times New Roman" w:hAnsi="Times New Roman"/>
          <w:color w:val="FF0000"/>
          <w:sz w:val="24"/>
          <w:szCs w:val="24"/>
        </w:rPr>
      </w:pPr>
    </w:p>
    <w:p w:rsidR="00450B5D" w:rsidRPr="00450B5D" w:rsidRDefault="00450B5D" w:rsidP="00450B5D">
      <w:pPr>
        <w:spacing w:after="0" w:line="240" w:lineRule="auto"/>
        <w:ind w:firstLine="709"/>
        <w:contextualSpacing/>
        <w:jc w:val="both"/>
        <w:rPr>
          <w:rFonts w:ascii="Times New Roman" w:hAnsi="Times New Roman" w:cs="Times New Roman"/>
          <w:b/>
          <w:i/>
          <w:sz w:val="24"/>
          <w:szCs w:val="24"/>
        </w:rPr>
      </w:pPr>
      <w:r w:rsidRPr="00450B5D">
        <w:rPr>
          <w:rFonts w:ascii="Times New Roman" w:hAnsi="Times New Roman" w:cs="Times New Roman"/>
          <w:b/>
          <w:i/>
          <w:sz w:val="24"/>
          <w:szCs w:val="24"/>
        </w:rPr>
        <w:t>Риск фондирования. Повышение концентрации вкладов клиентов в иностранной валюте.</w:t>
      </w:r>
    </w:p>
    <w:p w:rsidR="00450B5D" w:rsidRPr="00450B5D" w:rsidRDefault="00450B5D" w:rsidP="00450B5D">
      <w:pPr>
        <w:spacing w:after="0" w:line="240" w:lineRule="auto"/>
        <w:ind w:firstLine="709"/>
        <w:contextualSpacing/>
        <w:jc w:val="both"/>
        <w:rPr>
          <w:rFonts w:ascii="Times New Roman" w:hAnsi="Times New Roman" w:cs="Times New Roman"/>
          <w:b/>
          <w:i/>
          <w:sz w:val="24"/>
          <w:szCs w:val="24"/>
        </w:rPr>
      </w:pPr>
      <w:r w:rsidRPr="00450B5D">
        <w:rPr>
          <w:rFonts w:ascii="Times New Roman" w:hAnsi="Times New Roman" w:cs="Times New Roman"/>
          <w:b/>
          <w:bCs/>
          <w:i/>
          <w:sz w:val="24"/>
          <w:szCs w:val="24"/>
        </w:rPr>
        <w:t>Мероприятия по управлению возможным риском:</w:t>
      </w:r>
    </w:p>
    <w:p w:rsidR="00450B5D" w:rsidRPr="00450B5D" w:rsidRDefault="00450B5D" w:rsidP="00450B5D">
      <w:pPr>
        <w:spacing w:after="0" w:line="240" w:lineRule="auto"/>
        <w:ind w:firstLine="709"/>
        <w:contextualSpacing/>
        <w:jc w:val="both"/>
        <w:rPr>
          <w:rFonts w:ascii="Times New Roman" w:hAnsi="Times New Roman" w:cs="Times New Roman"/>
          <w:i/>
          <w:sz w:val="24"/>
          <w:szCs w:val="24"/>
        </w:rPr>
      </w:pPr>
      <w:r w:rsidRPr="00450B5D">
        <w:rPr>
          <w:rFonts w:ascii="Times New Roman" w:hAnsi="Times New Roman" w:cs="Times New Roman"/>
          <w:i/>
          <w:sz w:val="24"/>
          <w:szCs w:val="24"/>
        </w:rPr>
        <w:t>Принятие мер по повышению привлекательности тенговых инструментов: развитие рынка корпоративных ценных бумаг, расширение возможностей институциональных инвесторов, стимулирование биржевой торговли финансовыми инструментами в тенге.</w:t>
      </w:r>
    </w:p>
    <w:p w:rsidR="00450B5D" w:rsidRPr="001D338B" w:rsidRDefault="00450B5D" w:rsidP="00450B5D">
      <w:pPr>
        <w:spacing w:after="0" w:line="240" w:lineRule="auto"/>
        <w:ind w:firstLine="709"/>
        <w:jc w:val="both"/>
        <w:rPr>
          <w:rFonts w:ascii="Times New Roman" w:hAnsi="Times New Roman" w:cs="Times New Roman"/>
          <w:i/>
          <w:color w:val="003300"/>
          <w:sz w:val="24"/>
          <w:szCs w:val="24"/>
        </w:rPr>
      </w:pPr>
      <w:r w:rsidRPr="001D338B">
        <w:rPr>
          <w:rFonts w:ascii="Times New Roman" w:hAnsi="Times New Roman" w:cs="Times New Roman"/>
          <w:i/>
          <w:color w:val="003300"/>
          <w:sz w:val="24"/>
          <w:szCs w:val="24"/>
        </w:rPr>
        <w:t>Развитие рынка корпоративных ценных бумаг</w:t>
      </w:r>
    </w:p>
    <w:p w:rsidR="00450B5D" w:rsidRPr="00450B5D" w:rsidRDefault="00450B5D" w:rsidP="00450B5D">
      <w:pPr>
        <w:spacing w:after="0" w:line="240" w:lineRule="auto"/>
        <w:ind w:firstLine="709"/>
        <w:jc w:val="both"/>
        <w:rPr>
          <w:rFonts w:ascii="Times New Roman" w:hAnsi="Times New Roman" w:cs="Times New Roman"/>
          <w:color w:val="000000"/>
          <w:sz w:val="24"/>
          <w:szCs w:val="24"/>
        </w:rPr>
      </w:pPr>
      <w:r w:rsidRPr="00450B5D">
        <w:rPr>
          <w:rFonts w:ascii="Times New Roman" w:hAnsi="Times New Roman" w:cs="Times New Roman"/>
          <w:color w:val="000000"/>
          <w:sz w:val="24"/>
          <w:szCs w:val="24"/>
        </w:rPr>
        <w:t xml:space="preserve">В целях развития рынка корпоративных облигаций внедрен механизм субсидирования государством купонной ставки облигаций частных казахстанских предприятий. Внедрение механизма повысит для бизнеса доступность привлечения рыночного финансирования на фондовом рынке. </w:t>
      </w:r>
    </w:p>
    <w:p w:rsidR="00450B5D" w:rsidRPr="00450B5D" w:rsidRDefault="00450B5D" w:rsidP="00450B5D">
      <w:pPr>
        <w:spacing w:after="0" w:line="240" w:lineRule="auto"/>
        <w:ind w:firstLine="709"/>
        <w:jc w:val="both"/>
        <w:rPr>
          <w:rFonts w:ascii="Times New Roman" w:hAnsi="Times New Roman" w:cs="Times New Roman"/>
          <w:color w:val="000000"/>
          <w:sz w:val="24"/>
          <w:szCs w:val="24"/>
        </w:rPr>
      </w:pPr>
      <w:r w:rsidRPr="00450B5D">
        <w:rPr>
          <w:rFonts w:ascii="Times New Roman" w:hAnsi="Times New Roman" w:cs="Times New Roman"/>
          <w:color w:val="000000"/>
          <w:sz w:val="24"/>
          <w:szCs w:val="24"/>
        </w:rPr>
        <w:t>Механизм внедрен путем внесения дополнений</w:t>
      </w:r>
      <w:r w:rsidRPr="00450B5D">
        <w:rPr>
          <w:rStyle w:val="a9"/>
          <w:rFonts w:ascii="Times New Roman" w:hAnsi="Times New Roman" w:cs="Times New Roman"/>
          <w:color w:val="000000"/>
          <w:sz w:val="24"/>
          <w:szCs w:val="24"/>
        </w:rPr>
        <w:footnoteReference w:id="4"/>
      </w:r>
      <w:r w:rsidRPr="00450B5D">
        <w:rPr>
          <w:rFonts w:ascii="Times New Roman" w:hAnsi="Times New Roman" w:cs="Times New Roman"/>
          <w:color w:val="000000"/>
          <w:sz w:val="24"/>
          <w:szCs w:val="24"/>
        </w:rPr>
        <w:t xml:space="preserve"> в Предпринимательский кодекс Республики Казахстан Законом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(шестой пакет поправок по улучшению позиции Казахстана в рейтинге Всемирного банка «</w:t>
      </w:r>
      <w:r w:rsidRPr="00450B5D">
        <w:rPr>
          <w:rFonts w:ascii="Times New Roman" w:hAnsi="Times New Roman" w:cs="Times New Roman"/>
          <w:color w:val="000000"/>
          <w:sz w:val="24"/>
          <w:szCs w:val="24"/>
          <w:lang w:val="en-US"/>
        </w:rPr>
        <w:t>Doing</w:t>
      </w:r>
      <w:r w:rsidRPr="00450B5D">
        <w:rPr>
          <w:rFonts w:ascii="Times New Roman" w:hAnsi="Times New Roman" w:cs="Times New Roman"/>
          <w:color w:val="000000"/>
          <w:sz w:val="24"/>
          <w:szCs w:val="24"/>
        </w:rPr>
        <w:t xml:space="preserve"> </w:t>
      </w:r>
      <w:r w:rsidRPr="00450B5D">
        <w:rPr>
          <w:rFonts w:ascii="Times New Roman" w:hAnsi="Times New Roman" w:cs="Times New Roman"/>
          <w:color w:val="000000"/>
          <w:sz w:val="24"/>
          <w:szCs w:val="24"/>
          <w:lang w:val="en-US"/>
        </w:rPr>
        <w:t>Business</w:t>
      </w:r>
      <w:r w:rsidRPr="00450B5D">
        <w:rPr>
          <w:rFonts w:ascii="Times New Roman" w:hAnsi="Times New Roman" w:cs="Times New Roman"/>
          <w:color w:val="000000"/>
          <w:sz w:val="24"/>
          <w:szCs w:val="24"/>
        </w:rPr>
        <w:t>»).</w:t>
      </w:r>
    </w:p>
    <w:p w:rsidR="00450B5D" w:rsidRPr="00450B5D" w:rsidRDefault="00450B5D" w:rsidP="00450B5D">
      <w:pPr>
        <w:spacing w:after="0" w:line="240" w:lineRule="auto"/>
        <w:ind w:firstLine="709"/>
        <w:jc w:val="both"/>
        <w:rPr>
          <w:rFonts w:ascii="Times New Roman" w:hAnsi="Times New Roman" w:cs="Times New Roman"/>
          <w:color w:val="000000"/>
          <w:sz w:val="24"/>
          <w:szCs w:val="24"/>
        </w:rPr>
      </w:pPr>
      <w:r w:rsidRPr="00450B5D">
        <w:rPr>
          <w:rFonts w:ascii="Times New Roman" w:hAnsi="Times New Roman" w:cs="Times New Roman"/>
          <w:color w:val="000000"/>
          <w:sz w:val="24"/>
          <w:szCs w:val="24"/>
        </w:rPr>
        <w:t>В целях стимулирования компаний корпоративного сектора</w:t>
      </w:r>
      <w:r>
        <w:rPr>
          <w:rFonts w:ascii="Times New Roman" w:hAnsi="Times New Roman" w:cs="Times New Roman"/>
          <w:color w:val="000000"/>
          <w:sz w:val="24"/>
          <w:szCs w:val="24"/>
        </w:rPr>
        <w:t>,</w:t>
      </w:r>
      <w:r w:rsidRPr="00450B5D">
        <w:rPr>
          <w:rFonts w:ascii="Times New Roman" w:hAnsi="Times New Roman" w:cs="Times New Roman"/>
          <w:color w:val="000000"/>
          <w:sz w:val="24"/>
          <w:szCs w:val="24"/>
        </w:rPr>
        <w:t xml:space="preserve"> осуществляющих привлечение рыночного финансирования своей деятельности через выпуск и размещение</w:t>
      </w:r>
      <w:r w:rsidR="007656B7">
        <w:rPr>
          <w:rFonts w:ascii="Times New Roman" w:hAnsi="Times New Roman" w:cs="Times New Roman"/>
          <w:color w:val="000000"/>
          <w:sz w:val="24"/>
          <w:szCs w:val="24"/>
        </w:rPr>
        <w:t xml:space="preserve"> ценных бумаг на фондовом рынке, </w:t>
      </w:r>
      <w:r w:rsidRPr="00450B5D">
        <w:rPr>
          <w:rFonts w:ascii="Times New Roman" w:hAnsi="Times New Roman" w:cs="Times New Roman"/>
          <w:color w:val="000000"/>
          <w:sz w:val="24"/>
          <w:szCs w:val="24"/>
        </w:rPr>
        <w:t>проведено упрощение выхода эмитентов</w:t>
      </w:r>
      <w:r>
        <w:rPr>
          <w:rFonts w:ascii="Times New Roman" w:hAnsi="Times New Roman" w:cs="Times New Roman"/>
          <w:color w:val="000000"/>
          <w:sz w:val="24"/>
          <w:szCs w:val="24"/>
        </w:rPr>
        <w:t xml:space="preserve"> на фондовый рынок, в частности:</w:t>
      </w:r>
    </w:p>
    <w:p w:rsidR="00450B5D" w:rsidRPr="00450B5D" w:rsidRDefault="00450B5D" w:rsidP="00450B5D">
      <w:pPr>
        <w:tabs>
          <w:tab w:val="num" w:pos="720"/>
        </w:tabs>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 сокращен пакет документов, представляемых в уполномоченный орган на государственную регистрацию выпуска негосударственных ценных бумаг (далее - НГЦБ), и сроков их рассмотрения</w:t>
      </w:r>
      <w:r>
        <w:rPr>
          <w:rFonts w:ascii="Times New Roman" w:hAnsi="Times New Roman" w:cs="Times New Roman"/>
          <w:sz w:val="24"/>
          <w:szCs w:val="24"/>
        </w:rPr>
        <w:t>;</w:t>
      </w:r>
    </w:p>
    <w:p w:rsidR="00450B5D" w:rsidRPr="00450B5D" w:rsidRDefault="00450B5D" w:rsidP="00450B5D">
      <w:pPr>
        <w:tabs>
          <w:tab w:val="num" w:pos="720"/>
        </w:tabs>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 предусмотрен поэтапный переход на электронный формат проспекта выпуска НГЦБ и его автоматическое обновление на основании информации, размещаемой эмитентами на депозитарии финансовой отчетности</w:t>
      </w:r>
      <w:r>
        <w:rPr>
          <w:rFonts w:ascii="Times New Roman" w:hAnsi="Times New Roman" w:cs="Times New Roman"/>
          <w:sz w:val="24"/>
          <w:szCs w:val="24"/>
        </w:rPr>
        <w:t>;</w:t>
      </w:r>
    </w:p>
    <w:p w:rsidR="00450B5D" w:rsidRPr="00450B5D" w:rsidRDefault="00450B5D" w:rsidP="00450B5D">
      <w:pPr>
        <w:tabs>
          <w:tab w:val="num" w:pos="720"/>
        </w:tabs>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 упрощены требования к содержанию проспекта выпуска НГЦБ</w:t>
      </w:r>
      <w:r>
        <w:rPr>
          <w:rFonts w:ascii="Times New Roman" w:hAnsi="Times New Roman" w:cs="Times New Roman"/>
          <w:sz w:val="24"/>
          <w:szCs w:val="24"/>
        </w:rPr>
        <w:t>;</w:t>
      </w:r>
    </w:p>
    <w:p w:rsidR="00450B5D" w:rsidRPr="00450B5D" w:rsidRDefault="00450B5D" w:rsidP="00450B5D">
      <w:pPr>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 сокращено количество разрешительных процедур, связанных с внесением изменений в проспекты выпуска НГЦБ, а также с размещением и погашением НГЦБ.</w:t>
      </w:r>
    </w:p>
    <w:p w:rsidR="00450B5D" w:rsidRPr="00450B5D" w:rsidRDefault="00450B5D" w:rsidP="00450B5D">
      <w:pPr>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Указанные законодательные меры приняты в рамках Закона Республики Казахстан от 2 июля 2018 года «О внесении изменений и дополнений в некоторые законодательные акты Республики Казахстан по вопросам страхования и страховой деятельности, рынка ценных бумаг».</w:t>
      </w:r>
    </w:p>
    <w:p w:rsidR="00450B5D" w:rsidRPr="00450B5D" w:rsidRDefault="00450B5D" w:rsidP="00450B5D">
      <w:pPr>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 xml:space="preserve">В рамках структуры альтернативной площадки официального списка фондовой биржи в 2018 году запущены секторы Private Market и </w:t>
      </w:r>
      <w:r w:rsidRPr="00450B5D">
        <w:rPr>
          <w:rFonts w:ascii="Times New Roman" w:hAnsi="Times New Roman" w:cs="Times New Roman"/>
          <w:sz w:val="24"/>
          <w:szCs w:val="24"/>
          <w:lang w:val="en-US"/>
        </w:rPr>
        <w:t>KASE</w:t>
      </w:r>
      <w:r w:rsidRPr="00450B5D">
        <w:rPr>
          <w:rFonts w:ascii="Times New Roman" w:hAnsi="Times New Roman" w:cs="Times New Roman"/>
          <w:sz w:val="24"/>
          <w:szCs w:val="24"/>
        </w:rPr>
        <w:t xml:space="preserve"> </w:t>
      </w:r>
      <w:r w:rsidRPr="00450B5D">
        <w:rPr>
          <w:rFonts w:ascii="Times New Roman" w:hAnsi="Times New Roman" w:cs="Times New Roman"/>
          <w:sz w:val="24"/>
          <w:szCs w:val="24"/>
          <w:lang w:val="en-US"/>
        </w:rPr>
        <w:t>Startup</w:t>
      </w:r>
      <w:r w:rsidRPr="00450B5D">
        <w:rPr>
          <w:rFonts w:ascii="Times New Roman" w:hAnsi="Times New Roman" w:cs="Times New Roman"/>
          <w:sz w:val="24"/>
          <w:szCs w:val="24"/>
        </w:rPr>
        <w:t xml:space="preserve"> для компаний малой капитализации. Private Market предназначен для привлечения рыночного финансирования для компаний в организационно-правовой форме ТОО. </w:t>
      </w:r>
    </w:p>
    <w:p w:rsidR="00450B5D" w:rsidRPr="001D338B" w:rsidRDefault="00450B5D" w:rsidP="00450B5D">
      <w:pPr>
        <w:spacing w:after="0" w:line="240" w:lineRule="auto"/>
        <w:ind w:firstLine="709"/>
        <w:jc w:val="both"/>
        <w:rPr>
          <w:rFonts w:ascii="Times New Roman" w:hAnsi="Times New Roman" w:cs="Times New Roman"/>
          <w:i/>
          <w:color w:val="003300"/>
          <w:sz w:val="24"/>
          <w:szCs w:val="24"/>
        </w:rPr>
      </w:pPr>
      <w:r w:rsidRPr="001D338B">
        <w:rPr>
          <w:rFonts w:ascii="Times New Roman" w:hAnsi="Times New Roman" w:cs="Times New Roman"/>
          <w:i/>
          <w:color w:val="003300"/>
          <w:sz w:val="24"/>
          <w:szCs w:val="24"/>
        </w:rPr>
        <w:t>Расширение возможностей институциональных инвесторов</w:t>
      </w:r>
    </w:p>
    <w:p w:rsidR="00450B5D" w:rsidRPr="00450B5D" w:rsidRDefault="00450B5D" w:rsidP="00450B5D">
      <w:pPr>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 xml:space="preserve">В целях расширения возможностей хеджирования банков, а также расширения возможностей по привлечению тенгового  фондирования под залог избыточной валютной ликвидности на рынке деривативов увеличен лимит открытой длинной и (или) короткой позиции банка по производным финансовым инструментам в валюте отдельного иностранного государства увеличен с 30% до 50% размера собственного капитала банка. </w:t>
      </w:r>
    </w:p>
    <w:p w:rsidR="00450B5D" w:rsidRPr="00450B5D" w:rsidRDefault="00450B5D" w:rsidP="00450B5D">
      <w:pPr>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lastRenderedPageBreak/>
        <w:t>Увеличение лимита осуществлено путем принятия Постановления Правления Национального Банка от 27 апреля 2018 года № 77 «О внесении изменений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p>
    <w:p w:rsidR="00450B5D" w:rsidRPr="00450B5D" w:rsidRDefault="00450B5D" w:rsidP="00450B5D">
      <w:pPr>
        <w:spacing w:after="0" w:line="240" w:lineRule="auto"/>
        <w:ind w:firstLine="709"/>
        <w:jc w:val="both"/>
        <w:rPr>
          <w:rFonts w:ascii="Times New Roman" w:hAnsi="Times New Roman" w:cs="Times New Roman"/>
          <w:color w:val="000000"/>
          <w:sz w:val="24"/>
          <w:szCs w:val="24"/>
        </w:rPr>
      </w:pPr>
      <w:r w:rsidRPr="00450B5D">
        <w:rPr>
          <w:rFonts w:ascii="Times New Roman" w:hAnsi="Times New Roman" w:cs="Times New Roman"/>
          <w:color w:val="000000"/>
          <w:sz w:val="24"/>
          <w:szCs w:val="24"/>
        </w:rPr>
        <w:t>В целях развития рынка инвестиционных фондов и популяризации коллективных схем инвестирования среди населения, приняты меры по либерализации законода</w:t>
      </w:r>
      <w:r>
        <w:rPr>
          <w:rFonts w:ascii="Times New Roman" w:hAnsi="Times New Roman" w:cs="Times New Roman"/>
          <w:color w:val="000000"/>
          <w:sz w:val="24"/>
          <w:szCs w:val="24"/>
        </w:rPr>
        <w:t>тельных требований, в частности:</w:t>
      </w:r>
    </w:p>
    <w:p w:rsidR="00450B5D" w:rsidRPr="00450B5D" w:rsidRDefault="00450B5D" w:rsidP="00450B5D">
      <w:pPr>
        <w:tabs>
          <w:tab w:val="num" w:pos="720"/>
        </w:tabs>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 xml:space="preserve">- исключены требования к минимальному размеру активов и к минимальному количеству держателей паев (на дату окончания первоначального размещения паев) паевого инвестиционного фонда; </w:t>
      </w:r>
    </w:p>
    <w:p w:rsidR="00450B5D" w:rsidRPr="00450B5D" w:rsidRDefault="00450B5D" w:rsidP="00450B5D">
      <w:pPr>
        <w:tabs>
          <w:tab w:val="num" w:pos="720"/>
        </w:tabs>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 расширены инвестиционные возможности инвестиционных фондов за счет пересмотра законодательных лимитов инвестирования;</w:t>
      </w:r>
    </w:p>
    <w:p w:rsidR="00450B5D" w:rsidRPr="00450B5D" w:rsidRDefault="00450B5D" w:rsidP="00450B5D">
      <w:pPr>
        <w:tabs>
          <w:tab w:val="num" w:pos="720"/>
        </w:tabs>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 снят запрет на выпуск и размещение фондом недвижимости, иных помимо акций, финансовых инструментов, а также требований к минимальному размеру денег, направленных на выплату дивидендов по акциям фонда недвижимости;</w:t>
      </w:r>
    </w:p>
    <w:p w:rsidR="00450B5D" w:rsidRPr="00450B5D" w:rsidRDefault="00450B5D" w:rsidP="00450B5D">
      <w:pPr>
        <w:tabs>
          <w:tab w:val="num" w:pos="720"/>
        </w:tabs>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 предоставлена возможность создания инвестиционных фондов в результате преобразования из ТОО и реорганизации из АО, не являющегося инвестиционным фондом.</w:t>
      </w:r>
    </w:p>
    <w:p w:rsidR="00450B5D" w:rsidRPr="00450B5D" w:rsidRDefault="00450B5D" w:rsidP="00450B5D">
      <w:pPr>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 xml:space="preserve">Указанные меры </w:t>
      </w:r>
      <w:r w:rsidRPr="00450B5D">
        <w:rPr>
          <w:rFonts w:ascii="Times New Roman" w:hAnsi="Times New Roman" w:cs="Times New Roman"/>
          <w:color w:val="000000"/>
          <w:sz w:val="24"/>
          <w:szCs w:val="24"/>
        </w:rPr>
        <w:t>по либерализации требований</w:t>
      </w:r>
      <w:r w:rsidRPr="00450B5D">
        <w:rPr>
          <w:rFonts w:ascii="Times New Roman" w:hAnsi="Times New Roman" w:cs="Times New Roman"/>
          <w:sz w:val="24"/>
          <w:szCs w:val="24"/>
        </w:rPr>
        <w:t xml:space="preserve"> к  инвестиционным фондам приняты в рамках Закона Республики Казахстан от 2 июля 2018 года «О внесении изменений и дополнений в некоторые законодательные акты Республики Казахстан по вопросам страхования и страховой деятельности, рынка ценных бумаг». </w:t>
      </w:r>
    </w:p>
    <w:p w:rsidR="00450B5D" w:rsidRPr="001D338B" w:rsidRDefault="00450B5D" w:rsidP="00450B5D">
      <w:pPr>
        <w:spacing w:after="0" w:line="240" w:lineRule="auto"/>
        <w:ind w:firstLine="709"/>
        <w:jc w:val="both"/>
        <w:rPr>
          <w:rFonts w:ascii="Times New Roman" w:hAnsi="Times New Roman" w:cs="Times New Roman"/>
          <w:i/>
          <w:color w:val="003300"/>
          <w:sz w:val="24"/>
          <w:szCs w:val="24"/>
        </w:rPr>
      </w:pPr>
      <w:r w:rsidRPr="001D338B">
        <w:rPr>
          <w:rFonts w:ascii="Times New Roman" w:hAnsi="Times New Roman" w:cs="Times New Roman"/>
          <w:i/>
          <w:color w:val="003300"/>
          <w:sz w:val="24"/>
          <w:szCs w:val="24"/>
        </w:rPr>
        <w:t>Стимулирование биржевой торговли финансовыми инструментами в тенге</w:t>
      </w:r>
    </w:p>
    <w:p w:rsidR="00450B5D" w:rsidRPr="00450B5D" w:rsidRDefault="00450B5D" w:rsidP="00450B5D">
      <w:pPr>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В целях минимизации угроз снижения оборотов по биржевой торговли финан</w:t>
      </w:r>
      <w:r>
        <w:rPr>
          <w:rFonts w:ascii="Times New Roman" w:hAnsi="Times New Roman" w:cs="Times New Roman"/>
          <w:sz w:val="24"/>
          <w:szCs w:val="24"/>
        </w:rPr>
        <w:t>совыми инструментами в тенге из-за роста инвестиций в крипто</w:t>
      </w:r>
      <w:r w:rsidRPr="00450B5D">
        <w:rPr>
          <w:rFonts w:ascii="Times New Roman" w:hAnsi="Times New Roman" w:cs="Times New Roman"/>
          <w:sz w:val="24"/>
          <w:szCs w:val="24"/>
        </w:rPr>
        <w:t>валюту и торговых операций по иным цифровым активам установлен запрет на</w:t>
      </w:r>
      <w:r w:rsidRPr="00450B5D">
        <w:rPr>
          <w:rFonts w:ascii="Times New Roman" w:hAnsi="Times New Roman" w:cs="Times New Roman"/>
          <w:i/>
          <w:sz w:val="24"/>
          <w:szCs w:val="24"/>
        </w:rPr>
        <w:t xml:space="preserve"> </w:t>
      </w:r>
      <w:r w:rsidRPr="00450B5D">
        <w:rPr>
          <w:rFonts w:ascii="Times New Roman" w:hAnsi="Times New Roman" w:cs="Times New Roman"/>
          <w:sz w:val="24"/>
          <w:szCs w:val="24"/>
        </w:rPr>
        <w:t xml:space="preserve">инвестирования активов следующими институциональными инвесторами в финансовые инструменты, стоимость которых зависит от стоимости (изменения стоимости) величин, создаваемых и учитываемых в децентрализованной информационной системе с применением средств криптографии и (или) компьютерных вычислений, не являющихся в соответствии с </w:t>
      </w:r>
      <w:bookmarkStart w:id="0" w:name="sub1000000159"/>
      <w:r w:rsidRPr="00450B5D">
        <w:rPr>
          <w:rFonts w:ascii="Times New Roman" w:hAnsi="Times New Roman" w:cs="Times New Roman"/>
          <w:sz w:val="24"/>
          <w:szCs w:val="24"/>
        </w:rPr>
        <w:t>гражданским законодательством</w:t>
      </w:r>
      <w:bookmarkEnd w:id="0"/>
      <w:r w:rsidRPr="00450B5D">
        <w:rPr>
          <w:rFonts w:ascii="Times New Roman" w:hAnsi="Times New Roman" w:cs="Times New Roman"/>
          <w:sz w:val="24"/>
          <w:szCs w:val="24"/>
        </w:rPr>
        <w:t xml:space="preserve"> Республики Казахстан финансовыми инструментами или финансовыми активами, и не содержащих право требования к кому-либо (далее – Цифровые активы):</w:t>
      </w:r>
    </w:p>
    <w:p w:rsidR="00450B5D" w:rsidRPr="00450B5D" w:rsidRDefault="00450B5D" w:rsidP="00450B5D">
      <w:pPr>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 АО «Фонд гарантирования страховых выплат»;</w:t>
      </w:r>
    </w:p>
    <w:p w:rsidR="00450B5D" w:rsidRPr="00450B5D" w:rsidRDefault="00450B5D" w:rsidP="00450B5D">
      <w:pPr>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 брокерские организации на рынке ценных бумаг и их клиенты;</w:t>
      </w:r>
    </w:p>
    <w:p w:rsidR="00450B5D" w:rsidRPr="00450B5D" w:rsidRDefault="00450B5D" w:rsidP="00450B5D">
      <w:pPr>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 управляющие инвестиционным портфелем (по клиентским и собственным активам);</w:t>
      </w:r>
    </w:p>
    <w:p w:rsidR="00450B5D" w:rsidRPr="00450B5D" w:rsidRDefault="00450B5D" w:rsidP="00450B5D">
      <w:pPr>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 банки второго уровня;</w:t>
      </w:r>
    </w:p>
    <w:p w:rsidR="00450B5D" w:rsidRPr="00450B5D" w:rsidRDefault="00450B5D" w:rsidP="00450B5D">
      <w:pPr>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 страховые (перестраховочные) организации.</w:t>
      </w:r>
    </w:p>
    <w:p w:rsidR="00450B5D" w:rsidRPr="00450B5D" w:rsidRDefault="00450B5D" w:rsidP="00450B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Вместе с этим, запрещено:</w:t>
      </w:r>
    </w:p>
    <w:p w:rsidR="00450B5D" w:rsidRPr="00450B5D" w:rsidRDefault="00450B5D" w:rsidP="00450B5D">
      <w:pPr>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 страхование рисков, связанных с Цифровыми активами;</w:t>
      </w:r>
    </w:p>
    <w:p w:rsidR="00450B5D" w:rsidRPr="00450B5D" w:rsidRDefault="00450B5D" w:rsidP="00450B5D">
      <w:pPr>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 обращение Цифровых активов на организованном рынке ценных бумаг Республики Казахстан.</w:t>
      </w:r>
    </w:p>
    <w:p w:rsidR="00450B5D" w:rsidRPr="00450B5D" w:rsidRDefault="00450B5D" w:rsidP="00450B5D">
      <w:pPr>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 xml:space="preserve">Указанные меры нормативного характера приняты в рамках </w:t>
      </w:r>
      <w:r>
        <w:rPr>
          <w:rFonts w:ascii="Times New Roman" w:hAnsi="Times New Roman" w:cs="Times New Roman"/>
          <w:sz w:val="24"/>
          <w:szCs w:val="24"/>
        </w:rPr>
        <w:t>п</w:t>
      </w:r>
      <w:r w:rsidRPr="00450B5D">
        <w:rPr>
          <w:rFonts w:ascii="Times New Roman" w:hAnsi="Times New Roman" w:cs="Times New Roman"/>
          <w:sz w:val="24"/>
          <w:szCs w:val="24"/>
        </w:rPr>
        <w:t>остановления Правления Национального Банка от 29 октября 2018 года № 267 «</w:t>
      </w:r>
      <w:r w:rsidRPr="00450B5D">
        <w:rPr>
          <w:rFonts w:ascii="Times New Roman" w:hAnsi="Times New Roman" w:cs="Times New Roman"/>
          <w:color w:val="000000"/>
          <w:sz w:val="24"/>
          <w:szCs w:val="24"/>
        </w:rPr>
        <w:t>О внесении изменений и дополнений в некоторые нормативные правовые акты Республики Казахстан по вопросам регулирования финансового рынка, платежей и платежных систем</w:t>
      </w:r>
      <w:r w:rsidRPr="00450B5D">
        <w:rPr>
          <w:rFonts w:ascii="Times New Roman" w:hAnsi="Times New Roman" w:cs="Times New Roman"/>
          <w:sz w:val="24"/>
          <w:szCs w:val="24"/>
        </w:rPr>
        <w:t>».</w:t>
      </w:r>
    </w:p>
    <w:p w:rsidR="005F0475" w:rsidRDefault="00450B5D" w:rsidP="00895732">
      <w:pPr>
        <w:spacing w:after="0" w:line="240" w:lineRule="auto"/>
        <w:ind w:firstLine="709"/>
        <w:jc w:val="both"/>
        <w:rPr>
          <w:rFonts w:ascii="Times New Roman" w:hAnsi="Times New Roman" w:cs="Times New Roman"/>
          <w:sz w:val="24"/>
          <w:szCs w:val="24"/>
        </w:rPr>
      </w:pPr>
      <w:r w:rsidRPr="00450B5D">
        <w:rPr>
          <w:rFonts w:ascii="Times New Roman" w:hAnsi="Times New Roman" w:cs="Times New Roman"/>
          <w:sz w:val="24"/>
          <w:szCs w:val="24"/>
        </w:rPr>
        <w:t xml:space="preserve">Дальнейшие меры Национального Банка по развитию фондового рынка будут осуществляться в соответствии с Планом совместных действий Правительства Республики Казахстан и Национального Банка по развитию национального фондового рынка на 2018-2021 годы. Также дальнейшей активизации фондового рынка, как полагаем, будет способствовать реформа системы управления пенсионными активами, предусматривающее предоставление вкладчику права выбора управляющей компании. В результате на фондовом рынке появится класс стратегических (институциональных) инвесторов в лице компаний по управлению пенсионными активами.   </w:t>
      </w:r>
    </w:p>
    <w:p w:rsidR="00895732" w:rsidRPr="005F0475" w:rsidRDefault="00895732" w:rsidP="00895732">
      <w:pPr>
        <w:spacing w:after="0" w:line="240" w:lineRule="auto"/>
        <w:ind w:firstLine="709"/>
        <w:jc w:val="both"/>
        <w:rPr>
          <w:rFonts w:ascii="Times New Roman" w:hAnsi="Times New Roman" w:cs="Times New Roman"/>
          <w:sz w:val="24"/>
          <w:szCs w:val="24"/>
        </w:rPr>
      </w:pPr>
      <w:r w:rsidRPr="00E82016">
        <w:rPr>
          <w:rFonts w:ascii="Times New Roman" w:hAnsi="Times New Roman"/>
          <w:b/>
          <w:i/>
          <w:sz w:val="24"/>
          <w:szCs w:val="24"/>
        </w:rPr>
        <w:lastRenderedPageBreak/>
        <w:t>Ухудшение финансовой устойчивости банков.</w:t>
      </w:r>
    </w:p>
    <w:p w:rsidR="00895732" w:rsidRDefault="00895732" w:rsidP="00895732">
      <w:pPr>
        <w:spacing w:after="0" w:line="240" w:lineRule="auto"/>
        <w:ind w:firstLine="709"/>
        <w:contextualSpacing/>
        <w:jc w:val="both"/>
        <w:rPr>
          <w:rFonts w:ascii="Times New Roman" w:hAnsi="Times New Roman"/>
          <w:b/>
          <w:bCs/>
          <w:i/>
          <w:sz w:val="24"/>
          <w:szCs w:val="24"/>
        </w:rPr>
      </w:pPr>
      <w:r w:rsidRPr="00E82016">
        <w:rPr>
          <w:rFonts w:ascii="Times New Roman" w:hAnsi="Times New Roman"/>
          <w:b/>
          <w:bCs/>
          <w:i/>
          <w:sz w:val="24"/>
          <w:szCs w:val="24"/>
        </w:rPr>
        <w:t>Мероприятия по управлению возможным риском:</w:t>
      </w:r>
    </w:p>
    <w:p w:rsidR="00C9485F" w:rsidRPr="00934FDF" w:rsidRDefault="00C9485F" w:rsidP="00C9485F">
      <w:pPr>
        <w:spacing w:after="0" w:line="240" w:lineRule="auto"/>
        <w:ind w:firstLine="709"/>
        <w:contextualSpacing/>
        <w:jc w:val="both"/>
        <w:rPr>
          <w:rFonts w:ascii="Times New Roman" w:hAnsi="Times New Roman"/>
          <w:i/>
          <w:sz w:val="24"/>
          <w:szCs w:val="24"/>
        </w:rPr>
      </w:pPr>
      <w:r w:rsidRPr="00934FDF">
        <w:rPr>
          <w:rFonts w:ascii="Times New Roman" w:hAnsi="Times New Roman"/>
          <w:i/>
          <w:sz w:val="24"/>
          <w:szCs w:val="24"/>
        </w:rPr>
        <w:t>Совершенствование пруденциального регулирования банков второго уровня.</w:t>
      </w:r>
    </w:p>
    <w:p w:rsidR="00C9485F" w:rsidRPr="00FD54FE" w:rsidRDefault="00C9485F" w:rsidP="00C9485F">
      <w:pPr>
        <w:spacing w:after="0" w:line="240" w:lineRule="auto"/>
        <w:ind w:firstLine="709"/>
        <w:contextualSpacing/>
        <w:jc w:val="both"/>
        <w:rPr>
          <w:rFonts w:ascii="Times New Roman" w:hAnsi="Times New Roman"/>
          <w:sz w:val="24"/>
          <w:szCs w:val="24"/>
        </w:rPr>
      </w:pPr>
      <w:r w:rsidRPr="00FD54FE">
        <w:rPr>
          <w:rFonts w:ascii="Times New Roman" w:hAnsi="Times New Roman"/>
          <w:sz w:val="24"/>
          <w:szCs w:val="24"/>
        </w:rPr>
        <w:t xml:space="preserve">В целях предоставления банкам дополнительного времени для соблюдения требований норматива </w:t>
      </w:r>
      <w:r w:rsidRPr="00FD54FE">
        <w:rPr>
          <w:rFonts w:ascii="Times New Roman" w:hAnsi="Times New Roman"/>
          <w:sz w:val="24"/>
          <w:szCs w:val="24"/>
          <w:lang w:val="en-US"/>
        </w:rPr>
        <w:t>LCR</w:t>
      </w:r>
      <w:r w:rsidRPr="00FD54FE">
        <w:rPr>
          <w:rFonts w:ascii="Times New Roman" w:hAnsi="Times New Roman"/>
          <w:sz w:val="24"/>
          <w:szCs w:val="24"/>
        </w:rPr>
        <w:t>, а также с целью приведения в соответствие стандартам БКБН Правлением Национального Банка 27 апреля 2018 года принято постановление №77 «О внесении изменений в постановление Правления Национального Банка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предусматривающее:</w:t>
      </w:r>
    </w:p>
    <w:p w:rsidR="00C9485F" w:rsidRPr="00FD54FE" w:rsidRDefault="00C9485F" w:rsidP="00C9485F">
      <w:pPr>
        <w:spacing w:after="0" w:line="240" w:lineRule="auto"/>
        <w:ind w:firstLine="709"/>
        <w:contextualSpacing/>
        <w:jc w:val="both"/>
        <w:rPr>
          <w:rFonts w:ascii="Times New Roman" w:hAnsi="Times New Roman"/>
          <w:sz w:val="24"/>
          <w:szCs w:val="24"/>
        </w:rPr>
      </w:pPr>
      <w:r w:rsidRPr="00FD54FE">
        <w:rPr>
          <w:rFonts w:ascii="Times New Roman" w:hAnsi="Times New Roman"/>
          <w:sz w:val="24"/>
          <w:szCs w:val="24"/>
        </w:rPr>
        <w:t xml:space="preserve">-включение инструментов капитала с учетом классификации МСФО 9; </w:t>
      </w:r>
    </w:p>
    <w:p w:rsidR="00C9485F" w:rsidRPr="00FD54FE" w:rsidRDefault="00C9485F" w:rsidP="00C9485F">
      <w:pPr>
        <w:spacing w:after="0" w:line="240" w:lineRule="auto"/>
        <w:ind w:firstLine="709"/>
        <w:contextualSpacing/>
        <w:jc w:val="both"/>
        <w:rPr>
          <w:rFonts w:ascii="Times New Roman" w:hAnsi="Times New Roman"/>
          <w:sz w:val="24"/>
          <w:szCs w:val="24"/>
        </w:rPr>
      </w:pPr>
      <w:r w:rsidRPr="00FD54FE">
        <w:rPr>
          <w:rFonts w:ascii="Times New Roman" w:hAnsi="Times New Roman"/>
          <w:sz w:val="24"/>
          <w:szCs w:val="24"/>
        </w:rPr>
        <w:t>- вычет из капитала суммы инвестиций в соответствии с требованиями БКБН;</w:t>
      </w:r>
    </w:p>
    <w:p w:rsidR="00C9485F" w:rsidRPr="00FD54FE" w:rsidRDefault="00C9485F" w:rsidP="00C9485F">
      <w:pPr>
        <w:spacing w:after="0" w:line="240" w:lineRule="auto"/>
        <w:ind w:firstLine="709"/>
        <w:contextualSpacing/>
        <w:jc w:val="both"/>
        <w:rPr>
          <w:rFonts w:ascii="Times New Roman" w:hAnsi="Times New Roman"/>
          <w:sz w:val="24"/>
          <w:szCs w:val="24"/>
        </w:rPr>
      </w:pPr>
      <w:r w:rsidRPr="00FD54FE">
        <w:rPr>
          <w:rFonts w:ascii="Times New Roman" w:hAnsi="Times New Roman"/>
          <w:sz w:val="24"/>
          <w:szCs w:val="24"/>
        </w:rPr>
        <w:t>- установление лимита риска на одного заемщика для БРК на уровне 0,5 от СК;</w:t>
      </w:r>
    </w:p>
    <w:p w:rsidR="00C9485F" w:rsidRPr="00FD54FE" w:rsidRDefault="00C9485F" w:rsidP="00C9485F">
      <w:pPr>
        <w:spacing w:after="0" w:line="240" w:lineRule="auto"/>
        <w:ind w:firstLine="709"/>
        <w:contextualSpacing/>
        <w:jc w:val="both"/>
        <w:rPr>
          <w:rFonts w:ascii="Times New Roman" w:hAnsi="Times New Roman"/>
          <w:sz w:val="24"/>
          <w:szCs w:val="24"/>
        </w:rPr>
      </w:pPr>
      <w:r w:rsidRPr="00FD54FE">
        <w:rPr>
          <w:rFonts w:ascii="Times New Roman" w:hAnsi="Times New Roman"/>
          <w:sz w:val="24"/>
          <w:szCs w:val="24"/>
        </w:rPr>
        <w:t>- признание высококачественными ликвидными активами ЦБ без учета сроков реализации этих ЦБ (торговые, в наличии для продажи, удерживаемые до погашения);</w:t>
      </w:r>
    </w:p>
    <w:p w:rsidR="00C9485F" w:rsidRPr="00FD54FE" w:rsidRDefault="00C9485F" w:rsidP="00C9485F">
      <w:pPr>
        <w:spacing w:after="0" w:line="240" w:lineRule="auto"/>
        <w:ind w:firstLine="709"/>
        <w:contextualSpacing/>
        <w:jc w:val="both"/>
        <w:rPr>
          <w:rFonts w:ascii="Times New Roman" w:hAnsi="Times New Roman"/>
          <w:sz w:val="24"/>
          <w:szCs w:val="24"/>
        </w:rPr>
      </w:pPr>
      <w:r w:rsidRPr="00FD54FE">
        <w:rPr>
          <w:rFonts w:ascii="Times New Roman" w:hAnsi="Times New Roman"/>
          <w:sz w:val="24"/>
          <w:szCs w:val="24"/>
        </w:rPr>
        <w:t xml:space="preserve">- продление мониторингового периода по коэффициенту </w:t>
      </w:r>
      <w:r w:rsidRPr="00FD54FE">
        <w:rPr>
          <w:rFonts w:ascii="Times New Roman" w:hAnsi="Times New Roman"/>
          <w:sz w:val="24"/>
          <w:szCs w:val="24"/>
          <w:lang w:val="en-US"/>
        </w:rPr>
        <w:t>LCR</w:t>
      </w:r>
      <w:r w:rsidRPr="00FD54FE">
        <w:rPr>
          <w:rFonts w:ascii="Times New Roman" w:hAnsi="Times New Roman"/>
          <w:sz w:val="24"/>
          <w:szCs w:val="24"/>
        </w:rPr>
        <w:t xml:space="preserve"> до 1 сентября 2018 года с установлением нового графика увеличения требований норматива до 100 к 1 января 2022 года;</w:t>
      </w:r>
    </w:p>
    <w:p w:rsidR="00C9485F" w:rsidRPr="00FD54FE" w:rsidRDefault="00C9485F" w:rsidP="00C9485F">
      <w:pPr>
        <w:spacing w:after="0" w:line="240" w:lineRule="auto"/>
        <w:ind w:firstLine="709"/>
        <w:contextualSpacing/>
        <w:jc w:val="both"/>
        <w:rPr>
          <w:rFonts w:ascii="Times New Roman" w:hAnsi="Times New Roman"/>
          <w:sz w:val="24"/>
          <w:szCs w:val="24"/>
        </w:rPr>
      </w:pPr>
      <w:r w:rsidRPr="00FD54FE">
        <w:rPr>
          <w:rFonts w:ascii="Times New Roman" w:hAnsi="Times New Roman"/>
          <w:sz w:val="24"/>
          <w:szCs w:val="24"/>
        </w:rPr>
        <w:t xml:space="preserve">- механизм допустимого снижения значений коэффициента </w:t>
      </w:r>
      <w:r w:rsidRPr="00FD54FE">
        <w:rPr>
          <w:rFonts w:ascii="Times New Roman" w:hAnsi="Times New Roman"/>
          <w:sz w:val="24"/>
          <w:szCs w:val="24"/>
          <w:lang w:val="en-US"/>
        </w:rPr>
        <w:t>LCR</w:t>
      </w:r>
      <w:r w:rsidRPr="00FD54FE">
        <w:rPr>
          <w:rFonts w:ascii="Times New Roman" w:hAnsi="Times New Roman"/>
          <w:sz w:val="24"/>
          <w:szCs w:val="24"/>
        </w:rPr>
        <w:t xml:space="preserve"> ниже установленных значений;</w:t>
      </w:r>
    </w:p>
    <w:p w:rsidR="00C9485F" w:rsidRPr="00FD54FE" w:rsidRDefault="00C9485F" w:rsidP="00C9485F">
      <w:pPr>
        <w:spacing w:after="0" w:line="240" w:lineRule="auto"/>
        <w:ind w:firstLine="709"/>
        <w:contextualSpacing/>
        <w:jc w:val="both"/>
        <w:rPr>
          <w:rFonts w:ascii="Times New Roman" w:hAnsi="Times New Roman"/>
          <w:sz w:val="24"/>
          <w:szCs w:val="24"/>
        </w:rPr>
      </w:pPr>
      <w:r w:rsidRPr="00FD54FE">
        <w:rPr>
          <w:rFonts w:ascii="Times New Roman" w:hAnsi="Times New Roman"/>
          <w:sz w:val="24"/>
          <w:szCs w:val="24"/>
        </w:rPr>
        <w:t>- исключение текущих счетов из норматива капитализации по обязательствам перед нерезидентами К7 и исключение нормативов К8 и К9;</w:t>
      </w:r>
    </w:p>
    <w:p w:rsidR="00C9485F" w:rsidRPr="00934FDF" w:rsidRDefault="00C9485F" w:rsidP="00C9485F">
      <w:pPr>
        <w:spacing w:after="0" w:line="240" w:lineRule="auto"/>
        <w:ind w:firstLine="709"/>
        <w:contextualSpacing/>
        <w:jc w:val="both"/>
        <w:rPr>
          <w:rFonts w:ascii="Times New Roman" w:hAnsi="Times New Roman"/>
          <w:sz w:val="24"/>
          <w:szCs w:val="24"/>
        </w:rPr>
      </w:pPr>
      <w:r w:rsidRPr="00FD54FE">
        <w:rPr>
          <w:rFonts w:ascii="Times New Roman" w:hAnsi="Times New Roman"/>
          <w:sz w:val="24"/>
          <w:szCs w:val="24"/>
        </w:rPr>
        <w:t>- снижение коэффициента взвешивания по кредитному риску ЦБ БРК и ЕАБР до 0%;</w:t>
      </w:r>
    </w:p>
    <w:p w:rsidR="00C9485F" w:rsidRPr="00934FDF" w:rsidRDefault="00C9485F" w:rsidP="00C9485F">
      <w:pPr>
        <w:spacing w:after="0" w:line="240" w:lineRule="auto"/>
        <w:ind w:firstLine="709"/>
        <w:contextualSpacing/>
        <w:jc w:val="both"/>
        <w:rPr>
          <w:rFonts w:ascii="Times New Roman" w:hAnsi="Times New Roman"/>
          <w:sz w:val="24"/>
          <w:szCs w:val="24"/>
        </w:rPr>
      </w:pPr>
      <w:r w:rsidRPr="00934FDF">
        <w:rPr>
          <w:rFonts w:ascii="Times New Roman" w:hAnsi="Times New Roman"/>
          <w:sz w:val="24"/>
          <w:szCs w:val="24"/>
        </w:rPr>
        <w:t>Правлением Национального Банка 29 июня 2018 года принято постановление №142 «О внесении изменений в некоторые нормативные правовые акты Республики Казахстан по вопросам регулирования финансового рынка», предусматривающее:</w:t>
      </w:r>
    </w:p>
    <w:p w:rsidR="00C9485F" w:rsidRPr="00934FDF" w:rsidRDefault="00C9485F" w:rsidP="00C9485F">
      <w:pPr>
        <w:spacing w:after="0" w:line="240" w:lineRule="auto"/>
        <w:ind w:firstLine="709"/>
        <w:contextualSpacing/>
        <w:jc w:val="both"/>
        <w:rPr>
          <w:rFonts w:ascii="Times New Roman" w:hAnsi="Times New Roman"/>
          <w:sz w:val="24"/>
          <w:szCs w:val="24"/>
        </w:rPr>
      </w:pPr>
      <w:r w:rsidRPr="00934FDF">
        <w:rPr>
          <w:rFonts w:ascii="Times New Roman" w:hAnsi="Times New Roman"/>
          <w:sz w:val="24"/>
          <w:szCs w:val="24"/>
        </w:rPr>
        <w:t>-</w:t>
      </w:r>
      <w:r w:rsidR="007A4247">
        <w:rPr>
          <w:rFonts w:ascii="Times New Roman" w:hAnsi="Times New Roman"/>
          <w:sz w:val="24"/>
          <w:szCs w:val="24"/>
        </w:rPr>
        <w:t xml:space="preserve"> </w:t>
      </w:r>
      <w:r w:rsidRPr="00934FDF">
        <w:rPr>
          <w:rFonts w:ascii="Times New Roman" w:hAnsi="Times New Roman"/>
          <w:sz w:val="24"/>
          <w:szCs w:val="24"/>
        </w:rPr>
        <w:t>исключение требований к АО «Баспана» из лимита риска на одного заемщика;</w:t>
      </w:r>
    </w:p>
    <w:p w:rsidR="00C9485F" w:rsidRPr="00934FDF" w:rsidRDefault="00C9485F" w:rsidP="00C9485F">
      <w:pPr>
        <w:spacing w:after="0" w:line="240" w:lineRule="auto"/>
        <w:ind w:firstLine="709"/>
        <w:contextualSpacing/>
        <w:jc w:val="both"/>
        <w:rPr>
          <w:rFonts w:ascii="Times New Roman" w:hAnsi="Times New Roman"/>
          <w:sz w:val="24"/>
          <w:szCs w:val="24"/>
        </w:rPr>
      </w:pPr>
      <w:r w:rsidRPr="00934FDF">
        <w:rPr>
          <w:rFonts w:ascii="Times New Roman" w:hAnsi="Times New Roman"/>
          <w:sz w:val="24"/>
          <w:szCs w:val="24"/>
        </w:rPr>
        <w:t>- включение ЦБ АО «Баспана» в список высоколиквидных и высококачественных ликвидных активов;</w:t>
      </w:r>
    </w:p>
    <w:p w:rsidR="00C9485F" w:rsidRPr="00934FDF" w:rsidRDefault="00C9485F" w:rsidP="00C9485F">
      <w:pPr>
        <w:spacing w:after="0" w:line="240" w:lineRule="auto"/>
        <w:ind w:firstLine="709"/>
        <w:contextualSpacing/>
        <w:jc w:val="both"/>
        <w:rPr>
          <w:rFonts w:ascii="Times New Roman" w:hAnsi="Times New Roman"/>
          <w:sz w:val="24"/>
          <w:szCs w:val="24"/>
        </w:rPr>
      </w:pPr>
      <w:r w:rsidRPr="00934FDF">
        <w:rPr>
          <w:rFonts w:ascii="Times New Roman" w:hAnsi="Times New Roman"/>
          <w:sz w:val="24"/>
          <w:szCs w:val="24"/>
        </w:rPr>
        <w:t>- снижение коэффициентов взвешивания кредитного риска по требованиям к АО «Баспана» и ипотечным займа</w:t>
      </w:r>
      <w:r>
        <w:rPr>
          <w:rFonts w:ascii="Times New Roman" w:hAnsi="Times New Roman"/>
          <w:sz w:val="24"/>
          <w:szCs w:val="24"/>
        </w:rPr>
        <w:t xml:space="preserve">м, выданных в рамках программы </w:t>
      </w:r>
      <w:r w:rsidRPr="00934FDF">
        <w:rPr>
          <w:rFonts w:ascii="Times New Roman" w:hAnsi="Times New Roman"/>
          <w:sz w:val="24"/>
          <w:szCs w:val="24"/>
        </w:rPr>
        <w:t>«7-20-25».</w:t>
      </w:r>
    </w:p>
    <w:p w:rsidR="00895732" w:rsidRPr="003F74B3" w:rsidRDefault="00895732" w:rsidP="00895732">
      <w:pPr>
        <w:spacing w:after="0" w:line="240" w:lineRule="auto"/>
        <w:ind w:firstLine="709"/>
        <w:contextualSpacing/>
        <w:jc w:val="both"/>
        <w:rPr>
          <w:rFonts w:ascii="Times New Roman" w:hAnsi="Times New Roman"/>
          <w:bCs/>
          <w:i/>
          <w:sz w:val="24"/>
        </w:rPr>
      </w:pPr>
      <w:r w:rsidRPr="003F74B3">
        <w:rPr>
          <w:rFonts w:ascii="Times New Roman" w:hAnsi="Times New Roman"/>
          <w:i/>
          <w:sz w:val="24"/>
        </w:rPr>
        <w:t>Реализация процедур надзора в целях обеспечения банками требований законодательства</w:t>
      </w:r>
      <w:r>
        <w:rPr>
          <w:rFonts w:ascii="Times New Roman" w:hAnsi="Times New Roman"/>
          <w:i/>
          <w:sz w:val="24"/>
        </w:rPr>
        <w:t>.</w:t>
      </w:r>
    </w:p>
    <w:p w:rsidR="00C804B8" w:rsidRPr="00502E9A" w:rsidRDefault="00C804B8" w:rsidP="00C804B8">
      <w:pPr>
        <w:pStyle w:val="ae"/>
        <w:tabs>
          <w:tab w:val="left" w:pos="-993"/>
          <w:tab w:val="left" w:pos="1662"/>
        </w:tabs>
        <w:spacing w:after="0"/>
        <w:ind w:left="0" w:firstLine="709"/>
        <w:jc w:val="both"/>
      </w:pPr>
      <w:r w:rsidRPr="00502E9A">
        <w:t>Контроль и надзор за деятельностью банков и их аффилиированными лицами, банковских конгломератов и других субъектов банковского сектора посредством анализа их деятельности, надзора за соблюдением ими установленных законодательством требований (за исключением требований, установлен</w:t>
      </w:r>
      <w:r w:rsidR="00906226">
        <w:t xml:space="preserve">ных валютным законодательством) </w:t>
      </w:r>
      <w:r w:rsidRPr="00502E9A">
        <w:t>осуществляется Д</w:t>
      </w:r>
      <w:r>
        <w:t>епартаментом надзора за банками</w:t>
      </w:r>
      <w:r w:rsidRPr="00502E9A">
        <w:t xml:space="preserve"> в целях защиты интересов вкладчиков (депозиторов) банков и небанковских организаций и обеспечения стабильности банковской системы страны.</w:t>
      </w:r>
    </w:p>
    <w:p w:rsidR="00C804B8" w:rsidRDefault="00C804B8" w:rsidP="00C804B8">
      <w:pPr>
        <w:tabs>
          <w:tab w:val="left" w:pos="0"/>
          <w:tab w:val="left" w:pos="709"/>
          <w:tab w:val="left" w:pos="1134"/>
          <w:tab w:val="left" w:pos="1276"/>
        </w:tabs>
        <w:spacing w:after="0" w:line="240" w:lineRule="auto"/>
        <w:ind w:firstLine="709"/>
        <w:jc w:val="both"/>
        <w:rPr>
          <w:rFonts w:ascii="Times New Roman" w:eastAsia="Times New Roman" w:hAnsi="Times New Roman" w:cs="Times New Roman"/>
          <w:sz w:val="24"/>
          <w:szCs w:val="28"/>
          <w:lang w:eastAsia="ru-RU"/>
        </w:rPr>
      </w:pPr>
      <w:r w:rsidRPr="00141F9F">
        <w:rPr>
          <w:rFonts w:ascii="Times New Roman" w:eastAsia="Times New Roman" w:hAnsi="Times New Roman" w:cs="Times New Roman"/>
          <w:sz w:val="24"/>
          <w:szCs w:val="28"/>
          <w:lang w:eastAsia="ru-RU"/>
        </w:rPr>
        <w:t>В целях выявления уровня имеющихся и потенциальных рисков и проблем в деятельности поднадзорных субъектов Д</w:t>
      </w:r>
      <w:r>
        <w:rPr>
          <w:rFonts w:ascii="Times New Roman" w:eastAsia="Times New Roman" w:hAnsi="Times New Roman" w:cs="Times New Roman"/>
          <w:sz w:val="24"/>
          <w:szCs w:val="28"/>
          <w:lang w:eastAsia="ru-RU"/>
        </w:rPr>
        <w:t>епартаментом надзора за банками</w:t>
      </w:r>
      <w:r w:rsidRPr="00141F9F">
        <w:rPr>
          <w:rFonts w:ascii="Times New Roman" w:eastAsia="Times New Roman" w:hAnsi="Times New Roman" w:cs="Times New Roman"/>
          <w:sz w:val="24"/>
          <w:szCs w:val="28"/>
          <w:lang w:eastAsia="ru-RU"/>
        </w:rPr>
        <w:t xml:space="preserve"> на ежемесячной и ежеквартальной основе проводился </w:t>
      </w:r>
      <w:r w:rsidRPr="000224FE">
        <w:rPr>
          <w:rFonts w:ascii="Times New Roman" w:eastAsia="Times New Roman" w:hAnsi="Times New Roman" w:cs="Times New Roman"/>
          <w:sz w:val="24"/>
          <w:szCs w:val="28"/>
          <w:lang w:eastAsia="ru-RU"/>
        </w:rPr>
        <w:t>анализ финансового состояния поднадзорных субъектов посредством:</w:t>
      </w:r>
    </w:p>
    <w:p w:rsidR="00C804B8" w:rsidRPr="00502E9A" w:rsidRDefault="00C804B8" w:rsidP="00C804B8">
      <w:pPr>
        <w:pStyle w:val="a6"/>
        <w:numPr>
          <w:ilvl w:val="0"/>
          <w:numId w:val="9"/>
        </w:numPr>
        <w:tabs>
          <w:tab w:val="left" w:pos="0"/>
          <w:tab w:val="left" w:pos="709"/>
          <w:tab w:val="left" w:pos="1134"/>
          <w:tab w:val="left" w:pos="1276"/>
        </w:tabs>
        <w:spacing w:after="0" w:line="240" w:lineRule="auto"/>
        <w:ind w:left="0" w:firstLine="709"/>
        <w:jc w:val="both"/>
        <w:rPr>
          <w:rFonts w:ascii="Times New Roman" w:hAnsi="Times New Roman" w:cs="Times New Roman"/>
          <w:sz w:val="24"/>
          <w:szCs w:val="24"/>
        </w:rPr>
      </w:pPr>
      <w:r w:rsidRPr="00502E9A">
        <w:rPr>
          <w:rFonts w:ascii="Times New Roman" w:hAnsi="Times New Roman" w:cs="Times New Roman"/>
          <w:sz w:val="24"/>
          <w:szCs w:val="24"/>
        </w:rPr>
        <w:t>рассмотрения представленной финансовой и регуляторной отчетности и составления по результатам анализа соответствующих отчетов;</w:t>
      </w:r>
    </w:p>
    <w:p w:rsidR="00C804B8" w:rsidRPr="00502E9A" w:rsidRDefault="00C804B8" w:rsidP="00C804B8">
      <w:pPr>
        <w:pStyle w:val="a6"/>
        <w:numPr>
          <w:ilvl w:val="0"/>
          <w:numId w:val="9"/>
        </w:numPr>
        <w:tabs>
          <w:tab w:val="left" w:pos="1134"/>
        </w:tabs>
        <w:spacing w:after="0" w:line="240" w:lineRule="auto"/>
        <w:ind w:left="0" w:firstLine="709"/>
        <w:jc w:val="both"/>
        <w:rPr>
          <w:rFonts w:ascii="Times New Roman" w:hAnsi="Times New Roman" w:cs="Times New Roman"/>
          <w:color w:val="000000"/>
          <w:sz w:val="24"/>
          <w:szCs w:val="24"/>
        </w:rPr>
      </w:pPr>
      <w:r w:rsidRPr="00502E9A">
        <w:rPr>
          <w:rFonts w:ascii="Times New Roman" w:hAnsi="Times New Roman" w:cs="Times New Roman"/>
          <w:color w:val="000000"/>
          <w:sz w:val="24"/>
          <w:szCs w:val="24"/>
        </w:rPr>
        <w:t>применения системы мер раннего реагирования направленной на недопущение ухудшения финансового положения банков второго уровня и банковских конгломератов, посредством выявления факторов, влияющих на ухудшение финансового положения банков и банковских конгломератов, и применения своевременных и адекватных надзорных действий;</w:t>
      </w:r>
    </w:p>
    <w:p w:rsidR="00C804B8" w:rsidRPr="00502E9A" w:rsidRDefault="00C804B8" w:rsidP="00C804B8">
      <w:pPr>
        <w:pStyle w:val="a6"/>
        <w:numPr>
          <w:ilvl w:val="0"/>
          <w:numId w:val="9"/>
        </w:numPr>
        <w:tabs>
          <w:tab w:val="left" w:pos="1134"/>
        </w:tabs>
        <w:spacing w:after="0" w:line="240" w:lineRule="auto"/>
        <w:ind w:left="0" w:firstLine="709"/>
        <w:jc w:val="both"/>
        <w:rPr>
          <w:rFonts w:ascii="Times New Roman" w:hAnsi="Times New Roman" w:cs="Times New Roman"/>
          <w:sz w:val="24"/>
          <w:szCs w:val="24"/>
        </w:rPr>
      </w:pPr>
      <w:r w:rsidRPr="00502E9A">
        <w:rPr>
          <w:rFonts w:ascii="Times New Roman" w:hAnsi="Times New Roman" w:cs="Times New Roman"/>
          <w:sz w:val="24"/>
          <w:szCs w:val="24"/>
          <w:lang w:val="x-none"/>
        </w:rPr>
        <w:t>составления чек-листов выполнения банками норм действующего законодательства</w:t>
      </w:r>
      <w:r w:rsidRPr="00502E9A">
        <w:rPr>
          <w:rFonts w:ascii="Times New Roman" w:hAnsi="Times New Roman" w:cs="Times New Roman"/>
          <w:sz w:val="24"/>
          <w:szCs w:val="24"/>
        </w:rPr>
        <w:t>;</w:t>
      </w:r>
    </w:p>
    <w:p w:rsidR="00C804B8" w:rsidRPr="00502E9A" w:rsidRDefault="00C804B8" w:rsidP="00C804B8">
      <w:pPr>
        <w:pStyle w:val="a6"/>
        <w:numPr>
          <w:ilvl w:val="0"/>
          <w:numId w:val="9"/>
        </w:numPr>
        <w:tabs>
          <w:tab w:val="left" w:pos="1134"/>
        </w:tabs>
        <w:spacing w:after="0" w:line="240" w:lineRule="auto"/>
        <w:ind w:left="0" w:firstLine="709"/>
        <w:jc w:val="both"/>
        <w:rPr>
          <w:rFonts w:ascii="Times New Roman" w:hAnsi="Times New Roman" w:cs="Times New Roman"/>
          <w:color w:val="000000"/>
          <w:sz w:val="24"/>
          <w:szCs w:val="24"/>
        </w:rPr>
      </w:pPr>
      <w:r w:rsidRPr="00502E9A">
        <w:rPr>
          <w:rFonts w:ascii="Times New Roman" w:hAnsi="Times New Roman" w:cs="Times New Roman"/>
          <w:sz w:val="24"/>
          <w:szCs w:val="24"/>
        </w:rPr>
        <w:t>документарных проверок.</w:t>
      </w:r>
    </w:p>
    <w:p w:rsidR="00C804B8" w:rsidRPr="00C804B8" w:rsidRDefault="00C804B8" w:rsidP="00C804B8">
      <w:pPr>
        <w:tabs>
          <w:tab w:val="left" w:pos="0"/>
          <w:tab w:val="left" w:pos="709"/>
          <w:tab w:val="left" w:pos="1134"/>
          <w:tab w:val="left" w:pos="1276"/>
        </w:tabs>
        <w:spacing w:after="0" w:line="240" w:lineRule="auto"/>
        <w:ind w:firstLine="709"/>
        <w:jc w:val="both"/>
        <w:rPr>
          <w:rFonts w:ascii="Times New Roman" w:eastAsia="Times New Roman" w:hAnsi="Times New Roman" w:cs="Times New Roman"/>
          <w:sz w:val="24"/>
          <w:szCs w:val="28"/>
          <w:lang w:eastAsia="ru-RU"/>
        </w:rPr>
      </w:pPr>
      <w:r w:rsidRPr="00141F9F">
        <w:rPr>
          <w:rFonts w:ascii="Times New Roman" w:eastAsia="Times New Roman" w:hAnsi="Times New Roman" w:cs="Times New Roman"/>
          <w:sz w:val="24"/>
          <w:szCs w:val="28"/>
          <w:lang w:eastAsia="ru-RU"/>
        </w:rPr>
        <w:t>Информация о примененных мерах воздействия размещена на официальном интер</w:t>
      </w:r>
      <w:r>
        <w:rPr>
          <w:rFonts w:ascii="Times New Roman" w:eastAsia="Times New Roman" w:hAnsi="Times New Roman" w:cs="Times New Roman"/>
          <w:sz w:val="24"/>
          <w:szCs w:val="28"/>
          <w:lang w:eastAsia="ru-RU"/>
        </w:rPr>
        <w:t>нет-ресурсе Национального Банка.</w:t>
      </w:r>
    </w:p>
    <w:p w:rsidR="00895732" w:rsidRPr="00895732" w:rsidRDefault="00895732" w:rsidP="00895732">
      <w:pPr>
        <w:spacing w:after="0" w:line="240" w:lineRule="auto"/>
        <w:ind w:firstLine="709"/>
        <w:jc w:val="both"/>
        <w:rPr>
          <w:rFonts w:ascii="Times New Roman" w:hAnsi="Times New Roman"/>
          <w:i/>
          <w:sz w:val="24"/>
          <w:szCs w:val="28"/>
        </w:rPr>
      </w:pPr>
      <w:r w:rsidRPr="003F74B3">
        <w:rPr>
          <w:rFonts w:ascii="Times New Roman" w:hAnsi="Times New Roman"/>
          <w:i/>
          <w:sz w:val="24"/>
        </w:rPr>
        <w:t>Реализация мер по стимулированию снижения неработающих займов</w:t>
      </w:r>
      <w:r>
        <w:rPr>
          <w:rFonts w:ascii="Times New Roman" w:hAnsi="Times New Roman"/>
          <w:i/>
          <w:sz w:val="24"/>
        </w:rPr>
        <w:t>.</w:t>
      </w:r>
    </w:p>
    <w:p w:rsidR="00C804B8" w:rsidRPr="002929B2" w:rsidRDefault="00C804B8" w:rsidP="00C804B8">
      <w:pPr>
        <w:spacing w:after="0" w:line="240" w:lineRule="auto"/>
        <w:ind w:firstLine="709"/>
        <w:jc w:val="both"/>
        <w:rPr>
          <w:rFonts w:ascii="Times New Roman" w:eastAsia="Calibri" w:hAnsi="Times New Roman" w:cs="Times New Roman"/>
          <w:sz w:val="24"/>
          <w:szCs w:val="24"/>
        </w:rPr>
      </w:pPr>
      <w:r w:rsidRPr="00AB5727">
        <w:rPr>
          <w:rFonts w:ascii="Times New Roman" w:eastAsia="Calibri" w:hAnsi="Times New Roman" w:cs="Times New Roman"/>
          <w:sz w:val="24"/>
          <w:szCs w:val="24"/>
        </w:rPr>
        <w:t xml:space="preserve">Принятая в </w:t>
      </w:r>
      <w:r w:rsidRPr="002929B2">
        <w:rPr>
          <w:rFonts w:ascii="Times New Roman" w:eastAsia="Calibri" w:hAnsi="Times New Roman" w:cs="Times New Roman"/>
          <w:sz w:val="24"/>
          <w:szCs w:val="24"/>
        </w:rPr>
        <w:t>2017</w:t>
      </w:r>
      <w:r w:rsidRPr="00AB5727">
        <w:rPr>
          <w:rFonts w:ascii="Times New Roman" w:eastAsia="Calibri" w:hAnsi="Times New Roman" w:cs="Times New Roman"/>
          <w:sz w:val="24"/>
          <w:szCs w:val="24"/>
        </w:rPr>
        <w:t xml:space="preserve"> году Программа</w:t>
      </w:r>
      <w:r w:rsidRPr="00AB5727">
        <w:rPr>
          <w:rFonts w:ascii="Times New Roman" w:eastAsia="Times New Roman" w:hAnsi="Times New Roman" w:cs="Times New Roman"/>
          <w:sz w:val="24"/>
          <w:szCs w:val="24"/>
          <w:lang w:eastAsia="ru-RU"/>
        </w:rPr>
        <w:t xml:space="preserve"> </w:t>
      </w:r>
      <w:r w:rsidRPr="00AB5727">
        <w:rPr>
          <w:rFonts w:ascii="Times New Roman" w:eastAsia="Calibri" w:hAnsi="Times New Roman" w:cs="Times New Roman"/>
          <w:sz w:val="24"/>
          <w:szCs w:val="24"/>
        </w:rPr>
        <w:t xml:space="preserve">повышения финансовой устойчивости банковского сектора оказала положительное влияние на показатели банковского сектора, а именно на списание основной доли плохих кредитов. </w:t>
      </w:r>
    </w:p>
    <w:p w:rsidR="00C804B8" w:rsidRPr="002929B2" w:rsidRDefault="00C804B8" w:rsidP="00C804B8">
      <w:pPr>
        <w:spacing w:after="0" w:line="240" w:lineRule="auto"/>
        <w:ind w:firstLine="709"/>
        <w:jc w:val="both"/>
        <w:rPr>
          <w:rFonts w:ascii="Times New Roman" w:eastAsia="Calibri" w:hAnsi="Times New Roman" w:cs="Times New Roman"/>
          <w:sz w:val="24"/>
          <w:szCs w:val="24"/>
        </w:rPr>
      </w:pPr>
      <w:r w:rsidRPr="002929B2">
        <w:rPr>
          <w:rFonts w:ascii="Times New Roman" w:eastAsia="Calibri" w:hAnsi="Times New Roman" w:cs="Times New Roman"/>
          <w:sz w:val="24"/>
          <w:szCs w:val="24"/>
        </w:rPr>
        <w:lastRenderedPageBreak/>
        <w:t xml:space="preserve">Кроме этого, в связи </w:t>
      </w:r>
      <w:r>
        <w:rPr>
          <w:rFonts w:ascii="Times New Roman" w:eastAsia="Calibri" w:hAnsi="Times New Roman" w:cs="Times New Roman"/>
          <w:sz w:val="24"/>
          <w:szCs w:val="24"/>
        </w:rPr>
        <w:t xml:space="preserve">с </w:t>
      </w:r>
      <w:r w:rsidRPr="002929B2">
        <w:rPr>
          <w:rFonts w:ascii="Times New Roman" w:eastAsia="Calibri" w:hAnsi="Times New Roman" w:cs="Times New Roman"/>
          <w:sz w:val="24"/>
          <w:szCs w:val="24"/>
        </w:rPr>
        <w:t>лишением лицензий пяти банков второго уровня (Банк Астаны, Эксимбанк, Qazaq Banki, Delta Bank и Казинвестбанк) осуществлен вывод из банковской статистики их неработающих займов.</w:t>
      </w:r>
    </w:p>
    <w:p w:rsidR="00C804B8" w:rsidRPr="002929B2" w:rsidRDefault="00C804B8" w:rsidP="00C804B8">
      <w:pPr>
        <w:spacing w:after="0" w:line="240" w:lineRule="auto"/>
        <w:ind w:firstLine="709"/>
        <w:jc w:val="both"/>
        <w:rPr>
          <w:rFonts w:ascii="Times New Roman" w:eastAsia="Calibri" w:hAnsi="Times New Roman" w:cs="Times New Roman"/>
          <w:sz w:val="24"/>
          <w:szCs w:val="24"/>
          <w:highlight w:val="yellow"/>
        </w:rPr>
      </w:pPr>
      <w:r w:rsidRPr="002929B2">
        <w:rPr>
          <w:rFonts w:ascii="Times New Roman" w:eastAsia="Calibri" w:hAnsi="Times New Roman" w:cs="Times New Roman"/>
          <w:sz w:val="24"/>
          <w:szCs w:val="24"/>
        </w:rPr>
        <w:t xml:space="preserve">В результате вышеуказанных мер, по состоянию на 1 </w:t>
      </w:r>
      <w:r w:rsidR="008C5F32">
        <w:rPr>
          <w:rFonts w:ascii="Times New Roman" w:eastAsia="Calibri" w:hAnsi="Times New Roman" w:cs="Times New Roman"/>
          <w:sz w:val="24"/>
          <w:szCs w:val="24"/>
        </w:rPr>
        <w:t>января 2019</w:t>
      </w:r>
      <w:r w:rsidRPr="002929B2">
        <w:rPr>
          <w:rFonts w:ascii="Times New Roman" w:eastAsia="Calibri" w:hAnsi="Times New Roman" w:cs="Times New Roman"/>
          <w:sz w:val="24"/>
          <w:szCs w:val="24"/>
        </w:rPr>
        <w:t xml:space="preserve"> года </w:t>
      </w:r>
      <w:r>
        <w:rPr>
          <w:rFonts w:ascii="Times New Roman" w:eastAsia="Calibri" w:hAnsi="Times New Roman" w:cs="Times New Roman"/>
          <w:sz w:val="24"/>
          <w:szCs w:val="24"/>
        </w:rPr>
        <w:t>уровень</w:t>
      </w:r>
      <w:r w:rsidRPr="002929B2">
        <w:rPr>
          <w:rFonts w:ascii="Times New Roman" w:eastAsia="Calibri" w:hAnsi="Times New Roman" w:cs="Times New Roman"/>
          <w:sz w:val="24"/>
          <w:szCs w:val="24"/>
        </w:rPr>
        <w:t xml:space="preserve"> неработающи</w:t>
      </w:r>
      <w:r>
        <w:rPr>
          <w:rFonts w:ascii="Times New Roman" w:eastAsia="Calibri" w:hAnsi="Times New Roman" w:cs="Times New Roman"/>
          <w:sz w:val="24"/>
          <w:szCs w:val="24"/>
        </w:rPr>
        <w:t>х</w:t>
      </w:r>
      <w:r w:rsidRPr="002929B2">
        <w:rPr>
          <w:rFonts w:ascii="Times New Roman" w:eastAsia="Calibri" w:hAnsi="Times New Roman" w:cs="Times New Roman"/>
          <w:sz w:val="24"/>
          <w:szCs w:val="24"/>
        </w:rPr>
        <w:t xml:space="preserve"> займ</w:t>
      </w:r>
      <w:r>
        <w:rPr>
          <w:rFonts w:ascii="Times New Roman" w:eastAsia="Calibri" w:hAnsi="Times New Roman" w:cs="Times New Roman"/>
          <w:sz w:val="24"/>
          <w:szCs w:val="24"/>
        </w:rPr>
        <w:t>ов</w:t>
      </w:r>
      <w:r w:rsidRPr="002929B2">
        <w:rPr>
          <w:rFonts w:ascii="Times New Roman" w:eastAsia="Calibri" w:hAnsi="Times New Roman" w:cs="Times New Roman"/>
          <w:sz w:val="24"/>
          <w:szCs w:val="24"/>
        </w:rPr>
        <w:t xml:space="preserve"> </w:t>
      </w:r>
      <w:r>
        <w:rPr>
          <w:rFonts w:ascii="Times New Roman" w:eastAsia="Calibri" w:hAnsi="Times New Roman" w:cs="Times New Roman"/>
          <w:sz w:val="24"/>
          <w:szCs w:val="24"/>
        </w:rPr>
        <w:t>составляет</w:t>
      </w:r>
      <w:r w:rsidR="008C5F32">
        <w:rPr>
          <w:rFonts w:ascii="Times New Roman" w:eastAsia="Calibri" w:hAnsi="Times New Roman" w:cs="Times New Roman"/>
          <w:sz w:val="24"/>
          <w:szCs w:val="24"/>
        </w:rPr>
        <w:t xml:space="preserve"> 7,4</w:t>
      </w:r>
      <w:r w:rsidRPr="002929B2">
        <w:rPr>
          <w:rFonts w:ascii="Times New Roman" w:eastAsia="Calibri" w:hAnsi="Times New Roman" w:cs="Times New Roman"/>
          <w:sz w:val="24"/>
          <w:szCs w:val="24"/>
        </w:rPr>
        <w:t>%  от  ссудного  портфеля.</w:t>
      </w:r>
    </w:p>
    <w:p w:rsidR="006346A7" w:rsidRPr="00E721BD" w:rsidRDefault="006346A7" w:rsidP="006346A7">
      <w:pPr>
        <w:spacing w:line="240" w:lineRule="auto"/>
        <w:ind w:firstLine="709"/>
        <w:contextualSpacing/>
        <w:jc w:val="both"/>
        <w:rPr>
          <w:rFonts w:ascii="Times New Roman" w:hAnsi="Times New Roman"/>
          <w:b/>
          <w:i/>
          <w:sz w:val="24"/>
          <w:szCs w:val="24"/>
        </w:rPr>
      </w:pPr>
    </w:p>
    <w:p w:rsidR="00FB107F" w:rsidRDefault="007E1EE6" w:rsidP="00C41B9A">
      <w:pPr>
        <w:spacing w:line="240" w:lineRule="auto"/>
        <w:ind w:firstLine="709"/>
        <w:contextualSpacing/>
        <w:jc w:val="both"/>
        <w:rPr>
          <w:rFonts w:ascii="Times New Roman" w:hAnsi="Times New Roman"/>
          <w:b/>
          <w:i/>
          <w:sz w:val="24"/>
          <w:szCs w:val="24"/>
        </w:rPr>
      </w:pPr>
      <w:r>
        <w:rPr>
          <w:rFonts w:ascii="Times New Roman" w:hAnsi="Times New Roman"/>
          <w:b/>
          <w:i/>
          <w:sz w:val="24"/>
          <w:szCs w:val="24"/>
        </w:rPr>
        <w:t>Цель 2.2. Повышение финансовой устойчивости и создание необходимых условий для дальней</w:t>
      </w:r>
      <w:r w:rsidR="0079166B">
        <w:rPr>
          <w:rFonts w:ascii="Times New Roman" w:hAnsi="Times New Roman"/>
          <w:b/>
          <w:i/>
          <w:sz w:val="24"/>
          <w:szCs w:val="24"/>
        </w:rPr>
        <w:t>шего развития страхового рынка.</w:t>
      </w:r>
    </w:p>
    <w:p w:rsidR="0079166B" w:rsidRDefault="0079166B" w:rsidP="00C41B9A">
      <w:pPr>
        <w:spacing w:line="240" w:lineRule="auto"/>
        <w:ind w:firstLine="709"/>
        <w:contextualSpacing/>
        <w:jc w:val="both"/>
        <w:rPr>
          <w:rFonts w:ascii="Times New Roman" w:hAnsi="Times New Roman"/>
          <w:b/>
          <w:i/>
          <w:sz w:val="24"/>
          <w:szCs w:val="24"/>
        </w:rPr>
      </w:pPr>
    </w:p>
    <w:p w:rsidR="00895732" w:rsidRPr="00E82016" w:rsidRDefault="00895732" w:rsidP="00895732">
      <w:pPr>
        <w:spacing w:after="0" w:line="240" w:lineRule="auto"/>
        <w:ind w:firstLine="709"/>
        <w:contextualSpacing/>
        <w:jc w:val="both"/>
        <w:rPr>
          <w:rFonts w:ascii="Times New Roman" w:hAnsi="Times New Roman"/>
          <w:b/>
          <w:i/>
          <w:sz w:val="24"/>
          <w:szCs w:val="24"/>
        </w:rPr>
      </w:pPr>
      <w:r w:rsidRPr="00E82016">
        <w:rPr>
          <w:rFonts w:ascii="Times New Roman" w:hAnsi="Times New Roman"/>
          <w:b/>
          <w:i/>
          <w:sz w:val="24"/>
          <w:szCs w:val="24"/>
        </w:rPr>
        <w:t xml:space="preserve">Ухудшение финансовой </w:t>
      </w:r>
      <w:r>
        <w:rPr>
          <w:rFonts w:ascii="Times New Roman" w:hAnsi="Times New Roman"/>
          <w:b/>
          <w:i/>
          <w:sz w:val="24"/>
          <w:szCs w:val="24"/>
        </w:rPr>
        <w:t>платежеспособности перестраховщиков-нерезидентов РК.</w:t>
      </w:r>
    </w:p>
    <w:p w:rsidR="00895732" w:rsidRDefault="00895732" w:rsidP="00895732">
      <w:pPr>
        <w:spacing w:after="0" w:line="240" w:lineRule="auto"/>
        <w:ind w:firstLine="709"/>
        <w:contextualSpacing/>
        <w:jc w:val="both"/>
        <w:rPr>
          <w:rFonts w:ascii="Times New Roman" w:hAnsi="Times New Roman"/>
          <w:b/>
          <w:bCs/>
          <w:i/>
          <w:sz w:val="24"/>
          <w:szCs w:val="24"/>
        </w:rPr>
      </w:pPr>
      <w:r w:rsidRPr="00E82016">
        <w:rPr>
          <w:rFonts w:ascii="Times New Roman" w:hAnsi="Times New Roman"/>
          <w:b/>
          <w:bCs/>
          <w:i/>
          <w:sz w:val="24"/>
          <w:szCs w:val="24"/>
        </w:rPr>
        <w:t>Мероприятия по управлению возможным риском:</w:t>
      </w:r>
    </w:p>
    <w:p w:rsidR="00895732" w:rsidRPr="00121282" w:rsidRDefault="00895732" w:rsidP="00895732">
      <w:pPr>
        <w:spacing w:after="0" w:line="240" w:lineRule="auto"/>
        <w:ind w:firstLine="709"/>
        <w:contextualSpacing/>
        <w:jc w:val="both"/>
        <w:rPr>
          <w:rFonts w:ascii="Times New Roman" w:hAnsi="Times New Roman"/>
          <w:i/>
          <w:sz w:val="24"/>
          <w:szCs w:val="24"/>
        </w:rPr>
      </w:pPr>
      <w:r w:rsidRPr="00121282">
        <w:rPr>
          <w:rFonts w:ascii="Times New Roman" w:hAnsi="Times New Roman"/>
          <w:i/>
          <w:sz w:val="24"/>
          <w:szCs w:val="24"/>
        </w:rPr>
        <w:t>Усиление контроля и надзора за страховыми организациями РК;</w:t>
      </w:r>
    </w:p>
    <w:p w:rsidR="00895732" w:rsidRPr="00121282" w:rsidRDefault="00895732" w:rsidP="00895732">
      <w:pPr>
        <w:spacing w:after="0" w:line="240" w:lineRule="auto"/>
        <w:ind w:firstLine="709"/>
        <w:contextualSpacing/>
        <w:jc w:val="both"/>
        <w:rPr>
          <w:rFonts w:ascii="Times New Roman" w:hAnsi="Times New Roman"/>
          <w:i/>
          <w:sz w:val="24"/>
          <w:szCs w:val="24"/>
        </w:rPr>
      </w:pPr>
      <w:r w:rsidRPr="00121282">
        <w:rPr>
          <w:rFonts w:ascii="Times New Roman" w:hAnsi="Times New Roman"/>
          <w:i/>
          <w:sz w:val="24"/>
          <w:szCs w:val="24"/>
        </w:rPr>
        <w:t>Пересмотр подхода по формированию доли перестраховщика в страховых резервах;</w:t>
      </w:r>
    </w:p>
    <w:p w:rsidR="00032A50" w:rsidRPr="000757BE" w:rsidRDefault="00032A50" w:rsidP="00032A50">
      <w:pPr>
        <w:spacing w:after="0" w:line="240" w:lineRule="auto"/>
        <w:ind w:firstLine="709"/>
        <w:contextualSpacing/>
        <w:jc w:val="both"/>
        <w:rPr>
          <w:rFonts w:ascii="Times New Roman" w:hAnsi="Times New Roman"/>
          <w:i/>
          <w:sz w:val="24"/>
          <w:szCs w:val="24"/>
        </w:rPr>
      </w:pPr>
      <w:r w:rsidRPr="000757BE">
        <w:rPr>
          <w:rFonts w:ascii="Times New Roman" w:hAnsi="Times New Roman"/>
          <w:i/>
          <w:sz w:val="24"/>
          <w:szCs w:val="24"/>
        </w:rPr>
        <w:t>Введение реестра перестраховочных организаций-нерезидентов РК, которым будет запрещено передавать страховые риски в перестрахование.</w:t>
      </w:r>
    </w:p>
    <w:p w:rsidR="00082E7E" w:rsidRPr="001855A2" w:rsidRDefault="00082E7E" w:rsidP="00082E7E">
      <w:pPr>
        <w:spacing w:after="0" w:line="240" w:lineRule="auto"/>
        <w:ind w:firstLine="709"/>
        <w:contextualSpacing/>
        <w:jc w:val="both"/>
        <w:rPr>
          <w:rFonts w:ascii="Times New Roman" w:hAnsi="Times New Roman"/>
          <w:sz w:val="24"/>
          <w:szCs w:val="24"/>
        </w:rPr>
      </w:pPr>
      <w:r w:rsidRPr="003D5746">
        <w:rPr>
          <w:rFonts w:ascii="Times New Roman" w:hAnsi="Times New Roman"/>
          <w:bCs/>
          <w:sz w:val="24"/>
          <w:szCs w:val="24"/>
        </w:rPr>
        <w:t xml:space="preserve">Законом </w:t>
      </w:r>
      <w:r>
        <w:rPr>
          <w:rFonts w:ascii="Times New Roman" w:hAnsi="Times New Roman"/>
          <w:bCs/>
          <w:sz w:val="24"/>
          <w:szCs w:val="24"/>
        </w:rPr>
        <w:t xml:space="preserve">Республики Казахстан от 2 июля 2018 года </w:t>
      </w:r>
      <w:r w:rsidRPr="003D5746">
        <w:rPr>
          <w:rFonts w:ascii="Times New Roman" w:hAnsi="Times New Roman"/>
          <w:bCs/>
          <w:sz w:val="24"/>
          <w:szCs w:val="24"/>
        </w:rPr>
        <w:t xml:space="preserve">№ 166-VI </w:t>
      </w:r>
      <w:r w:rsidRPr="003D5746">
        <w:rPr>
          <w:rFonts w:ascii="Times New Roman" w:hAnsi="Times New Roman"/>
          <w:sz w:val="24"/>
          <w:szCs w:val="24"/>
        </w:rPr>
        <w:t xml:space="preserve">«О внесении изменений и дополнений в некоторые законодательные акты Республики Казахстан по вопросам страхования и страховой деятельности, рынка ценных бумаг» (далее - </w:t>
      </w:r>
      <w:r w:rsidRPr="003D5746">
        <w:rPr>
          <w:rFonts w:ascii="Times New Roman" w:hAnsi="Times New Roman"/>
          <w:bCs/>
          <w:sz w:val="24"/>
          <w:szCs w:val="24"/>
        </w:rPr>
        <w:t xml:space="preserve">Закон № 166-VI) внесены изменения в Закон РК «О страховой деятельности» по </w:t>
      </w:r>
      <w:r w:rsidRPr="001855A2">
        <w:rPr>
          <w:rFonts w:ascii="Times New Roman" w:hAnsi="Times New Roman"/>
          <w:sz w:val="24"/>
          <w:szCs w:val="24"/>
        </w:rPr>
        <w:t>наделению полномочиями Национальн</w:t>
      </w:r>
      <w:r>
        <w:rPr>
          <w:rFonts w:ascii="Times New Roman" w:hAnsi="Times New Roman"/>
          <w:sz w:val="24"/>
          <w:szCs w:val="24"/>
        </w:rPr>
        <w:t>ого</w:t>
      </w:r>
      <w:r w:rsidRPr="001855A2">
        <w:rPr>
          <w:rFonts w:ascii="Times New Roman" w:hAnsi="Times New Roman"/>
          <w:sz w:val="24"/>
          <w:szCs w:val="24"/>
        </w:rPr>
        <w:t xml:space="preserve"> Банк</w:t>
      </w:r>
      <w:r>
        <w:rPr>
          <w:rFonts w:ascii="Times New Roman" w:hAnsi="Times New Roman"/>
          <w:sz w:val="24"/>
          <w:szCs w:val="24"/>
        </w:rPr>
        <w:t>а</w:t>
      </w:r>
      <w:r w:rsidRPr="001855A2">
        <w:rPr>
          <w:rFonts w:ascii="Times New Roman" w:hAnsi="Times New Roman"/>
          <w:sz w:val="24"/>
          <w:szCs w:val="24"/>
        </w:rPr>
        <w:t xml:space="preserve"> в части ведения реестра (blacklist) перестраховочных организаций-нерезидентов Р</w:t>
      </w:r>
      <w:r>
        <w:rPr>
          <w:rFonts w:ascii="Times New Roman" w:hAnsi="Times New Roman"/>
          <w:sz w:val="24"/>
          <w:szCs w:val="24"/>
        </w:rPr>
        <w:t>еспублики Казахстан</w:t>
      </w:r>
      <w:r w:rsidRPr="001855A2">
        <w:rPr>
          <w:rFonts w:ascii="Times New Roman" w:hAnsi="Times New Roman"/>
          <w:sz w:val="24"/>
          <w:szCs w:val="24"/>
        </w:rPr>
        <w:t xml:space="preserve"> и ст</w:t>
      </w:r>
      <w:r>
        <w:rPr>
          <w:rFonts w:ascii="Times New Roman" w:hAnsi="Times New Roman"/>
          <w:sz w:val="24"/>
          <w:szCs w:val="24"/>
        </w:rPr>
        <w:t>раховых брокеров-нерезидентов Республики Казахстан</w:t>
      </w:r>
      <w:r w:rsidRPr="001855A2">
        <w:rPr>
          <w:rFonts w:ascii="Times New Roman" w:hAnsi="Times New Roman"/>
          <w:sz w:val="24"/>
          <w:szCs w:val="24"/>
        </w:rPr>
        <w:t>, которым будет запрещено передавать страховые риски в перестрахование.</w:t>
      </w:r>
    </w:p>
    <w:p w:rsidR="00082E7E" w:rsidRPr="00B61058" w:rsidRDefault="00082E7E" w:rsidP="00082E7E">
      <w:pPr>
        <w:spacing w:after="0" w:line="240" w:lineRule="auto"/>
        <w:ind w:firstLine="709"/>
        <w:contextualSpacing/>
        <w:jc w:val="both"/>
        <w:rPr>
          <w:rFonts w:ascii="Times New Roman" w:eastAsia="Times New Roman" w:hAnsi="Times New Roman"/>
          <w:sz w:val="24"/>
          <w:szCs w:val="24"/>
          <w:lang w:eastAsia="ru-RU"/>
        </w:rPr>
      </w:pPr>
      <w:r w:rsidRPr="00B61058">
        <w:rPr>
          <w:rFonts w:ascii="Times New Roman" w:eastAsia="Times New Roman" w:hAnsi="Times New Roman"/>
          <w:sz w:val="24"/>
          <w:szCs w:val="24"/>
          <w:lang w:eastAsia="ru-RU"/>
        </w:rPr>
        <w:t xml:space="preserve">Изменения </w:t>
      </w:r>
      <w:r>
        <w:rPr>
          <w:rFonts w:ascii="Times New Roman" w:eastAsia="Times New Roman" w:hAnsi="Times New Roman"/>
          <w:sz w:val="24"/>
          <w:szCs w:val="24"/>
          <w:lang w:eastAsia="ru-RU"/>
        </w:rPr>
        <w:t>з</w:t>
      </w:r>
      <w:r w:rsidRPr="00B61058">
        <w:rPr>
          <w:rFonts w:ascii="Times New Roman" w:eastAsia="Times New Roman" w:hAnsi="Times New Roman"/>
          <w:sz w:val="24"/>
          <w:szCs w:val="24"/>
          <w:lang w:eastAsia="ru-RU"/>
        </w:rPr>
        <w:t>аконодательства</w:t>
      </w:r>
      <w:r>
        <w:rPr>
          <w:rFonts w:ascii="Times New Roman" w:eastAsia="Times New Roman" w:hAnsi="Times New Roman"/>
          <w:sz w:val="24"/>
          <w:szCs w:val="24"/>
          <w:lang w:eastAsia="ru-RU"/>
        </w:rPr>
        <w:t xml:space="preserve"> Республики Казахстан</w:t>
      </w:r>
      <w:r w:rsidRPr="00B61058">
        <w:rPr>
          <w:rFonts w:ascii="Times New Roman" w:eastAsia="Times New Roman" w:hAnsi="Times New Roman"/>
          <w:sz w:val="24"/>
          <w:szCs w:val="24"/>
          <w:lang w:eastAsia="ru-RU"/>
        </w:rPr>
        <w:t>,  регулирующие деятельность по перестрахованию</w:t>
      </w:r>
      <w:r>
        <w:rPr>
          <w:rFonts w:ascii="Times New Roman" w:eastAsia="Times New Roman" w:hAnsi="Times New Roman"/>
          <w:sz w:val="24"/>
          <w:szCs w:val="24"/>
          <w:lang w:eastAsia="ru-RU"/>
        </w:rPr>
        <w:t>,</w:t>
      </w:r>
      <w:r w:rsidRPr="00B61058">
        <w:rPr>
          <w:rFonts w:ascii="Times New Roman" w:eastAsia="Times New Roman" w:hAnsi="Times New Roman"/>
          <w:sz w:val="24"/>
          <w:szCs w:val="24"/>
          <w:lang w:eastAsia="ru-RU"/>
        </w:rPr>
        <w:t xml:space="preserve"> предусматривают:</w:t>
      </w:r>
    </w:p>
    <w:p w:rsidR="00082E7E" w:rsidRPr="00B61058" w:rsidRDefault="00082E7E" w:rsidP="00082E7E">
      <w:pPr>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058">
        <w:rPr>
          <w:rFonts w:ascii="Times New Roman" w:eastAsia="Times New Roman" w:hAnsi="Times New Roman"/>
          <w:sz w:val="24"/>
          <w:szCs w:val="24"/>
          <w:lang w:eastAsia="ru-RU"/>
        </w:rPr>
        <w:t>требования к договору перестрахования, а именно к порядку оформления и содержанию договора перестрахования, по наличию сведений о передаваемых в перестрахование рисках, к форме подтверждения заключения договора перестрахования, в том числе к перестраховочной коверноте и перестраховочному слипу;</w:t>
      </w:r>
    </w:p>
    <w:p w:rsidR="00082E7E" w:rsidRPr="00B61058" w:rsidRDefault="00082E7E" w:rsidP="00082E7E">
      <w:pPr>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058">
        <w:rPr>
          <w:rFonts w:ascii="Times New Roman" w:eastAsia="Times New Roman" w:hAnsi="Times New Roman"/>
          <w:sz w:val="24"/>
          <w:szCs w:val="24"/>
          <w:lang w:eastAsia="ru-RU"/>
        </w:rPr>
        <w:t>наличие обоснования и проведение анализа целесообразности в передаче рисков в перестрахование перестраховочным организациям - нерезидентам Республики Казахстан;</w:t>
      </w:r>
    </w:p>
    <w:p w:rsidR="00082E7E" w:rsidRPr="00B61058" w:rsidRDefault="00082E7E" w:rsidP="00082E7E">
      <w:pPr>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058">
        <w:rPr>
          <w:rFonts w:ascii="Times New Roman" w:eastAsia="Times New Roman" w:hAnsi="Times New Roman"/>
          <w:sz w:val="24"/>
          <w:szCs w:val="24"/>
          <w:lang w:eastAsia="ru-RU"/>
        </w:rPr>
        <w:t>требования к условиям перестраховочной защиты при передаче рисков, превышающих максимальный размер собственного удержания (собственный капитал);</w:t>
      </w:r>
    </w:p>
    <w:p w:rsidR="00082E7E" w:rsidRPr="00B61058" w:rsidRDefault="00082E7E" w:rsidP="00082E7E">
      <w:pPr>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058">
        <w:rPr>
          <w:rFonts w:ascii="Times New Roman" w:eastAsia="Times New Roman" w:hAnsi="Times New Roman"/>
          <w:sz w:val="24"/>
          <w:szCs w:val="24"/>
          <w:lang w:eastAsia="ru-RU"/>
        </w:rPr>
        <w:t>регламентация и установление порядка деятельности и организации страховых (перестраховочных) пулов, предоставление права страховым брокерам на управление и ведение общих дел участников страхового (перестраховочного) пула;</w:t>
      </w:r>
    </w:p>
    <w:p w:rsidR="00082E7E" w:rsidRPr="00B61058" w:rsidRDefault="00082E7E" w:rsidP="00082E7E">
      <w:pPr>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058">
        <w:rPr>
          <w:rFonts w:ascii="Times New Roman" w:eastAsia="Times New Roman" w:hAnsi="Times New Roman"/>
          <w:sz w:val="24"/>
          <w:szCs w:val="24"/>
          <w:lang w:eastAsia="ru-RU"/>
        </w:rPr>
        <w:t>ограничение на передачу страховых рисков в перестрахование посредством страховых брокеров-нерезидентов Республики Казахстан, за исключением случаев передачи риска страховым брокерам-нерезидентам Республики Казахстан, имеющим дочернюю организацию – страхового брокера в Республике Казахстан. При этом такая дочерняя организация – страховой брокер обязана предоставить отчет о договорах перестрахования, заключенных с казахстанскими страховыми (перестраховочными) организациями при посредничестве ее материнской организации;</w:t>
      </w:r>
    </w:p>
    <w:p w:rsidR="00082E7E" w:rsidRDefault="00082E7E" w:rsidP="00082E7E">
      <w:pPr>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B61058">
        <w:rPr>
          <w:rFonts w:ascii="Times New Roman" w:eastAsia="Times New Roman" w:hAnsi="Times New Roman"/>
          <w:sz w:val="24"/>
          <w:szCs w:val="24"/>
          <w:lang w:eastAsia="ru-RU"/>
        </w:rPr>
        <w:t>установление требований к собственному капиталу, увеличение требований к уставному капиталу для вновь создаваемых страховых брокеров, а также установление иных требований в отношении страховых брокеров, направленных на обеспечение эффективности, прозрачности и проф</w:t>
      </w:r>
      <w:r>
        <w:rPr>
          <w:rFonts w:ascii="Times New Roman" w:eastAsia="Times New Roman" w:hAnsi="Times New Roman"/>
          <w:sz w:val="24"/>
          <w:szCs w:val="24"/>
          <w:lang w:eastAsia="ru-RU"/>
        </w:rPr>
        <w:t>ессионализма страховых брокеров;</w:t>
      </w:r>
    </w:p>
    <w:p w:rsidR="00082E7E" w:rsidRPr="00B61058" w:rsidRDefault="00082E7E" w:rsidP="00082E7E">
      <w:pPr>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установление запрета на перестрахование рисков по классам страхования, отсутствующим в лицензии на право осуществления страховой деятельности. </w:t>
      </w:r>
    </w:p>
    <w:p w:rsidR="00082E7E" w:rsidRDefault="00082E7E" w:rsidP="00082E7E">
      <w:pPr>
        <w:spacing w:after="0" w:line="240" w:lineRule="auto"/>
        <w:ind w:firstLine="709"/>
        <w:contextualSpacing/>
        <w:jc w:val="both"/>
        <w:rPr>
          <w:rFonts w:ascii="Times New Roman" w:eastAsia="Times New Roman" w:hAnsi="Times New Roman"/>
          <w:sz w:val="24"/>
          <w:szCs w:val="24"/>
          <w:lang w:eastAsia="ru-RU"/>
        </w:rPr>
      </w:pPr>
      <w:r w:rsidRPr="00B61058">
        <w:rPr>
          <w:rFonts w:ascii="Times New Roman" w:eastAsia="Times New Roman" w:hAnsi="Times New Roman"/>
          <w:sz w:val="24"/>
          <w:szCs w:val="24"/>
          <w:lang w:eastAsia="ru-RU"/>
        </w:rPr>
        <w:t>Полагаем, что в краткосрочной перспективе данные меры не приведут к системным изменениям в области перестраховочной деятельности, но в средне- и долгосрочной перспективе Национальный Банк</w:t>
      </w:r>
      <w:r>
        <w:rPr>
          <w:rFonts w:ascii="Times New Roman" w:eastAsia="Times New Roman" w:hAnsi="Times New Roman"/>
          <w:sz w:val="24"/>
          <w:szCs w:val="24"/>
          <w:lang w:eastAsia="ru-RU"/>
        </w:rPr>
        <w:t xml:space="preserve"> </w:t>
      </w:r>
      <w:r w:rsidRPr="00B61058">
        <w:rPr>
          <w:rFonts w:ascii="Times New Roman" w:eastAsia="Times New Roman" w:hAnsi="Times New Roman"/>
          <w:sz w:val="24"/>
          <w:szCs w:val="24"/>
          <w:lang w:eastAsia="ru-RU"/>
        </w:rPr>
        <w:t>ожидает изменение структуры и объемов исходящего зарубежного и входящего перестрахования. С</w:t>
      </w:r>
      <w:r>
        <w:rPr>
          <w:rFonts w:ascii="Times New Roman" w:eastAsia="Times New Roman" w:hAnsi="Times New Roman"/>
          <w:sz w:val="24"/>
          <w:szCs w:val="24"/>
          <w:lang w:eastAsia="ru-RU"/>
        </w:rPr>
        <w:t xml:space="preserve">ледует </w:t>
      </w:r>
      <w:r w:rsidRPr="00B61058">
        <w:rPr>
          <w:rFonts w:ascii="Times New Roman" w:eastAsia="Times New Roman" w:hAnsi="Times New Roman"/>
          <w:sz w:val="24"/>
          <w:szCs w:val="24"/>
          <w:lang w:eastAsia="ru-RU"/>
        </w:rPr>
        <w:t xml:space="preserve">отметить, что в первую очередь, данные меры необходимы для обеспечения прозрачности перестраховочной деятельности, улучшения качества </w:t>
      </w:r>
      <w:r w:rsidRPr="00B61058">
        <w:rPr>
          <w:rFonts w:ascii="Times New Roman" w:eastAsia="Times New Roman" w:hAnsi="Times New Roman"/>
          <w:sz w:val="24"/>
          <w:szCs w:val="24"/>
          <w:lang w:eastAsia="ru-RU"/>
        </w:rPr>
        <w:lastRenderedPageBreak/>
        <w:t>перестраховочного покрытия, недопущения деятельности на территории Республики Казахстан недобросовестных перестраховщиков-нерезидентов Республики Казахстан.</w:t>
      </w:r>
    </w:p>
    <w:p w:rsidR="00082E7E" w:rsidRPr="003D5746" w:rsidRDefault="00082E7E" w:rsidP="00082E7E">
      <w:pPr>
        <w:spacing w:after="0" w:line="240" w:lineRule="auto"/>
        <w:ind w:firstLine="709"/>
        <w:contextualSpacing/>
        <w:jc w:val="both"/>
        <w:rPr>
          <w:rFonts w:ascii="Times New Roman" w:eastAsia="Times New Roman" w:hAnsi="Times New Roman"/>
          <w:sz w:val="24"/>
          <w:szCs w:val="24"/>
          <w:lang w:eastAsia="ru-RU"/>
        </w:rPr>
      </w:pPr>
      <w:r w:rsidRPr="001855A2">
        <w:rPr>
          <w:rFonts w:ascii="Times New Roman" w:eastAsia="Times New Roman" w:hAnsi="Times New Roman"/>
          <w:sz w:val="24"/>
          <w:szCs w:val="24"/>
          <w:lang w:val="kk-KZ" w:eastAsia="ru-RU"/>
        </w:rPr>
        <w:t>В целях у</w:t>
      </w:r>
      <w:r w:rsidRPr="001855A2">
        <w:rPr>
          <w:rFonts w:ascii="Times New Roman" w:eastAsia="Times New Roman" w:hAnsi="Times New Roman"/>
          <w:sz w:val="24"/>
          <w:szCs w:val="24"/>
          <w:lang w:eastAsia="ru-RU"/>
        </w:rPr>
        <w:t>силения контроля и надзора за страховыми организациями Р</w:t>
      </w:r>
      <w:r>
        <w:rPr>
          <w:rFonts w:ascii="Times New Roman" w:eastAsia="Times New Roman" w:hAnsi="Times New Roman"/>
          <w:sz w:val="24"/>
          <w:szCs w:val="24"/>
          <w:lang w:eastAsia="ru-RU"/>
        </w:rPr>
        <w:t>еспублики Казахстан</w:t>
      </w:r>
      <w:r w:rsidRPr="001855A2">
        <w:rPr>
          <w:rFonts w:ascii="Times New Roman" w:eastAsia="Times New Roman" w:hAnsi="Times New Roman"/>
          <w:sz w:val="24"/>
          <w:szCs w:val="24"/>
          <w:lang w:eastAsia="ru-RU"/>
        </w:rPr>
        <w:t xml:space="preserve"> Законом Республики Казахстан </w:t>
      </w:r>
      <w:r>
        <w:rPr>
          <w:rFonts w:ascii="Times New Roman" w:eastAsia="Times New Roman" w:hAnsi="Times New Roman"/>
          <w:sz w:val="24"/>
          <w:szCs w:val="24"/>
          <w:lang w:eastAsia="ru-RU"/>
        </w:rPr>
        <w:t xml:space="preserve">от 2 июля 2018 года </w:t>
      </w:r>
      <w:r w:rsidRPr="001855A2">
        <w:rPr>
          <w:rFonts w:ascii="Times New Roman" w:eastAsia="Times New Roman" w:hAnsi="Times New Roman"/>
          <w:sz w:val="24"/>
          <w:szCs w:val="24"/>
          <w:lang w:eastAsia="ru-RU"/>
        </w:rPr>
        <w:t>№168-VI «О в</w:t>
      </w:r>
      <w:r>
        <w:rPr>
          <w:rFonts w:ascii="Times New Roman" w:eastAsia="Times New Roman" w:hAnsi="Times New Roman"/>
          <w:sz w:val="24"/>
          <w:szCs w:val="24"/>
          <w:lang w:eastAsia="ru-RU"/>
        </w:rPr>
        <w:t xml:space="preserve">несении изменений и дополнений </w:t>
      </w:r>
      <w:r w:rsidRPr="001855A2">
        <w:rPr>
          <w:rFonts w:ascii="Times New Roman" w:eastAsia="Times New Roman" w:hAnsi="Times New Roman"/>
          <w:sz w:val="24"/>
          <w:szCs w:val="24"/>
          <w:lang w:eastAsia="ru-RU"/>
        </w:rPr>
        <w:t>в некоторые законодательные акты Республики Казахстан по вопросам валютного регулирования и валютного контроля, риск-ориентированного надзора за деятельностью</w:t>
      </w:r>
      <w:r w:rsidRPr="003D5746">
        <w:rPr>
          <w:rFonts w:ascii="Times New Roman" w:eastAsia="Times New Roman" w:hAnsi="Times New Roman"/>
          <w:sz w:val="24"/>
          <w:szCs w:val="24"/>
          <w:lang w:eastAsia="ru-RU"/>
        </w:rPr>
        <w:t xml:space="preserve"> финансовых организаций, защиты прав потребителей финансовых услуг и совершенствования деятельности Национального Банка Республики Казахстан» введен</w:t>
      </w:r>
      <w:r>
        <w:rPr>
          <w:rFonts w:ascii="Times New Roman" w:eastAsia="Times New Roman" w:hAnsi="Times New Roman"/>
          <w:sz w:val="24"/>
          <w:szCs w:val="24"/>
          <w:lang w:eastAsia="ru-RU"/>
        </w:rPr>
        <w:t>о понятие</w:t>
      </w:r>
      <w:r w:rsidRPr="003D5746">
        <w:rPr>
          <w:rFonts w:ascii="Times New Roman" w:eastAsia="Times New Roman" w:hAnsi="Times New Roman"/>
          <w:sz w:val="24"/>
          <w:szCs w:val="24"/>
          <w:lang w:eastAsia="ru-RU"/>
        </w:rPr>
        <w:t xml:space="preserve"> риск-ориентированного надзора </w:t>
      </w:r>
      <w:r>
        <w:rPr>
          <w:rFonts w:ascii="Times New Roman" w:eastAsia="Times New Roman" w:hAnsi="Times New Roman"/>
          <w:sz w:val="24"/>
          <w:szCs w:val="24"/>
          <w:lang w:eastAsia="ru-RU"/>
        </w:rPr>
        <w:t xml:space="preserve">за финансовыми организациями Республики Казахстан, основной задачей которого является </w:t>
      </w:r>
      <w:r w:rsidRPr="003D5746">
        <w:rPr>
          <w:rFonts w:ascii="Times New Roman" w:eastAsia="Times New Roman" w:hAnsi="Times New Roman"/>
          <w:sz w:val="24"/>
          <w:szCs w:val="24"/>
          <w:lang w:eastAsia="ru-RU"/>
        </w:rPr>
        <w:t>выявление и предотвращение рисков и недостатков в деятельности финансовых организаций в целях раннего вмешательства и принятия своевременных надзорных действий для обеспечения их финансовой устойчивости и недопущения увеличения рисков в  их деятельности.</w:t>
      </w:r>
    </w:p>
    <w:p w:rsidR="00082E7E" w:rsidRPr="003D5746" w:rsidRDefault="00082E7E" w:rsidP="00082E7E">
      <w:pPr>
        <w:spacing w:after="0" w:line="240" w:lineRule="auto"/>
        <w:ind w:firstLine="709"/>
        <w:contextualSpacing/>
        <w:jc w:val="both"/>
        <w:rPr>
          <w:rFonts w:ascii="Times New Roman" w:eastAsia="Times New Roman" w:hAnsi="Times New Roman"/>
          <w:sz w:val="24"/>
          <w:szCs w:val="24"/>
          <w:lang w:eastAsia="ru-RU"/>
        </w:rPr>
      </w:pPr>
      <w:r w:rsidRPr="003D5746">
        <w:rPr>
          <w:rFonts w:ascii="Times New Roman" w:eastAsia="Times New Roman" w:hAnsi="Times New Roman"/>
          <w:sz w:val="24"/>
          <w:szCs w:val="24"/>
          <w:lang w:eastAsia="ru-RU"/>
        </w:rPr>
        <w:t>Риск-ориентированный подход учитывает принцип пропорциональности, который  предполагает:</w:t>
      </w:r>
    </w:p>
    <w:p w:rsidR="00082E7E" w:rsidRPr="003D5746" w:rsidRDefault="00082E7E" w:rsidP="00082E7E">
      <w:pPr>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D5746">
        <w:rPr>
          <w:rFonts w:ascii="Times New Roman" w:eastAsia="Times New Roman" w:hAnsi="Times New Roman"/>
          <w:sz w:val="24"/>
          <w:szCs w:val="24"/>
          <w:lang w:eastAsia="ru-RU"/>
        </w:rPr>
        <w:t>учет размера, значимости, характера, масштаба и сложности  деятельности финансовых организаций;</w:t>
      </w:r>
    </w:p>
    <w:p w:rsidR="00082E7E" w:rsidRPr="003D5746" w:rsidRDefault="00082E7E" w:rsidP="00082E7E">
      <w:pPr>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D5746">
        <w:rPr>
          <w:rFonts w:ascii="Times New Roman" w:eastAsia="Times New Roman" w:hAnsi="Times New Roman"/>
          <w:sz w:val="24"/>
          <w:szCs w:val="24"/>
          <w:lang w:eastAsia="ru-RU"/>
        </w:rPr>
        <w:t xml:space="preserve">категоризацию финансовых организаций в соответствии с их значимостью на финансовом рынке; </w:t>
      </w:r>
    </w:p>
    <w:p w:rsidR="00082E7E" w:rsidRPr="003D5746" w:rsidRDefault="00082E7E" w:rsidP="00082E7E">
      <w:pPr>
        <w:spacing w:after="0" w:line="240" w:lineRule="auto"/>
        <w:ind w:firstLine="709"/>
        <w:contextualSpacing/>
        <w:jc w:val="both"/>
        <w:rPr>
          <w:rFonts w:ascii="Times New Roman" w:hAnsi="Times New Roman"/>
          <w:i/>
          <w:sz w:val="24"/>
          <w:szCs w:val="24"/>
        </w:rPr>
      </w:pPr>
      <w:r>
        <w:rPr>
          <w:rFonts w:ascii="Times New Roman" w:eastAsia="Times New Roman" w:hAnsi="Times New Roman"/>
          <w:sz w:val="24"/>
          <w:szCs w:val="24"/>
          <w:lang w:eastAsia="ru-RU"/>
        </w:rPr>
        <w:t xml:space="preserve">- </w:t>
      </w:r>
      <w:r w:rsidRPr="003D5746">
        <w:rPr>
          <w:rFonts w:ascii="Times New Roman" w:eastAsia="Times New Roman" w:hAnsi="Times New Roman"/>
          <w:sz w:val="24"/>
          <w:szCs w:val="24"/>
          <w:lang w:eastAsia="ru-RU"/>
        </w:rPr>
        <w:t>определение частоты, глубины и интенсивности контроля и надзора.</w:t>
      </w:r>
    </w:p>
    <w:p w:rsidR="00895732" w:rsidRDefault="00895732" w:rsidP="00895732">
      <w:pPr>
        <w:spacing w:after="0" w:line="240" w:lineRule="auto"/>
        <w:ind w:firstLine="709"/>
        <w:contextualSpacing/>
        <w:jc w:val="both"/>
        <w:rPr>
          <w:rFonts w:ascii="Times New Roman" w:hAnsi="Times New Roman"/>
          <w:b/>
          <w:bCs/>
          <w:i/>
          <w:sz w:val="24"/>
          <w:szCs w:val="24"/>
        </w:rPr>
      </w:pPr>
    </w:p>
    <w:p w:rsidR="00895732" w:rsidRPr="00E82016" w:rsidRDefault="00895732" w:rsidP="00895732">
      <w:pPr>
        <w:spacing w:after="0" w:line="240" w:lineRule="auto"/>
        <w:ind w:firstLine="709"/>
        <w:contextualSpacing/>
        <w:jc w:val="both"/>
        <w:rPr>
          <w:rFonts w:ascii="Times New Roman" w:hAnsi="Times New Roman"/>
          <w:b/>
          <w:i/>
          <w:sz w:val="24"/>
          <w:szCs w:val="24"/>
        </w:rPr>
      </w:pPr>
      <w:r>
        <w:rPr>
          <w:rFonts w:ascii="Times New Roman" w:hAnsi="Times New Roman"/>
          <w:b/>
          <w:i/>
          <w:sz w:val="24"/>
          <w:szCs w:val="24"/>
        </w:rPr>
        <w:t>Увеличение расходов страховых организаций.</w:t>
      </w:r>
    </w:p>
    <w:p w:rsidR="00895732" w:rsidRDefault="00895732" w:rsidP="00895732">
      <w:pPr>
        <w:spacing w:after="0" w:line="240" w:lineRule="auto"/>
        <w:ind w:firstLine="709"/>
        <w:contextualSpacing/>
        <w:jc w:val="both"/>
        <w:rPr>
          <w:rFonts w:ascii="Times New Roman" w:hAnsi="Times New Roman"/>
          <w:b/>
          <w:bCs/>
          <w:i/>
          <w:sz w:val="24"/>
          <w:szCs w:val="24"/>
        </w:rPr>
      </w:pPr>
      <w:r w:rsidRPr="00E82016">
        <w:rPr>
          <w:rFonts w:ascii="Times New Roman" w:hAnsi="Times New Roman"/>
          <w:b/>
          <w:bCs/>
          <w:i/>
          <w:sz w:val="24"/>
          <w:szCs w:val="24"/>
        </w:rPr>
        <w:t>Мероприятия по управлению возможным риском:</w:t>
      </w:r>
    </w:p>
    <w:p w:rsidR="00895732" w:rsidRPr="00121282" w:rsidRDefault="00895732" w:rsidP="00895732">
      <w:pPr>
        <w:spacing w:after="0" w:line="240" w:lineRule="auto"/>
        <w:ind w:firstLine="709"/>
        <w:contextualSpacing/>
        <w:jc w:val="both"/>
        <w:rPr>
          <w:rFonts w:ascii="Times New Roman" w:hAnsi="Times New Roman"/>
          <w:bCs/>
          <w:i/>
          <w:sz w:val="24"/>
          <w:szCs w:val="24"/>
        </w:rPr>
      </w:pPr>
      <w:r w:rsidRPr="00121282">
        <w:rPr>
          <w:rFonts w:ascii="Times New Roman" w:hAnsi="Times New Roman"/>
          <w:bCs/>
          <w:i/>
          <w:sz w:val="24"/>
          <w:szCs w:val="24"/>
        </w:rPr>
        <w:t>Пересмотр способов заключения договоров страхования (заключение договоров страхования в электронной форме) что, в дальнейшем, позволит упростить процедуру заключения договоров страхования страхователями без обращения к страховым посредникам, а также снизить расходы страховых организаций (расходы на хранение изготовление бумажных страховых полисов).</w:t>
      </w:r>
    </w:p>
    <w:p w:rsidR="004C7E1C" w:rsidRPr="00D517A6" w:rsidRDefault="004C7E1C" w:rsidP="004C7E1C">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 введением в действие </w:t>
      </w:r>
      <w:r w:rsidRPr="00D517A6">
        <w:rPr>
          <w:rFonts w:ascii="Times New Roman" w:eastAsia="Calibri" w:hAnsi="Times New Roman" w:cs="Times New Roman"/>
          <w:sz w:val="24"/>
          <w:szCs w:val="24"/>
        </w:rPr>
        <w:t>отдельных норм Закон</w:t>
      </w:r>
      <w:r>
        <w:rPr>
          <w:rFonts w:ascii="Times New Roman" w:eastAsia="Calibri" w:hAnsi="Times New Roman" w:cs="Times New Roman"/>
          <w:sz w:val="24"/>
          <w:szCs w:val="24"/>
        </w:rPr>
        <w:t>а</w:t>
      </w:r>
      <w:r w:rsidRPr="00D517A6">
        <w:rPr>
          <w:rFonts w:ascii="Times New Roman" w:eastAsia="Calibri" w:hAnsi="Times New Roman" w:cs="Times New Roman"/>
          <w:sz w:val="24"/>
          <w:szCs w:val="24"/>
        </w:rPr>
        <w:t xml:space="preserve"> № 166-VI, предусматривающих предоставление с 1 января 2019 года возможности по дистанционному заключению договоров страхования на интернет-ресурсах страховых организаций (онлайн-страхование),  и принят</w:t>
      </w:r>
      <w:r>
        <w:rPr>
          <w:rFonts w:ascii="Times New Roman" w:eastAsia="Calibri" w:hAnsi="Times New Roman" w:cs="Times New Roman"/>
          <w:sz w:val="24"/>
          <w:szCs w:val="24"/>
        </w:rPr>
        <w:t>ие</w:t>
      </w:r>
      <w:r w:rsidRPr="00D517A6">
        <w:rPr>
          <w:rFonts w:ascii="Times New Roman" w:eastAsia="Calibri" w:hAnsi="Times New Roman" w:cs="Times New Roman"/>
          <w:sz w:val="24"/>
          <w:szCs w:val="24"/>
        </w:rPr>
        <w:t xml:space="preserve"> в его реализац</w:t>
      </w:r>
      <w:r>
        <w:rPr>
          <w:rFonts w:ascii="Times New Roman" w:eastAsia="Calibri" w:hAnsi="Times New Roman" w:cs="Times New Roman"/>
          <w:sz w:val="24"/>
          <w:szCs w:val="24"/>
        </w:rPr>
        <w:t>ию нормативных правовых актов, ожидается снижение расходов страховых организаций по следующим причинам:</w:t>
      </w:r>
    </w:p>
    <w:p w:rsidR="004C7E1C" w:rsidRPr="00D517A6" w:rsidRDefault="004C7E1C" w:rsidP="004C7E1C">
      <w:pPr>
        <w:spacing w:after="0" w:line="240" w:lineRule="auto"/>
        <w:ind w:firstLine="709"/>
        <w:contextualSpacing/>
        <w:jc w:val="both"/>
        <w:rPr>
          <w:rFonts w:ascii="Times New Roman" w:eastAsia="Calibri" w:hAnsi="Times New Roman" w:cs="Times New Roman"/>
          <w:sz w:val="24"/>
          <w:szCs w:val="24"/>
        </w:rPr>
      </w:pPr>
      <w:r w:rsidRPr="00D517A6">
        <w:rPr>
          <w:rFonts w:ascii="Times New Roman" w:eastAsia="Calibri" w:hAnsi="Times New Roman" w:cs="Times New Roman"/>
          <w:sz w:val="24"/>
          <w:szCs w:val="24"/>
        </w:rPr>
        <w:t>- исключено обращение бумажных бланков страховых полисов по всем обязательным видам страхования;</w:t>
      </w:r>
    </w:p>
    <w:p w:rsidR="004C7E1C" w:rsidRPr="00D517A6" w:rsidRDefault="004C7E1C" w:rsidP="004C7E1C">
      <w:pPr>
        <w:spacing w:after="0" w:line="240" w:lineRule="auto"/>
        <w:ind w:firstLine="709"/>
        <w:contextualSpacing/>
        <w:jc w:val="both"/>
        <w:rPr>
          <w:rFonts w:ascii="Times New Roman" w:eastAsia="Calibri" w:hAnsi="Times New Roman" w:cs="Times New Roman"/>
          <w:sz w:val="24"/>
          <w:szCs w:val="24"/>
        </w:rPr>
      </w:pPr>
      <w:r w:rsidRPr="00D517A6">
        <w:rPr>
          <w:rFonts w:ascii="Times New Roman" w:eastAsia="Calibri" w:hAnsi="Times New Roman" w:cs="Times New Roman"/>
          <w:sz w:val="24"/>
          <w:szCs w:val="24"/>
        </w:rPr>
        <w:t>- исключены мошеннические действия страховых агентов и иных лиц, связанные с подделкой бланков страховых полисов или выдачей недействительных бланков, что приводило к значительным финансовым потерям страховых организаций;</w:t>
      </w:r>
    </w:p>
    <w:p w:rsidR="004C7E1C" w:rsidRPr="00D517A6" w:rsidRDefault="004C7E1C" w:rsidP="004C7E1C">
      <w:pPr>
        <w:spacing w:after="0" w:line="240" w:lineRule="auto"/>
        <w:ind w:firstLine="709"/>
        <w:contextualSpacing/>
        <w:jc w:val="both"/>
        <w:rPr>
          <w:rFonts w:ascii="Times New Roman" w:eastAsia="Calibri" w:hAnsi="Times New Roman" w:cs="Times New Roman"/>
          <w:sz w:val="24"/>
          <w:szCs w:val="24"/>
        </w:rPr>
      </w:pPr>
      <w:r w:rsidRPr="00D517A6">
        <w:rPr>
          <w:rFonts w:ascii="Times New Roman" w:eastAsia="Calibri" w:hAnsi="Times New Roman" w:cs="Times New Roman"/>
          <w:sz w:val="24"/>
          <w:szCs w:val="24"/>
        </w:rPr>
        <w:t>- исключены страховые агенты</w:t>
      </w:r>
      <w:r>
        <w:rPr>
          <w:rFonts w:ascii="Times New Roman" w:eastAsia="Calibri" w:hAnsi="Times New Roman" w:cs="Times New Roman"/>
          <w:sz w:val="24"/>
          <w:szCs w:val="24"/>
        </w:rPr>
        <w:t xml:space="preserve"> по обязательным классам страхования</w:t>
      </w:r>
      <w:r w:rsidRPr="00D517A6">
        <w:rPr>
          <w:rFonts w:ascii="Times New Roman" w:eastAsia="Calibri" w:hAnsi="Times New Roman" w:cs="Times New Roman"/>
          <w:sz w:val="24"/>
          <w:szCs w:val="24"/>
        </w:rPr>
        <w:t>, осуществлявшие свою деятельность в интернете, что позволит снизить объемы расходов страховых организаций на выплату им вознаграждений;</w:t>
      </w:r>
    </w:p>
    <w:p w:rsidR="00895732" w:rsidRDefault="004C7E1C" w:rsidP="00895732">
      <w:pPr>
        <w:spacing w:after="0" w:line="240" w:lineRule="auto"/>
        <w:ind w:firstLine="709"/>
        <w:contextualSpacing/>
        <w:jc w:val="both"/>
        <w:rPr>
          <w:rFonts w:ascii="Times New Roman" w:eastAsia="Calibri" w:hAnsi="Times New Roman" w:cs="Times New Roman"/>
          <w:sz w:val="24"/>
          <w:szCs w:val="24"/>
        </w:rPr>
      </w:pPr>
      <w:r w:rsidRPr="00D517A6">
        <w:rPr>
          <w:rFonts w:ascii="Times New Roman" w:eastAsia="Calibri" w:hAnsi="Times New Roman" w:cs="Times New Roman"/>
          <w:sz w:val="24"/>
          <w:szCs w:val="24"/>
        </w:rPr>
        <w:t>- обеспечена безвозмездная выгрузка и верификация данных по страхователю, а также сведений, предоставляемых им для заключения договора страхования, путем осуществления интеграции АИС «Единая страховая база данных» с государственными базами данных и информационными системами.</w:t>
      </w:r>
    </w:p>
    <w:p w:rsidR="004C7E1C" w:rsidRPr="004C7E1C" w:rsidRDefault="004C7E1C" w:rsidP="00895732">
      <w:pPr>
        <w:spacing w:after="0" w:line="240" w:lineRule="auto"/>
        <w:ind w:firstLine="709"/>
        <w:contextualSpacing/>
        <w:jc w:val="both"/>
        <w:rPr>
          <w:rFonts w:ascii="Times New Roman" w:eastAsia="Calibri" w:hAnsi="Times New Roman" w:cs="Times New Roman"/>
          <w:sz w:val="24"/>
          <w:szCs w:val="24"/>
        </w:rPr>
      </w:pPr>
    </w:p>
    <w:p w:rsidR="00895732" w:rsidRPr="00E82016" w:rsidRDefault="00895732" w:rsidP="00895732">
      <w:pPr>
        <w:spacing w:after="0" w:line="240" w:lineRule="auto"/>
        <w:ind w:firstLine="709"/>
        <w:contextualSpacing/>
        <w:jc w:val="both"/>
        <w:rPr>
          <w:rFonts w:ascii="Times New Roman" w:hAnsi="Times New Roman"/>
          <w:b/>
          <w:i/>
          <w:sz w:val="24"/>
          <w:szCs w:val="24"/>
        </w:rPr>
      </w:pPr>
      <w:r w:rsidRPr="00E82016">
        <w:rPr>
          <w:rFonts w:ascii="Times New Roman" w:hAnsi="Times New Roman"/>
          <w:b/>
          <w:i/>
          <w:sz w:val="24"/>
          <w:szCs w:val="24"/>
        </w:rPr>
        <w:t xml:space="preserve">Ухудшение </w:t>
      </w:r>
      <w:r>
        <w:rPr>
          <w:rFonts w:ascii="Times New Roman" w:hAnsi="Times New Roman"/>
          <w:b/>
          <w:i/>
          <w:sz w:val="24"/>
          <w:szCs w:val="24"/>
        </w:rPr>
        <w:t>инвестиционной позиции страховых организаций вследствие изменения ситуации на отечественном и международном финансовых рынках.</w:t>
      </w:r>
    </w:p>
    <w:p w:rsidR="00895732" w:rsidRDefault="00895732" w:rsidP="00895732">
      <w:pPr>
        <w:spacing w:after="0" w:line="240" w:lineRule="auto"/>
        <w:ind w:firstLine="709"/>
        <w:contextualSpacing/>
        <w:jc w:val="both"/>
        <w:rPr>
          <w:rFonts w:ascii="Times New Roman" w:hAnsi="Times New Roman"/>
          <w:b/>
          <w:bCs/>
          <w:i/>
          <w:sz w:val="24"/>
          <w:szCs w:val="24"/>
        </w:rPr>
      </w:pPr>
      <w:r w:rsidRPr="00E82016">
        <w:rPr>
          <w:rFonts w:ascii="Times New Roman" w:hAnsi="Times New Roman"/>
          <w:b/>
          <w:bCs/>
          <w:i/>
          <w:sz w:val="24"/>
          <w:szCs w:val="24"/>
        </w:rPr>
        <w:t>Мероприятия по управлению возможным риском:</w:t>
      </w:r>
    </w:p>
    <w:p w:rsidR="002B52F9" w:rsidRDefault="00895732" w:rsidP="00D1437C">
      <w:pPr>
        <w:spacing w:after="0" w:line="240" w:lineRule="auto"/>
        <w:ind w:firstLine="709"/>
        <w:contextualSpacing/>
        <w:jc w:val="both"/>
        <w:rPr>
          <w:rFonts w:ascii="Times New Roman" w:hAnsi="Times New Roman"/>
          <w:i/>
          <w:sz w:val="24"/>
          <w:szCs w:val="24"/>
        </w:rPr>
      </w:pPr>
      <w:r w:rsidRPr="00121282">
        <w:rPr>
          <w:rFonts w:ascii="Times New Roman" w:hAnsi="Times New Roman"/>
          <w:i/>
          <w:sz w:val="24"/>
          <w:szCs w:val="24"/>
        </w:rPr>
        <w:t>Пересмотр требований к инвестированию и диверсификации а</w:t>
      </w:r>
      <w:r w:rsidR="00D1437C">
        <w:rPr>
          <w:rFonts w:ascii="Times New Roman" w:hAnsi="Times New Roman"/>
          <w:i/>
          <w:sz w:val="24"/>
          <w:szCs w:val="24"/>
        </w:rPr>
        <w:t>ктивов страховых организаций.</w:t>
      </w:r>
    </w:p>
    <w:p w:rsidR="00D1437C" w:rsidRPr="00917137" w:rsidRDefault="00D1437C" w:rsidP="00D1437C">
      <w:pPr>
        <w:spacing w:after="0" w:line="240" w:lineRule="auto"/>
        <w:ind w:firstLine="709"/>
        <w:contextualSpacing/>
        <w:jc w:val="both"/>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ru-RU"/>
        </w:rPr>
        <w:t xml:space="preserve">27 апреля 2018 года </w:t>
      </w:r>
      <w:r w:rsidRPr="003D5746">
        <w:rPr>
          <w:rFonts w:ascii="Times New Roman" w:eastAsia="Times New Roman" w:hAnsi="Times New Roman" w:cs="Times New Roman"/>
          <w:color w:val="000000"/>
          <w:sz w:val="24"/>
          <w:szCs w:val="24"/>
          <w:lang w:eastAsia="ru-RU"/>
        </w:rPr>
        <w:t xml:space="preserve">Правлением Национального Банка принято постановление № 75 «Об установлении иных факторов, влияющих на ухудшение финансового положения страховой (перестраховочной) организации и страховой группы, а также утверждении Правил применения </w:t>
      </w:r>
      <w:r w:rsidRPr="003D5746">
        <w:rPr>
          <w:rFonts w:ascii="Times New Roman" w:eastAsia="Times New Roman" w:hAnsi="Times New Roman" w:cs="Times New Roman"/>
          <w:color w:val="000000"/>
          <w:sz w:val="24"/>
          <w:szCs w:val="24"/>
          <w:lang w:eastAsia="ru-RU"/>
        </w:rPr>
        <w:lastRenderedPageBreak/>
        <w:t xml:space="preserve">мер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(далее – Постановление №75), которым предусмотрены </w:t>
      </w:r>
      <w:r w:rsidRPr="003D5746">
        <w:rPr>
          <w:rFonts w:ascii="Times New Roman" w:eastAsia="Calibri" w:hAnsi="Times New Roman" w:cs="Times New Roman"/>
          <w:bCs/>
          <w:sz w:val="24"/>
          <w:szCs w:val="24"/>
        </w:rPr>
        <w:t xml:space="preserve">факторы, влияющие на ухудшение финансового положения страховой  организации, которые ограничивают </w:t>
      </w:r>
      <w:r w:rsidRPr="003D5746">
        <w:rPr>
          <w:rFonts w:ascii="Times New Roman" w:eastAsia="Calibri" w:hAnsi="Times New Roman" w:cs="Times New Roman"/>
          <w:color w:val="000000"/>
          <w:sz w:val="24"/>
          <w:szCs w:val="24"/>
        </w:rPr>
        <w:t xml:space="preserve">общее суммарное размещение в активы банка второго уровня, имеющего долгосрочный кредитный рейтинг «В-» и ниже по </w:t>
      </w:r>
      <w:r w:rsidRPr="00917137">
        <w:rPr>
          <w:rFonts w:ascii="Times New Roman" w:eastAsia="Calibri" w:hAnsi="Times New Roman" w:cs="Times New Roman"/>
          <w:color w:val="000000"/>
          <w:sz w:val="24"/>
          <w:szCs w:val="24"/>
        </w:rPr>
        <w:t>международной шкале агентства Standard &amp; Poor's, с учетом его аффилиированных лиц.</w:t>
      </w:r>
    </w:p>
    <w:p w:rsidR="00D1437C" w:rsidRPr="00917137" w:rsidRDefault="00D1437C" w:rsidP="00D1437C">
      <w:pPr>
        <w:spacing w:line="240" w:lineRule="auto"/>
        <w:ind w:firstLine="709"/>
        <w:contextualSpacing/>
        <w:jc w:val="both"/>
        <w:rPr>
          <w:rFonts w:ascii="Times New Roman" w:hAnsi="Times New Roman"/>
          <w:sz w:val="24"/>
          <w:szCs w:val="24"/>
        </w:rPr>
      </w:pPr>
      <w:r w:rsidRPr="00917137">
        <w:rPr>
          <w:rFonts w:ascii="Times New Roman" w:hAnsi="Times New Roman"/>
          <w:bCs/>
          <w:sz w:val="24"/>
          <w:szCs w:val="24"/>
        </w:rPr>
        <w:t>Законом № 166-VI</w:t>
      </w:r>
      <w:r w:rsidRPr="00917137">
        <w:rPr>
          <w:rFonts w:ascii="Times New Roman" w:hAnsi="Times New Roman"/>
          <w:sz w:val="24"/>
          <w:szCs w:val="24"/>
        </w:rPr>
        <w:t xml:space="preserve"> предусм</w:t>
      </w:r>
      <w:r w:rsidR="00271E80">
        <w:rPr>
          <w:rFonts w:ascii="Times New Roman" w:hAnsi="Times New Roman"/>
          <w:sz w:val="24"/>
          <w:szCs w:val="24"/>
        </w:rPr>
        <w:t>о</w:t>
      </w:r>
      <w:r w:rsidRPr="00917137">
        <w:rPr>
          <w:rFonts w:ascii="Times New Roman" w:hAnsi="Times New Roman"/>
          <w:sz w:val="24"/>
          <w:szCs w:val="24"/>
        </w:rPr>
        <w:t>трены следующие нововведения:</w:t>
      </w:r>
    </w:p>
    <w:p w:rsidR="00D1437C" w:rsidRPr="00917137" w:rsidRDefault="00D1437C" w:rsidP="00D1437C">
      <w:pPr>
        <w:spacing w:line="240" w:lineRule="auto"/>
        <w:ind w:firstLine="709"/>
        <w:contextualSpacing/>
        <w:jc w:val="both"/>
        <w:rPr>
          <w:rFonts w:ascii="Times New Roman" w:hAnsi="Times New Roman"/>
          <w:sz w:val="24"/>
          <w:szCs w:val="24"/>
        </w:rPr>
      </w:pPr>
      <w:r w:rsidRPr="00917137">
        <w:rPr>
          <w:rFonts w:ascii="Times New Roman" w:hAnsi="Times New Roman"/>
          <w:sz w:val="24"/>
          <w:szCs w:val="24"/>
        </w:rPr>
        <w:t>1) регламентированы требования по раздельному учету активов с</w:t>
      </w:r>
      <w:r>
        <w:rPr>
          <w:rFonts w:ascii="Times New Roman" w:hAnsi="Times New Roman"/>
          <w:sz w:val="24"/>
          <w:szCs w:val="24"/>
        </w:rPr>
        <w:t>трахователей в рамках продукта «unit-linked»</w:t>
      </w:r>
      <w:r w:rsidRPr="00917137">
        <w:rPr>
          <w:rFonts w:ascii="Times New Roman" w:hAnsi="Times New Roman"/>
          <w:sz w:val="24"/>
          <w:szCs w:val="24"/>
        </w:rPr>
        <w:t xml:space="preserve"> (договор страхования, предусматривающий условие участия страхователя в инвестициях) от собственных активов страховой организации;</w:t>
      </w:r>
    </w:p>
    <w:p w:rsidR="00D1437C" w:rsidRPr="00917137" w:rsidRDefault="00D1437C" w:rsidP="00D1437C">
      <w:pPr>
        <w:spacing w:line="240" w:lineRule="auto"/>
        <w:ind w:firstLine="709"/>
        <w:contextualSpacing/>
        <w:jc w:val="both"/>
        <w:rPr>
          <w:rFonts w:ascii="Times New Roman" w:hAnsi="Times New Roman"/>
          <w:sz w:val="24"/>
          <w:szCs w:val="24"/>
        </w:rPr>
      </w:pPr>
      <w:r w:rsidRPr="00917137">
        <w:rPr>
          <w:rFonts w:ascii="Times New Roman" w:hAnsi="Times New Roman"/>
          <w:sz w:val="24"/>
          <w:szCs w:val="24"/>
        </w:rPr>
        <w:t>2) предоставлена страховым организациям возможность управления активами с</w:t>
      </w:r>
      <w:r>
        <w:rPr>
          <w:rFonts w:ascii="Times New Roman" w:hAnsi="Times New Roman"/>
          <w:sz w:val="24"/>
          <w:szCs w:val="24"/>
        </w:rPr>
        <w:t>трахователей в рамках продукта «unit-linked»</w:t>
      </w:r>
      <w:r w:rsidRPr="00917137">
        <w:rPr>
          <w:rFonts w:ascii="Times New Roman" w:hAnsi="Times New Roman"/>
          <w:sz w:val="24"/>
          <w:szCs w:val="24"/>
        </w:rPr>
        <w:t xml:space="preserve"> на основании соответствующей лицензии РЦБ.</w:t>
      </w:r>
    </w:p>
    <w:p w:rsidR="00D1437C" w:rsidRPr="00917137" w:rsidRDefault="00D1437C" w:rsidP="00D1437C">
      <w:pPr>
        <w:spacing w:line="240" w:lineRule="auto"/>
        <w:ind w:firstLine="709"/>
        <w:contextualSpacing/>
        <w:jc w:val="both"/>
        <w:rPr>
          <w:rFonts w:ascii="Times New Roman" w:hAnsi="Times New Roman"/>
          <w:sz w:val="24"/>
          <w:szCs w:val="24"/>
        </w:rPr>
      </w:pPr>
      <w:r w:rsidRPr="00917137">
        <w:rPr>
          <w:rFonts w:ascii="Times New Roman" w:hAnsi="Times New Roman"/>
          <w:sz w:val="24"/>
          <w:szCs w:val="24"/>
        </w:rPr>
        <w:t>Вместе с тем,</w:t>
      </w:r>
      <w:r>
        <w:rPr>
          <w:rFonts w:ascii="Times New Roman" w:hAnsi="Times New Roman"/>
          <w:sz w:val="24"/>
          <w:szCs w:val="24"/>
        </w:rPr>
        <w:t xml:space="preserve"> Правлением Национального Банка </w:t>
      </w:r>
      <w:r w:rsidRPr="00917137">
        <w:rPr>
          <w:rFonts w:ascii="Times New Roman" w:hAnsi="Times New Roman"/>
          <w:sz w:val="24"/>
          <w:szCs w:val="24"/>
        </w:rPr>
        <w:t>27 августа 2018 года принято постановление №</w:t>
      </w:r>
      <w:r>
        <w:rPr>
          <w:rFonts w:ascii="Times New Roman" w:hAnsi="Times New Roman"/>
          <w:sz w:val="24"/>
          <w:szCs w:val="24"/>
        </w:rPr>
        <w:t xml:space="preserve"> </w:t>
      </w:r>
      <w:r w:rsidRPr="00917137">
        <w:rPr>
          <w:rFonts w:ascii="Times New Roman" w:hAnsi="Times New Roman"/>
          <w:sz w:val="24"/>
          <w:szCs w:val="24"/>
        </w:rPr>
        <w:t>190 «Об утверждении Правил и особенностей участия страхователя в инвестициях или прибыли страховщика, а также Требований к содержанию договора страхования, предусматривающе</w:t>
      </w:r>
      <w:r w:rsidR="00271E80">
        <w:rPr>
          <w:rFonts w:ascii="Times New Roman" w:hAnsi="Times New Roman"/>
          <w:sz w:val="24"/>
          <w:szCs w:val="24"/>
        </w:rPr>
        <w:t>е</w:t>
      </w:r>
      <w:r w:rsidRPr="00917137">
        <w:rPr>
          <w:rFonts w:ascii="Times New Roman" w:hAnsi="Times New Roman"/>
          <w:sz w:val="24"/>
          <w:szCs w:val="24"/>
        </w:rPr>
        <w:t xml:space="preserve"> условие участия страхователя в инвестициях или прибыли страховщика, Условий и Правил передачи страховой организацией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управляющему инвестиционным портфелем, не являющемуся страховой организацией» (далее – Постановление №190).</w:t>
      </w:r>
    </w:p>
    <w:p w:rsidR="00D1437C" w:rsidRPr="00917137" w:rsidRDefault="00D1437C" w:rsidP="00D1437C">
      <w:pPr>
        <w:spacing w:line="240" w:lineRule="auto"/>
        <w:ind w:firstLine="709"/>
        <w:contextualSpacing/>
        <w:jc w:val="both"/>
        <w:rPr>
          <w:rFonts w:ascii="Times New Roman" w:hAnsi="Times New Roman"/>
          <w:sz w:val="24"/>
          <w:szCs w:val="24"/>
        </w:rPr>
      </w:pPr>
      <w:r w:rsidRPr="00917137">
        <w:rPr>
          <w:rFonts w:ascii="Times New Roman" w:hAnsi="Times New Roman"/>
          <w:sz w:val="24"/>
          <w:szCs w:val="24"/>
        </w:rPr>
        <w:t>Постановление №190 направлено на совершенствование законодательства Р</w:t>
      </w:r>
      <w:r>
        <w:rPr>
          <w:rFonts w:ascii="Times New Roman" w:hAnsi="Times New Roman"/>
          <w:sz w:val="24"/>
          <w:szCs w:val="24"/>
        </w:rPr>
        <w:t>еспублики Казахстан</w:t>
      </w:r>
      <w:r w:rsidRPr="00917137">
        <w:rPr>
          <w:rFonts w:ascii="Times New Roman" w:hAnsi="Times New Roman"/>
          <w:sz w:val="24"/>
          <w:szCs w:val="24"/>
        </w:rPr>
        <w:t xml:space="preserve"> в части требований к страховому продукту Unit-linked, который сочетает в себе одновременно страхование жизни и инвестиции и устанавливает:</w:t>
      </w:r>
    </w:p>
    <w:p w:rsidR="00D1437C" w:rsidRPr="00917137" w:rsidRDefault="00D1437C" w:rsidP="00D1437C">
      <w:pPr>
        <w:spacing w:line="240" w:lineRule="auto"/>
        <w:ind w:firstLine="709"/>
        <w:contextualSpacing/>
        <w:jc w:val="both"/>
        <w:rPr>
          <w:rFonts w:ascii="Times New Roman" w:hAnsi="Times New Roman"/>
          <w:sz w:val="24"/>
          <w:szCs w:val="24"/>
        </w:rPr>
      </w:pPr>
      <w:r w:rsidRPr="00917137">
        <w:rPr>
          <w:rFonts w:ascii="Times New Roman" w:hAnsi="Times New Roman"/>
          <w:sz w:val="24"/>
          <w:szCs w:val="24"/>
        </w:rPr>
        <w:t>1) порядок участия страхователя в инвестициях страховщика (через паевые инвестиционные фонды, созданные страховой организацией, обладающей лицензией на РЦБ, либо иными профессиональными участниками РЦБ);</w:t>
      </w:r>
    </w:p>
    <w:p w:rsidR="00D1437C" w:rsidRPr="00917137" w:rsidRDefault="00D1437C" w:rsidP="00D1437C">
      <w:pPr>
        <w:spacing w:line="240" w:lineRule="auto"/>
        <w:ind w:firstLine="709"/>
        <w:contextualSpacing/>
        <w:jc w:val="both"/>
        <w:rPr>
          <w:rFonts w:ascii="Times New Roman" w:hAnsi="Times New Roman"/>
          <w:sz w:val="24"/>
          <w:szCs w:val="24"/>
        </w:rPr>
      </w:pPr>
      <w:r w:rsidRPr="00917137">
        <w:rPr>
          <w:rFonts w:ascii="Times New Roman" w:hAnsi="Times New Roman"/>
          <w:sz w:val="24"/>
          <w:szCs w:val="24"/>
        </w:rPr>
        <w:t>2) требования к содержанию договора страхования с участием в инвестициях страховщика;</w:t>
      </w:r>
    </w:p>
    <w:p w:rsidR="00D1437C" w:rsidRPr="006001F0" w:rsidRDefault="00D1437C" w:rsidP="00D1437C">
      <w:pPr>
        <w:spacing w:line="240" w:lineRule="auto"/>
        <w:ind w:firstLine="709"/>
        <w:contextualSpacing/>
        <w:jc w:val="both"/>
        <w:rPr>
          <w:rFonts w:ascii="Times New Roman" w:hAnsi="Times New Roman"/>
          <w:sz w:val="24"/>
          <w:szCs w:val="24"/>
        </w:rPr>
      </w:pPr>
      <w:r w:rsidRPr="00917137">
        <w:rPr>
          <w:rFonts w:ascii="Times New Roman" w:hAnsi="Times New Roman"/>
          <w:sz w:val="24"/>
          <w:szCs w:val="24"/>
        </w:rPr>
        <w:t>3) порядок передачи активов страхователей в инвестиционное управление профессиональному участнику РЦБ.</w:t>
      </w:r>
    </w:p>
    <w:p w:rsidR="00D1437C" w:rsidRPr="00D1437C" w:rsidRDefault="00D1437C" w:rsidP="00D1437C">
      <w:pPr>
        <w:spacing w:after="0" w:line="240" w:lineRule="auto"/>
        <w:ind w:firstLine="709"/>
        <w:contextualSpacing/>
        <w:jc w:val="both"/>
        <w:rPr>
          <w:rFonts w:ascii="Times New Roman" w:hAnsi="Times New Roman"/>
          <w:i/>
          <w:sz w:val="24"/>
          <w:szCs w:val="24"/>
        </w:rPr>
      </w:pPr>
    </w:p>
    <w:p w:rsidR="002B52F9" w:rsidRDefault="002B52F9" w:rsidP="002B52F9">
      <w:pPr>
        <w:spacing w:line="240" w:lineRule="auto"/>
        <w:ind w:firstLine="709"/>
        <w:contextualSpacing/>
        <w:jc w:val="both"/>
        <w:rPr>
          <w:rFonts w:ascii="Times New Roman" w:hAnsi="Times New Roman"/>
          <w:b/>
          <w:i/>
          <w:sz w:val="24"/>
          <w:szCs w:val="24"/>
        </w:rPr>
      </w:pPr>
      <w:r>
        <w:rPr>
          <w:rFonts w:ascii="Times New Roman" w:hAnsi="Times New Roman"/>
          <w:b/>
          <w:i/>
          <w:sz w:val="24"/>
          <w:szCs w:val="24"/>
        </w:rPr>
        <w:t>Цель 2.3. Создание необходимых условий для дальнейшего развития рынка ценных бумаг.</w:t>
      </w:r>
    </w:p>
    <w:p w:rsidR="002B52F9" w:rsidRPr="00E721BD" w:rsidRDefault="002B52F9" w:rsidP="006346A7">
      <w:pPr>
        <w:spacing w:line="240" w:lineRule="auto"/>
        <w:ind w:firstLine="709"/>
        <w:contextualSpacing/>
        <w:jc w:val="both"/>
        <w:rPr>
          <w:rFonts w:ascii="Times New Roman" w:hAnsi="Times New Roman"/>
          <w:sz w:val="24"/>
          <w:szCs w:val="24"/>
        </w:rPr>
      </w:pPr>
    </w:p>
    <w:p w:rsidR="00895732" w:rsidRPr="00E82016" w:rsidRDefault="00895732" w:rsidP="00895732">
      <w:pPr>
        <w:spacing w:after="0" w:line="240" w:lineRule="auto"/>
        <w:ind w:firstLine="709"/>
        <w:contextualSpacing/>
        <w:jc w:val="both"/>
        <w:rPr>
          <w:rFonts w:ascii="Times New Roman" w:hAnsi="Times New Roman"/>
          <w:b/>
          <w:i/>
          <w:sz w:val="24"/>
          <w:szCs w:val="24"/>
        </w:rPr>
      </w:pPr>
      <w:r w:rsidRPr="00E82016">
        <w:rPr>
          <w:rFonts w:ascii="Times New Roman" w:hAnsi="Times New Roman"/>
          <w:b/>
          <w:i/>
          <w:sz w:val="24"/>
          <w:szCs w:val="24"/>
        </w:rPr>
        <w:t>Отток отечественных эмитентов на международные торговые площадки, в том числе стран - участниц ЕАЭС</w:t>
      </w:r>
      <w:r>
        <w:rPr>
          <w:rFonts w:ascii="Times New Roman" w:hAnsi="Times New Roman"/>
          <w:b/>
          <w:i/>
          <w:sz w:val="24"/>
          <w:szCs w:val="24"/>
        </w:rPr>
        <w:t>.</w:t>
      </w:r>
    </w:p>
    <w:p w:rsidR="00895732" w:rsidRDefault="00895732" w:rsidP="00895732">
      <w:pPr>
        <w:spacing w:after="0" w:line="240" w:lineRule="auto"/>
        <w:ind w:firstLine="709"/>
        <w:contextualSpacing/>
        <w:jc w:val="both"/>
        <w:rPr>
          <w:rFonts w:ascii="Times New Roman" w:hAnsi="Times New Roman"/>
          <w:b/>
          <w:bCs/>
          <w:i/>
          <w:sz w:val="24"/>
          <w:szCs w:val="24"/>
        </w:rPr>
      </w:pPr>
      <w:r w:rsidRPr="00E82016">
        <w:rPr>
          <w:rFonts w:ascii="Times New Roman" w:hAnsi="Times New Roman"/>
          <w:b/>
          <w:bCs/>
          <w:i/>
          <w:sz w:val="24"/>
          <w:szCs w:val="24"/>
        </w:rPr>
        <w:t>Мероприятия по управлению возможным риском:</w:t>
      </w:r>
    </w:p>
    <w:p w:rsidR="00895732" w:rsidRPr="00121282" w:rsidRDefault="00895732" w:rsidP="00895732">
      <w:pPr>
        <w:spacing w:after="0" w:line="240" w:lineRule="auto"/>
        <w:ind w:firstLine="709"/>
        <w:contextualSpacing/>
        <w:jc w:val="both"/>
        <w:rPr>
          <w:rFonts w:ascii="Times New Roman" w:hAnsi="Times New Roman"/>
          <w:bCs/>
          <w:i/>
          <w:sz w:val="24"/>
          <w:szCs w:val="24"/>
        </w:rPr>
      </w:pPr>
      <w:r w:rsidRPr="00121282">
        <w:rPr>
          <w:rFonts w:ascii="Times New Roman" w:hAnsi="Times New Roman"/>
          <w:bCs/>
          <w:i/>
          <w:sz w:val="24"/>
          <w:szCs w:val="24"/>
        </w:rPr>
        <w:t>Принятие мер по повышению привлекательности отечественного фондового рынка, расширению инвесторской базы и повышению конкурентоспособности отечественных участников рынка.</w:t>
      </w:r>
    </w:p>
    <w:p w:rsidR="00F8749F" w:rsidRPr="00ED3EDC" w:rsidRDefault="00F8749F" w:rsidP="00F8749F">
      <w:pPr>
        <w:tabs>
          <w:tab w:val="num" w:pos="720"/>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целом, </w:t>
      </w:r>
      <w:r w:rsidRPr="00ED3EDC">
        <w:rPr>
          <w:rFonts w:ascii="Times New Roman" w:hAnsi="Times New Roman"/>
          <w:sz w:val="24"/>
          <w:szCs w:val="24"/>
        </w:rPr>
        <w:t>необходимо отметить улучшение показателей казахстанского рынка ценных бумаг. Так, на 1 января 2019 года капитализация отечественного фондового рынка составила 26,3 трлн. Индекс KASE, начиная с начала 2016 года продемонстрировал значительный рост, увеличившись в 2,6 раза до 2 293,71 пункта на начало 2019 года. По итогам 2017 года индекс KASE входил в тройку наиболее быстрорастущих индексов развивающихся рынков.</w:t>
      </w:r>
    </w:p>
    <w:p w:rsidR="00F8749F" w:rsidRPr="00ED3EDC" w:rsidRDefault="00F8749F" w:rsidP="00F8749F">
      <w:pPr>
        <w:tabs>
          <w:tab w:val="num" w:pos="720"/>
        </w:tabs>
        <w:spacing w:after="0" w:line="240" w:lineRule="auto"/>
        <w:ind w:firstLine="709"/>
        <w:jc w:val="both"/>
        <w:rPr>
          <w:rFonts w:ascii="Times New Roman" w:hAnsi="Times New Roman"/>
          <w:sz w:val="24"/>
          <w:szCs w:val="24"/>
        </w:rPr>
      </w:pPr>
      <w:r w:rsidRPr="00ED3EDC">
        <w:rPr>
          <w:rFonts w:ascii="Times New Roman" w:hAnsi="Times New Roman"/>
          <w:sz w:val="24"/>
          <w:szCs w:val="24"/>
        </w:rPr>
        <w:t>На постоянной основе проводится работа по активизации фондового рынка, упрощении правил работы на нем и создании механизмов стимулирования выхода на отечественный фондовый рынок новых эмитентов и инвесторов.</w:t>
      </w:r>
    </w:p>
    <w:p w:rsidR="00F8749F" w:rsidRPr="00ED3EDC" w:rsidRDefault="00F8749F" w:rsidP="00F8749F">
      <w:pPr>
        <w:tabs>
          <w:tab w:val="num" w:pos="720"/>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ноябре 2018 года </w:t>
      </w:r>
      <w:r w:rsidRPr="00ED3EDC">
        <w:rPr>
          <w:rFonts w:ascii="Times New Roman" w:hAnsi="Times New Roman"/>
          <w:sz w:val="24"/>
          <w:szCs w:val="24"/>
        </w:rPr>
        <w:t>Национальный Банк подписал Многосторонн</w:t>
      </w:r>
      <w:r>
        <w:rPr>
          <w:rFonts w:ascii="Times New Roman" w:hAnsi="Times New Roman"/>
          <w:sz w:val="24"/>
          <w:szCs w:val="24"/>
        </w:rPr>
        <w:t xml:space="preserve">ий Меморандум о взаимопонимании по вопросам </w:t>
      </w:r>
      <w:r w:rsidRPr="00ED3EDC">
        <w:rPr>
          <w:rFonts w:ascii="Times New Roman" w:hAnsi="Times New Roman"/>
          <w:sz w:val="24"/>
          <w:szCs w:val="24"/>
        </w:rPr>
        <w:t xml:space="preserve">консультаций, сотрудничества и обмена информацией Международной организации комиссий по ценным бумагам (далее - IOSCO). Таким образом, Национальный Банк первым из регуляторов стран Центральной Азии стал полноправным членом IOSCO, что открывает новые возможности на глобальном рынке. Присоединение к меморандуму позволит участвовать в разработке международных принципов и стандартов регулирования финансового рынка и является достаточным основанием зарубежным регуляторам рынка ценных </w:t>
      </w:r>
      <w:r w:rsidRPr="00ED3EDC">
        <w:rPr>
          <w:rFonts w:ascii="Times New Roman" w:hAnsi="Times New Roman"/>
          <w:sz w:val="24"/>
          <w:szCs w:val="24"/>
        </w:rPr>
        <w:lastRenderedPageBreak/>
        <w:t>бумаг для осуществления необходимого взаимодействия и обмена информацией (без необходимости подписания дополнительных двухсторонних соглашений).</w:t>
      </w:r>
    </w:p>
    <w:p w:rsidR="00F8749F" w:rsidRPr="00ED3EDC" w:rsidRDefault="00F8749F" w:rsidP="00F8749F">
      <w:pPr>
        <w:tabs>
          <w:tab w:val="num" w:pos="720"/>
        </w:tabs>
        <w:spacing w:after="0" w:line="240" w:lineRule="auto"/>
        <w:ind w:firstLine="709"/>
        <w:jc w:val="both"/>
        <w:rPr>
          <w:rFonts w:ascii="Times New Roman" w:hAnsi="Times New Roman"/>
          <w:sz w:val="24"/>
          <w:szCs w:val="24"/>
        </w:rPr>
      </w:pPr>
      <w:r w:rsidRPr="00ED3EDC">
        <w:rPr>
          <w:rFonts w:ascii="Times New Roman" w:hAnsi="Times New Roman"/>
          <w:sz w:val="24"/>
          <w:szCs w:val="24"/>
        </w:rPr>
        <w:t xml:space="preserve">Московской фондовой биржей и KASE в октябре 2018 года подписано стратегическое соглашение о партнерстве, что позволяет вывести KASE на новый технологический уровень и позитивно скажется на развитии отечественного фондового рынка. </w:t>
      </w:r>
    </w:p>
    <w:p w:rsidR="00F8749F" w:rsidRPr="00ED3EDC" w:rsidRDefault="00F8749F" w:rsidP="00F8749F">
      <w:pPr>
        <w:tabs>
          <w:tab w:val="num" w:pos="720"/>
        </w:tabs>
        <w:spacing w:after="0" w:line="240" w:lineRule="auto"/>
        <w:ind w:firstLine="709"/>
        <w:jc w:val="both"/>
        <w:rPr>
          <w:rFonts w:ascii="Times New Roman" w:hAnsi="Times New Roman"/>
          <w:sz w:val="24"/>
          <w:szCs w:val="24"/>
        </w:rPr>
      </w:pPr>
      <w:r w:rsidRPr="00ED3EDC">
        <w:rPr>
          <w:rFonts w:ascii="Times New Roman" w:hAnsi="Times New Roman"/>
          <w:sz w:val="24"/>
          <w:szCs w:val="24"/>
        </w:rPr>
        <w:t>Кроме того, государственные ценные бумаги Республики Казахстан были включены в список ценных бумаг, рассчитываемых в международной расчетной системе Clearstream. Новая международная линия для казахстанского рынка была запущена 30 июля 2018 года. Реализация данного направления позволит углубить интеграцию с международными финансовыми рынками и обеспечит приток дополнительных портфельных инвестиций, а также подразумевает существенное упрощение доступа международных инвесторов на казахстанский фондовый рынок.</w:t>
      </w:r>
    </w:p>
    <w:p w:rsidR="00F8749F" w:rsidRPr="00ED3EDC" w:rsidRDefault="00F8749F" w:rsidP="00F8749F">
      <w:pPr>
        <w:tabs>
          <w:tab w:val="num" w:pos="720"/>
        </w:tabs>
        <w:spacing w:after="0" w:line="240" w:lineRule="auto"/>
        <w:ind w:firstLine="709"/>
        <w:jc w:val="both"/>
        <w:rPr>
          <w:rFonts w:ascii="Times New Roman" w:hAnsi="Times New Roman"/>
          <w:sz w:val="24"/>
          <w:szCs w:val="24"/>
        </w:rPr>
      </w:pPr>
      <w:r w:rsidRPr="00ED3EDC">
        <w:rPr>
          <w:rFonts w:ascii="Times New Roman" w:hAnsi="Times New Roman"/>
          <w:sz w:val="24"/>
          <w:szCs w:val="24"/>
        </w:rPr>
        <w:t xml:space="preserve">Установлены требования к инвестиционной стратегии банковского холдинга и расширены инвестиционные возможности банковских холдингов на рынке облигаций, в результате которого на рынке появятся стратегические инвесторы в лице банковских холдингов. Приняты меры по либерализации требований в части создания и функционирования инвестиционных фондов, что позволит дать импульс к дальнейшему развитию рынка коллективных инвестиций. Соответствующие нормы реализованы в законодательстве Республики Казахстан. </w:t>
      </w:r>
    </w:p>
    <w:p w:rsidR="00F8749F" w:rsidRPr="00ED3EDC" w:rsidRDefault="00F8749F" w:rsidP="00F8749F">
      <w:pPr>
        <w:tabs>
          <w:tab w:val="num" w:pos="720"/>
        </w:tabs>
        <w:spacing w:after="0" w:line="240" w:lineRule="auto"/>
        <w:ind w:firstLine="709"/>
        <w:jc w:val="both"/>
        <w:rPr>
          <w:rFonts w:ascii="Times New Roman" w:hAnsi="Times New Roman"/>
          <w:sz w:val="24"/>
          <w:szCs w:val="24"/>
        </w:rPr>
      </w:pPr>
      <w:r w:rsidRPr="00ED3EDC">
        <w:rPr>
          <w:rFonts w:ascii="Times New Roman" w:hAnsi="Times New Roman"/>
          <w:sz w:val="24"/>
          <w:szCs w:val="24"/>
        </w:rPr>
        <w:t>В структуре официального списка KASE создана альтернативная площадка для эмитентов с небольшой капитализацией, а также функционируют площадка для старт-ап проектов и площадка Private Market, предназначенные для предоставления субъектам малого и среднего бизнеса альтернативного источника финансирования. Внедрены расчеты по схеме т+2 для сделок с краткосрочными нотами Национального Банка и государственными ценными бумагами Министерства финансов Р</w:t>
      </w:r>
      <w:r w:rsidR="00644C81">
        <w:rPr>
          <w:rFonts w:ascii="Times New Roman" w:hAnsi="Times New Roman"/>
          <w:sz w:val="24"/>
          <w:szCs w:val="24"/>
        </w:rPr>
        <w:t>еспублики Казахстан</w:t>
      </w:r>
      <w:r w:rsidRPr="00ED3EDC">
        <w:rPr>
          <w:rFonts w:ascii="Times New Roman" w:hAnsi="Times New Roman"/>
          <w:sz w:val="24"/>
          <w:szCs w:val="24"/>
        </w:rPr>
        <w:t xml:space="preserve">. </w:t>
      </w:r>
    </w:p>
    <w:p w:rsidR="00F8749F" w:rsidRPr="00ED3EDC" w:rsidRDefault="00F8749F" w:rsidP="00F8749F">
      <w:pPr>
        <w:tabs>
          <w:tab w:val="num" w:pos="720"/>
        </w:tabs>
        <w:spacing w:after="0" w:line="240" w:lineRule="auto"/>
        <w:ind w:firstLine="709"/>
        <w:jc w:val="both"/>
        <w:rPr>
          <w:rFonts w:ascii="Times New Roman" w:hAnsi="Times New Roman"/>
          <w:sz w:val="24"/>
          <w:szCs w:val="24"/>
        </w:rPr>
      </w:pPr>
      <w:r w:rsidRPr="00ED3EDC">
        <w:rPr>
          <w:rFonts w:ascii="Times New Roman" w:hAnsi="Times New Roman"/>
          <w:sz w:val="24"/>
          <w:szCs w:val="24"/>
        </w:rPr>
        <w:t>С октября 2018 года внедрен институт центрального контрагента на валютном рынке KASE, при этом с 2017 года он уже функционирует на рынке деривативов. В 2019 году также планируется его внедрение на фондовом рынке KASE. Появление института центрального контрагента значительно увеличивает надежность биржевого рынка за счет обеспечения гарантии завершенности сделок с финансовыми инструментами и исполнения обязательств по ним.</w:t>
      </w:r>
    </w:p>
    <w:p w:rsidR="00F8749F" w:rsidRPr="00ED3EDC" w:rsidRDefault="00F8749F" w:rsidP="00F8749F">
      <w:pPr>
        <w:tabs>
          <w:tab w:val="num" w:pos="720"/>
        </w:tabs>
        <w:spacing w:after="0" w:line="240" w:lineRule="auto"/>
        <w:ind w:firstLine="709"/>
        <w:jc w:val="both"/>
        <w:rPr>
          <w:rFonts w:ascii="Times New Roman" w:hAnsi="Times New Roman"/>
          <w:sz w:val="24"/>
          <w:szCs w:val="24"/>
        </w:rPr>
      </w:pPr>
      <w:r w:rsidRPr="00ED3EDC">
        <w:rPr>
          <w:rFonts w:ascii="Times New Roman" w:hAnsi="Times New Roman"/>
          <w:sz w:val="24"/>
          <w:szCs w:val="24"/>
        </w:rPr>
        <w:t xml:space="preserve">Также разработан комплекс мер по стимулированию эмитентов к выходу на рынок ценных бумаг, предусматривающих сокращение контрольно-надзорных функций уполномоченного органа в отношении эмитентов, оптимизацию разрешительных процедур. </w:t>
      </w:r>
    </w:p>
    <w:p w:rsidR="00F8749F" w:rsidRPr="00ED3EDC" w:rsidRDefault="00F8749F" w:rsidP="00F8749F">
      <w:pPr>
        <w:tabs>
          <w:tab w:val="num" w:pos="720"/>
        </w:tabs>
        <w:spacing w:after="0" w:line="240" w:lineRule="auto"/>
        <w:ind w:firstLine="709"/>
        <w:jc w:val="both"/>
        <w:rPr>
          <w:rFonts w:ascii="Times New Roman" w:hAnsi="Times New Roman"/>
          <w:sz w:val="24"/>
          <w:szCs w:val="24"/>
        </w:rPr>
      </w:pPr>
      <w:r w:rsidRPr="00ED3EDC">
        <w:rPr>
          <w:rFonts w:ascii="Times New Roman" w:hAnsi="Times New Roman"/>
          <w:sz w:val="24"/>
          <w:szCs w:val="24"/>
        </w:rPr>
        <w:t xml:space="preserve">Помимо этого, KASE регулярно проводятся индивидуальные и выездные встречи и информационные сессии с предпринимателями и руководителями казахстанских компаний, в том числе в регионах, на которых представители KASE предоставляют информацию о фондовом рынке, финансовых инструментах и способах привлечения финансирования на фондовом рынке, а также на ежегодной основе проводятся конкурсы: «Конкурс розничных инвесторов» и «Биржевой симулятор» среди клиентов брокеров и студентов. </w:t>
      </w:r>
    </w:p>
    <w:p w:rsidR="00F8749F" w:rsidRPr="00ED3EDC" w:rsidRDefault="00F8749F" w:rsidP="00F8749F">
      <w:pPr>
        <w:tabs>
          <w:tab w:val="num" w:pos="720"/>
        </w:tabs>
        <w:spacing w:after="0" w:line="240" w:lineRule="auto"/>
        <w:ind w:firstLine="709"/>
        <w:jc w:val="both"/>
        <w:rPr>
          <w:rFonts w:ascii="Times New Roman" w:hAnsi="Times New Roman"/>
          <w:sz w:val="24"/>
          <w:szCs w:val="24"/>
        </w:rPr>
      </w:pPr>
      <w:r w:rsidRPr="00ED3EDC">
        <w:rPr>
          <w:rFonts w:ascii="Times New Roman" w:hAnsi="Times New Roman"/>
          <w:sz w:val="24"/>
          <w:szCs w:val="24"/>
        </w:rPr>
        <w:t>На постоянной основе проводится работа по совершенствованию законодательства Казахстана по вопросам корпоративного управления, в том числе в рамках работы по улучшению позиций Казахстана в международном рейтинге «Doing Business». По оценкам экспертов Всемирного Банка наибольшее улучшение регуляторных процессов достигнуто по индикатору рейтинга «Doing Business» – «Защита миноритарных инвесторов», по которому Казахстан продолжает занимать 1 место в мире.</w:t>
      </w:r>
    </w:p>
    <w:p w:rsidR="00F8749F" w:rsidRPr="003D5746" w:rsidRDefault="00F8749F" w:rsidP="00F8749F">
      <w:pPr>
        <w:tabs>
          <w:tab w:val="num" w:pos="720"/>
        </w:tabs>
        <w:spacing w:after="0" w:line="240" w:lineRule="auto"/>
        <w:ind w:firstLine="709"/>
        <w:jc w:val="both"/>
        <w:rPr>
          <w:rFonts w:ascii="Times New Roman" w:hAnsi="Times New Roman"/>
          <w:sz w:val="24"/>
          <w:szCs w:val="24"/>
        </w:rPr>
      </w:pPr>
      <w:r w:rsidRPr="00ED3EDC">
        <w:rPr>
          <w:rFonts w:ascii="Times New Roman" w:hAnsi="Times New Roman"/>
          <w:sz w:val="24"/>
          <w:szCs w:val="24"/>
        </w:rPr>
        <w:t>Дальнейшие меры Национального Банка по развитию фондового рынка будут осуществляться в соответствии с Планом совместных действий Правительства Республики Казахстан и Национального Банка по развитию национального фондового рынка на 2018-2021 годы. Также дальнейшей активизации фондового рынка, как полагаем, будет способствовать реформа системы управления пенсионными активами, предусматривающее предоставление вкладчику права выбора управляющей компании. В результате на фондовом рынке появится класс стратегических (институциональных) инвесторов в лице компаний по управлению пенсионными активами.</w:t>
      </w:r>
    </w:p>
    <w:p w:rsidR="00895732" w:rsidRDefault="00895732" w:rsidP="00895732">
      <w:pPr>
        <w:spacing w:after="0" w:line="240" w:lineRule="auto"/>
        <w:ind w:firstLine="709"/>
        <w:contextualSpacing/>
        <w:jc w:val="both"/>
        <w:rPr>
          <w:rFonts w:ascii="Times New Roman" w:hAnsi="Times New Roman"/>
          <w:bCs/>
          <w:sz w:val="24"/>
          <w:szCs w:val="24"/>
        </w:rPr>
      </w:pPr>
    </w:p>
    <w:p w:rsidR="001D338B" w:rsidRDefault="001D338B" w:rsidP="00895732">
      <w:pPr>
        <w:spacing w:after="0" w:line="240" w:lineRule="auto"/>
        <w:ind w:firstLine="709"/>
        <w:contextualSpacing/>
        <w:jc w:val="both"/>
        <w:rPr>
          <w:rFonts w:ascii="Times New Roman" w:hAnsi="Times New Roman"/>
          <w:bCs/>
          <w:sz w:val="24"/>
          <w:szCs w:val="24"/>
        </w:rPr>
      </w:pPr>
    </w:p>
    <w:p w:rsidR="00895732" w:rsidRPr="00E82016" w:rsidRDefault="00895732" w:rsidP="00895732">
      <w:pPr>
        <w:spacing w:after="0" w:line="240" w:lineRule="auto"/>
        <w:ind w:firstLine="709"/>
        <w:contextualSpacing/>
        <w:jc w:val="both"/>
        <w:rPr>
          <w:rFonts w:ascii="Times New Roman" w:hAnsi="Times New Roman"/>
          <w:b/>
          <w:i/>
          <w:sz w:val="24"/>
          <w:szCs w:val="24"/>
        </w:rPr>
      </w:pPr>
      <w:r>
        <w:rPr>
          <w:rFonts w:ascii="Times New Roman" w:hAnsi="Times New Roman"/>
          <w:b/>
          <w:i/>
          <w:sz w:val="24"/>
          <w:szCs w:val="24"/>
        </w:rPr>
        <w:lastRenderedPageBreak/>
        <w:t>Регуляторный арбитраж между юрисдикциями Международного финансового центра «Астана» и Республики Казахстан.</w:t>
      </w:r>
    </w:p>
    <w:p w:rsidR="00895732" w:rsidRDefault="00895732" w:rsidP="00895732">
      <w:pPr>
        <w:spacing w:after="0" w:line="240" w:lineRule="auto"/>
        <w:ind w:firstLine="709"/>
        <w:contextualSpacing/>
        <w:jc w:val="both"/>
        <w:rPr>
          <w:rFonts w:ascii="Times New Roman" w:hAnsi="Times New Roman"/>
          <w:b/>
          <w:bCs/>
          <w:i/>
          <w:sz w:val="24"/>
          <w:szCs w:val="24"/>
        </w:rPr>
      </w:pPr>
      <w:r w:rsidRPr="00E82016">
        <w:rPr>
          <w:rFonts w:ascii="Times New Roman" w:hAnsi="Times New Roman"/>
          <w:b/>
          <w:bCs/>
          <w:i/>
          <w:sz w:val="24"/>
          <w:szCs w:val="24"/>
        </w:rPr>
        <w:t>Мероприятия по управлению возможным риском:</w:t>
      </w:r>
    </w:p>
    <w:p w:rsidR="00895732" w:rsidRPr="00121282" w:rsidRDefault="00895732" w:rsidP="00895732">
      <w:pPr>
        <w:spacing w:after="0" w:line="240" w:lineRule="auto"/>
        <w:ind w:firstLine="709"/>
        <w:contextualSpacing/>
        <w:jc w:val="both"/>
        <w:rPr>
          <w:rFonts w:ascii="Times New Roman" w:hAnsi="Times New Roman"/>
          <w:i/>
          <w:sz w:val="24"/>
          <w:szCs w:val="24"/>
        </w:rPr>
      </w:pPr>
      <w:r w:rsidRPr="00121282">
        <w:rPr>
          <w:rFonts w:ascii="Times New Roman" w:hAnsi="Times New Roman"/>
          <w:i/>
          <w:sz w:val="24"/>
          <w:szCs w:val="24"/>
        </w:rPr>
        <w:t>Принятие превентивных мер по снижению рисков регуляторного арбитража.</w:t>
      </w:r>
    </w:p>
    <w:p w:rsidR="003D7F63" w:rsidRPr="00ED3EDC" w:rsidRDefault="003D7F63" w:rsidP="003D7F63">
      <w:pPr>
        <w:spacing w:line="240" w:lineRule="auto"/>
        <w:ind w:firstLine="709"/>
        <w:contextualSpacing/>
        <w:jc w:val="both"/>
        <w:rPr>
          <w:rFonts w:ascii="Times New Roman" w:hAnsi="Times New Roman"/>
          <w:sz w:val="24"/>
          <w:szCs w:val="24"/>
        </w:rPr>
      </w:pPr>
      <w:r w:rsidRPr="00ED3EDC">
        <w:rPr>
          <w:rFonts w:ascii="Times New Roman" w:hAnsi="Times New Roman"/>
          <w:sz w:val="24"/>
          <w:szCs w:val="24"/>
        </w:rPr>
        <w:t>Принятие превентивных мер по снижению рисков регуляторного арбитража.</w:t>
      </w:r>
    </w:p>
    <w:p w:rsidR="003D7F63" w:rsidRPr="00ED3EDC" w:rsidRDefault="003D7F63" w:rsidP="003D7F63">
      <w:pPr>
        <w:spacing w:line="240" w:lineRule="auto"/>
        <w:ind w:firstLine="709"/>
        <w:contextualSpacing/>
        <w:jc w:val="both"/>
        <w:rPr>
          <w:rFonts w:ascii="Times New Roman" w:hAnsi="Times New Roman"/>
          <w:sz w:val="24"/>
          <w:szCs w:val="24"/>
        </w:rPr>
      </w:pPr>
      <w:r w:rsidRPr="00ED3EDC">
        <w:rPr>
          <w:rFonts w:ascii="Times New Roman" w:hAnsi="Times New Roman"/>
          <w:sz w:val="24"/>
          <w:szCs w:val="24"/>
        </w:rPr>
        <w:t>Национальным Банком совместно с Министерством финансов Республики Казахстан утвержден Совместный приказ от 27 марта 2018 года № 116 «О создании рабочей группы по выработке предложений по созданию условий для параллельного функционирования и развития на территории Республики Казахстан нескольких биржевых площадок фондового рынка».</w:t>
      </w:r>
    </w:p>
    <w:p w:rsidR="003D7F63" w:rsidRPr="00ED3EDC" w:rsidRDefault="003D7F63" w:rsidP="003D7F63">
      <w:pPr>
        <w:spacing w:line="240" w:lineRule="auto"/>
        <w:ind w:firstLine="709"/>
        <w:contextualSpacing/>
        <w:jc w:val="both"/>
        <w:rPr>
          <w:rFonts w:ascii="Times New Roman" w:hAnsi="Times New Roman"/>
          <w:sz w:val="24"/>
          <w:szCs w:val="24"/>
        </w:rPr>
      </w:pPr>
      <w:r w:rsidRPr="00ED3EDC">
        <w:rPr>
          <w:rFonts w:ascii="Times New Roman" w:hAnsi="Times New Roman"/>
          <w:sz w:val="24"/>
          <w:szCs w:val="24"/>
        </w:rPr>
        <w:t>Работа по рассмотрению возможности гармонизации отдельных норм законодательства Республики Казахстан о МФЦА и рынке ценных бумаг, установленных в отношении фондовых бирж, проводится в рамках работы указанной рабочей группы. Было проведено 6 заседаний рабочей группы. В ходе данных заседаний членами рабочей группы рассматриваются ключевые вопросы выстраивания параллельного функционирования двух биржевых площадок, включая такие вопросы, как построение пост-трейдинговой инфраструктуры биржи МФЦА, взаимный доступ эмитентов и профессиональных участников рынка ценных бумаг к двум биржевым площадкам, доступ инвесторов.</w:t>
      </w:r>
    </w:p>
    <w:p w:rsidR="00895732" w:rsidRPr="00E82016" w:rsidRDefault="00895732" w:rsidP="00895732">
      <w:pPr>
        <w:spacing w:after="0" w:line="240" w:lineRule="auto"/>
        <w:ind w:firstLine="709"/>
        <w:contextualSpacing/>
        <w:jc w:val="both"/>
        <w:rPr>
          <w:rFonts w:ascii="Times New Roman" w:hAnsi="Times New Roman"/>
          <w:b/>
          <w:i/>
          <w:sz w:val="24"/>
          <w:szCs w:val="24"/>
        </w:rPr>
      </w:pPr>
    </w:p>
    <w:p w:rsidR="00895732" w:rsidRPr="00E82016" w:rsidRDefault="00895732" w:rsidP="00895732">
      <w:pPr>
        <w:spacing w:after="0" w:line="240" w:lineRule="auto"/>
        <w:ind w:firstLine="709"/>
        <w:contextualSpacing/>
        <w:jc w:val="both"/>
        <w:rPr>
          <w:rFonts w:ascii="Times New Roman" w:hAnsi="Times New Roman"/>
          <w:b/>
          <w:i/>
          <w:sz w:val="24"/>
          <w:szCs w:val="24"/>
        </w:rPr>
      </w:pPr>
      <w:r w:rsidRPr="00E82016">
        <w:rPr>
          <w:rFonts w:ascii="Times New Roman" w:hAnsi="Times New Roman"/>
          <w:b/>
          <w:i/>
          <w:sz w:val="24"/>
          <w:szCs w:val="24"/>
        </w:rPr>
        <w:t>Недостаточный интерес эмитентов к привлечению средств посредством размещения ценных бумаг на организованном рынке ценных бумаг</w:t>
      </w:r>
    </w:p>
    <w:p w:rsidR="00895732" w:rsidRPr="00E82016" w:rsidRDefault="00895732" w:rsidP="00895732">
      <w:pPr>
        <w:spacing w:after="0" w:line="240" w:lineRule="auto"/>
        <w:ind w:firstLine="709"/>
        <w:contextualSpacing/>
        <w:jc w:val="both"/>
        <w:rPr>
          <w:rFonts w:ascii="Times New Roman" w:hAnsi="Times New Roman"/>
          <w:b/>
          <w:i/>
          <w:sz w:val="24"/>
          <w:szCs w:val="24"/>
        </w:rPr>
      </w:pPr>
      <w:r w:rsidRPr="00E82016">
        <w:rPr>
          <w:rFonts w:ascii="Times New Roman" w:hAnsi="Times New Roman"/>
          <w:b/>
          <w:bCs/>
          <w:i/>
          <w:sz w:val="24"/>
          <w:szCs w:val="24"/>
        </w:rPr>
        <w:t>Мероприятия по управлению возможным риском:</w:t>
      </w:r>
    </w:p>
    <w:p w:rsidR="00895732" w:rsidRPr="00121282" w:rsidRDefault="00895732" w:rsidP="00895732">
      <w:pPr>
        <w:spacing w:after="0" w:line="240" w:lineRule="auto"/>
        <w:ind w:firstLine="709"/>
        <w:contextualSpacing/>
        <w:jc w:val="both"/>
        <w:rPr>
          <w:rFonts w:ascii="Times New Roman" w:hAnsi="Times New Roman"/>
          <w:i/>
          <w:sz w:val="24"/>
          <w:szCs w:val="24"/>
        </w:rPr>
      </w:pPr>
      <w:r w:rsidRPr="00121282">
        <w:rPr>
          <w:rFonts w:ascii="Times New Roman" w:hAnsi="Times New Roman"/>
          <w:i/>
          <w:sz w:val="24"/>
          <w:szCs w:val="24"/>
        </w:rPr>
        <w:t>Создание механизмов стимулирования выхода на рынок новых эмитентов и внедрение программ их поддержки.</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В целях повышения привлекательности привлечения финансирования на рынке капитала были упрощены процедуры для эмитентов по выходу на фондовый рынок.</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xml:space="preserve">Внесены поправки в некоторые законодательные акты Республики Казахстан, предусматривающие упрощение процедур для эмитентов в части выпуска ценных бумаг, в частности: </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1)</w:t>
      </w:r>
      <w:r w:rsidRPr="00ED3EDC">
        <w:rPr>
          <w:rFonts w:ascii="Times New Roman" w:hAnsi="Times New Roman"/>
          <w:sz w:val="24"/>
          <w:szCs w:val="24"/>
        </w:rPr>
        <w:tab/>
        <w:t>сокращены сроки рассмотрения уполномоченным органом документов, представляемых для государственной регистрации выпуска:</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xml:space="preserve"> - эмиссионных негосударственных ценных бумаг – с 30 календарных дней до 15 рабочих дней;</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облигационной программы – с 30 календарных дней до 10 рабочих дней;</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выпуска облигаций в пределах облигационной программы – до 5 рабочих дней;</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2)</w:t>
      </w:r>
      <w:r w:rsidRPr="00ED3EDC">
        <w:rPr>
          <w:rFonts w:ascii="Times New Roman" w:hAnsi="Times New Roman"/>
          <w:sz w:val="24"/>
          <w:szCs w:val="24"/>
        </w:rPr>
        <w:tab/>
        <w:t>сокращено количество разрешительных процедур, связанных с внесением изменений в проспекты выпуска эмиссионных негосударственных ценных бумаг (исключены требования в отношении изменений, информация о которых публикуется в депозитарии финансовой отчетности);</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3)</w:t>
      </w:r>
      <w:r w:rsidRPr="00ED3EDC">
        <w:rPr>
          <w:rFonts w:ascii="Times New Roman" w:hAnsi="Times New Roman"/>
          <w:sz w:val="24"/>
          <w:szCs w:val="24"/>
        </w:rPr>
        <w:tab/>
        <w:t>упрощены требования к содержанию проспекта выпуска негосударственных эмиссионных ценных бумаг, в том числе сокращен перечень сведений и документов, включаемых в проспект;</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4)</w:t>
      </w:r>
      <w:r w:rsidRPr="00ED3EDC">
        <w:rPr>
          <w:rFonts w:ascii="Times New Roman" w:hAnsi="Times New Roman"/>
          <w:sz w:val="24"/>
          <w:szCs w:val="24"/>
        </w:rPr>
        <w:tab/>
        <w:t>сокращен пакет документов, представляемых в уполномоченный орган для государственной регистрации выпуска негосударственных эмиссионных ценных бумаг и изменений в проспект выпуска эмиссионных ценных бумаг, в том числе, если документы были ранее размещены на интернет-ресурсе депозитария финансовой отчетности, то они эмитентом не представляются;</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5) предусмотрена возможность перехода на электронный формат проспекта выпуска ценных бумаг и его автоматическое обновление на основании информации, размещаемой эмитентами на депозитарии финансовой отчетности;</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6) переход от национальных идентификационных номеров, присваиваемых ценным бумагам уполномоченным органом, к международным идентификационным номерам (кодам ISIN), присваиваемым ценным бумагам центральным депозитарием;</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7) исключено условие по соблюдению эмитентом требования к величине левереджа в течение всего срока обращения облигаций;</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lastRenderedPageBreak/>
        <w:t>8)</w:t>
      </w:r>
      <w:r w:rsidRPr="00ED3EDC">
        <w:rPr>
          <w:rFonts w:ascii="Times New Roman" w:hAnsi="Times New Roman"/>
          <w:sz w:val="24"/>
          <w:szCs w:val="24"/>
        </w:rPr>
        <w:tab/>
        <w:t>исключено требование по представлению в уполномоченный орган отчетов об итогах размещения негосударственных облигаций;</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9)</w:t>
      </w:r>
      <w:r w:rsidRPr="00ED3EDC">
        <w:rPr>
          <w:rFonts w:ascii="Times New Roman" w:hAnsi="Times New Roman"/>
          <w:sz w:val="24"/>
          <w:szCs w:val="24"/>
        </w:rPr>
        <w:tab/>
        <w:t xml:space="preserve">переведено на уведомительный характер представление эмитентами отчетов об итогах погашения негосударственных облигаций;  </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10) увеличен отчетный период для представления в уполномоченный орган отчетов об итогах размещения акций с 6 до 12 месяцев и сокращен пакет документов, представляемых для утверждения отчета об итогах размещения акций;</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11) сохранены требования по наличию представителя держателей облигаций только при выпуске, размещении, обращении и погашении обеспеченных, инфраструктурных или ипотечных облигаций, исключив при этом данное требование в отношении других видов облигаций.</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Кроме того, предусмотрены меры, направленные на совершенствование системы раскрытия информации о деятельности эмитентов. В частности, в целях систематизации доступа инвесторов к информации о деятельности эмитентов и снижения финансовой нагрузки на эмитентов:</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w:t>
      </w:r>
      <w:r w:rsidRPr="00ED3EDC">
        <w:rPr>
          <w:rFonts w:ascii="Times New Roman" w:hAnsi="Times New Roman"/>
          <w:sz w:val="24"/>
          <w:szCs w:val="24"/>
        </w:rPr>
        <w:tab/>
        <w:t>оптимизирован перечень раскрываемой эмитентами информации о своей деятельности, исключены дублирующие нормы;</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w:t>
      </w:r>
      <w:r w:rsidRPr="00ED3EDC">
        <w:rPr>
          <w:rFonts w:ascii="Times New Roman" w:hAnsi="Times New Roman"/>
          <w:sz w:val="24"/>
          <w:szCs w:val="24"/>
        </w:rPr>
        <w:tab/>
        <w:t>в качестве единого бесплатного источника информации об эмитентах определен депозитарий финансовой отчетности.</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xml:space="preserve">Указанные поправки, в том числе, согласуются с принципами корпоративного управления G20/ОЭСР по раскрытию информации, которые устанавливают, что каналы распространения информации должны обеспечивать равноправный, своевременный и не связанный с чрезмерными расходами доступ пользователей к необходимой информации.  </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В структуре официального списка KASE создана альтернативная площадка для эмитентов малого и среднего бизнеса. К ценным бумагам, допускаемым на альтернативную площадку, применяется упрощённая процедура листинга, которая заключается в минимальных листинговых сборах (экономия на листинговых сборах свыше 30%), упрощённых требованиях по раскрытию информации, отсутствии требования по наличию финансового консультанта. При этом приоритет отдаётся компаниям нефинансового сектора для финансирования действующего бизнес-процесса и расширения бизнес-проекта.</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Кроме того, на KASE функционируют площадка для старт-ап проектов и площадка Private Market, предназначенные для предоставления субъектам малого и среднего бизнеса в организационно-правовой форме товарищества с ограниченной ответственности (ТОО) альтернативного источника финансирования (торговля долями в ТОО).</w:t>
      </w:r>
    </w:p>
    <w:p w:rsidR="003D7F63" w:rsidRPr="00ED3EDC" w:rsidRDefault="003D7F63" w:rsidP="003D7F6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На сегодняшний день число листинговых компаний на рынке акций в официальном списке фондовой биржи увеличилось до 113 эмитентов. Рынок корпоративных облигаций характеризовался 247 выпусками облигаций 62 компаний.</w:t>
      </w:r>
    </w:p>
    <w:p w:rsidR="00895732" w:rsidRDefault="00895732" w:rsidP="00895732">
      <w:pPr>
        <w:spacing w:after="0" w:line="240" w:lineRule="auto"/>
        <w:ind w:firstLine="709"/>
        <w:contextualSpacing/>
        <w:jc w:val="both"/>
        <w:rPr>
          <w:rFonts w:ascii="Times New Roman" w:hAnsi="Times New Roman"/>
          <w:b/>
          <w:i/>
          <w:sz w:val="24"/>
          <w:szCs w:val="24"/>
        </w:rPr>
      </w:pPr>
    </w:p>
    <w:p w:rsidR="00895732" w:rsidRPr="00E82016" w:rsidRDefault="00895732" w:rsidP="00895732">
      <w:pPr>
        <w:spacing w:after="0" w:line="240" w:lineRule="auto"/>
        <w:ind w:firstLine="709"/>
        <w:contextualSpacing/>
        <w:jc w:val="both"/>
        <w:rPr>
          <w:rFonts w:ascii="Times New Roman" w:hAnsi="Times New Roman"/>
          <w:b/>
          <w:i/>
          <w:sz w:val="24"/>
          <w:szCs w:val="24"/>
        </w:rPr>
      </w:pPr>
      <w:r w:rsidRPr="00E82016">
        <w:rPr>
          <w:rFonts w:ascii="Times New Roman" w:hAnsi="Times New Roman"/>
          <w:b/>
          <w:i/>
          <w:sz w:val="24"/>
          <w:szCs w:val="24"/>
        </w:rPr>
        <w:t>Ограниченность инвесторской базы и низкая степень вовлеченности населения в фондовый рынок</w:t>
      </w:r>
    </w:p>
    <w:p w:rsidR="00895732" w:rsidRPr="00E82016" w:rsidRDefault="00895732" w:rsidP="00895732">
      <w:pPr>
        <w:spacing w:after="0" w:line="240" w:lineRule="auto"/>
        <w:ind w:firstLine="709"/>
        <w:contextualSpacing/>
        <w:jc w:val="both"/>
        <w:rPr>
          <w:rFonts w:ascii="Times New Roman" w:hAnsi="Times New Roman"/>
          <w:b/>
          <w:i/>
          <w:sz w:val="24"/>
          <w:szCs w:val="24"/>
        </w:rPr>
      </w:pPr>
      <w:r w:rsidRPr="00E82016">
        <w:rPr>
          <w:rFonts w:ascii="Times New Roman" w:hAnsi="Times New Roman"/>
          <w:b/>
          <w:bCs/>
          <w:i/>
          <w:sz w:val="24"/>
          <w:szCs w:val="24"/>
        </w:rPr>
        <w:t>Мероприятия по управлению возможным риском:</w:t>
      </w:r>
    </w:p>
    <w:p w:rsidR="00895732" w:rsidRPr="00121282" w:rsidRDefault="00895732" w:rsidP="00895732">
      <w:pPr>
        <w:tabs>
          <w:tab w:val="num" w:pos="720"/>
        </w:tabs>
        <w:spacing w:after="0" w:line="240" w:lineRule="auto"/>
        <w:ind w:firstLine="709"/>
        <w:contextualSpacing/>
        <w:jc w:val="both"/>
        <w:rPr>
          <w:rFonts w:ascii="Times New Roman" w:hAnsi="Times New Roman"/>
          <w:i/>
          <w:sz w:val="24"/>
          <w:szCs w:val="24"/>
        </w:rPr>
      </w:pPr>
      <w:r w:rsidRPr="00121282">
        <w:rPr>
          <w:rFonts w:ascii="Times New Roman" w:hAnsi="Times New Roman"/>
          <w:i/>
          <w:sz w:val="24"/>
          <w:szCs w:val="24"/>
        </w:rPr>
        <w:t>Расширение инвесторской базы посредством внедрения возможности предоставления брокерами электронных услуг, упрощения правил торговли ценными бумагами, либерализации процессов создания и функционирования коллективных форм инвестирования и построения системы, гарантирующей безопасную среду для инвестиций.</w:t>
      </w:r>
    </w:p>
    <w:p w:rsidR="001E1769" w:rsidRPr="00ED3EDC" w:rsidRDefault="001E1769" w:rsidP="001E1769">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В целях привлечения на фондовый рынок инвесторов с использованием систем дистанционного доступа и упрощения условий торговли внедрена возможность предоставления брокерами электронных услуг клиентам, включая проведение торговых операций на основании электронной цифровой подписи клиента и предоставление брокером электронных услуг клиенту через личный кабинет.</w:t>
      </w:r>
    </w:p>
    <w:p w:rsidR="001E1769" w:rsidRPr="00ED3EDC" w:rsidRDefault="001E1769" w:rsidP="001E1769">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В рамках либерализации деятельности отечественных брокеров расширены их инвестиционные возможности, в частности предоставлена брокерам возможность открывать лицевые счета в иностранных расчетных организациях напрямую, минуя отечественных кастодианов. Установлены требования к инвестиционной стратегии банковского холдинга и расширены инвестиционные возможности банковских холдингов на рынке облигаций, в результате которого на рынке появятся стратегические  инвесторы в лице банковских холдингов.</w:t>
      </w:r>
    </w:p>
    <w:p w:rsidR="001E1769" w:rsidRPr="00ED3EDC" w:rsidRDefault="001E1769" w:rsidP="001E1769">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lastRenderedPageBreak/>
        <w:t>Внедрен</w:t>
      </w:r>
      <w:r>
        <w:rPr>
          <w:rFonts w:ascii="Times New Roman" w:hAnsi="Times New Roman"/>
          <w:sz w:val="24"/>
          <w:szCs w:val="24"/>
        </w:rPr>
        <w:t>а</w:t>
      </w:r>
      <w:r w:rsidRPr="00ED3EDC">
        <w:rPr>
          <w:rFonts w:ascii="Times New Roman" w:hAnsi="Times New Roman"/>
          <w:sz w:val="24"/>
          <w:szCs w:val="24"/>
        </w:rPr>
        <w:t xml:space="preserve"> возможность осуществления брокерами обменных операций, за исключением обменных операций с наличной иностранной валютой за счет и по поручению клиентов.</w:t>
      </w:r>
    </w:p>
    <w:p w:rsidR="001E1769" w:rsidRPr="00ED3EDC" w:rsidRDefault="001E1769" w:rsidP="001E1769">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Разработан комплекс мер по стимулированию эмитентов к выходу на рынок ценных бумаг, предусматривающих сокращение контрольно-надзорных функций уполномоченного органа в отношении эмитентов, оптимизацию разрешительных процедур. В рамках либерализации деятельности участников рынка ценных бумаг приняты меры по:</w:t>
      </w:r>
    </w:p>
    <w:p w:rsidR="001E1769" w:rsidRPr="00ED3EDC" w:rsidRDefault="001E1769" w:rsidP="001E1769">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сокращению сроков проведения разрешительных процедур и отчетности, предоставляемой в уполномоченный орган;</w:t>
      </w:r>
    </w:p>
    <w:p w:rsidR="001E1769" w:rsidRPr="00ED3EDC" w:rsidRDefault="001E1769" w:rsidP="001E1769">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оптимизации деятельности единого оператора в сфере учета государственного имущества, определённого в соответствии с законодательством Республики Казахстан о государственном имуществе;</w:t>
      </w:r>
    </w:p>
    <w:p w:rsidR="001E1769" w:rsidRPr="00ED3EDC" w:rsidRDefault="001E1769" w:rsidP="001E1769">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либерализации порядка создания и функционирования инвести</w:t>
      </w:r>
      <w:r>
        <w:rPr>
          <w:rFonts w:ascii="Times New Roman" w:hAnsi="Times New Roman"/>
          <w:sz w:val="24"/>
          <w:szCs w:val="24"/>
        </w:rPr>
        <w:t>ционных фондов, предусматривающей</w:t>
      </w:r>
      <w:r w:rsidRPr="00ED3EDC">
        <w:rPr>
          <w:rFonts w:ascii="Times New Roman" w:hAnsi="Times New Roman"/>
          <w:sz w:val="24"/>
          <w:szCs w:val="24"/>
        </w:rPr>
        <w:t xml:space="preserve"> упрощение требований к созданию, реорганизации и функционированию инвестиционных фондов. В частности, исключены требования к минимальному размеру активов и количеству пайщиков паевых инвестиционных фондов, повышены лимиты инвестирования для открытых и интервальных инвестиционных фондов, расширены возможности создания акционерного инвестиционного фонда посредством реорганизации из акционерного общества или товарищества с ограниченной ответственностью.</w:t>
      </w:r>
    </w:p>
    <w:p w:rsidR="001E1769" w:rsidRPr="00ED3EDC" w:rsidRDefault="001E1769" w:rsidP="001E1769">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Дальнейшие меры Национального Банка по развитию фондового рынка будут реализовываться согласно Плану совместных действий Правительства Республики Казахстан и Национального Банка по развитию национального фондового рынка на 2018-2021 годы. Дальнейшей активизации фондового рынка, как полагаем, будет способствовать реформа системы управления пенсионными активами, предусматривающее предоставление вкладчику права выбора управляющей компании. В результате на фондовом рынке появится класс стратегических (институциональных) инвесторов в лице компаний по управлению пенсионными активами.</w:t>
      </w:r>
    </w:p>
    <w:p w:rsidR="001E1769" w:rsidRPr="00ED3EDC" w:rsidRDefault="001E1769" w:rsidP="001E1769">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Также согласно Комплексному плану приватизации на 2016 - 2020 годы осуществляется поэтапный вывод в конкурентную среду и реализация посредством IPO крупных компаний квазигосударственного сектора.</w:t>
      </w:r>
    </w:p>
    <w:p w:rsidR="00895732" w:rsidRDefault="00895732" w:rsidP="00895732">
      <w:pPr>
        <w:tabs>
          <w:tab w:val="num" w:pos="720"/>
        </w:tabs>
        <w:spacing w:after="0" w:line="240" w:lineRule="auto"/>
        <w:ind w:firstLine="709"/>
        <w:contextualSpacing/>
        <w:jc w:val="both"/>
        <w:rPr>
          <w:rFonts w:ascii="Times New Roman" w:hAnsi="Times New Roman"/>
          <w:i/>
          <w:sz w:val="24"/>
          <w:szCs w:val="24"/>
        </w:rPr>
      </w:pPr>
    </w:p>
    <w:p w:rsidR="00895732" w:rsidRPr="00E82016" w:rsidRDefault="00895732" w:rsidP="00895732">
      <w:pPr>
        <w:spacing w:after="0" w:line="240" w:lineRule="auto"/>
        <w:ind w:firstLine="709"/>
        <w:contextualSpacing/>
        <w:jc w:val="both"/>
        <w:rPr>
          <w:rFonts w:ascii="Times New Roman" w:hAnsi="Times New Roman"/>
          <w:b/>
          <w:i/>
          <w:sz w:val="24"/>
          <w:szCs w:val="24"/>
        </w:rPr>
      </w:pPr>
      <w:r w:rsidRPr="00E82016">
        <w:rPr>
          <w:rFonts w:ascii="Times New Roman" w:hAnsi="Times New Roman"/>
          <w:b/>
          <w:i/>
          <w:sz w:val="24"/>
          <w:szCs w:val="24"/>
        </w:rPr>
        <w:t xml:space="preserve">Неполное выполнение запланированных целей и задач по стимулированию развития рынка ценных бумаг, установленных Концепцией по развитию финансового сектора Республики Казахстан до 2030 года </w:t>
      </w:r>
    </w:p>
    <w:p w:rsidR="00895732" w:rsidRPr="00E82016" w:rsidRDefault="00895732" w:rsidP="00895732">
      <w:pPr>
        <w:spacing w:after="0" w:line="240" w:lineRule="auto"/>
        <w:ind w:firstLine="709"/>
        <w:contextualSpacing/>
        <w:jc w:val="both"/>
        <w:rPr>
          <w:rFonts w:ascii="Times New Roman" w:hAnsi="Times New Roman"/>
          <w:b/>
          <w:i/>
          <w:sz w:val="24"/>
          <w:szCs w:val="24"/>
        </w:rPr>
      </w:pPr>
      <w:r w:rsidRPr="00E82016">
        <w:rPr>
          <w:rFonts w:ascii="Times New Roman" w:hAnsi="Times New Roman"/>
          <w:b/>
          <w:bCs/>
          <w:i/>
          <w:sz w:val="24"/>
          <w:szCs w:val="24"/>
        </w:rPr>
        <w:t>Мероприятия по управлению возможным риском:</w:t>
      </w:r>
    </w:p>
    <w:p w:rsidR="00895732" w:rsidRPr="00121282" w:rsidRDefault="00895732" w:rsidP="00895732">
      <w:pPr>
        <w:spacing w:after="0" w:line="240" w:lineRule="auto"/>
        <w:ind w:firstLine="709"/>
        <w:contextualSpacing/>
        <w:jc w:val="both"/>
        <w:rPr>
          <w:rFonts w:ascii="Times New Roman" w:hAnsi="Times New Roman"/>
          <w:i/>
          <w:sz w:val="24"/>
          <w:szCs w:val="24"/>
        </w:rPr>
      </w:pPr>
      <w:r w:rsidRPr="00121282">
        <w:rPr>
          <w:rFonts w:ascii="Times New Roman" w:hAnsi="Times New Roman"/>
          <w:i/>
          <w:sz w:val="24"/>
          <w:szCs w:val="24"/>
        </w:rPr>
        <w:t>Усиление межведомственной координации при проработке вопросов стимулирования развития рынка ценных бумаг, установленных Концепцией по развитию финансового сектора РК до 2030 года.</w:t>
      </w:r>
    </w:p>
    <w:p w:rsidR="001E1769" w:rsidRPr="00C1344F" w:rsidRDefault="001E1769" w:rsidP="001E1769">
      <w:pPr>
        <w:tabs>
          <w:tab w:val="num" w:pos="720"/>
        </w:tabs>
        <w:spacing w:after="0" w:line="240" w:lineRule="auto"/>
        <w:ind w:firstLine="709"/>
        <w:jc w:val="both"/>
        <w:rPr>
          <w:rFonts w:ascii="Times New Roman" w:hAnsi="Times New Roman"/>
          <w:sz w:val="24"/>
          <w:szCs w:val="24"/>
        </w:rPr>
      </w:pPr>
      <w:r w:rsidRPr="00C1344F">
        <w:rPr>
          <w:rFonts w:ascii="Times New Roman" w:hAnsi="Times New Roman"/>
          <w:sz w:val="24"/>
          <w:szCs w:val="24"/>
        </w:rPr>
        <w:t>Концепция развития финансового сектора Республики Казахстан до 2030 года предполагает несколько этапов, в связи с чем, реализация запланированных мероприятий будет осуществляться до 2030 года. На сегодняшний день большинство мероприятий, предусмотренных Концепцией развития финансового сектора Республики Казахстан в части повышения эффективности рынка ценных бумаг были выполнены в той части, которую возможно было реализовать усилиями Национального Банка.</w:t>
      </w:r>
    </w:p>
    <w:p w:rsidR="001E1769" w:rsidRPr="00C1344F" w:rsidRDefault="001E1769" w:rsidP="001E1769">
      <w:pPr>
        <w:tabs>
          <w:tab w:val="num" w:pos="720"/>
        </w:tabs>
        <w:spacing w:after="0" w:line="240" w:lineRule="auto"/>
        <w:ind w:firstLine="709"/>
        <w:jc w:val="both"/>
        <w:rPr>
          <w:rFonts w:ascii="Times New Roman" w:hAnsi="Times New Roman"/>
          <w:sz w:val="24"/>
          <w:szCs w:val="24"/>
        </w:rPr>
      </w:pPr>
      <w:r w:rsidRPr="00C1344F">
        <w:rPr>
          <w:rFonts w:ascii="Times New Roman" w:hAnsi="Times New Roman"/>
          <w:sz w:val="24"/>
          <w:szCs w:val="24"/>
        </w:rPr>
        <w:t>В настоящее время в процессе реализации находятся мероприятия по вопросам:</w:t>
      </w:r>
    </w:p>
    <w:p w:rsidR="001E1769" w:rsidRPr="00C1344F" w:rsidRDefault="001E1769" w:rsidP="001E1769">
      <w:pPr>
        <w:tabs>
          <w:tab w:val="num" w:pos="720"/>
        </w:tabs>
        <w:spacing w:after="0" w:line="240" w:lineRule="auto"/>
        <w:ind w:firstLine="709"/>
        <w:jc w:val="both"/>
        <w:rPr>
          <w:rFonts w:ascii="Times New Roman" w:hAnsi="Times New Roman"/>
          <w:sz w:val="24"/>
          <w:szCs w:val="24"/>
        </w:rPr>
      </w:pPr>
      <w:r w:rsidRPr="00C1344F">
        <w:rPr>
          <w:rFonts w:ascii="Times New Roman" w:hAnsi="Times New Roman"/>
          <w:sz w:val="24"/>
          <w:szCs w:val="24"/>
        </w:rPr>
        <w:t>- установления запрета на предоставление казахстанским инвесторам услуг нерегулируемых субъектов для допуска на рынок FOREX для всех субъектов, не обладающих лицензией на брокерскую деятельность, а также усиление мониторинга и надзора за выполнением данных требований;</w:t>
      </w:r>
    </w:p>
    <w:p w:rsidR="001E1769" w:rsidRPr="00C1344F" w:rsidRDefault="001E1769" w:rsidP="001E1769">
      <w:pPr>
        <w:tabs>
          <w:tab w:val="num" w:pos="720"/>
        </w:tabs>
        <w:spacing w:after="0" w:line="240" w:lineRule="auto"/>
        <w:ind w:firstLine="709"/>
        <w:jc w:val="both"/>
        <w:rPr>
          <w:rFonts w:ascii="Times New Roman" w:hAnsi="Times New Roman"/>
          <w:sz w:val="24"/>
          <w:szCs w:val="24"/>
        </w:rPr>
      </w:pPr>
      <w:r w:rsidRPr="00C1344F">
        <w:rPr>
          <w:rFonts w:ascii="Times New Roman" w:hAnsi="Times New Roman"/>
          <w:sz w:val="24"/>
          <w:szCs w:val="24"/>
        </w:rPr>
        <w:t>- построения адекватной кривой доходности, являющейся индикатором безрисковой ставки участникам рынка (Министерство финансов Республики Казахстан);</w:t>
      </w:r>
    </w:p>
    <w:p w:rsidR="001E1769" w:rsidRPr="00C1344F" w:rsidRDefault="001E1769" w:rsidP="001E1769">
      <w:pPr>
        <w:tabs>
          <w:tab w:val="num" w:pos="720"/>
        </w:tabs>
        <w:spacing w:after="0" w:line="240" w:lineRule="auto"/>
        <w:ind w:firstLine="709"/>
        <w:jc w:val="both"/>
        <w:rPr>
          <w:rFonts w:ascii="Times New Roman" w:hAnsi="Times New Roman"/>
          <w:sz w:val="24"/>
          <w:szCs w:val="24"/>
        </w:rPr>
      </w:pPr>
      <w:r w:rsidRPr="00C1344F">
        <w:rPr>
          <w:rFonts w:ascii="Times New Roman" w:hAnsi="Times New Roman"/>
          <w:sz w:val="24"/>
          <w:szCs w:val="24"/>
        </w:rPr>
        <w:t>- восстановления института управляющих пенсионными активами как класса институциональных инвесторов на рынке ценных бумаг (реформа системы управления пенсионными активами);</w:t>
      </w:r>
    </w:p>
    <w:p w:rsidR="001E1769" w:rsidRPr="00C1344F" w:rsidRDefault="001E1769" w:rsidP="001E1769">
      <w:pPr>
        <w:tabs>
          <w:tab w:val="num" w:pos="720"/>
        </w:tabs>
        <w:spacing w:after="0" w:line="240" w:lineRule="auto"/>
        <w:ind w:firstLine="709"/>
        <w:jc w:val="both"/>
        <w:rPr>
          <w:rFonts w:ascii="Times New Roman" w:hAnsi="Times New Roman"/>
          <w:sz w:val="24"/>
          <w:szCs w:val="24"/>
        </w:rPr>
      </w:pPr>
      <w:r w:rsidRPr="00C1344F">
        <w:rPr>
          <w:rFonts w:ascii="Times New Roman" w:hAnsi="Times New Roman"/>
          <w:sz w:val="24"/>
          <w:szCs w:val="24"/>
        </w:rPr>
        <w:t>- формирования единого биржевого пространства в странах ЕАЭС;</w:t>
      </w:r>
    </w:p>
    <w:p w:rsidR="001E1769" w:rsidRPr="00C1344F" w:rsidRDefault="001E1769" w:rsidP="001E1769">
      <w:pPr>
        <w:tabs>
          <w:tab w:val="num" w:pos="720"/>
        </w:tabs>
        <w:spacing w:after="0" w:line="240" w:lineRule="auto"/>
        <w:ind w:firstLine="709"/>
        <w:jc w:val="both"/>
        <w:rPr>
          <w:rFonts w:ascii="Times New Roman" w:hAnsi="Times New Roman"/>
          <w:sz w:val="24"/>
          <w:szCs w:val="24"/>
        </w:rPr>
      </w:pPr>
      <w:r w:rsidRPr="00C1344F">
        <w:rPr>
          <w:rFonts w:ascii="Times New Roman" w:hAnsi="Times New Roman"/>
          <w:sz w:val="24"/>
          <w:szCs w:val="24"/>
        </w:rPr>
        <w:lastRenderedPageBreak/>
        <w:t xml:space="preserve">- </w:t>
      </w:r>
      <w:r w:rsidRPr="00C1344F">
        <w:rPr>
          <w:rFonts w:ascii="Times New Roman" w:hAnsi="Times New Roman" w:cs="Times New Roman"/>
          <w:bCs/>
          <w:sz w:val="24"/>
          <w:szCs w:val="24"/>
        </w:rPr>
        <w:t>создания механизма действенных налоговых стимулов (льгот) для эмитентов и инвесторов</w:t>
      </w:r>
      <w:r w:rsidRPr="00C1344F">
        <w:rPr>
          <w:rFonts w:ascii="Times New Roman" w:hAnsi="Times New Roman"/>
          <w:sz w:val="24"/>
          <w:szCs w:val="24"/>
        </w:rPr>
        <w:t>.</w:t>
      </w:r>
    </w:p>
    <w:p w:rsidR="001E1769" w:rsidRPr="00C1344F" w:rsidRDefault="001E1769" w:rsidP="001E1769">
      <w:pPr>
        <w:tabs>
          <w:tab w:val="num" w:pos="720"/>
        </w:tabs>
        <w:spacing w:after="0" w:line="240" w:lineRule="auto"/>
        <w:ind w:firstLine="709"/>
        <w:jc w:val="both"/>
        <w:rPr>
          <w:rFonts w:ascii="Times New Roman" w:hAnsi="Times New Roman"/>
          <w:sz w:val="24"/>
          <w:szCs w:val="24"/>
        </w:rPr>
      </w:pPr>
      <w:r w:rsidRPr="00C1344F">
        <w:rPr>
          <w:rFonts w:ascii="Times New Roman" w:hAnsi="Times New Roman"/>
          <w:sz w:val="24"/>
          <w:szCs w:val="24"/>
        </w:rPr>
        <w:t xml:space="preserve">В целях стимулирования отечественных эмитентов к размещению своих ценных бумаг на организованном рынке ценных бумаг Национальным Банком были подготовлены предложения по созданию стимулов для выхода на IPO и </w:t>
      </w:r>
      <w:r w:rsidR="00271E80">
        <w:rPr>
          <w:rFonts w:ascii="Times New Roman" w:hAnsi="Times New Roman"/>
          <w:sz w:val="24"/>
          <w:szCs w:val="24"/>
          <w:lang w:val="en-US"/>
        </w:rPr>
        <w:t>KASE</w:t>
      </w:r>
      <w:r w:rsidRPr="00C1344F">
        <w:rPr>
          <w:rFonts w:ascii="Times New Roman" w:hAnsi="Times New Roman"/>
          <w:sz w:val="24"/>
          <w:szCs w:val="24"/>
        </w:rPr>
        <w:t xml:space="preserve"> корпоративных эмитентов путем применения налоговых льгот в форме снижения ставки корпоративного подоходного налога (с 20% до 18%) сроком до 3 лет. </w:t>
      </w:r>
    </w:p>
    <w:p w:rsidR="001E1769" w:rsidRPr="00C1344F" w:rsidRDefault="001E1769" w:rsidP="001E1769">
      <w:pPr>
        <w:tabs>
          <w:tab w:val="num" w:pos="720"/>
        </w:tabs>
        <w:spacing w:after="0" w:line="240" w:lineRule="auto"/>
        <w:ind w:firstLine="709"/>
        <w:jc w:val="both"/>
        <w:rPr>
          <w:rFonts w:ascii="Times New Roman" w:hAnsi="Times New Roman"/>
          <w:sz w:val="24"/>
          <w:szCs w:val="24"/>
        </w:rPr>
      </w:pPr>
      <w:r w:rsidRPr="00C1344F">
        <w:rPr>
          <w:rFonts w:ascii="Times New Roman" w:hAnsi="Times New Roman"/>
          <w:sz w:val="24"/>
          <w:szCs w:val="24"/>
        </w:rPr>
        <w:t xml:space="preserve">Предложение Национального Банка по налоговому стимулированию эмитентов к выходу на отечественный фондовый рынок обсуждалось в рамках рабочей группы в </w:t>
      </w:r>
      <w:r>
        <w:rPr>
          <w:rFonts w:ascii="Times New Roman" w:hAnsi="Times New Roman"/>
          <w:sz w:val="24"/>
          <w:szCs w:val="24"/>
        </w:rPr>
        <w:t>Министерстве национальной экономики Республики Казахстан</w:t>
      </w:r>
      <w:r w:rsidRPr="00C1344F">
        <w:rPr>
          <w:rFonts w:ascii="Times New Roman" w:hAnsi="Times New Roman"/>
          <w:sz w:val="24"/>
          <w:szCs w:val="24"/>
        </w:rPr>
        <w:t>, а после был рассмотрен Республиканской бюджетной комиссией в 2017 году. При этом по итогам рассмотрения Республиканская бюджетная комиссия не поддержала предложение по снижению корпоративного подоходного налога для эмитентов.</w:t>
      </w:r>
    </w:p>
    <w:p w:rsidR="001E1769" w:rsidRPr="00C1344F" w:rsidRDefault="001E1769" w:rsidP="001E1769">
      <w:pPr>
        <w:tabs>
          <w:tab w:val="num" w:pos="720"/>
        </w:tabs>
        <w:spacing w:after="0" w:line="240" w:lineRule="auto"/>
        <w:ind w:firstLine="709"/>
        <w:jc w:val="both"/>
        <w:rPr>
          <w:rFonts w:ascii="Times New Roman" w:hAnsi="Times New Roman"/>
          <w:sz w:val="24"/>
          <w:szCs w:val="24"/>
        </w:rPr>
      </w:pPr>
      <w:r w:rsidRPr="00C1344F">
        <w:rPr>
          <w:rFonts w:ascii="Times New Roman" w:hAnsi="Times New Roman"/>
          <w:sz w:val="24"/>
          <w:szCs w:val="24"/>
        </w:rPr>
        <w:t>Наряду с этим, в части стимулирования инвесторов к выходу на фондовый рынок Национальным Банком разработаны предложения по внесению изменений в Кодекс Республики Казахстан «О налогах и других обязательных платежах в бюджет» по введению льготы по налогообложению доходов по паям открытых и интервальных паевых инвестиционных фондов для физических лиц. Как полагаем, это будет стимулировать физических лиц вкладывать свои денежные средства в паевые инвестиционные фонды, как альтернативу банковским депозитам.</w:t>
      </w:r>
    </w:p>
    <w:p w:rsidR="001E1769" w:rsidRPr="00C1344F" w:rsidRDefault="001E1769" w:rsidP="001E1769">
      <w:pPr>
        <w:tabs>
          <w:tab w:val="num" w:pos="720"/>
        </w:tabs>
        <w:spacing w:after="0" w:line="240" w:lineRule="auto"/>
        <w:ind w:firstLine="709"/>
        <w:jc w:val="both"/>
        <w:rPr>
          <w:rFonts w:ascii="Times New Roman" w:hAnsi="Times New Roman"/>
          <w:sz w:val="24"/>
          <w:szCs w:val="24"/>
        </w:rPr>
      </w:pPr>
      <w:r w:rsidRPr="00C1344F">
        <w:rPr>
          <w:rFonts w:ascii="Times New Roman" w:hAnsi="Times New Roman"/>
          <w:sz w:val="24"/>
          <w:szCs w:val="24"/>
        </w:rPr>
        <w:t>На сегодняшний день данные предложения согласованы с участниками финансового рынка в лице А</w:t>
      </w:r>
      <w:r>
        <w:rPr>
          <w:rFonts w:ascii="Times New Roman" w:hAnsi="Times New Roman"/>
          <w:sz w:val="24"/>
          <w:szCs w:val="24"/>
        </w:rPr>
        <w:t>ссоциации финансистов Казахстана</w:t>
      </w:r>
      <w:r w:rsidRPr="00C1344F">
        <w:rPr>
          <w:rFonts w:ascii="Times New Roman" w:hAnsi="Times New Roman"/>
          <w:sz w:val="24"/>
          <w:szCs w:val="24"/>
        </w:rPr>
        <w:t xml:space="preserve"> и обсуждаются в рамках соответствующе</w:t>
      </w:r>
      <w:r>
        <w:rPr>
          <w:rFonts w:ascii="Times New Roman" w:hAnsi="Times New Roman"/>
          <w:sz w:val="24"/>
          <w:szCs w:val="24"/>
        </w:rPr>
        <w:t xml:space="preserve">й рабочей группы. В последующем, </w:t>
      </w:r>
      <w:r w:rsidRPr="00C1344F">
        <w:rPr>
          <w:rFonts w:ascii="Times New Roman" w:hAnsi="Times New Roman"/>
          <w:sz w:val="24"/>
          <w:szCs w:val="24"/>
        </w:rPr>
        <w:t xml:space="preserve">предложения будут вынесены на рассмотрение Республиканской бюджетной комиссии. </w:t>
      </w:r>
    </w:p>
    <w:p w:rsidR="002C29A5" w:rsidRDefault="002C29A5" w:rsidP="00B8527F">
      <w:pPr>
        <w:spacing w:line="240" w:lineRule="auto"/>
        <w:ind w:firstLine="709"/>
        <w:contextualSpacing/>
        <w:jc w:val="both"/>
        <w:rPr>
          <w:rFonts w:ascii="Times New Roman" w:hAnsi="Times New Roman"/>
          <w:b/>
          <w:i/>
          <w:sz w:val="24"/>
          <w:szCs w:val="24"/>
        </w:rPr>
      </w:pPr>
    </w:p>
    <w:p w:rsidR="00B8527F" w:rsidRDefault="00B8527F" w:rsidP="00B8527F">
      <w:pPr>
        <w:spacing w:line="240" w:lineRule="auto"/>
        <w:ind w:firstLine="709"/>
        <w:contextualSpacing/>
        <w:jc w:val="both"/>
        <w:rPr>
          <w:rFonts w:ascii="Times New Roman" w:hAnsi="Times New Roman"/>
          <w:b/>
          <w:i/>
          <w:sz w:val="24"/>
          <w:szCs w:val="24"/>
        </w:rPr>
      </w:pPr>
      <w:r>
        <w:rPr>
          <w:rFonts w:ascii="Times New Roman" w:hAnsi="Times New Roman"/>
          <w:b/>
          <w:i/>
          <w:sz w:val="24"/>
          <w:szCs w:val="24"/>
        </w:rPr>
        <w:t>Цель 2.4. Создание условий по дальнейшему развитию накопительной пенсионной системы.</w:t>
      </w:r>
    </w:p>
    <w:p w:rsidR="006346A7" w:rsidRPr="00E721BD" w:rsidRDefault="006346A7" w:rsidP="006346A7">
      <w:pPr>
        <w:spacing w:line="240" w:lineRule="auto"/>
        <w:ind w:firstLine="709"/>
        <w:contextualSpacing/>
        <w:jc w:val="both"/>
        <w:rPr>
          <w:rFonts w:ascii="Times New Roman" w:hAnsi="Times New Roman"/>
          <w:b/>
          <w:i/>
          <w:sz w:val="24"/>
          <w:szCs w:val="24"/>
        </w:rPr>
      </w:pPr>
    </w:p>
    <w:p w:rsidR="00895732" w:rsidRPr="00E82016" w:rsidRDefault="00895732" w:rsidP="00895732">
      <w:pPr>
        <w:spacing w:after="0" w:line="240" w:lineRule="auto"/>
        <w:ind w:firstLine="709"/>
        <w:contextualSpacing/>
        <w:jc w:val="both"/>
        <w:rPr>
          <w:rFonts w:ascii="Times New Roman" w:hAnsi="Times New Roman"/>
          <w:b/>
          <w:i/>
          <w:sz w:val="24"/>
          <w:szCs w:val="24"/>
        </w:rPr>
      </w:pPr>
      <w:r>
        <w:rPr>
          <w:rFonts w:ascii="Times New Roman" w:hAnsi="Times New Roman"/>
          <w:b/>
          <w:i/>
          <w:sz w:val="24"/>
          <w:szCs w:val="24"/>
        </w:rPr>
        <w:t>Недоверие населения накопительной пенсионной системе.</w:t>
      </w:r>
    </w:p>
    <w:p w:rsidR="00895732" w:rsidRDefault="00895732" w:rsidP="00895732">
      <w:pPr>
        <w:spacing w:after="0" w:line="240" w:lineRule="auto"/>
        <w:ind w:firstLine="709"/>
        <w:contextualSpacing/>
        <w:jc w:val="both"/>
        <w:rPr>
          <w:rFonts w:ascii="Times New Roman" w:hAnsi="Times New Roman"/>
          <w:b/>
          <w:bCs/>
          <w:i/>
          <w:sz w:val="24"/>
          <w:szCs w:val="24"/>
        </w:rPr>
      </w:pPr>
      <w:r w:rsidRPr="00E82016">
        <w:rPr>
          <w:rFonts w:ascii="Times New Roman" w:hAnsi="Times New Roman"/>
          <w:b/>
          <w:bCs/>
          <w:i/>
          <w:sz w:val="24"/>
          <w:szCs w:val="24"/>
        </w:rPr>
        <w:t>Мероприятия по управлению возможным риском:</w:t>
      </w:r>
    </w:p>
    <w:p w:rsidR="00895732" w:rsidRPr="00121282" w:rsidRDefault="00895732" w:rsidP="00895732">
      <w:pPr>
        <w:spacing w:after="0" w:line="240" w:lineRule="auto"/>
        <w:ind w:firstLine="709"/>
        <w:contextualSpacing/>
        <w:jc w:val="both"/>
        <w:rPr>
          <w:rFonts w:ascii="Times New Roman" w:hAnsi="Times New Roman"/>
          <w:i/>
          <w:sz w:val="24"/>
          <w:szCs w:val="24"/>
        </w:rPr>
      </w:pPr>
      <w:r w:rsidRPr="00121282">
        <w:rPr>
          <w:rFonts w:ascii="Times New Roman" w:hAnsi="Times New Roman"/>
          <w:i/>
          <w:sz w:val="24"/>
          <w:szCs w:val="24"/>
        </w:rPr>
        <w:t>Тщательная информационно-разъяснительная работа среди населения по актуальным вопросам накопительной пенсионной системы.</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В целях повышения доверия населения к накопительной пенсионной системе Национальным Банком и АО «Единый накопительный пенсионный фонд» (далее – ЕНПФ) на постоянной основе проводится активная работа со средствами массовой информации и в социальных сетях.</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Организовывается участие руководителей Национального Банка и ЕНПФ в телевизионных программах на телеканалах, республиканских радио и периодических печатных изданиях.</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xml:space="preserve">Ежеквартально проводятся пресс-конференции и брифинги руководства ЕНПФ по вопросам выплат из ЕНПФ, гарантии сохранности пенсионных накоплений, новых электронных сервисов, механизма начисления инвестиционного дохода и по работе с проблемными активами. На страницах республиканских и областных газет, интернет-порталов и в телевизионном эфире размещаются соответствующие материалы. </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В целях усиления информационно-разъяснительной работы для вовлечения населения в накопительную пенсионную систему, а также ознакомления с работой областных филиалов на местах осуществляются рабочие поездки руководства ЕНПФ по регионам республики. В ходе поездок с целью придания массовости и публичности проводимой ЕНПФ информационно-разъяснительной работы по повышению финансовой грамотности населения и его вовлечению в накопительную пенсионную систему, информированию населения о модернизации пенсионной системы в части изменения графика выплат и повышения пенсионного возраста женщин с акиматами областей подписаны Меморандумы о сотрудничестве и взаимодействии по вопросам реализации социальных за</w:t>
      </w:r>
      <w:r>
        <w:rPr>
          <w:rFonts w:ascii="Times New Roman" w:hAnsi="Times New Roman"/>
          <w:sz w:val="24"/>
          <w:szCs w:val="24"/>
        </w:rPr>
        <w:t>дач. На основании Меморандумов ф</w:t>
      </w:r>
      <w:r w:rsidRPr="00ED3EDC">
        <w:rPr>
          <w:rFonts w:ascii="Times New Roman" w:hAnsi="Times New Roman"/>
          <w:sz w:val="24"/>
          <w:szCs w:val="24"/>
        </w:rPr>
        <w:t xml:space="preserve">илиалы ЕНПФ составляют с местными исполнительными органами графики проведения совместных презентаций. </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В филиалах ЕНПФ ежеквартально проводился «День открытых дверей», целью которого являлось предоставление ответов на актуальные вопросы по пенсионному обеспечению.</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lastRenderedPageBreak/>
        <w:t xml:space="preserve">ЕНПФ присоединился к проекту «Социальный экспресс», в рамках которого проводится совместная работа с АО «Государственный фонд социального страхования» и Министерством труда и социальной защиты населения Республики Казахстан по разъяснению пенсионного законодательства и вовлечению населения в пенсионную систему, в </w:t>
      </w:r>
      <w:r>
        <w:rPr>
          <w:rFonts w:ascii="Times New Roman" w:hAnsi="Times New Roman"/>
          <w:sz w:val="24"/>
          <w:szCs w:val="24"/>
        </w:rPr>
        <w:t>том числе</w:t>
      </w:r>
      <w:r w:rsidRPr="00ED3EDC">
        <w:rPr>
          <w:rFonts w:ascii="Times New Roman" w:hAnsi="Times New Roman"/>
          <w:sz w:val="24"/>
          <w:szCs w:val="24"/>
        </w:rPr>
        <w:t xml:space="preserve"> женщин предпенсионного возраста.</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В целях расширения возможностей взаимодействия вкладчиков (получателей) с ЕНПФ по официальному интернет-</w:t>
      </w:r>
      <w:r>
        <w:rPr>
          <w:rFonts w:ascii="Times New Roman" w:hAnsi="Times New Roman"/>
          <w:sz w:val="24"/>
          <w:szCs w:val="24"/>
        </w:rPr>
        <w:t>ресурсу</w:t>
      </w:r>
      <w:r w:rsidRPr="00ED3EDC">
        <w:rPr>
          <w:rFonts w:ascii="Times New Roman" w:hAnsi="Times New Roman"/>
          <w:sz w:val="24"/>
          <w:szCs w:val="24"/>
        </w:rPr>
        <w:t xml:space="preserve"> ЕНПФ произведены следующие доработки: </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w:t>
      </w:r>
      <w:r w:rsidRPr="00ED3EDC">
        <w:rPr>
          <w:rFonts w:ascii="Times New Roman" w:hAnsi="Times New Roman"/>
          <w:sz w:val="24"/>
          <w:szCs w:val="24"/>
        </w:rPr>
        <w:tab/>
        <w:t xml:space="preserve">внедрена официальная блог-платформа Председателя Правления ЕНПФ с целью обеспечения свободного доступа пользователей к интересующей его информации о деятельности ЕНПФ; </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w:t>
      </w:r>
      <w:r w:rsidRPr="00ED3EDC">
        <w:rPr>
          <w:rFonts w:ascii="Times New Roman" w:hAnsi="Times New Roman"/>
          <w:sz w:val="24"/>
          <w:szCs w:val="24"/>
        </w:rPr>
        <w:tab/>
        <w:t>внедрена новая консультативная площадка «Общественная приемная», позволяющая каждому желающему задать вопрос лично руководству ЕНПФ, как в составе группы, так и индивидуально;</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w:t>
      </w:r>
      <w:r w:rsidRPr="00ED3EDC">
        <w:rPr>
          <w:rFonts w:ascii="Times New Roman" w:hAnsi="Times New Roman"/>
          <w:sz w:val="24"/>
          <w:szCs w:val="24"/>
        </w:rPr>
        <w:tab/>
        <w:t>внедрена и подключена функция Push-уведомлений в мобильном приложении ЕНПФ с целью предоставления мгновенных информационных сообщений;</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w:t>
      </w:r>
      <w:r w:rsidRPr="00ED3EDC">
        <w:rPr>
          <w:rFonts w:ascii="Times New Roman" w:hAnsi="Times New Roman"/>
          <w:sz w:val="24"/>
          <w:szCs w:val="24"/>
        </w:rPr>
        <w:tab/>
        <w:t xml:space="preserve">изменен формат размещения информации со статического текстового на динамический графический и табличный. Проводилась работа по наполнению содержания и визуализации материалов; </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w:t>
      </w:r>
      <w:r w:rsidRPr="00ED3EDC">
        <w:rPr>
          <w:rFonts w:ascii="Times New Roman" w:hAnsi="Times New Roman"/>
          <w:sz w:val="24"/>
          <w:szCs w:val="24"/>
        </w:rPr>
        <w:tab/>
        <w:t>на сайте ЕНПФ в раздел «Инвестиционная деятельность» добавлен подраздел «Экспертный профиль», в котором представлена расширенная версия структуры инвестиционного портфеля пенсионных активов с детализацией данных по финансовым инструментам.</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Помимо всего, в целях обеспечения эффективного взаимодействия с заинтересованными сторонами, максимального охвата имеющихся вопросов населения, изучения мнений гражданского общества (вкладчиков и получателей) по накопительной пенсионной системе, выработки предложений по совершенствованию накопительной пенсионной системы, разъяснения принципов функционирования накопительной пенсионной системы в едином информационном пространстве и придания импульса по соверше</w:t>
      </w:r>
      <w:r w:rsidR="00271E80">
        <w:rPr>
          <w:rFonts w:ascii="Times New Roman" w:hAnsi="Times New Roman"/>
          <w:sz w:val="24"/>
          <w:szCs w:val="24"/>
        </w:rPr>
        <w:t xml:space="preserve">нствованию деятельности системы </w:t>
      </w:r>
      <w:r w:rsidRPr="00ED3EDC">
        <w:rPr>
          <w:rFonts w:ascii="Times New Roman" w:hAnsi="Times New Roman"/>
          <w:sz w:val="24"/>
          <w:szCs w:val="24"/>
        </w:rPr>
        <w:t>создан Общественный Совет  при ЕНПФ в г. Алматы.</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xml:space="preserve">С момента создания Общественный совет стал площадкой для диалога между ЕНПФ, независимыми экспертами, представителями общественных объединений и населением. На сегодня с участием Национального Банка проведен ряд заседаний Общественного совета, в ходе которых рассмотрены актуальные вопросы, проблемы и перспективы развития ЕНПФ и пенсионной системы, в том числе предложения Национального Банка по реформированию системы управления пенсионными активами. Проведена (проведено): </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экспертная дискуссия по проблемам и перспективам пенсионной системы, участниками которой стали независимые эксперты, общественные деятели, журналисты и вкладчики;</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обсуждение предложений по развитию накопительной пенсионной системы;</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оказание Общественным Советом содействия по вопросам взыскания долгов по проблемным активам в портфеле пенсионных активов ЕНПФ;</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презентация новой стратегии развития ЕНПФ и др.</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Более подробную информацию относительно деятельности Общественного совета можно получить на сайте ЕНПФ (http://www.enpf.kz/ru/o-fonde/obshchestvennyy-sovet/obshchestvennyy-sovet.php).</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xml:space="preserve">Вместе с тем, в настоящее время Национальным Банком разработан механизм, предусматривающий передачу пенсионных активов под управление казахстанским частным управляющим компаниям. Данный вопрос обсуждался с участниками финансового рынка на площадке ОЮЛ «Ассоциация финансистов Казахстана» (далее – АФК) с целью определения порядка и процедур передачи пенсионных активов в частное управление. </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xml:space="preserve">В течение 2017 года данный вопрос неоднократно рассматривался на совместном заседании Консультативного совета АФК. После проведения обсуждения вопросов передачи пенсионных активов в управление частным компаниям с представителями АФК и членами Консультативного совета в ноябре текущего года, 7 декабря 2017 года в адрес АФК были направлены результаты рассмотрения Национальным Банком соответствующих предложений АФК, а также презентация </w:t>
      </w:r>
      <w:r w:rsidRPr="00ED3EDC">
        <w:rPr>
          <w:rFonts w:ascii="Times New Roman" w:hAnsi="Times New Roman"/>
          <w:sz w:val="24"/>
          <w:szCs w:val="24"/>
        </w:rPr>
        <w:lastRenderedPageBreak/>
        <w:t>предложений Национального Банка по механизмам и процедурам передачи пенсионных активов в управление частным компаниям.</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xml:space="preserve">Вопрос по реформированию системы управления пенсионными активами неоднократно вносился на рассмотрение заседания Совета по экономической политике. На сегодняшний день Национальным Банком разработаны соответствующие законодательные поправки, которые находятся на стадии согласования с АФК. </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Национальный Банк в соответствии с новым стратегическим распределением валютной части портфеля пенсионных активов ЕНПФ, установленным Инвестиционной декларацией ЕНПФ, проводит работу по привлечению зарубежных управляющих компаний для индексного инвестирования части пенсионных активов, номинированных в иностранной валюте, в глобальный индекс акций и индексы облигаций развивающихся и развитых стран.</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В марте 2018 года часть пенсионных активов ЕНПФ в размере 220,0 млн. долларов США передана внешнему управляющему Aviva Investors по мандату «Глобальные облигации развивающихся рынков».</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На сегодняшний день Национальным Банком проводятся необходимые процедуры по передаче части пенсионных активов ЕНПФ, номинированных в иностранной валюте, зарубежным управляющим компаниям по мандатам «Глобальные активные акции», «Глобальные пассивные акции» и «Глобальные корпоративные облигации инвестиционного уровня с высокой капитализацией, номинированные в долларах США»</w:t>
      </w:r>
      <w:r>
        <w:rPr>
          <w:rFonts w:ascii="Times New Roman" w:hAnsi="Times New Roman"/>
          <w:sz w:val="24"/>
          <w:szCs w:val="24"/>
        </w:rPr>
        <w:t>.</w:t>
      </w:r>
    </w:p>
    <w:p w:rsidR="003F5446" w:rsidRPr="00ED3EDC" w:rsidRDefault="003F5446" w:rsidP="003F5446">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В настоящее время Национальный Банк осуществляет необходимые процедуры по согласованию соглашений об инвестиционном управлении с вышеуказанными зарубежными управляющими компаниями. В частности, обсуждаются параметры портфелей, инвестиционная стратегия, объемы и сроки передачи, размеры комиссионного вознаграждения и другие важные условия соглашений.</w:t>
      </w:r>
    </w:p>
    <w:p w:rsidR="00895732" w:rsidRDefault="00895732" w:rsidP="00895732">
      <w:pPr>
        <w:spacing w:after="0" w:line="240" w:lineRule="auto"/>
        <w:ind w:firstLine="709"/>
        <w:contextualSpacing/>
        <w:jc w:val="both"/>
        <w:rPr>
          <w:rFonts w:ascii="Times New Roman" w:hAnsi="Times New Roman"/>
          <w:b/>
          <w:i/>
          <w:sz w:val="24"/>
          <w:szCs w:val="24"/>
        </w:rPr>
      </w:pPr>
    </w:p>
    <w:p w:rsidR="00895732" w:rsidRPr="00E82016" w:rsidRDefault="00895732" w:rsidP="00895732">
      <w:pPr>
        <w:spacing w:after="0" w:line="240" w:lineRule="auto"/>
        <w:ind w:firstLine="709"/>
        <w:contextualSpacing/>
        <w:jc w:val="both"/>
        <w:rPr>
          <w:rFonts w:ascii="Times New Roman" w:hAnsi="Times New Roman"/>
          <w:b/>
          <w:i/>
          <w:sz w:val="24"/>
          <w:szCs w:val="24"/>
        </w:rPr>
      </w:pPr>
      <w:r>
        <w:rPr>
          <w:rFonts w:ascii="Times New Roman" w:hAnsi="Times New Roman"/>
          <w:b/>
          <w:i/>
          <w:sz w:val="24"/>
          <w:szCs w:val="24"/>
        </w:rPr>
        <w:t>Низкая ликвидность отечественного фондового рынка как основной площадки для инвестирования пенсионных активов.</w:t>
      </w:r>
    </w:p>
    <w:p w:rsidR="00895732" w:rsidRDefault="00895732" w:rsidP="00895732">
      <w:pPr>
        <w:spacing w:after="0" w:line="240" w:lineRule="auto"/>
        <w:ind w:firstLine="709"/>
        <w:contextualSpacing/>
        <w:jc w:val="both"/>
        <w:rPr>
          <w:rFonts w:ascii="Times New Roman" w:hAnsi="Times New Roman"/>
          <w:b/>
          <w:bCs/>
          <w:i/>
          <w:sz w:val="24"/>
          <w:szCs w:val="24"/>
        </w:rPr>
      </w:pPr>
      <w:r w:rsidRPr="00E82016">
        <w:rPr>
          <w:rFonts w:ascii="Times New Roman" w:hAnsi="Times New Roman"/>
          <w:b/>
          <w:bCs/>
          <w:i/>
          <w:sz w:val="24"/>
          <w:szCs w:val="24"/>
        </w:rPr>
        <w:t>Мероприятия по управлению возможным риском:</w:t>
      </w:r>
    </w:p>
    <w:p w:rsidR="00895732" w:rsidRPr="00121282" w:rsidRDefault="00895732" w:rsidP="00895732">
      <w:pPr>
        <w:spacing w:after="0" w:line="240" w:lineRule="auto"/>
        <w:ind w:firstLine="709"/>
        <w:contextualSpacing/>
        <w:jc w:val="both"/>
        <w:rPr>
          <w:rFonts w:ascii="Times New Roman" w:hAnsi="Times New Roman"/>
          <w:i/>
          <w:sz w:val="24"/>
          <w:szCs w:val="24"/>
        </w:rPr>
      </w:pPr>
      <w:r w:rsidRPr="00121282">
        <w:rPr>
          <w:rFonts w:ascii="Times New Roman" w:hAnsi="Times New Roman"/>
          <w:i/>
          <w:sz w:val="24"/>
          <w:szCs w:val="24"/>
        </w:rPr>
        <w:t>Принятие мер, направленных на создание стимулов для выхода эмитентов на фондовый рынок, упрощение доступа инвесторов, в том числе иностранных, на отечественный фондовый рынок.</w:t>
      </w:r>
    </w:p>
    <w:p w:rsidR="00895732" w:rsidRPr="00121282" w:rsidRDefault="00895732" w:rsidP="00895732">
      <w:pPr>
        <w:spacing w:after="0" w:line="240" w:lineRule="auto"/>
        <w:ind w:firstLine="709"/>
        <w:contextualSpacing/>
        <w:jc w:val="both"/>
        <w:rPr>
          <w:rFonts w:ascii="Times New Roman" w:hAnsi="Times New Roman"/>
          <w:i/>
          <w:sz w:val="24"/>
          <w:szCs w:val="24"/>
        </w:rPr>
      </w:pPr>
      <w:r w:rsidRPr="00121282">
        <w:rPr>
          <w:rFonts w:ascii="Times New Roman" w:hAnsi="Times New Roman"/>
          <w:i/>
          <w:sz w:val="24"/>
          <w:szCs w:val="24"/>
        </w:rPr>
        <w:t>Возобновление программы «Народное IPO» по выводу компаний квазигосударственного сектора на торговую площадку АО «Казахстанская фондовая биржа».</w:t>
      </w:r>
    </w:p>
    <w:p w:rsidR="00542283" w:rsidRPr="00ED3EDC" w:rsidRDefault="00542283" w:rsidP="0054228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xml:space="preserve">Московской фондовой биржей и KASE в октябре 2018 года подписано стратегическое соглашение о партнерстве, что позволяет вывести KASE на новый технологический уровень и позитивно скажется на развитии отечественного фондового рынка. </w:t>
      </w:r>
    </w:p>
    <w:p w:rsidR="00542283" w:rsidRPr="00ED3EDC" w:rsidRDefault="00542283" w:rsidP="0054228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В целях привлечения на фондовый рынок инвесторов с использованием систем дистанционного доступа и упрощения условий торговли внедрена возможность предоставления брокерами электронных услуг клиентам, включая проведение торговых операций на основании электронной цифровой подписи клиента и предоставление брокером электронных услуг клиенту через личный кабинет.</w:t>
      </w:r>
    </w:p>
    <w:p w:rsidR="00542283" w:rsidRPr="00ED3EDC" w:rsidRDefault="00542283" w:rsidP="0054228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xml:space="preserve">Также Московская фондовая биржа начала торги акциями биржевого инвестиционного фонда (Exchange Traded Fund) на индекс акций KASE под управлением FinEx Investment Management LLP. После этого решением Правления KASE от 4 декабря 2018 года акции сегрегированного субфонда FinEx FFIN Kazakhstan Equity ETF включены в сектор «Ценные бумаги инвестиционных фондов» официального списка KASE. Таким образом, это позволяет расширить спектр финансовых инструментов, представленных на KASE, инструментами ETF фондов. </w:t>
      </w:r>
    </w:p>
    <w:p w:rsidR="00542283" w:rsidRPr="00ED3EDC" w:rsidRDefault="00542283" w:rsidP="0054228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Кроме того, KASE проводится работа по привлечению иностранных участников рынка ценных бумаг. Так, уже 2 российских брокера получили удаленное членство на KASE (ООО ИК «Фридом Финанс» и ООО «УНИВЕР Капитал»).</w:t>
      </w:r>
    </w:p>
    <w:p w:rsidR="00542283" w:rsidRPr="00ED3EDC" w:rsidRDefault="00542283" w:rsidP="0054228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xml:space="preserve">В отношении эмитентов, ценные бумаги которых прошли листинг на бирже МФЦА, предоставлена возможность прохождения процедуры упрощенного листинга на KASE, что в </w:t>
      </w:r>
      <w:r w:rsidRPr="00ED3EDC">
        <w:rPr>
          <w:rFonts w:ascii="Times New Roman" w:hAnsi="Times New Roman"/>
          <w:sz w:val="24"/>
          <w:szCs w:val="24"/>
        </w:rPr>
        <w:lastRenderedPageBreak/>
        <w:t>значительной степени упрощает процедуру, сокращает время рассмотрения документов и издержки эмитентов, связанных с включением их ценных бумаг в листинг на KASE.</w:t>
      </w:r>
    </w:p>
    <w:p w:rsidR="00542283" w:rsidRPr="00ED3EDC" w:rsidRDefault="00542283" w:rsidP="0054228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Вместе с тем, в рамках либерализации деятельности отечественных брокеров расширены их инвестиционные возможности, в частности предоставлена брокерам возможность открывать лицевые счета в иностранных расчетных организациях напрямую, минуя отечественных кастодианов. Внедрены возможность осуществления брокерами обменных операций, за исключением обменных операций с наличной иностранной валютой, за счет и по поручению клиентов.</w:t>
      </w:r>
    </w:p>
    <w:p w:rsidR="00542283" w:rsidRPr="00ED3EDC" w:rsidRDefault="00542283" w:rsidP="0054228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Разработан комплекс мер по стимулированию эмитентов к выходу на рынок ценных бумаг, предусматривающих сокращение контрольно-надзорных функций уполномоченного органа в отношении эмитентов, оптимизацию разрешительных процедур. В рамках либерализации деятельности участников рынка ценных бумаг приняты меры по:</w:t>
      </w:r>
    </w:p>
    <w:p w:rsidR="00542283" w:rsidRPr="00ED3EDC" w:rsidRDefault="00542283" w:rsidP="0054228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сокращению сроков проведения разрешительных процедур и отчетности, предоставляемой в уполномоченный орган;</w:t>
      </w:r>
    </w:p>
    <w:p w:rsidR="00542283" w:rsidRPr="00ED3EDC" w:rsidRDefault="00542283" w:rsidP="0054228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оптимизации деятельности единого оператора в сфере учета государственного имущества, определённого в соответствии с законодательством Республики Казахстан о государственном имуществе на рынке ценных бумаг;</w:t>
      </w:r>
    </w:p>
    <w:p w:rsidR="00542283" w:rsidRPr="00ED3EDC" w:rsidRDefault="00542283" w:rsidP="0054228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xml:space="preserve">- либерализации порядка создания и функционирования инвестиционных фондов, предусматривающая упрощение требований к созданию, реорганизации и функционированию инвестиционных фондов. </w:t>
      </w:r>
    </w:p>
    <w:p w:rsidR="00542283" w:rsidRPr="00ED3EDC" w:rsidRDefault="00542283" w:rsidP="0054228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В 2018 году принят План совместных действий Правительства Республики Казахстан и Национального Банка по развитию национального фондового рынка на 2018-2021 годы (далее – План). Так, согласно Плану, кроме прочего, планируется проведение работы по следующим направлениям:</w:t>
      </w:r>
    </w:p>
    <w:p w:rsidR="00542283" w:rsidRPr="00ED3EDC" w:rsidRDefault="00542283" w:rsidP="0054228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введение центрального контрагента на фондовом рынке;</w:t>
      </w:r>
    </w:p>
    <w:p w:rsidR="00542283" w:rsidRPr="00ED3EDC" w:rsidRDefault="00542283" w:rsidP="0054228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пересмотр механизмов осуществления маржинальных сделок, совершаемых брокерами и их клиентами на фондовом рынке;</w:t>
      </w:r>
    </w:p>
    <w:p w:rsidR="00542283" w:rsidRPr="00ED3EDC" w:rsidRDefault="00542283" w:rsidP="0054228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дальнейшее стимулирование использования брокерами торговых платформ для оказания электронных услуг своим клиентам посредством использования личного кабинета;</w:t>
      </w:r>
    </w:p>
    <w:p w:rsidR="00542283" w:rsidRPr="00ED3EDC" w:rsidRDefault="00542283" w:rsidP="0054228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совершенствование института маркет-мейкеров по ценным бумагам, обращаемым на площадке фондовой биржи, в целях повышения ликвидности и стабильности казахстанского рынка ценных бумаг;</w:t>
      </w:r>
    </w:p>
    <w:p w:rsidR="00542283" w:rsidRPr="00ED3EDC" w:rsidRDefault="00542283" w:rsidP="0054228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расширение перечня исламских ценных бумаг, выпуск и обращение которых не предусмотрены действующим казахстанским законодательством.</w:t>
      </w:r>
    </w:p>
    <w:p w:rsidR="00542283" w:rsidRPr="00ED3EDC" w:rsidRDefault="00542283" w:rsidP="0054228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 xml:space="preserve">Принят Комплексный план приватизации на 2016 - 2020 годы, согласно которому осуществляется поэтапный вывод в конкурентную среду и реализация посредством IPO крупных компаний квазигосударственного сектора. При этом IPO указанных компаний необходимо проводить параллельно на двух биржевых площадках, функционирующих на территории Казахстана. </w:t>
      </w:r>
    </w:p>
    <w:p w:rsidR="00542283" w:rsidRPr="00ED3EDC" w:rsidRDefault="00542283" w:rsidP="00542283">
      <w:pPr>
        <w:spacing w:after="0" w:line="240" w:lineRule="auto"/>
        <w:ind w:firstLine="709"/>
        <w:contextualSpacing/>
        <w:jc w:val="both"/>
        <w:rPr>
          <w:rFonts w:ascii="Times New Roman" w:hAnsi="Times New Roman"/>
          <w:sz w:val="24"/>
          <w:szCs w:val="24"/>
        </w:rPr>
      </w:pPr>
      <w:r w:rsidRPr="00ED3EDC">
        <w:rPr>
          <w:rFonts w:ascii="Times New Roman" w:hAnsi="Times New Roman"/>
          <w:sz w:val="24"/>
          <w:szCs w:val="24"/>
        </w:rPr>
        <w:t>Вместе с тем, в ноябре 2018 года запущены первые торги ценными бумагами АО «НАК «Казатомпром» на бирже МФЦА. В 2019-2020гг. планируется выведение на IPO/SPO компаний АО «Казахтелеком», АО «Эйр Астана» и АО «НК «КазМунайГаз», при этом проведение  IPO/SPO указанных компаний необходимо осуществлять внутри Казахстана.</w:t>
      </w:r>
    </w:p>
    <w:p w:rsidR="00F056E8" w:rsidRDefault="00F056E8" w:rsidP="006346A7">
      <w:pPr>
        <w:spacing w:line="240" w:lineRule="auto"/>
        <w:ind w:firstLine="709"/>
        <w:contextualSpacing/>
        <w:jc w:val="both"/>
        <w:rPr>
          <w:rFonts w:ascii="Times New Roman" w:hAnsi="Times New Roman"/>
          <w:b/>
          <w:i/>
          <w:sz w:val="24"/>
          <w:szCs w:val="24"/>
        </w:rPr>
      </w:pPr>
    </w:p>
    <w:p w:rsidR="00F056E8" w:rsidRDefault="00F056E8" w:rsidP="006346A7">
      <w:pPr>
        <w:spacing w:line="240" w:lineRule="auto"/>
        <w:ind w:firstLine="709"/>
        <w:contextualSpacing/>
        <w:jc w:val="both"/>
        <w:rPr>
          <w:rFonts w:ascii="Times New Roman" w:hAnsi="Times New Roman"/>
          <w:b/>
          <w:i/>
          <w:sz w:val="24"/>
          <w:szCs w:val="24"/>
        </w:rPr>
      </w:pPr>
      <w:r>
        <w:rPr>
          <w:rFonts w:ascii="Times New Roman" w:hAnsi="Times New Roman"/>
          <w:b/>
          <w:i/>
          <w:sz w:val="24"/>
          <w:szCs w:val="24"/>
        </w:rPr>
        <w:t>Цель 2.5. Обеспечение эффективного валютного регулирования и валютного контроля</w:t>
      </w:r>
    </w:p>
    <w:p w:rsidR="00F056E8" w:rsidRDefault="00F056E8" w:rsidP="006346A7">
      <w:pPr>
        <w:spacing w:line="240" w:lineRule="auto"/>
        <w:ind w:firstLine="709"/>
        <w:contextualSpacing/>
        <w:jc w:val="both"/>
        <w:rPr>
          <w:rFonts w:ascii="Times New Roman" w:hAnsi="Times New Roman"/>
          <w:sz w:val="24"/>
          <w:szCs w:val="24"/>
        </w:rPr>
      </w:pPr>
    </w:p>
    <w:p w:rsidR="00445DDD" w:rsidRPr="00E721BD" w:rsidRDefault="00445DDD" w:rsidP="00445DDD">
      <w:pPr>
        <w:spacing w:line="240" w:lineRule="auto"/>
        <w:ind w:firstLine="709"/>
        <w:contextualSpacing/>
        <w:jc w:val="both"/>
        <w:rPr>
          <w:rFonts w:ascii="Times New Roman" w:hAnsi="Times New Roman"/>
          <w:b/>
          <w:i/>
          <w:sz w:val="24"/>
          <w:szCs w:val="24"/>
        </w:rPr>
      </w:pPr>
      <w:r>
        <w:rPr>
          <w:rFonts w:ascii="Times New Roman" w:hAnsi="Times New Roman"/>
          <w:b/>
          <w:i/>
          <w:sz w:val="24"/>
          <w:szCs w:val="24"/>
        </w:rPr>
        <w:t>Нескоординированность действий государственных органов в части мер, влияющих на мобильность капитала.</w:t>
      </w:r>
    </w:p>
    <w:p w:rsidR="00445DDD" w:rsidRPr="00E721BD" w:rsidRDefault="00445DDD" w:rsidP="00445DDD">
      <w:pPr>
        <w:spacing w:line="240" w:lineRule="auto"/>
        <w:ind w:firstLine="709"/>
        <w:contextualSpacing/>
        <w:jc w:val="both"/>
        <w:rPr>
          <w:rFonts w:ascii="Times New Roman" w:hAnsi="Times New Roman"/>
          <w:b/>
          <w:i/>
          <w:sz w:val="24"/>
          <w:szCs w:val="24"/>
        </w:rPr>
      </w:pPr>
      <w:r w:rsidRPr="00E721BD">
        <w:rPr>
          <w:rFonts w:ascii="Times New Roman" w:hAnsi="Times New Roman"/>
          <w:b/>
          <w:bCs/>
          <w:i/>
          <w:sz w:val="24"/>
          <w:szCs w:val="24"/>
        </w:rPr>
        <w:t>Мероприятия по управлению возможным риском:</w:t>
      </w:r>
    </w:p>
    <w:p w:rsidR="00445DDD" w:rsidRPr="00F056E8" w:rsidRDefault="00445DDD" w:rsidP="00445DDD">
      <w:pPr>
        <w:spacing w:line="240" w:lineRule="auto"/>
        <w:ind w:firstLine="709"/>
        <w:contextualSpacing/>
        <w:jc w:val="both"/>
        <w:rPr>
          <w:rFonts w:ascii="Times New Roman" w:hAnsi="Times New Roman"/>
          <w:i/>
          <w:sz w:val="24"/>
          <w:szCs w:val="24"/>
        </w:rPr>
      </w:pPr>
      <w:r>
        <w:rPr>
          <w:rFonts w:ascii="Times New Roman" w:hAnsi="Times New Roman"/>
          <w:i/>
          <w:sz w:val="24"/>
          <w:szCs w:val="24"/>
        </w:rPr>
        <w:t>Усиление межведомственной координации при разработке нормативной базы, принятие согласованных решений по мерам, влияющим на мобильность капитала.</w:t>
      </w:r>
    </w:p>
    <w:p w:rsidR="002077CE" w:rsidRPr="006427D3" w:rsidRDefault="002077CE" w:rsidP="002077CE">
      <w:pPr>
        <w:spacing w:after="0" w:line="240" w:lineRule="auto"/>
        <w:ind w:firstLine="709"/>
        <w:contextualSpacing/>
        <w:jc w:val="both"/>
        <w:rPr>
          <w:rFonts w:ascii="Times New Roman" w:eastAsia="Calibri" w:hAnsi="Times New Roman"/>
          <w:sz w:val="24"/>
          <w:szCs w:val="24"/>
        </w:rPr>
      </w:pPr>
      <w:r w:rsidRPr="006427D3">
        <w:rPr>
          <w:rFonts w:ascii="Times New Roman" w:eastAsia="Calibri" w:hAnsi="Times New Roman"/>
          <w:sz w:val="24"/>
          <w:szCs w:val="24"/>
        </w:rPr>
        <w:t>Специальные меры не были востребованы. Вместе с тем, проведены следующие мероприятия:</w:t>
      </w:r>
    </w:p>
    <w:p w:rsidR="002077CE" w:rsidRPr="006427D3" w:rsidRDefault="002077CE" w:rsidP="002077CE">
      <w:pPr>
        <w:spacing w:after="0" w:line="240" w:lineRule="auto"/>
        <w:ind w:firstLine="709"/>
        <w:contextualSpacing/>
        <w:jc w:val="both"/>
        <w:rPr>
          <w:rFonts w:ascii="Times New Roman" w:eastAsia="Calibri" w:hAnsi="Times New Roman"/>
          <w:sz w:val="24"/>
          <w:szCs w:val="24"/>
        </w:rPr>
      </w:pPr>
      <w:r w:rsidRPr="006427D3">
        <w:rPr>
          <w:rFonts w:ascii="Times New Roman" w:eastAsia="Calibri" w:hAnsi="Times New Roman"/>
          <w:sz w:val="24"/>
          <w:szCs w:val="24"/>
        </w:rPr>
        <w:lastRenderedPageBreak/>
        <w:t xml:space="preserve">В течение 2018 года осуществлялось взаимодействие с Комитетом государственных доходов Министерства финансов РК в рамках Совместного приказа Министра финансов Республики Казахстан от 13.04.2018г. №467 и Председателя Национального Банка от 16.05.2018г. №169 «Об утверждении Правил взаимодействия Министерства финансов Республики Казахстан и Национального Банка Республики Казахстан в целях соблюдения валютного законодательства Республики Казахстан, обмена информацией, в том числе в электронной форме, а также перечень сведений в рамках такого обмена».  </w:t>
      </w:r>
    </w:p>
    <w:p w:rsidR="002077CE" w:rsidRPr="006427D3" w:rsidRDefault="002077CE" w:rsidP="002077CE">
      <w:pPr>
        <w:spacing w:after="0" w:line="240" w:lineRule="auto"/>
        <w:ind w:firstLine="709"/>
        <w:contextualSpacing/>
        <w:jc w:val="both"/>
        <w:rPr>
          <w:rFonts w:ascii="Times New Roman" w:eastAsia="Calibri" w:hAnsi="Times New Roman"/>
          <w:sz w:val="24"/>
          <w:szCs w:val="24"/>
        </w:rPr>
      </w:pPr>
      <w:r w:rsidRPr="006427D3">
        <w:rPr>
          <w:rFonts w:ascii="Times New Roman" w:eastAsia="Calibri" w:hAnsi="Times New Roman"/>
          <w:sz w:val="24"/>
          <w:szCs w:val="24"/>
        </w:rPr>
        <w:t>Также осуществлялась работа в рамках подписания следующих совместных приказов:</w:t>
      </w:r>
    </w:p>
    <w:p w:rsidR="002077CE" w:rsidRPr="006427D3" w:rsidRDefault="002077CE" w:rsidP="002077CE">
      <w:pPr>
        <w:tabs>
          <w:tab w:val="left" w:pos="1134"/>
        </w:tabs>
        <w:spacing w:after="0" w:line="240" w:lineRule="auto"/>
        <w:ind w:firstLine="709"/>
        <w:contextualSpacing/>
        <w:jc w:val="both"/>
        <w:rPr>
          <w:rFonts w:ascii="Times New Roman" w:eastAsia="Calibri" w:hAnsi="Times New Roman"/>
          <w:sz w:val="24"/>
          <w:szCs w:val="24"/>
        </w:rPr>
      </w:pPr>
      <w:r w:rsidRPr="006427D3">
        <w:rPr>
          <w:rFonts w:ascii="Times New Roman" w:eastAsia="Calibri" w:hAnsi="Times New Roman"/>
          <w:sz w:val="24"/>
          <w:szCs w:val="24"/>
        </w:rPr>
        <w:t>1.</w:t>
      </w:r>
      <w:r w:rsidRPr="006427D3">
        <w:rPr>
          <w:rFonts w:ascii="Times New Roman" w:eastAsia="Calibri" w:hAnsi="Times New Roman"/>
          <w:sz w:val="24"/>
          <w:szCs w:val="24"/>
        </w:rPr>
        <w:tab/>
        <w:t>Министра финансов Республики Казахстан от 14 декабря 2018 года №1090 и Председателя Национального Банка от 25 декабря 2018 года №527 «Об утверждении Правил предоставления Национальным Банком Республики Казахстан Министерству финансов Республики Казахстан полученной от уполномоченных банков информации о платежах и (или) переводах денег из Республики Казахстан и в Республику Казахстан по валютным операциям на сумму свыше 50 000 долларов Соединенных Штатов Америки в эквиваленте»;</w:t>
      </w:r>
    </w:p>
    <w:p w:rsidR="002077CE" w:rsidRPr="006427D3" w:rsidRDefault="002077CE" w:rsidP="002077CE">
      <w:pPr>
        <w:tabs>
          <w:tab w:val="left" w:pos="1134"/>
        </w:tabs>
        <w:spacing w:after="0" w:line="240" w:lineRule="auto"/>
        <w:ind w:firstLine="709"/>
        <w:contextualSpacing/>
        <w:jc w:val="both"/>
        <w:rPr>
          <w:rFonts w:ascii="Times New Roman" w:eastAsia="Calibri" w:hAnsi="Times New Roman"/>
          <w:sz w:val="24"/>
          <w:szCs w:val="24"/>
        </w:rPr>
      </w:pPr>
      <w:r w:rsidRPr="006427D3">
        <w:rPr>
          <w:rFonts w:ascii="Times New Roman" w:eastAsia="Calibri" w:hAnsi="Times New Roman"/>
          <w:sz w:val="24"/>
          <w:szCs w:val="24"/>
        </w:rPr>
        <w:t>2.</w:t>
      </w:r>
      <w:r w:rsidRPr="006427D3">
        <w:rPr>
          <w:rFonts w:ascii="Times New Roman" w:eastAsia="Calibri" w:hAnsi="Times New Roman"/>
          <w:sz w:val="24"/>
          <w:szCs w:val="24"/>
        </w:rPr>
        <w:tab/>
        <w:t>Министра финансов Республики Казахстан от 21 декабря 2018 года №1098 и Председателя Национального Банка от 25 декабря 2018  года №528 «Об утверждении Перечня и Правил представления Министерством финансов Республики Казахстан Национальному Банку Республики Казахстан сведений, необходимых  для осуществления валютного контроля, и последующей их передачи уполномоченным банкам, являющимся агентами валютного контроля»;</w:t>
      </w:r>
    </w:p>
    <w:p w:rsidR="002077CE" w:rsidRPr="006427D3" w:rsidRDefault="002077CE" w:rsidP="002077CE">
      <w:pPr>
        <w:tabs>
          <w:tab w:val="left" w:pos="1134"/>
        </w:tabs>
        <w:spacing w:after="0" w:line="240" w:lineRule="auto"/>
        <w:ind w:firstLine="709"/>
        <w:contextualSpacing/>
        <w:jc w:val="both"/>
        <w:rPr>
          <w:rFonts w:ascii="Times New Roman" w:eastAsia="Calibri" w:hAnsi="Times New Roman"/>
          <w:sz w:val="24"/>
          <w:szCs w:val="24"/>
        </w:rPr>
      </w:pPr>
      <w:r w:rsidRPr="006427D3">
        <w:rPr>
          <w:rFonts w:ascii="Times New Roman" w:eastAsia="Calibri" w:hAnsi="Times New Roman"/>
          <w:sz w:val="24"/>
          <w:szCs w:val="24"/>
        </w:rPr>
        <w:t>3.</w:t>
      </w:r>
      <w:r w:rsidRPr="006427D3">
        <w:rPr>
          <w:rFonts w:ascii="Times New Roman" w:eastAsia="Calibri" w:hAnsi="Times New Roman"/>
          <w:sz w:val="24"/>
          <w:szCs w:val="24"/>
        </w:rPr>
        <w:tab/>
        <w:t>Министра финансов Республики Казахстан от 21 декабря 2018 года №1101 и Председателя Национального Банка от 25 декабря 2018  года №529 «Об утверждении Правил взаимодействия Министерства финансов Республики Казахстан и Национального Банка Республики Казахстан в целях осуществления валютного  контроля, предупреждения, выявления, пресечения, раскрытия и расследования фактов невозвращения из-за границы средств в национальной и (или) иностранной валюте».</w:t>
      </w:r>
    </w:p>
    <w:p w:rsidR="00F056E8" w:rsidRDefault="00F056E8" w:rsidP="006346A7">
      <w:pPr>
        <w:spacing w:line="240" w:lineRule="auto"/>
        <w:ind w:firstLine="709"/>
        <w:contextualSpacing/>
        <w:jc w:val="both"/>
        <w:rPr>
          <w:rFonts w:ascii="Times New Roman" w:hAnsi="Times New Roman"/>
          <w:sz w:val="24"/>
          <w:szCs w:val="24"/>
        </w:rPr>
      </w:pPr>
    </w:p>
    <w:p w:rsidR="00445DDD" w:rsidRDefault="00445DDD" w:rsidP="00445DDD">
      <w:pPr>
        <w:spacing w:line="240" w:lineRule="auto"/>
        <w:ind w:firstLine="709"/>
        <w:contextualSpacing/>
        <w:jc w:val="both"/>
        <w:rPr>
          <w:rFonts w:ascii="Times New Roman" w:hAnsi="Times New Roman"/>
          <w:b/>
          <w:i/>
          <w:sz w:val="24"/>
          <w:szCs w:val="24"/>
        </w:rPr>
      </w:pPr>
      <w:r>
        <w:rPr>
          <w:rFonts w:ascii="Times New Roman" w:hAnsi="Times New Roman"/>
          <w:b/>
          <w:i/>
          <w:sz w:val="24"/>
          <w:szCs w:val="24"/>
        </w:rPr>
        <w:t>Цель 2.6. Обеспечение надлежащего уровня защиты прав и законных интересов потребителей финансовых услуг.</w:t>
      </w:r>
    </w:p>
    <w:p w:rsidR="00F056E8" w:rsidRPr="00E721BD" w:rsidRDefault="00F056E8" w:rsidP="006346A7">
      <w:pPr>
        <w:spacing w:line="240" w:lineRule="auto"/>
        <w:ind w:firstLine="709"/>
        <w:contextualSpacing/>
        <w:jc w:val="both"/>
        <w:rPr>
          <w:rFonts w:ascii="Times New Roman" w:hAnsi="Times New Roman"/>
          <w:sz w:val="24"/>
          <w:szCs w:val="24"/>
        </w:rPr>
      </w:pPr>
    </w:p>
    <w:p w:rsidR="00895732" w:rsidRPr="00E82016" w:rsidRDefault="00895732" w:rsidP="00895732">
      <w:pPr>
        <w:spacing w:after="0" w:line="240" w:lineRule="auto"/>
        <w:ind w:firstLine="709"/>
        <w:contextualSpacing/>
        <w:jc w:val="both"/>
        <w:rPr>
          <w:rFonts w:ascii="Times New Roman" w:hAnsi="Times New Roman"/>
          <w:b/>
          <w:i/>
          <w:sz w:val="24"/>
          <w:szCs w:val="24"/>
        </w:rPr>
      </w:pPr>
      <w:r w:rsidRPr="00E82016">
        <w:rPr>
          <w:rFonts w:ascii="Times New Roman" w:hAnsi="Times New Roman"/>
          <w:b/>
          <w:i/>
          <w:sz w:val="24"/>
          <w:szCs w:val="24"/>
        </w:rPr>
        <w:t>Нестабильная ценовая ситуация на мировых рынках нефти, обесценение  национальной валюты, снижени</w:t>
      </w:r>
      <w:r>
        <w:rPr>
          <w:rFonts w:ascii="Times New Roman" w:hAnsi="Times New Roman"/>
          <w:b/>
          <w:i/>
          <w:sz w:val="24"/>
          <w:szCs w:val="24"/>
        </w:rPr>
        <w:t>е</w:t>
      </w:r>
      <w:r w:rsidRPr="00E82016">
        <w:rPr>
          <w:rFonts w:ascii="Times New Roman" w:hAnsi="Times New Roman"/>
          <w:b/>
          <w:i/>
          <w:sz w:val="24"/>
          <w:szCs w:val="24"/>
        </w:rPr>
        <w:t xml:space="preserve"> </w:t>
      </w:r>
      <w:r>
        <w:rPr>
          <w:rFonts w:ascii="Times New Roman" w:hAnsi="Times New Roman"/>
          <w:b/>
          <w:i/>
          <w:sz w:val="24"/>
          <w:szCs w:val="24"/>
        </w:rPr>
        <w:t>темпов развития экономики, рост безработицы могут привести к дальнейшему усугублению положения заемщиков, в том числе валютных, снижению их возможности обслуживать и погашать займы.</w:t>
      </w:r>
    </w:p>
    <w:p w:rsidR="00895732" w:rsidRDefault="00895732" w:rsidP="00895732">
      <w:pPr>
        <w:spacing w:after="0" w:line="240" w:lineRule="auto"/>
        <w:ind w:firstLine="709"/>
        <w:contextualSpacing/>
        <w:jc w:val="both"/>
        <w:rPr>
          <w:rFonts w:ascii="Times New Roman" w:hAnsi="Times New Roman"/>
          <w:b/>
          <w:bCs/>
          <w:i/>
          <w:sz w:val="24"/>
          <w:szCs w:val="24"/>
        </w:rPr>
      </w:pPr>
      <w:r w:rsidRPr="00E82016">
        <w:rPr>
          <w:rFonts w:ascii="Times New Roman" w:hAnsi="Times New Roman"/>
          <w:b/>
          <w:bCs/>
          <w:i/>
          <w:sz w:val="24"/>
          <w:szCs w:val="24"/>
        </w:rPr>
        <w:t>Мероприятия по управлению возможным риском:</w:t>
      </w:r>
    </w:p>
    <w:p w:rsidR="00895732" w:rsidRDefault="00895732" w:rsidP="00895732">
      <w:pPr>
        <w:spacing w:after="0" w:line="240" w:lineRule="auto"/>
        <w:ind w:firstLine="709"/>
        <w:contextualSpacing/>
        <w:jc w:val="both"/>
        <w:rPr>
          <w:rFonts w:ascii="Times New Roman" w:hAnsi="Times New Roman"/>
          <w:i/>
          <w:sz w:val="24"/>
          <w:szCs w:val="24"/>
        </w:rPr>
      </w:pPr>
      <w:r w:rsidRPr="00DC6B4D">
        <w:rPr>
          <w:rFonts w:ascii="Times New Roman" w:hAnsi="Times New Roman"/>
          <w:i/>
          <w:sz w:val="24"/>
          <w:szCs w:val="24"/>
        </w:rPr>
        <w:t xml:space="preserve">Осуществление комплекса мероприятий по решению проблем заемщиков, </w:t>
      </w:r>
      <w:r>
        <w:rPr>
          <w:rFonts w:ascii="Times New Roman" w:hAnsi="Times New Roman"/>
          <w:i/>
          <w:sz w:val="24"/>
          <w:szCs w:val="24"/>
        </w:rPr>
        <w:t>в том числе путем дальнейшей реализации Программы рефинансирования ипотечных жилищных займов (ипотечных займов).</w:t>
      </w:r>
    </w:p>
    <w:p w:rsidR="00764FD1" w:rsidRPr="00764FD1" w:rsidRDefault="00764FD1" w:rsidP="00764FD1">
      <w:pPr>
        <w:spacing w:after="0" w:line="240" w:lineRule="auto"/>
        <w:ind w:firstLine="709"/>
        <w:jc w:val="both"/>
        <w:rPr>
          <w:rFonts w:ascii="Times New Roman" w:eastAsia="Calibri" w:hAnsi="Times New Roman" w:cs="Times New Roman"/>
          <w:color w:val="000000"/>
          <w:sz w:val="24"/>
          <w:szCs w:val="24"/>
        </w:rPr>
      </w:pPr>
      <w:r w:rsidRPr="00764FD1">
        <w:rPr>
          <w:rFonts w:ascii="Times New Roman" w:eastAsia="Calibri" w:hAnsi="Times New Roman" w:cs="Times New Roman"/>
          <w:color w:val="000000"/>
          <w:sz w:val="24"/>
          <w:szCs w:val="24"/>
        </w:rPr>
        <w:t>В целях  решения проблем валютных заемщиков постановлением Правления Н</w:t>
      </w:r>
      <w:r>
        <w:rPr>
          <w:rFonts w:ascii="Times New Roman" w:eastAsia="Calibri" w:hAnsi="Times New Roman" w:cs="Times New Roman"/>
          <w:color w:val="000000"/>
          <w:sz w:val="24"/>
          <w:szCs w:val="24"/>
        </w:rPr>
        <w:t>ационального Банка от 27 марта 2018 года</w:t>
      </w:r>
      <w:r w:rsidRPr="00764FD1">
        <w:rPr>
          <w:rFonts w:ascii="Times New Roman" w:eastAsia="Calibri" w:hAnsi="Times New Roman" w:cs="Times New Roman"/>
          <w:color w:val="000000"/>
          <w:sz w:val="24"/>
          <w:szCs w:val="24"/>
        </w:rPr>
        <w:t xml:space="preserve"> «О внесении измене</w:t>
      </w:r>
      <w:r w:rsidR="001364B5">
        <w:rPr>
          <w:rFonts w:ascii="Times New Roman" w:eastAsia="Calibri" w:hAnsi="Times New Roman" w:cs="Times New Roman"/>
          <w:color w:val="000000"/>
          <w:sz w:val="24"/>
          <w:szCs w:val="24"/>
        </w:rPr>
        <w:t>ний в постановление Правления Национального Банка</w:t>
      </w:r>
      <w:r w:rsidRPr="00764FD1">
        <w:rPr>
          <w:rFonts w:ascii="Times New Roman" w:eastAsia="Calibri" w:hAnsi="Times New Roman" w:cs="Times New Roman"/>
          <w:color w:val="000000"/>
          <w:sz w:val="24"/>
          <w:szCs w:val="24"/>
        </w:rPr>
        <w:t xml:space="preserve"> от 24 апреля 2015 года №69 «Об утверждении программы рефинансирования ипотечных жилищных займов/ипотечных займов» Программа утверждена в новой редакции. </w:t>
      </w:r>
    </w:p>
    <w:p w:rsidR="00764FD1" w:rsidRPr="00764FD1" w:rsidRDefault="00764FD1" w:rsidP="00764FD1">
      <w:pPr>
        <w:spacing w:after="0" w:line="240" w:lineRule="auto"/>
        <w:ind w:firstLine="709"/>
        <w:jc w:val="both"/>
        <w:rPr>
          <w:rFonts w:ascii="Times New Roman" w:eastAsia="Calibri" w:hAnsi="Times New Roman" w:cs="Times New Roman"/>
          <w:color w:val="000000"/>
          <w:sz w:val="24"/>
          <w:szCs w:val="24"/>
        </w:rPr>
      </w:pPr>
      <w:r w:rsidRPr="00764FD1">
        <w:rPr>
          <w:rFonts w:ascii="Times New Roman" w:eastAsia="Calibri" w:hAnsi="Times New Roman" w:cs="Times New Roman"/>
          <w:color w:val="000000"/>
          <w:sz w:val="24"/>
          <w:szCs w:val="24"/>
        </w:rPr>
        <w:t>Программа предусматривает рефинансирование по курсу Н</w:t>
      </w:r>
      <w:r>
        <w:rPr>
          <w:rFonts w:ascii="Times New Roman" w:eastAsia="Calibri" w:hAnsi="Times New Roman" w:cs="Times New Roman"/>
          <w:color w:val="000000"/>
          <w:sz w:val="24"/>
          <w:szCs w:val="24"/>
        </w:rPr>
        <w:t>ационального Банка</w:t>
      </w:r>
      <w:r w:rsidRPr="00764FD1">
        <w:rPr>
          <w:rFonts w:ascii="Times New Roman" w:eastAsia="Calibri" w:hAnsi="Times New Roman" w:cs="Times New Roman"/>
          <w:color w:val="000000"/>
          <w:sz w:val="24"/>
          <w:szCs w:val="24"/>
        </w:rPr>
        <w:t xml:space="preserve"> на 18 августа 2015 года (188,35 тенге за долл. США) валютных ипотечных займов населения, выданных до 1 января 2016 года. </w:t>
      </w:r>
    </w:p>
    <w:p w:rsidR="00764FD1" w:rsidRPr="00764FD1" w:rsidRDefault="00764FD1" w:rsidP="00764FD1">
      <w:pPr>
        <w:spacing w:after="0" w:line="240" w:lineRule="auto"/>
        <w:ind w:firstLine="709"/>
        <w:jc w:val="both"/>
        <w:rPr>
          <w:rFonts w:ascii="Times New Roman" w:eastAsia="Calibri" w:hAnsi="Times New Roman" w:cs="Times New Roman"/>
          <w:color w:val="000000"/>
          <w:sz w:val="24"/>
          <w:szCs w:val="24"/>
        </w:rPr>
      </w:pPr>
      <w:r w:rsidRPr="00764FD1">
        <w:rPr>
          <w:rFonts w:ascii="Times New Roman" w:eastAsia="Calibri" w:hAnsi="Times New Roman" w:cs="Times New Roman"/>
          <w:color w:val="000000"/>
          <w:sz w:val="24"/>
          <w:szCs w:val="24"/>
        </w:rPr>
        <w:t>Сумма курсовой разницы порядка 156 млрд. тенге будет покрываться за счет средств Национального Банка. В свою очередь, банками будет прощена задолженность заемщиков по вознаграждению, комиссиям, неустойке на сумму 136 млрд. тенге.</w:t>
      </w:r>
    </w:p>
    <w:p w:rsidR="00764FD1" w:rsidRPr="00764FD1" w:rsidRDefault="00764FD1" w:rsidP="00764FD1">
      <w:pPr>
        <w:spacing w:after="0" w:line="240" w:lineRule="auto"/>
        <w:ind w:firstLine="709"/>
        <w:jc w:val="both"/>
        <w:rPr>
          <w:rFonts w:ascii="Times New Roman" w:eastAsia="Calibri" w:hAnsi="Times New Roman" w:cs="Times New Roman"/>
          <w:color w:val="000000"/>
          <w:sz w:val="24"/>
          <w:szCs w:val="24"/>
        </w:rPr>
      </w:pPr>
      <w:r w:rsidRPr="00764FD1">
        <w:rPr>
          <w:rFonts w:ascii="Times New Roman" w:eastAsia="Calibri" w:hAnsi="Times New Roman" w:cs="Times New Roman"/>
          <w:color w:val="000000"/>
          <w:sz w:val="24"/>
          <w:szCs w:val="24"/>
        </w:rPr>
        <w:t>В целях максимального охвата Программой валю</w:t>
      </w:r>
      <w:r>
        <w:rPr>
          <w:rFonts w:ascii="Times New Roman" w:eastAsia="Calibri" w:hAnsi="Times New Roman" w:cs="Times New Roman"/>
          <w:color w:val="000000"/>
          <w:sz w:val="24"/>
          <w:szCs w:val="24"/>
        </w:rPr>
        <w:t>тных ипотечных заемщиков</w:t>
      </w:r>
      <w:r w:rsidRPr="00764FD1">
        <w:rPr>
          <w:rFonts w:ascii="Times New Roman" w:eastAsia="Calibri" w:hAnsi="Times New Roman" w:cs="Times New Roman"/>
          <w:color w:val="000000"/>
          <w:sz w:val="24"/>
          <w:szCs w:val="24"/>
        </w:rPr>
        <w:t xml:space="preserve"> срок рефинансирования валютных ипотечных займов продлен до 15 июля 2019 года.</w:t>
      </w:r>
    </w:p>
    <w:p w:rsidR="00764FD1" w:rsidRPr="00B50233" w:rsidRDefault="00764FD1" w:rsidP="00764FD1">
      <w:pPr>
        <w:spacing w:after="0" w:line="240" w:lineRule="auto"/>
        <w:ind w:firstLine="709"/>
        <w:jc w:val="both"/>
        <w:rPr>
          <w:rFonts w:ascii="Times New Roman" w:eastAsia="Calibri" w:hAnsi="Times New Roman" w:cs="Times New Roman"/>
          <w:color w:val="000000"/>
          <w:sz w:val="24"/>
          <w:szCs w:val="24"/>
        </w:rPr>
      </w:pPr>
      <w:r w:rsidRPr="00764FD1">
        <w:rPr>
          <w:rFonts w:ascii="Times New Roman" w:eastAsia="Calibri" w:hAnsi="Times New Roman" w:cs="Times New Roman"/>
          <w:color w:val="000000"/>
          <w:sz w:val="24"/>
          <w:szCs w:val="24"/>
        </w:rPr>
        <w:t>По состоянию на 1 января 2019 года банками на рефинансирование одобрена 5 908 заявок на сумму 48,5 млрд.тенге, рефинансировано 4 540 займов на сумму 35,1 млрд. тенге.</w:t>
      </w:r>
      <w:r w:rsidRPr="00B50233">
        <w:rPr>
          <w:rFonts w:ascii="Times New Roman" w:eastAsia="Calibri" w:hAnsi="Times New Roman" w:cs="Times New Roman"/>
          <w:color w:val="000000"/>
          <w:sz w:val="24"/>
          <w:szCs w:val="24"/>
        </w:rPr>
        <w:t xml:space="preserve"> </w:t>
      </w:r>
    </w:p>
    <w:p w:rsidR="005D7DA0" w:rsidRPr="00E721BD" w:rsidRDefault="005D7DA0" w:rsidP="006346A7">
      <w:pPr>
        <w:tabs>
          <w:tab w:val="left" w:pos="993"/>
        </w:tabs>
        <w:spacing w:line="240" w:lineRule="auto"/>
        <w:ind w:firstLine="709"/>
        <w:contextualSpacing/>
        <w:jc w:val="both"/>
        <w:rPr>
          <w:rFonts w:ascii="Times New Roman" w:hAnsi="Times New Roman"/>
          <w:sz w:val="24"/>
          <w:szCs w:val="24"/>
        </w:rPr>
      </w:pPr>
    </w:p>
    <w:p w:rsidR="005F0475" w:rsidRDefault="005F0475" w:rsidP="005D7DA0">
      <w:pPr>
        <w:spacing w:line="240" w:lineRule="auto"/>
        <w:ind w:firstLine="709"/>
        <w:contextualSpacing/>
        <w:jc w:val="both"/>
        <w:rPr>
          <w:rFonts w:ascii="Times New Roman" w:hAnsi="Times New Roman"/>
          <w:b/>
          <w:i/>
          <w:sz w:val="24"/>
          <w:szCs w:val="24"/>
        </w:rPr>
      </w:pPr>
    </w:p>
    <w:p w:rsidR="005D7DA0" w:rsidRDefault="005D7DA0" w:rsidP="005D7DA0">
      <w:pPr>
        <w:spacing w:line="240" w:lineRule="auto"/>
        <w:ind w:firstLine="709"/>
        <w:contextualSpacing/>
        <w:jc w:val="both"/>
        <w:rPr>
          <w:rFonts w:ascii="Times New Roman" w:hAnsi="Times New Roman"/>
          <w:b/>
          <w:i/>
          <w:sz w:val="24"/>
          <w:szCs w:val="24"/>
        </w:rPr>
      </w:pPr>
      <w:r>
        <w:rPr>
          <w:rFonts w:ascii="Times New Roman" w:hAnsi="Times New Roman"/>
          <w:b/>
          <w:i/>
          <w:sz w:val="24"/>
          <w:szCs w:val="24"/>
        </w:rPr>
        <w:lastRenderedPageBreak/>
        <w:t>Цель 2.7. Обеспечение функционирования платежных систем.</w:t>
      </w:r>
    </w:p>
    <w:p w:rsidR="00895732" w:rsidRDefault="00895732" w:rsidP="00895732">
      <w:pPr>
        <w:spacing w:after="0" w:line="240" w:lineRule="auto"/>
        <w:ind w:firstLine="709"/>
        <w:contextualSpacing/>
        <w:jc w:val="both"/>
        <w:rPr>
          <w:rFonts w:ascii="Times New Roman" w:hAnsi="Times New Roman"/>
          <w:b/>
          <w:bCs/>
          <w:i/>
          <w:sz w:val="24"/>
          <w:szCs w:val="24"/>
        </w:rPr>
      </w:pPr>
    </w:p>
    <w:p w:rsidR="00895732" w:rsidRPr="00E82016" w:rsidRDefault="00895732" w:rsidP="00895732">
      <w:pPr>
        <w:spacing w:after="0" w:line="240" w:lineRule="auto"/>
        <w:ind w:firstLine="709"/>
        <w:contextualSpacing/>
        <w:jc w:val="both"/>
        <w:rPr>
          <w:rFonts w:ascii="Times New Roman" w:hAnsi="Times New Roman"/>
          <w:b/>
          <w:i/>
          <w:sz w:val="24"/>
          <w:szCs w:val="24"/>
        </w:rPr>
      </w:pPr>
      <w:r>
        <w:rPr>
          <w:rFonts w:ascii="Times New Roman" w:hAnsi="Times New Roman"/>
          <w:b/>
          <w:i/>
          <w:sz w:val="24"/>
          <w:szCs w:val="24"/>
        </w:rPr>
        <w:t>Возникновение чрезвычайных ситуаций, в том числе, природные катаклизмы, нарушение работоспособности третьих лиц, оказывающих услуги, для функционирования платежной системы (к примеру, услуги энергоснабжения и связи).</w:t>
      </w:r>
    </w:p>
    <w:p w:rsidR="00895732" w:rsidRDefault="00895732" w:rsidP="00895732">
      <w:pPr>
        <w:spacing w:after="0" w:line="240" w:lineRule="auto"/>
        <w:ind w:firstLine="709"/>
        <w:contextualSpacing/>
        <w:jc w:val="both"/>
        <w:rPr>
          <w:rFonts w:ascii="Times New Roman" w:hAnsi="Times New Roman"/>
          <w:b/>
          <w:bCs/>
          <w:i/>
          <w:sz w:val="24"/>
          <w:szCs w:val="24"/>
        </w:rPr>
      </w:pPr>
      <w:r w:rsidRPr="00E82016">
        <w:rPr>
          <w:rFonts w:ascii="Times New Roman" w:hAnsi="Times New Roman"/>
          <w:b/>
          <w:bCs/>
          <w:i/>
          <w:sz w:val="24"/>
          <w:szCs w:val="24"/>
        </w:rPr>
        <w:t>Мероприятия по управлению возможным риском:</w:t>
      </w:r>
    </w:p>
    <w:p w:rsidR="00895732" w:rsidRDefault="00895732" w:rsidP="00895732">
      <w:pPr>
        <w:spacing w:after="0" w:line="240" w:lineRule="auto"/>
        <w:ind w:firstLine="709"/>
        <w:jc w:val="both"/>
        <w:rPr>
          <w:rFonts w:ascii="Times New Roman" w:hAnsi="Times New Roman"/>
          <w:b/>
          <w:bCs/>
          <w:i/>
          <w:sz w:val="24"/>
          <w:szCs w:val="24"/>
        </w:rPr>
      </w:pPr>
      <w:r w:rsidRPr="007C7A7A">
        <w:rPr>
          <w:rFonts w:ascii="Times New Roman" w:hAnsi="Times New Roman"/>
          <w:i/>
          <w:sz w:val="24"/>
          <w:szCs w:val="24"/>
        </w:rPr>
        <w:t>Поддержание работы резервного центра платежных систем, на серверы которого может быть переведена работа систем в случае возникновения чрезвычайных ситуаций в целях управления данными рисками в «горячем» режиме.</w:t>
      </w:r>
      <w:r>
        <w:rPr>
          <w:rFonts w:ascii="Times New Roman" w:hAnsi="Times New Roman"/>
          <w:i/>
          <w:sz w:val="24"/>
          <w:szCs w:val="24"/>
        </w:rPr>
        <w:t xml:space="preserve"> </w:t>
      </w:r>
    </w:p>
    <w:p w:rsidR="005C657A" w:rsidRPr="00526564" w:rsidRDefault="005C657A" w:rsidP="005C657A">
      <w:pPr>
        <w:spacing w:after="0" w:line="240" w:lineRule="auto"/>
        <w:ind w:firstLine="709"/>
        <w:contextualSpacing/>
        <w:jc w:val="both"/>
        <w:rPr>
          <w:rFonts w:ascii="Times New Roman" w:hAnsi="Times New Roman"/>
          <w:spacing w:val="-6"/>
          <w:sz w:val="24"/>
          <w:szCs w:val="24"/>
        </w:rPr>
      </w:pPr>
      <w:r w:rsidRPr="00C61AA4">
        <w:rPr>
          <w:rFonts w:ascii="Times New Roman" w:hAnsi="Times New Roman"/>
          <w:sz w:val="24"/>
          <w:szCs w:val="24"/>
        </w:rPr>
        <w:t>В целях обеспечения беспрерывного функционирования платежных систем и поддержания резервного центра в постоянной готовности КЦМР за 201</w:t>
      </w:r>
      <w:r w:rsidRPr="00526564">
        <w:rPr>
          <w:rFonts w:ascii="Times New Roman" w:hAnsi="Times New Roman"/>
          <w:sz w:val="24"/>
          <w:szCs w:val="24"/>
        </w:rPr>
        <w:t>8</w:t>
      </w:r>
      <w:r w:rsidRPr="00C61AA4">
        <w:rPr>
          <w:rFonts w:ascii="Times New Roman" w:hAnsi="Times New Roman"/>
          <w:sz w:val="24"/>
          <w:szCs w:val="24"/>
        </w:rPr>
        <w:t xml:space="preserve"> год был осуществлен плановый перевод работы платежных систем на программно-технический комплекс резервного центра.</w:t>
      </w:r>
    </w:p>
    <w:p w:rsidR="005C657A" w:rsidRDefault="005C657A" w:rsidP="005C657A">
      <w:pPr>
        <w:spacing w:after="0" w:line="240" w:lineRule="auto"/>
        <w:ind w:firstLine="709"/>
        <w:contextualSpacing/>
        <w:jc w:val="both"/>
        <w:rPr>
          <w:rFonts w:ascii="Times New Roman" w:hAnsi="Times New Roman"/>
          <w:b/>
          <w:i/>
          <w:sz w:val="24"/>
          <w:szCs w:val="24"/>
        </w:rPr>
      </w:pPr>
      <w:r>
        <w:rPr>
          <w:rFonts w:ascii="Times New Roman" w:hAnsi="Times New Roman"/>
          <w:spacing w:val="-6"/>
          <w:sz w:val="24"/>
          <w:szCs w:val="24"/>
        </w:rPr>
        <w:t>При этом в течение 201</w:t>
      </w:r>
      <w:r w:rsidRPr="00526564">
        <w:rPr>
          <w:rFonts w:ascii="Times New Roman" w:hAnsi="Times New Roman"/>
          <w:spacing w:val="-6"/>
          <w:sz w:val="24"/>
          <w:szCs w:val="24"/>
        </w:rPr>
        <w:t>8</w:t>
      </w:r>
      <w:r>
        <w:rPr>
          <w:rFonts w:ascii="Times New Roman" w:hAnsi="Times New Roman"/>
          <w:spacing w:val="-6"/>
          <w:sz w:val="24"/>
          <w:szCs w:val="24"/>
        </w:rPr>
        <w:t xml:space="preserve"> года проводился мониторинг программно-технического комплекса платежных систем, оборудования и каналов связи в основном и резервных серверах.</w:t>
      </w:r>
    </w:p>
    <w:p w:rsidR="00895732" w:rsidRDefault="00895732" w:rsidP="00895732">
      <w:pPr>
        <w:spacing w:after="0" w:line="240" w:lineRule="auto"/>
        <w:ind w:firstLine="709"/>
        <w:contextualSpacing/>
        <w:jc w:val="both"/>
        <w:rPr>
          <w:rFonts w:ascii="Times New Roman" w:hAnsi="Times New Roman"/>
          <w:b/>
          <w:i/>
          <w:sz w:val="24"/>
          <w:szCs w:val="24"/>
        </w:rPr>
      </w:pPr>
    </w:p>
    <w:p w:rsidR="00895732" w:rsidRPr="006925C6" w:rsidRDefault="00895732" w:rsidP="00895732">
      <w:pPr>
        <w:spacing w:after="0" w:line="240" w:lineRule="auto"/>
        <w:ind w:firstLine="709"/>
        <w:contextualSpacing/>
        <w:jc w:val="both"/>
        <w:rPr>
          <w:rFonts w:ascii="Times New Roman" w:hAnsi="Times New Roman"/>
          <w:b/>
          <w:bCs/>
          <w:i/>
          <w:sz w:val="24"/>
          <w:szCs w:val="24"/>
        </w:rPr>
      </w:pPr>
      <w:r w:rsidRPr="00E82016">
        <w:rPr>
          <w:rFonts w:ascii="Times New Roman" w:hAnsi="Times New Roman"/>
          <w:b/>
          <w:i/>
          <w:sz w:val="24"/>
          <w:szCs w:val="24"/>
        </w:rPr>
        <w:t>Операционные риски (сбой оборудования, ошибки персонала, нарушение физической и информационной безопасности).</w:t>
      </w:r>
    </w:p>
    <w:p w:rsidR="00895732" w:rsidRPr="00E82016" w:rsidRDefault="00895732" w:rsidP="00895732">
      <w:pPr>
        <w:spacing w:after="0" w:line="240" w:lineRule="auto"/>
        <w:ind w:firstLine="709"/>
        <w:contextualSpacing/>
        <w:jc w:val="both"/>
        <w:rPr>
          <w:rFonts w:ascii="Times New Roman" w:hAnsi="Times New Roman"/>
          <w:b/>
          <w:i/>
          <w:sz w:val="24"/>
          <w:szCs w:val="24"/>
        </w:rPr>
      </w:pPr>
      <w:r w:rsidRPr="00E82016">
        <w:rPr>
          <w:rFonts w:ascii="Times New Roman" w:hAnsi="Times New Roman"/>
          <w:b/>
          <w:bCs/>
          <w:i/>
          <w:sz w:val="24"/>
          <w:szCs w:val="24"/>
        </w:rPr>
        <w:t>Мероприятия по управлению возможным риском:</w:t>
      </w:r>
    </w:p>
    <w:p w:rsidR="00895732" w:rsidRDefault="00895732" w:rsidP="00895732">
      <w:pPr>
        <w:spacing w:after="0" w:line="240" w:lineRule="auto"/>
        <w:ind w:firstLine="709"/>
        <w:contextualSpacing/>
        <w:jc w:val="both"/>
        <w:rPr>
          <w:rFonts w:ascii="Times New Roman" w:hAnsi="Times New Roman"/>
          <w:i/>
          <w:sz w:val="24"/>
          <w:szCs w:val="24"/>
        </w:rPr>
      </w:pPr>
      <w:r w:rsidRPr="003D12F2">
        <w:rPr>
          <w:rFonts w:ascii="Times New Roman" w:hAnsi="Times New Roman"/>
          <w:i/>
          <w:sz w:val="24"/>
          <w:szCs w:val="24"/>
        </w:rPr>
        <w:t>Применение комплекса мер (в том числе, действуют внутренние документы по управлению рисками), предусматривающих проведение плановых (тестовых) мероприятий по переводу платежных систем на программно-технический комплекс резервного центра; постоянный мониторинг работоспособности оборудования; обеспечение необходимого уровня квалификации персонала, его обучение; защита от несанкционированного доступа; обеспечение информационной безопасности посредством ряда установленных мероприятий; управление физическим доступом посредства ряда мер и иные меры.</w:t>
      </w:r>
    </w:p>
    <w:p w:rsidR="005C657A" w:rsidRPr="005C657A" w:rsidRDefault="005C657A" w:rsidP="005C657A">
      <w:pPr>
        <w:spacing w:after="0" w:line="240" w:lineRule="auto"/>
        <w:ind w:firstLine="709"/>
        <w:jc w:val="both"/>
        <w:rPr>
          <w:rFonts w:ascii="Times New Roman" w:hAnsi="Times New Roman"/>
          <w:sz w:val="24"/>
          <w:szCs w:val="24"/>
        </w:rPr>
      </w:pPr>
      <w:r w:rsidRPr="0087346B">
        <w:rPr>
          <w:rFonts w:ascii="Times New Roman" w:hAnsi="Times New Roman"/>
          <w:sz w:val="24"/>
          <w:szCs w:val="24"/>
        </w:rPr>
        <w:t>В течение 201</w:t>
      </w:r>
      <w:r w:rsidRPr="00526564">
        <w:rPr>
          <w:rFonts w:ascii="Times New Roman" w:hAnsi="Times New Roman"/>
          <w:sz w:val="24"/>
          <w:szCs w:val="24"/>
        </w:rPr>
        <w:t xml:space="preserve">8 </w:t>
      </w:r>
      <w:r w:rsidRPr="0087346B">
        <w:rPr>
          <w:rFonts w:ascii="Times New Roman" w:hAnsi="Times New Roman"/>
          <w:sz w:val="24"/>
          <w:szCs w:val="24"/>
        </w:rPr>
        <w:t>года проводился постоянный мониторинг оборудования, профилактические работы и администрирование систем, в том числе, систем безопасности. Ошибки персонала, нарушения физической и информационной безопасности отсутствовали</w:t>
      </w:r>
      <w:r>
        <w:rPr>
          <w:rFonts w:ascii="Times New Roman" w:hAnsi="Times New Roman"/>
          <w:sz w:val="24"/>
          <w:szCs w:val="24"/>
        </w:rPr>
        <w:t>.</w:t>
      </w:r>
    </w:p>
    <w:p w:rsidR="00895732" w:rsidRDefault="00895732" w:rsidP="00E20F8F">
      <w:pPr>
        <w:spacing w:line="240" w:lineRule="auto"/>
        <w:ind w:firstLine="709"/>
        <w:contextualSpacing/>
        <w:jc w:val="center"/>
        <w:rPr>
          <w:rFonts w:ascii="Times New Roman" w:hAnsi="Times New Roman"/>
          <w:b/>
          <w:sz w:val="24"/>
          <w:szCs w:val="24"/>
        </w:rPr>
      </w:pPr>
    </w:p>
    <w:p w:rsidR="006346A7" w:rsidRPr="00E721BD" w:rsidRDefault="006346A7" w:rsidP="00E20F8F">
      <w:pPr>
        <w:spacing w:line="240" w:lineRule="auto"/>
        <w:ind w:firstLine="709"/>
        <w:contextualSpacing/>
        <w:jc w:val="center"/>
        <w:rPr>
          <w:rFonts w:ascii="Times New Roman" w:hAnsi="Times New Roman"/>
          <w:b/>
          <w:sz w:val="24"/>
          <w:szCs w:val="24"/>
        </w:rPr>
      </w:pPr>
      <w:r w:rsidRPr="00E721BD">
        <w:rPr>
          <w:rFonts w:ascii="Times New Roman" w:hAnsi="Times New Roman"/>
          <w:b/>
          <w:sz w:val="24"/>
          <w:szCs w:val="24"/>
        </w:rPr>
        <w:t>Раздел 2. Достижение целей и целевых индикаторов</w:t>
      </w:r>
    </w:p>
    <w:p w:rsidR="006346A7" w:rsidRPr="00E721BD" w:rsidRDefault="006346A7" w:rsidP="00E20F8F">
      <w:pPr>
        <w:spacing w:line="240" w:lineRule="auto"/>
        <w:ind w:firstLine="709"/>
        <w:contextualSpacing/>
        <w:jc w:val="center"/>
        <w:rPr>
          <w:rFonts w:ascii="Times New Roman" w:hAnsi="Times New Roman"/>
          <w:b/>
          <w:sz w:val="24"/>
          <w:szCs w:val="24"/>
        </w:rPr>
      </w:pPr>
    </w:p>
    <w:p w:rsidR="006346A7" w:rsidRPr="00E721BD" w:rsidRDefault="006346A7" w:rsidP="00E20F8F">
      <w:pPr>
        <w:spacing w:line="240" w:lineRule="auto"/>
        <w:ind w:firstLine="709"/>
        <w:contextualSpacing/>
        <w:jc w:val="center"/>
        <w:rPr>
          <w:rFonts w:ascii="Times New Roman" w:hAnsi="Times New Roman"/>
          <w:b/>
          <w:sz w:val="24"/>
          <w:szCs w:val="24"/>
          <w:u w:val="single"/>
        </w:rPr>
      </w:pPr>
      <w:r w:rsidRPr="00E721BD">
        <w:rPr>
          <w:rFonts w:ascii="Times New Roman" w:hAnsi="Times New Roman"/>
          <w:b/>
          <w:sz w:val="24"/>
          <w:szCs w:val="24"/>
          <w:u w:val="single"/>
        </w:rPr>
        <w:t>Стратегическое направление 1.</w:t>
      </w:r>
    </w:p>
    <w:p w:rsidR="006346A7" w:rsidRPr="00E721BD" w:rsidRDefault="006346A7" w:rsidP="00E20F8F">
      <w:pPr>
        <w:spacing w:line="240" w:lineRule="auto"/>
        <w:ind w:firstLine="709"/>
        <w:contextualSpacing/>
        <w:jc w:val="center"/>
        <w:rPr>
          <w:rFonts w:ascii="Times New Roman" w:hAnsi="Times New Roman"/>
          <w:b/>
          <w:sz w:val="24"/>
          <w:szCs w:val="24"/>
          <w:u w:val="single"/>
        </w:rPr>
      </w:pPr>
      <w:r w:rsidRPr="00E721BD">
        <w:rPr>
          <w:rFonts w:ascii="Times New Roman" w:hAnsi="Times New Roman"/>
          <w:b/>
          <w:sz w:val="24"/>
          <w:szCs w:val="24"/>
          <w:u w:val="single"/>
        </w:rPr>
        <w:t>Обеспечение стабильности цен</w:t>
      </w:r>
    </w:p>
    <w:p w:rsidR="006346A7" w:rsidRPr="00E721BD" w:rsidRDefault="006346A7" w:rsidP="006346A7">
      <w:pPr>
        <w:spacing w:line="240" w:lineRule="auto"/>
        <w:ind w:firstLine="709"/>
        <w:contextualSpacing/>
        <w:jc w:val="both"/>
        <w:rPr>
          <w:rFonts w:ascii="Times New Roman" w:hAnsi="Times New Roman"/>
          <w:b/>
          <w:i/>
          <w:sz w:val="24"/>
          <w:szCs w:val="24"/>
        </w:rPr>
      </w:pPr>
    </w:p>
    <w:p w:rsidR="00F2659C" w:rsidRPr="00E82016" w:rsidRDefault="00F2659C" w:rsidP="00F2659C">
      <w:pPr>
        <w:spacing w:after="0" w:line="240" w:lineRule="auto"/>
        <w:ind w:firstLine="709"/>
        <w:contextualSpacing/>
        <w:jc w:val="both"/>
        <w:rPr>
          <w:rFonts w:ascii="Times New Roman" w:hAnsi="Times New Roman"/>
          <w:b/>
          <w:i/>
          <w:sz w:val="24"/>
          <w:szCs w:val="24"/>
        </w:rPr>
      </w:pPr>
      <w:r w:rsidRPr="00E82016">
        <w:rPr>
          <w:rFonts w:ascii="Times New Roman" w:hAnsi="Times New Roman"/>
          <w:b/>
          <w:i/>
          <w:sz w:val="24"/>
          <w:szCs w:val="24"/>
        </w:rPr>
        <w:t xml:space="preserve">Цель 1.1. </w:t>
      </w:r>
      <w:r>
        <w:rPr>
          <w:rFonts w:ascii="Times New Roman" w:hAnsi="Times New Roman"/>
          <w:b/>
          <w:i/>
          <w:sz w:val="24"/>
          <w:szCs w:val="24"/>
        </w:rPr>
        <w:t xml:space="preserve">Разработка и проведение денежно-кредитной политики государства. </w:t>
      </w:r>
      <w:r w:rsidRPr="00E82016">
        <w:rPr>
          <w:rFonts w:ascii="Times New Roman" w:hAnsi="Times New Roman"/>
          <w:b/>
          <w:i/>
          <w:sz w:val="24"/>
          <w:szCs w:val="24"/>
        </w:rPr>
        <w:t>Удержание инфляции в целевом коридоре</w:t>
      </w:r>
    </w:p>
    <w:p w:rsidR="00F2659C" w:rsidRPr="00821B2B" w:rsidRDefault="00821B2B" w:rsidP="00821B2B">
      <w:pPr>
        <w:spacing w:after="0" w:line="240" w:lineRule="auto"/>
        <w:ind w:firstLine="709"/>
        <w:contextualSpacing/>
        <w:jc w:val="both"/>
        <w:rPr>
          <w:rFonts w:ascii="Times New Roman" w:hAnsi="Times New Roman"/>
          <w:sz w:val="24"/>
          <w:szCs w:val="24"/>
        </w:rPr>
      </w:pPr>
      <w:r w:rsidRPr="00821B2B">
        <w:rPr>
          <w:rFonts w:ascii="Times New Roman" w:hAnsi="Times New Roman"/>
          <w:sz w:val="24"/>
          <w:szCs w:val="24"/>
        </w:rPr>
        <w:t>В декабре 2018 года годовая инфляция составила 5,3%, что соответствует целевому коридору, установленному на конец 2018 года, 5-7%.</w:t>
      </w:r>
    </w:p>
    <w:p w:rsidR="00F2659C" w:rsidRPr="00821B2B" w:rsidRDefault="00F2659C" w:rsidP="00821B2B">
      <w:pPr>
        <w:spacing w:after="0" w:line="240" w:lineRule="auto"/>
        <w:ind w:firstLine="709"/>
        <w:contextualSpacing/>
        <w:jc w:val="both"/>
        <w:rPr>
          <w:rFonts w:ascii="Times New Roman" w:hAnsi="Times New Roman"/>
          <w:i/>
          <w:sz w:val="24"/>
          <w:szCs w:val="24"/>
        </w:rPr>
      </w:pPr>
      <w:r w:rsidRPr="00821B2B">
        <w:rPr>
          <w:rFonts w:ascii="Times New Roman" w:hAnsi="Times New Roman"/>
          <w:b/>
          <w:i/>
          <w:sz w:val="24"/>
          <w:szCs w:val="24"/>
        </w:rPr>
        <w:t xml:space="preserve">Целевой индикатор: Годовой уровень инфляции (декабрь к декабрю предыдущего года), % - </w:t>
      </w:r>
      <w:r w:rsidRPr="00821B2B">
        <w:rPr>
          <w:rFonts w:ascii="Times New Roman" w:hAnsi="Times New Roman"/>
          <w:i/>
          <w:sz w:val="24"/>
          <w:szCs w:val="24"/>
        </w:rPr>
        <w:t>5-7%</w:t>
      </w:r>
      <w:r w:rsidRPr="00821B2B">
        <w:rPr>
          <w:rFonts w:ascii="Times New Roman" w:hAnsi="Times New Roman"/>
          <w:b/>
          <w:i/>
          <w:sz w:val="24"/>
          <w:szCs w:val="24"/>
        </w:rPr>
        <w:t xml:space="preserve"> </w:t>
      </w:r>
    </w:p>
    <w:p w:rsidR="00F2659C" w:rsidRPr="00821B2B" w:rsidRDefault="00F2659C" w:rsidP="00821B2B">
      <w:pPr>
        <w:spacing w:after="0" w:line="240" w:lineRule="auto"/>
        <w:ind w:firstLine="709"/>
        <w:contextualSpacing/>
        <w:jc w:val="both"/>
        <w:rPr>
          <w:rFonts w:ascii="Times New Roman" w:hAnsi="Times New Roman"/>
          <w:b/>
          <w:bCs/>
          <w:i/>
          <w:iCs/>
          <w:sz w:val="24"/>
        </w:rPr>
      </w:pPr>
      <w:r w:rsidRPr="00821B2B">
        <w:rPr>
          <w:rFonts w:ascii="Times New Roman" w:hAnsi="Times New Roman"/>
          <w:b/>
          <w:bCs/>
          <w:i/>
          <w:iCs/>
          <w:sz w:val="24"/>
        </w:rPr>
        <w:t>Мероприятия для достижения  целевого индикатора:</w:t>
      </w:r>
    </w:p>
    <w:p w:rsidR="00F2659C" w:rsidRPr="00821B2B" w:rsidRDefault="00F2659C" w:rsidP="00821B2B">
      <w:pPr>
        <w:spacing w:after="0" w:line="240" w:lineRule="auto"/>
        <w:ind w:firstLine="709"/>
        <w:contextualSpacing/>
        <w:jc w:val="both"/>
        <w:rPr>
          <w:rFonts w:ascii="Times New Roman" w:hAnsi="Times New Roman"/>
          <w:i/>
          <w:sz w:val="24"/>
        </w:rPr>
      </w:pPr>
      <w:r w:rsidRPr="00821B2B">
        <w:rPr>
          <w:rFonts w:ascii="Times New Roman" w:hAnsi="Times New Roman"/>
          <w:i/>
          <w:sz w:val="24"/>
        </w:rPr>
        <w:t>Изменение нормативов минимальных резервных требований</w:t>
      </w:r>
    </w:p>
    <w:p w:rsidR="00821B2B" w:rsidRPr="00821B2B" w:rsidRDefault="00821B2B" w:rsidP="00821B2B">
      <w:pPr>
        <w:spacing w:after="0" w:line="240" w:lineRule="auto"/>
        <w:ind w:firstLine="709"/>
        <w:contextualSpacing/>
        <w:jc w:val="both"/>
        <w:rPr>
          <w:rFonts w:ascii="Times New Roman" w:hAnsi="Times New Roman"/>
          <w:sz w:val="24"/>
          <w:szCs w:val="24"/>
        </w:rPr>
      </w:pPr>
      <w:r w:rsidRPr="00821B2B">
        <w:rPr>
          <w:rFonts w:ascii="Times New Roman" w:hAnsi="Times New Roman"/>
          <w:sz w:val="24"/>
          <w:szCs w:val="24"/>
        </w:rPr>
        <w:t>Изменения в механизм минимальных резервных требований и нормативов не вносились.</w:t>
      </w:r>
    </w:p>
    <w:p w:rsidR="00F2659C" w:rsidRPr="00821B2B" w:rsidRDefault="00F2659C" w:rsidP="00821B2B">
      <w:pPr>
        <w:spacing w:after="0" w:line="240" w:lineRule="auto"/>
        <w:ind w:firstLine="709"/>
        <w:contextualSpacing/>
        <w:jc w:val="both"/>
        <w:rPr>
          <w:rFonts w:ascii="Times New Roman" w:hAnsi="Times New Roman"/>
          <w:i/>
          <w:sz w:val="24"/>
        </w:rPr>
      </w:pPr>
      <w:r w:rsidRPr="00821B2B">
        <w:rPr>
          <w:rFonts w:ascii="Times New Roman" w:hAnsi="Times New Roman"/>
          <w:i/>
          <w:sz w:val="24"/>
        </w:rPr>
        <w:t>Регулирование уровня базовой ставки Национального Банка РК</w:t>
      </w:r>
    </w:p>
    <w:p w:rsidR="00821B2B" w:rsidRPr="00821B2B" w:rsidRDefault="00821B2B" w:rsidP="00821B2B">
      <w:pPr>
        <w:shd w:val="clear" w:color="auto" w:fill="FFFFFF"/>
        <w:spacing w:after="0" w:line="240" w:lineRule="auto"/>
        <w:ind w:firstLine="709"/>
        <w:contextualSpacing/>
        <w:jc w:val="both"/>
        <w:rPr>
          <w:rFonts w:ascii="Times New Roman" w:hAnsi="Times New Roman"/>
          <w:sz w:val="24"/>
          <w:szCs w:val="24"/>
        </w:rPr>
      </w:pPr>
      <w:r w:rsidRPr="00821B2B">
        <w:rPr>
          <w:rFonts w:ascii="Times New Roman" w:hAnsi="Times New Roman"/>
          <w:sz w:val="24"/>
          <w:szCs w:val="24"/>
        </w:rPr>
        <w:t>Национальный Банк продолжает практику установления базовой ставки и проведения ежедневных операций постоянного доступа и открытого рынка для регулирования ликвидности банковской системы, а также влияния на таргетируемую ставку.</w:t>
      </w:r>
    </w:p>
    <w:p w:rsidR="00821B2B" w:rsidRPr="00821B2B" w:rsidRDefault="00821B2B" w:rsidP="00821B2B">
      <w:pPr>
        <w:shd w:val="clear" w:color="auto" w:fill="FFFFFF"/>
        <w:spacing w:after="0" w:line="240" w:lineRule="auto"/>
        <w:ind w:firstLine="709"/>
        <w:contextualSpacing/>
        <w:jc w:val="both"/>
        <w:rPr>
          <w:rFonts w:ascii="Times New Roman" w:hAnsi="Times New Roman"/>
          <w:sz w:val="24"/>
          <w:szCs w:val="24"/>
        </w:rPr>
      </w:pPr>
      <w:r w:rsidRPr="00821B2B">
        <w:rPr>
          <w:rFonts w:ascii="Times New Roman" w:hAnsi="Times New Roman"/>
          <w:sz w:val="24"/>
          <w:szCs w:val="24"/>
        </w:rPr>
        <w:t>Были приняты следующие постановления Совета директоров Национального Банка:</w:t>
      </w:r>
    </w:p>
    <w:p w:rsidR="00821B2B" w:rsidRPr="00821B2B" w:rsidRDefault="00821B2B" w:rsidP="00821B2B">
      <w:pPr>
        <w:pStyle w:val="a6"/>
        <w:numPr>
          <w:ilvl w:val="0"/>
          <w:numId w:val="45"/>
        </w:numPr>
        <w:shd w:val="clear" w:color="auto" w:fill="FFFFFF"/>
        <w:spacing w:after="0" w:line="240" w:lineRule="auto"/>
        <w:ind w:left="0" w:firstLine="709"/>
        <w:jc w:val="both"/>
        <w:rPr>
          <w:rFonts w:ascii="Times New Roman" w:hAnsi="Times New Roman"/>
          <w:sz w:val="24"/>
          <w:szCs w:val="24"/>
        </w:rPr>
      </w:pPr>
      <w:r w:rsidRPr="00821B2B">
        <w:rPr>
          <w:rFonts w:ascii="Times New Roman" w:hAnsi="Times New Roman"/>
          <w:sz w:val="24"/>
          <w:szCs w:val="24"/>
        </w:rPr>
        <w:t>Постановление Совета директоров Н</w:t>
      </w:r>
      <w:r>
        <w:rPr>
          <w:rFonts w:ascii="Times New Roman" w:hAnsi="Times New Roman"/>
          <w:sz w:val="24"/>
          <w:szCs w:val="24"/>
        </w:rPr>
        <w:t>ационального Банка</w:t>
      </w:r>
      <w:r w:rsidRPr="00821B2B">
        <w:rPr>
          <w:rFonts w:ascii="Times New Roman" w:hAnsi="Times New Roman"/>
          <w:sz w:val="24"/>
          <w:szCs w:val="24"/>
        </w:rPr>
        <w:t xml:space="preserve"> от 15</w:t>
      </w:r>
      <w:r>
        <w:rPr>
          <w:rFonts w:ascii="Times New Roman" w:hAnsi="Times New Roman"/>
          <w:sz w:val="24"/>
          <w:szCs w:val="24"/>
        </w:rPr>
        <w:t xml:space="preserve"> января 2018 года</w:t>
      </w:r>
      <w:r w:rsidRPr="00821B2B">
        <w:rPr>
          <w:rFonts w:ascii="Times New Roman" w:hAnsi="Times New Roman"/>
          <w:sz w:val="24"/>
          <w:szCs w:val="24"/>
        </w:rPr>
        <w:t xml:space="preserve"> №1 «Об установлении базовой ставки Национального Банка Республики  Казахстан» (снижение до 9,75%);</w:t>
      </w:r>
    </w:p>
    <w:p w:rsidR="00821B2B" w:rsidRPr="00821B2B" w:rsidRDefault="00821B2B" w:rsidP="00821B2B">
      <w:pPr>
        <w:pStyle w:val="a6"/>
        <w:numPr>
          <w:ilvl w:val="0"/>
          <w:numId w:val="45"/>
        </w:numPr>
        <w:shd w:val="clear" w:color="auto" w:fill="FFFFFF"/>
        <w:spacing w:after="0" w:line="240" w:lineRule="auto"/>
        <w:ind w:left="0" w:firstLine="709"/>
        <w:jc w:val="both"/>
        <w:rPr>
          <w:rFonts w:ascii="Times New Roman" w:hAnsi="Times New Roman"/>
          <w:sz w:val="24"/>
          <w:szCs w:val="24"/>
        </w:rPr>
      </w:pPr>
      <w:r w:rsidRPr="00821B2B">
        <w:rPr>
          <w:rFonts w:ascii="Times New Roman" w:hAnsi="Times New Roman"/>
          <w:sz w:val="24"/>
          <w:szCs w:val="24"/>
        </w:rPr>
        <w:t>Постановление Совета директоров Н</w:t>
      </w:r>
      <w:r>
        <w:rPr>
          <w:rFonts w:ascii="Times New Roman" w:hAnsi="Times New Roman"/>
          <w:sz w:val="24"/>
          <w:szCs w:val="24"/>
        </w:rPr>
        <w:t>ационального Банка</w:t>
      </w:r>
      <w:r w:rsidRPr="00821B2B">
        <w:rPr>
          <w:rFonts w:ascii="Times New Roman" w:hAnsi="Times New Roman"/>
          <w:sz w:val="24"/>
          <w:szCs w:val="24"/>
        </w:rPr>
        <w:t xml:space="preserve"> от </w:t>
      </w:r>
      <w:r>
        <w:rPr>
          <w:rFonts w:ascii="Times New Roman" w:hAnsi="Times New Roman"/>
          <w:sz w:val="24"/>
          <w:szCs w:val="24"/>
        </w:rPr>
        <w:t>5 марта 2018 года</w:t>
      </w:r>
      <w:r w:rsidRPr="00821B2B">
        <w:rPr>
          <w:rFonts w:ascii="Times New Roman" w:hAnsi="Times New Roman"/>
          <w:sz w:val="24"/>
          <w:szCs w:val="24"/>
        </w:rPr>
        <w:t xml:space="preserve"> №11 «Об установлении базовой ставки Национального Банка Республики  Казахстан» (снижение до 9,5%);</w:t>
      </w:r>
    </w:p>
    <w:p w:rsidR="00821B2B" w:rsidRPr="00821B2B" w:rsidRDefault="00821B2B" w:rsidP="00821B2B">
      <w:pPr>
        <w:pStyle w:val="a6"/>
        <w:numPr>
          <w:ilvl w:val="0"/>
          <w:numId w:val="45"/>
        </w:numPr>
        <w:shd w:val="clear" w:color="auto" w:fill="FFFFFF"/>
        <w:spacing w:after="0" w:line="240" w:lineRule="auto"/>
        <w:ind w:left="0" w:firstLine="709"/>
        <w:jc w:val="both"/>
        <w:rPr>
          <w:rFonts w:ascii="Times New Roman" w:hAnsi="Times New Roman"/>
          <w:sz w:val="24"/>
          <w:szCs w:val="24"/>
        </w:rPr>
      </w:pPr>
      <w:r w:rsidRPr="00821B2B">
        <w:rPr>
          <w:rFonts w:ascii="Times New Roman" w:hAnsi="Times New Roman"/>
          <w:sz w:val="24"/>
          <w:szCs w:val="24"/>
        </w:rPr>
        <w:lastRenderedPageBreak/>
        <w:t>Постановление Совета директоров Н</w:t>
      </w:r>
      <w:r>
        <w:rPr>
          <w:rFonts w:ascii="Times New Roman" w:hAnsi="Times New Roman"/>
          <w:sz w:val="24"/>
          <w:szCs w:val="24"/>
        </w:rPr>
        <w:t>ационального Банка от 16 апреля 2018 года №34 «</w:t>
      </w:r>
      <w:r w:rsidRPr="00821B2B">
        <w:rPr>
          <w:rFonts w:ascii="Times New Roman" w:hAnsi="Times New Roman"/>
          <w:sz w:val="24"/>
          <w:szCs w:val="24"/>
        </w:rPr>
        <w:t>Об установлении базовой ставки Националь</w:t>
      </w:r>
      <w:r>
        <w:rPr>
          <w:rFonts w:ascii="Times New Roman" w:hAnsi="Times New Roman"/>
          <w:sz w:val="24"/>
          <w:szCs w:val="24"/>
        </w:rPr>
        <w:t>ного Банка Республики Казахстан»</w:t>
      </w:r>
      <w:r w:rsidRPr="00821B2B">
        <w:rPr>
          <w:rFonts w:ascii="Times New Roman" w:hAnsi="Times New Roman"/>
          <w:sz w:val="24"/>
          <w:szCs w:val="24"/>
        </w:rPr>
        <w:t xml:space="preserve">; </w:t>
      </w:r>
    </w:p>
    <w:p w:rsidR="00821B2B" w:rsidRPr="00821B2B" w:rsidRDefault="00821B2B" w:rsidP="00821B2B">
      <w:pPr>
        <w:pStyle w:val="a6"/>
        <w:numPr>
          <w:ilvl w:val="0"/>
          <w:numId w:val="45"/>
        </w:numPr>
        <w:shd w:val="clear" w:color="auto" w:fill="FFFFFF"/>
        <w:spacing w:after="0" w:line="240" w:lineRule="auto"/>
        <w:ind w:left="0" w:firstLine="709"/>
        <w:jc w:val="both"/>
        <w:rPr>
          <w:rFonts w:ascii="Times New Roman" w:hAnsi="Times New Roman"/>
          <w:sz w:val="24"/>
          <w:szCs w:val="24"/>
        </w:rPr>
      </w:pPr>
      <w:r w:rsidRPr="00821B2B">
        <w:rPr>
          <w:rFonts w:ascii="Times New Roman" w:hAnsi="Times New Roman"/>
          <w:sz w:val="24"/>
          <w:szCs w:val="24"/>
        </w:rPr>
        <w:t>Постановление Совета директоров Н</w:t>
      </w:r>
      <w:r>
        <w:rPr>
          <w:rFonts w:ascii="Times New Roman" w:hAnsi="Times New Roman"/>
          <w:sz w:val="24"/>
          <w:szCs w:val="24"/>
        </w:rPr>
        <w:t>ационального Банка от 4 июня 2018 года №96 «</w:t>
      </w:r>
      <w:r w:rsidRPr="00821B2B">
        <w:rPr>
          <w:rFonts w:ascii="Times New Roman" w:hAnsi="Times New Roman"/>
          <w:sz w:val="24"/>
          <w:szCs w:val="24"/>
        </w:rPr>
        <w:t>Об установлении базовой ставки Националь</w:t>
      </w:r>
      <w:r>
        <w:rPr>
          <w:rFonts w:ascii="Times New Roman" w:hAnsi="Times New Roman"/>
          <w:sz w:val="24"/>
          <w:szCs w:val="24"/>
        </w:rPr>
        <w:t>ного Банка Республики Казахстан»</w:t>
      </w:r>
      <w:r w:rsidRPr="00821B2B">
        <w:rPr>
          <w:rFonts w:ascii="Times New Roman" w:hAnsi="Times New Roman"/>
          <w:sz w:val="24"/>
          <w:szCs w:val="24"/>
        </w:rPr>
        <w:t>;</w:t>
      </w:r>
    </w:p>
    <w:p w:rsidR="00821B2B" w:rsidRPr="00821B2B" w:rsidRDefault="00821B2B" w:rsidP="00821B2B">
      <w:pPr>
        <w:pStyle w:val="a6"/>
        <w:numPr>
          <w:ilvl w:val="0"/>
          <w:numId w:val="45"/>
        </w:numPr>
        <w:shd w:val="clear" w:color="auto" w:fill="FFFFFF"/>
        <w:spacing w:after="0" w:line="240" w:lineRule="auto"/>
        <w:ind w:left="0" w:firstLine="709"/>
        <w:jc w:val="both"/>
        <w:rPr>
          <w:rFonts w:ascii="Times New Roman" w:hAnsi="Times New Roman"/>
          <w:sz w:val="24"/>
          <w:szCs w:val="24"/>
        </w:rPr>
      </w:pPr>
      <w:r w:rsidRPr="00821B2B">
        <w:rPr>
          <w:rFonts w:ascii="Times New Roman" w:hAnsi="Times New Roman"/>
          <w:sz w:val="24"/>
          <w:szCs w:val="24"/>
        </w:rPr>
        <w:t xml:space="preserve">Постановление Совета директоров Национального Банка </w:t>
      </w:r>
      <w:r>
        <w:rPr>
          <w:rFonts w:ascii="Times New Roman" w:hAnsi="Times New Roman"/>
          <w:sz w:val="24"/>
          <w:szCs w:val="24"/>
        </w:rPr>
        <w:t>от 9 июля 2018 года №110 «</w:t>
      </w:r>
      <w:r w:rsidRPr="00821B2B">
        <w:rPr>
          <w:rFonts w:ascii="Times New Roman" w:hAnsi="Times New Roman"/>
          <w:sz w:val="24"/>
          <w:szCs w:val="24"/>
        </w:rPr>
        <w:t>Об установлении базовой ставки Националь</w:t>
      </w:r>
      <w:r>
        <w:rPr>
          <w:rFonts w:ascii="Times New Roman" w:hAnsi="Times New Roman"/>
          <w:sz w:val="24"/>
          <w:szCs w:val="24"/>
        </w:rPr>
        <w:t>ного Банка Республики Казахстан»</w:t>
      </w:r>
      <w:r w:rsidRPr="00821B2B">
        <w:rPr>
          <w:rFonts w:ascii="Times New Roman" w:hAnsi="Times New Roman"/>
          <w:sz w:val="24"/>
          <w:szCs w:val="24"/>
        </w:rPr>
        <w:t xml:space="preserve">; </w:t>
      </w:r>
    </w:p>
    <w:p w:rsidR="00821B2B" w:rsidRPr="00821B2B" w:rsidRDefault="00821B2B" w:rsidP="00821B2B">
      <w:pPr>
        <w:pStyle w:val="a6"/>
        <w:numPr>
          <w:ilvl w:val="0"/>
          <w:numId w:val="45"/>
        </w:numPr>
        <w:shd w:val="clear" w:color="auto" w:fill="FFFFFF"/>
        <w:spacing w:after="0" w:line="240" w:lineRule="auto"/>
        <w:ind w:left="0" w:firstLine="709"/>
        <w:jc w:val="both"/>
        <w:rPr>
          <w:rFonts w:ascii="Times New Roman" w:hAnsi="Times New Roman"/>
          <w:sz w:val="24"/>
          <w:szCs w:val="24"/>
        </w:rPr>
      </w:pPr>
      <w:r w:rsidRPr="00821B2B">
        <w:rPr>
          <w:rFonts w:ascii="Times New Roman" w:hAnsi="Times New Roman"/>
          <w:sz w:val="24"/>
          <w:szCs w:val="24"/>
        </w:rPr>
        <w:t xml:space="preserve">Постановление Совета директоров Национального Банка </w:t>
      </w:r>
      <w:r>
        <w:rPr>
          <w:rFonts w:ascii="Times New Roman" w:hAnsi="Times New Roman"/>
          <w:sz w:val="24"/>
          <w:szCs w:val="24"/>
        </w:rPr>
        <w:t>от 3 сентября 2018 года №127 «</w:t>
      </w:r>
      <w:r w:rsidRPr="00821B2B">
        <w:rPr>
          <w:rFonts w:ascii="Times New Roman" w:hAnsi="Times New Roman"/>
          <w:sz w:val="24"/>
          <w:szCs w:val="24"/>
        </w:rPr>
        <w:t>Об установлении базовой ставки Националь</w:t>
      </w:r>
      <w:r>
        <w:rPr>
          <w:rFonts w:ascii="Times New Roman" w:hAnsi="Times New Roman"/>
          <w:sz w:val="24"/>
          <w:szCs w:val="24"/>
        </w:rPr>
        <w:t>ного Банка Республики Казахстан»</w:t>
      </w:r>
      <w:r w:rsidRPr="00821B2B">
        <w:rPr>
          <w:rFonts w:ascii="Times New Roman" w:hAnsi="Times New Roman"/>
          <w:sz w:val="24"/>
          <w:szCs w:val="24"/>
        </w:rPr>
        <w:t>;</w:t>
      </w:r>
    </w:p>
    <w:p w:rsidR="00821B2B" w:rsidRPr="00821B2B" w:rsidRDefault="00821B2B" w:rsidP="00821B2B">
      <w:pPr>
        <w:pStyle w:val="a6"/>
        <w:numPr>
          <w:ilvl w:val="0"/>
          <w:numId w:val="45"/>
        </w:numPr>
        <w:shd w:val="clear" w:color="auto" w:fill="FFFFFF"/>
        <w:spacing w:after="0" w:line="240" w:lineRule="auto"/>
        <w:ind w:left="0" w:firstLine="709"/>
        <w:jc w:val="both"/>
        <w:rPr>
          <w:rFonts w:ascii="Times New Roman" w:hAnsi="Times New Roman"/>
          <w:sz w:val="24"/>
          <w:szCs w:val="24"/>
        </w:rPr>
      </w:pPr>
      <w:r w:rsidRPr="00821B2B">
        <w:rPr>
          <w:rFonts w:ascii="Times New Roman" w:hAnsi="Times New Roman"/>
          <w:sz w:val="24"/>
          <w:szCs w:val="24"/>
        </w:rPr>
        <w:t xml:space="preserve">Постановление Совета директоров Национального Банка </w:t>
      </w:r>
      <w:r>
        <w:rPr>
          <w:rFonts w:ascii="Times New Roman" w:hAnsi="Times New Roman"/>
          <w:sz w:val="24"/>
          <w:szCs w:val="24"/>
        </w:rPr>
        <w:t>от 15 октября 2018 года №140 «</w:t>
      </w:r>
      <w:r w:rsidRPr="00821B2B">
        <w:rPr>
          <w:rFonts w:ascii="Times New Roman" w:hAnsi="Times New Roman"/>
          <w:sz w:val="24"/>
          <w:szCs w:val="24"/>
        </w:rPr>
        <w:t>Об установлении базовой ставки Националь</w:t>
      </w:r>
      <w:r>
        <w:rPr>
          <w:rFonts w:ascii="Times New Roman" w:hAnsi="Times New Roman"/>
          <w:sz w:val="24"/>
          <w:szCs w:val="24"/>
        </w:rPr>
        <w:t>ного Банка Республики Казахстан»</w:t>
      </w:r>
      <w:r w:rsidRPr="00821B2B">
        <w:rPr>
          <w:rFonts w:ascii="Times New Roman" w:hAnsi="Times New Roman"/>
          <w:sz w:val="24"/>
          <w:szCs w:val="24"/>
        </w:rPr>
        <w:t xml:space="preserve"> (о повышении базовой ставки с 9,00% до 9,25%);</w:t>
      </w:r>
    </w:p>
    <w:p w:rsidR="00821B2B" w:rsidRPr="00821B2B" w:rsidRDefault="00821B2B" w:rsidP="00821B2B">
      <w:pPr>
        <w:pStyle w:val="a6"/>
        <w:numPr>
          <w:ilvl w:val="0"/>
          <w:numId w:val="45"/>
        </w:numPr>
        <w:shd w:val="clear" w:color="auto" w:fill="FFFFFF"/>
        <w:spacing w:after="0" w:line="240" w:lineRule="auto"/>
        <w:ind w:left="0" w:firstLine="709"/>
        <w:jc w:val="both"/>
        <w:rPr>
          <w:rFonts w:ascii="Times New Roman" w:hAnsi="Times New Roman"/>
          <w:sz w:val="24"/>
          <w:szCs w:val="24"/>
        </w:rPr>
      </w:pPr>
      <w:r w:rsidRPr="00821B2B">
        <w:rPr>
          <w:rFonts w:ascii="Times New Roman" w:hAnsi="Times New Roman"/>
          <w:sz w:val="24"/>
          <w:szCs w:val="24"/>
        </w:rPr>
        <w:t xml:space="preserve">Постановление Совета директоров Национального Банка </w:t>
      </w:r>
      <w:r>
        <w:rPr>
          <w:rFonts w:ascii="Times New Roman" w:hAnsi="Times New Roman"/>
          <w:sz w:val="24"/>
          <w:szCs w:val="24"/>
        </w:rPr>
        <w:t>от 4 декабря 2018 года №166 «</w:t>
      </w:r>
      <w:r w:rsidRPr="00821B2B">
        <w:rPr>
          <w:rFonts w:ascii="Times New Roman" w:hAnsi="Times New Roman"/>
          <w:sz w:val="24"/>
          <w:szCs w:val="24"/>
        </w:rPr>
        <w:t>Об установлении базовой ставки Националь</w:t>
      </w:r>
      <w:r>
        <w:rPr>
          <w:rFonts w:ascii="Times New Roman" w:hAnsi="Times New Roman"/>
          <w:sz w:val="24"/>
          <w:szCs w:val="24"/>
        </w:rPr>
        <w:t>ного Банка Республики Казахстан»</w:t>
      </w:r>
      <w:r w:rsidRPr="00821B2B">
        <w:rPr>
          <w:rFonts w:ascii="Times New Roman" w:hAnsi="Times New Roman"/>
          <w:sz w:val="24"/>
          <w:szCs w:val="24"/>
        </w:rPr>
        <w:t xml:space="preserve"> (о сохранении базовой ставки на уровне 9,25%).</w:t>
      </w:r>
    </w:p>
    <w:p w:rsidR="00821B2B" w:rsidRDefault="00821B2B" w:rsidP="00821B2B">
      <w:pPr>
        <w:pStyle w:val="a6"/>
        <w:shd w:val="clear" w:color="auto" w:fill="FFFFFF"/>
        <w:spacing w:after="0" w:line="240" w:lineRule="auto"/>
        <w:ind w:left="0" w:firstLine="709"/>
        <w:jc w:val="both"/>
        <w:rPr>
          <w:rFonts w:ascii="Times New Roman" w:hAnsi="Times New Roman"/>
          <w:sz w:val="24"/>
          <w:szCs w:val="24"/>
        </w:rPr>
      </w:pPr>
      <w:r w:rsidRPr="00821B2B">
        <w:rPr>
          <w:rFonts w:ascii="Times New Roman" w:hAnsi="Times New Roman"/>
          <w:sz w:val="24"/>
          <w:szCs w:val="24"/>
        </w:rPr>
        <w:t>Денежный рынок функционировал в условиях структурного профицита тенговой ликвидности. Основной объем изымался посредством краткосрочных нот Национального Банка.</w:t>
      </w:r>
      <w:r w:rsidRPr="00C142D9">
        <w:rPr>
          <w:rFonts w:ascii="Times New Roman" w:hAnsi="Times New Roman"/>
          <w:sz w:val="24"/>
          <w:szCs w:val="24"/>
        </w:rPr>
        <w:t xml:space="preserve"> </w:t>
      </w:r>
    </w:p>
    <w:p w:rsidR="00DA0EBD" w:rsidRPr="006427D3" w:rsidRDefault="00DA0EBD" w:rsidP="00DA0EBD">
      <w:pPr>
        <w:autoSpaceDE w:val="0"/>
        <w:autoSpaceDN w:val="0"/>
        <w:adjustRightInd w:val="0"/>
        <w:spacing w:after="0" w:line="240" w:lineRule="auto"/>
        <w:ind w:firstLine="709"/>
        <w:jc w:val="both"/>
        <w:rPr>
          <w:rFonts w:ascii="Times New Roman" w:hAnsi="Times New Roman"/>
          <w:i/>
          <w:color w:val="000000"/>
          <w:sz w:val="24"/>
          <w:szCs w:val="24"/>
          <w:lang w:eastAsia="ru-RU"/>
        </w:rPr>
      </w:pPr>
      <w:r w:rsidRPr="006427D3">
        <w:rPr>
          <w:rFonts w:ascii="Times New Roman" w:hAnsi="Times New Roman"/>
          <w:i/>
          <w:color w:val="000000"/>
          <w:sz w:val="24"/>
          <w:szCs w:val="24"/>
          <w:lang w:eastAsia="ru-RU"/>
        </w:rPr>
        <w:t>Осуществление статистической деятельности в области статистики внешнего сектора.</w:t>
      </w:r>
    </w:p>
    <w:p w:rsidR="00DA0EBD" w:rsidRPr="00DA0EBD" w:rsidRDefault="00DA0EBD" w:rsidP="00DA0EBD">
      <w:pPr>
        <w:spacing w:after="0" w:line="240" w:lineRule="auto"/>
        <w:ind w:firstLine="709"/>
        <w:contextualSpacing/>
        <w:jc w:val="both"/>
        <w:rPr>
          <w:rFonts w:ascii="Times New Roman" w:hAnsi="Times New Roman"/>
          <w:color w:val="000000"/>
          <w:sz w:val="24"/>
          <w:szCs w:val="24"/>
          <w:lang w:eastAsia="ru-RU"/>
        </w:rPr>
      </w:pPr>
      <w:r w:rsidRPr="006427D3">
        <w:rPr>
          <w:rFonts w:ascii="Times New Roman" w:hAnsi="Times New Roman"/>
          <w:color w:val="000000"/>
          <w:sz w:val="24"/>
          <w:szCs w:val="24"/>
          <w:lang w:eastAsia="ru-RU"/>
        </w:rPr>
        <w:t>В целях обеспечения соответствия статистики внешнего сектора Казахстана требованиям международных ме</w:t>
      </w:r>
      <w:r>
        <w:rPr>
          <w:rFonts w:ascii="Times New Roman" w:hAnsi="Times New Roman"/>
          <w:color w:val="000000"/>
          <w:sz w:val="24"/>
          <w:szCs w:val="24"/>
          <w:lang w:eastAsia="ru-RU"/>
        </w:rPr>
        <w:t xml:space="preserve">тодологических стандартов (РПБ6 </w:t>
      </w:r>
      <w:r w:rsidRPr="006427D3">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w:t>
      </w:r>
      <w:r w:rsidRPr="006427D3">
        <w:rPr>
          <w:rFonts w:ascii="Times New Roman" w:hAnsi="Times New Roman"/>
          <w:color w:val="000000"/>
          <w:sz w:val="24"/>
          <w:szCs w:val="24"/>
          <w:lang w:eastAsia="ru-RU"/>
        </w:rPr>
        <w:t>Руководству по платежному балансу и международной инвестиционной позиции» МВФ, 6-е издание, РСВД - Статистика внешнего долга - Руководство для составителей и пользователей) в 2018 году были введены изменения в шесть статистических форм ведомственных статистических наблюдений по платежному балансу для банковского сектора, которые позволят обеспечить соответствие формируемо</w:t>
      </w:r>
      <w:r>
        <w:rPr>
          <w:rFonts w:ascii="Times New Roman" w:hAnsi="Times New Roman"/>
          <w:color w:val="000000"/>
          <w:sz w:val="24"/>
          <w:szCs w:val="24"/>
          <w:lang w:eastAsia="ru-RU"/>
        </w:rPr>
        <w:t xml:space="preserve">й статистики требованиям РПБ6. </w:t>
      </w:r>
    </w:p>
    <w:p w:rsidR="00F2659C" w:rsidRPr="00E82016" w:rsidRDefault="00F2659C" w:rsidP="00821B2B">
      <w:pPr>
        <w:shd w:val="clear" w:color="auto" w:fill="FFFFFF"/>
        <w:spacing w:after="0" w:line="240" w:lineRule="auto"/>
        <w:ind w:firstLine="709"/>
        <w:contextualSpacing/>
        <w:jc w:val="both"/>
        <w:rPr>
          <w:rFonts w:ascii="Times New Roman" w:hAnsi="Times New Roman"/>
          <w:b/>
          <w:i/>
          <w:sz w:val="24"/>
          <w:szCs w:val="24"/>
        </w:rPr>
      </w:pPr>
    </w:p>
    <w:p w:rsidR="00F2659C" w:rsidRPr="00E82016" w:rsidRDefault="00F2659C" w:rsidP="00F2659C">
      <w:pPr>
        <w:shd w:val="clear" w:color="auto" w:fill="FFFFFF"/>
        <w:spacing w:after="0" w:line="240" w:lineRule="auto"/>
        <w:ind w:firstLine="709"/>
        <w:contextualSpacing/>
        <w:jc w:val="both"/>
        <w:rPr>
          <w:rFonts w:ascii="Times New Roman" w:hAnsi="Times New Roman"/>
          <w:sz w:val="24"/>
        </w:rPr>
      </w:pPr>
      <w:r w:rsidRPr="00E82016">
        <w:rPr>
          <w:rFonts w:ascii="Times New Roman" w:hAnsi="Times New Roman"/>
          <w:b/>
          <w:i/>
          <w:sz w:val="24"/>
          <w:szCs w:val="24"/>
        </w:rPr>
        <w:t>Цель 1.2. Обеспечение сохранности золотовалютных активов Национального Банка</w:t>
      </w:r>
    </w:p>
    <w:p w:rsidR="00F2659C" w:rsidRPr="00E82016" w:rsidRDefault="00F2659C" w:rsidP="00F2659C">
      <w:pPr>
        <w:spacing w:after="0" w:line="240" w:lineRule="auto"/>
        <w:ind w:firstLine="709"/>
        <w:contextualSpacing/>
        <w:jc w:val="both"/>
        <w:rPr>
          <w:rFonts w:ascii="Times New Roman" w:hAnsi="Times New Roman"/>
          <w:b/>
          <w:i/>
          <w:sz w:val="24"/>
          <w:szCs w:val="24"/>
        </w:rPr>
      </w:pPr>
    </w:p>
    <w:p w:rsidR="00F2659C" w:rsidRPr="00440169" w:rsidRDefault="00F2659C" w:rsidP="00F2659C">
      <w:pPr>
        <w:spacing w:after="0" w:line="240" w:lineRule="auto"/>
        <w:ind w:firstLine="709"/>
        <w:contextualSpacing/>
        <w:jc w:val="both"/>
        <w:rPr>
          <w:rFonts w:ascii="Times New Roman" w:hAnsi="Times New Roman"/>
          <w:i/>
          <w:sz w:val="24"/>
          <w:szCs w:val="24"/>
        </w:rPr>
      </w:pPr>
      <w:r w:rsidRPr="00E82016">
        <w:rPr>
          <w:rFonts w:ascii="Times New Roman" w:hAnsi="Times New Roman"/>
          <w:b/>
          <w:i/>
          <w:sz w:val="24"/>
          <w:szCs w:val="24"/>
        </w:rPr>
        <w:t>Целевой индикатор:</w:t>
      </w:r>
      <w:r w:rsidRPr="00E82016">
        <w:rPr>
          <w:rFonts w:ascii="Times New Roman" w:hAnsi="Times New Roman"/>
          <w:i/>
          <w:sz w:val="24"/>
          <w:szCs w:val="24"/>
        </w:rPr>
        <w:t xml:space="preserve"> </w:t>
      </w:r>
      <w:r w:rsidRPr="00E82016">
        <w:rPr>
          <w:rFonts w:ascii="Times New Roman" w:hAnsi="Times New Roman"/>
          <w:b/>
          <w:i/>
          <w:sz w:val="24"/>
          <w:szCs w:val="24"/>
          <w:lang w:val="kk-KZ"/>
        </w:rPr>
        <w:t>Объем золотовалютных резервов Национального Банка</w:t>
      </w:r>
      <w:r w:rsidRPr="00E82016">
        <w:rPr>
          <w:rFonts w:ascii="Times New Roman" w:hAnsi="Times New Roman"/>
          <w:b/>
          <w:i/>
          <w:sz w:val="24"/>
          <w:szCs w:val="24"/>
        </w:rPr>
        <w:t xml:space="preserve"> </w:t>
      </w:r>
      <w:r w:rsidRPr="00E82016">
        <w:rPr>
          <w:rFonts w:ascii="Times New Roman" w:hAnsi="Times New Roman"/>
          <w:i/>
          <w:sz w:val="24"/>
          <w:szCs w:val="24"/>
        </w:rPr>
        <w:t>(покрытие объема трех месяцев импорта товаров и услуг («1» покрывает, «0» не покрывает).</w:t>
      </w:r>
    </w:p>
    <w:p w:rsidR="00142BA0" w:rsidRPr="00142BA0" w:rsidRDefault="00142BA0" w:rsidP="00142BA0">
      <w:pPr>
        <w:spacing w:after="0" w:line="240" w:lineRule="auto"/>
        <w:ind w:firstLine="709"/>
        <w:contextualSpacing/>
        <w:jc w:val="both"/>
        <w:rPr>
          <w:rFonts w:ascii="Times New Roman" w:hAnsi="Times New Roman" w:cs="Times New Roman"/>
          <w:sz w:val="24"/>
          <w:szCs w:val="24"/>
        </w:rPr>
      </w:pPr>
      <w:r w:rsidRPr="00142BA0">
        <w:rPr>
          <w:rFonts w:ascii="Times New Roman" w:hAnsi="Times New Roman" w:cs="Times New Roman"/>
          <w:sz w:val="24"/>
          <w:szCs w:val="24"/>
        </w:rPr>
        <w:t>Объем валовых международных резервов Национального Банка (без учета активов Национального фонда) по состоянию на 31 декабря 2018 года оценивался в 30,9 млрд. долларов США (31,0 млрд. долларов США на начало 2018 года), что обеспечивало финансирование 8,1 месяцев казахстанского импорта товаров и услуг. Таким образом, значение целевого индикатора соответствует «1».</w:t>
      </w:r>
    </w:p>
    <w:p w:rsidR="00037318" w:rsidRPr="00037318" w:rsidRDefault="00037318" w:rsidP="00037318">
      <w:pPr>
        <w:spacing w:after="0" w:line="240" w:lineRule="auto"/>
        <w:ind w:firstLine="709"/>
        <w:contextualSpacing/>
        <w:jc w:val="both"/>
        <w:rPr>
          <w:rFonts w:ascii="Times New Roman" w:hAnsi="Times New Roman" w:cs="Times New Roman"/>
          <w:i/>
          <w:sz w:val="24"/>
          <w:szCs w:val="24"/>
        </w:rPr>
      </w:pPr>
      <w:r w:rsidRPr="00037318">
        <w:rPr>
          <w:rFonts w:ascii="Times New Roman" w:hAnsi="Times New Roman" w:cs="Times New Roman"/>
          <w:b/>
          <w:i/>
          <w:sz w:val="24"/>
          <w:szCs w:val="24"/>
        </w:rPr>
        <w:t>Мероприятия для достижения целевого индикатора:</w:t>
      </w:r>
    </w:p>
    <w:p w:rsidR="00037318" w:rsidRPr="00037318" w:rsidRDefault="00037318" w:rsidP="00037318">
      <w:pPr>
        <w:autoSpaceDE w:val="0"/>
        <w:autoSpaceDN w:val="0"/>
        <w:adjustRightInd w:val="0"/>
        <w:spacing w:after="0" w:line="240" w:lineRule="auto"/>
        <w:ind w:firstLine="709"/>
        <w:contextualSpacing/>
        <w:jc w:val="both"/>
        <w:rPr>
          <w:rFonts w:ascii="Times New Roman" w:hAnsi="Times New Roman" w:cs="Times New Roman"/>
          <w:i/>
          <w:iCs/>
          <w:sz w:val="24"/>
          <w:szCs w:val="24"/>
        </w:rPr>
      </w:pPr>
      <w:r w:rsidRPr="00037318">
        <w:rPr>
          <w:rFonts w:ascii="Times New Roman" w:hAnsi="Times New Roman" w:cs="Times New Roman"/>
          <w:i/>
          <w:iCs/>
          <w:sz w:val="24"/>
          <w:szCs w:val="24"/>
        </w:rPr>
        <w:t>Расчет объема портфеля ликвидности к объему платежей по обслуживанию внешнего государственного долга на предстоящие 6 месяцев.</w:t>
      </w:r>
    </w:p>
    <w:p w:rsidR="000356E3" w:rsidRPr="000356E3" w:rsidRDefault="00037318" w:rsidP="00037318">
      <w:pPr>
        <w:autoSpaceDE w:val="0"/>
        <w:autoSpaceDN w:val="0"/>
        <w:adjustRightInd w:val="0"/>
        <w:spacing w:after="0" w:line="240" w:lineRule="auto"/>
        <w:ind w:firstLine="709"/>
        <w:contextualSpacing/>
        <w:jc w:val="both"/>
        <w:rPr>
          <w:rFonts w:ascii="Times New Roman" w:hAnsi="Times New Roman" w:cs="Times New Roman"/>
          <w:iCs/>
          <w:sz w:val="24"/>
          <w:szCs w:val="24"/>
        </w:rPr>
      </w:pPr>
      <w:r w:rsidRPr="00037318">
        <w:rPr>
          <w:rFonts w:ascii="Times New Roman" w:hAnsi="Times New Roman" w:cs="Times New Roman"/>
          <w:iCs/>
          <w:sz w:val="24"/>
          <w:szCs w:val="24"/>
        </w:rPr>
        <w:t>По итогам 2018 года объем портфеля ликвидности золотовалютных резервов в 9 раз превосходил размер платежей по обслуживанию внешнего государственного долга на предстоящие 6 месяцев.</w:t>
      </w:r>
    </w:p>
    <w:p w:rsidR="00037318" w:rsidRPr="00037318" w:rsidRDefault="00037318" w:rsidP="00037318">
      <w:pPr>
        <w:spacing w:after="0" w:line="240" w:lineRule="auto"/>
        <w:ind w:firstLine="709"/>
        <w:contextualSpacing/>
        <w:jc w:val="both"/>
        <w:rPr>
          <w:rFonts w:ascii="Times New Roman" w:hAnsi="Times New Roman" w:cs="Times New Roman"/>
          <w:i/>
          <w:iCs/>
          <w:sz w:val="24"/>
          <w:szCs w:val="24"/>
        </w:rPr>
      </w:pPr>
      <w:r w:rsidRPr="00037318">
        <w:rPr>
          <w:rFonts w:ascii="Times New Roman" w:hAnsi="Times New Roman" w:cs="Times New Roman"/>
          <w:i/>
          <w:iCs/>
          <w:sz w:val="24"/>
          <w:szCs w:val="24"/>
        </w:rPr>
        <w:t>Совершение операций с активами для поддержания на должном уровне объема портфеля ликвидности.</w:t>
      </w:r>
    </w:p>
    <w:p w:rsidR="00037318" w:rsidRPr="00037318" w:rsidRDefault="00037318" w:rsidP="00037318">
      <w:pPr>
        <w:spacing w:after="0" w:line="240" w:lineRule="auto"/>
        <w:ind w:firstLine="709"/>
        <w:contextualSpacing/>
        <w:jc w:val="both"/>
        <w:rPr>
          <w:rFonts w:ascii="Times New Roman" w:hAnsi="Times New Roman" w:cs="Times New Roman"/>
          <w:iCs/>
          <w:sz w:val="24"/>
          <w:szCs w:val="24"/>
        </w:rPr>
      </w:pPr>
      <w:r w:rsidRPr="00037318">
        <w:rPr>
          <w:rFonts w:ascii="Times New Roman" w:hAnsi="Times New Roman" w:cs="Times New Roman"/>
          <w:iCs/>
          <w:sz w:val="24"/>
          <w:szCs w:val="24"/>
        </w:rPr>
        <w:t>Портфель ликвидности предназначен для проведения операций в целях реализации денежно-кредитной политики, поддержания высокого уровня ликвидности, удовлетворения краткосрочного спроса на валюту и обслуживания внешнего государственного долга. В течение отчетного периода Национальный Банк проводил операции для обеспечения ликвидности средств портфеля ликвидности, в том числе для поддержания на должном уровне объема портфеля ликвидности.</w:t>
      </w:r>
    </w:p>
    <w:p w:rsidR="00037318" w:rsidRPr="00037318" w:rsidRDefault="00037318" w:rsidP="00037318">
      <w:pPr>
        <w:spacing w:after="0" w:line="240" w:lineRule="auto"/>
        <w:ind w:firstLine="709"/>
        <w:contextualSpacing/>
        <w:jc w:val="both"/>
        <w:rPr>
          <w:rFonts w:ascii="Times New Roman" w:hAnsi="Times New Roman" w:cs="Times New Roman"/>
          <w:i/>
          <w:sz w:val="24"/>
          <w:szCs w:val="24"/>
        </w:rPr>
      </w:pPr>
      <w:r w:rsidRPr="00037318">
        <w:rPr>
          <w:rFonts w:ascii="Times New Roman" w:hAnsi="Times New Roman" w:cs="Times New Roman"/>
          <w:i/>
          <w:sz w:val="24"/>
          <w:szCs w:val="24"/>
        </w:rPr>
        <w:t>Осуществление доверительного управления активами Национального фонда Республики Казахстан</w:t>
      </w:r>
    </w:p>
    <w:p w:rsidR="00037318" w:rsidRPr="00037318" w:rsidRDefault="00037318" w:rsidP="0003731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037318">
        <w:rPr>
          <w:rFonts w:ascii="Times New Roman" w:hAnsi="Times New Roman" w:cs="Times New Roman"/>
          <w:sz w:val="24"/>
          <w:szCs w:val="24"/>
        </w:rPr>
        <w:t xml:space="preserve">Национальный Банк в отчетном периоде осуществлял доверительное управление активами Национального фонда. Активы Национального фонда инвестированы в высоколиквидные ценные бумаги развитых и развивающихся рынков. По предварительным данным, по состоянию на </w:t>
      </w:r>
      <w:r w:rsidRPr="00037318">
        <w:rPr>
          <w:rFonts w:ascii="Times New Roman" w:hAnsi="Times New Roman" w:cs="Times New Roman"/>
          <w:sz w:val="24"/>
          <w:szCs w:val="24"/>
        </w:rPr>
        <w:lastRenderedPageBreak/>
        <w:t>31 декабря 2018 года активы Национального фонда составили 57,7 млрд. долларов США (по сравнению с началом 2018 года снизились на 1,05%).</w:t>
      </w:r>
    </w:p>
    <w:p w:rsidR="00F2659C" w:rsidRPr="00E82016" w:rsidRDefault="00F2659C" w:rsidP="00F2659C">
      <w:pPr>
        <w:autoSpaceDE w:val="0"/>
        <w:autoSpaceDN w:val="0"/>
        <w:adjustRightInd w:val="0"/>
        <w:spacing w:after="0" w:line="240" w:lineRule="auto"/>
        <w:ind w:firstLine="709"/>
        <w:contextualSpacing/>
        <w:jc w:val="both"/>
        <w:rPr>
          <w:rFonts w:ascii="Times New Roman" w:eastAsia="SimSun" w:hAnsi="Times New Roman"/>
          <w:sz w:val="24"/>
          <w:szCs w:val="24"/>
          <w:lang w:eastAsia="ru-RU"/>
        </w:rPr>
      </w:pPr>
    </w:p>
    <w:p w:rsidR="00F2659C" w:rsidRPr="00E82016" w:rsidRDefault="00F2659C" w:rsidP="00F2659C">
      <w:pPr>
        <w:spacing w:after="0" w:line="240" w:lineRule="auto"/>
        <w:ind w:firstLine="709"/>
        <w:contextualSpacing/>
        <w:jc w:val="center"/>
        <w:rPr>
          <w:rFonts w:ascii="Times New Roman" w:hAnsi="Times New Roman"/>
          <w:b/>
          <w:sz w:val="24"/>
          <w:szCs w:val="24"/>
          <w:u w:val="single"/>
        </w:rPr>
      </w:pPr>
      <w:r w:rsidRPr="00E82016">
        <w:rPr>
          <w:rFonts w:ascii="Times New Roman" w:hAnsi="Times New Roman"/>
          <w:b/>
          <w:sz w:val="24"/>
          <w:szCs w:val="24"/>
          <w:u w:val="single"/>
        </w:rPr>
        <w:t>Стратегическое направление 2.</w:t>
      </w:r>
    </w:p>
    <w:p w:rsidR="00F2659C" w:rsidRPr="00E82016" w:rsidRDefault="00F2659C" w:rsidP="00F2659C">
      <w:pPr>
        <w:spacing w:after="0" w:line="240" w:lineRule="auto"/>
        <w:ind w:firstLine="709"/>
        <w:contextualSpacing/>
        <w:jc w:val="center"/>
        <w:rPr>
          <w:rFonts w:ascii="Times New Roman" w:hAnsi="Times New Roman"/>
          <w:b/>
          <w:sz w:val="24"/>
          <w:szCs w:val="24"/>
          <w:u w:val="single"/>
        </w:rPr>
      </w:pPr>
      <w:r w:rsidRPr="00E82016">
        <w:rPr>
          <w:rFonts w:ascii="Times New Roman" w:hAnsi="Times New Roman"/>
          <w:b/>
          <w:sz w:val="24"/>
          <w:szCs w:val="24"/>
          <w:u w:val="single"/>
        </w:rPr>
        <w:t>Обеспечение финансовой стабильности</w:t>
      </w:r>
    </w:p>
    <w:p w:rsidR="00F2659C" w:rsidRPr="00E82016" w:rsidRDefault="00F2659C" w:rsidP="00F2659C">
      <w:pPr>
        <w:spacing w:after="0" w:line="240" w:lineRule="auto"/>
        <w:ind w:firstLine="709"/>
        <w:contextualSpacing/>
        <w:jc w:val="both"/>
        <w:rPr>
          <w:rFonts w:ascii="Times New Roman" w:hAnsi="Times New Roman"/>
          <w:b/>
          <w:i/>
          <w:color w:val="000000"/>
          <w:sz w:val="24"/>
          <w:szCs w:val="24"/>
        </w:rPr>
      </w:pPr>
    </w:p>
    <w:p w:rsidR="00F2659C" w:rsidRPr="00E82016" w:rsidRDefault="00F2659C" w:rsidP="00F2659C">
      <w:pPr>
        <w:spacing w:after="0" w:line="240" w:lineRule="auto"/>
        <w:ind w:firstLine="709"/>
        <w:contextualSpacing/>
        <w:jc w:val="both"/>
        <w:rPr>
          <w:rFonts w:ascii="Times New Roman" w:hAnsi="Times New Roman"/>
          <w:i/>
          <w:color w:val="000000"/>
          <w:sz w:val="24"/>
          <w:szCs w:val="24"/>
        </w:rPr>
      </w:pPr>
      <w:r w:rsidRPr="00E82016">
        <w:rPr>
          <w:rFonts w:ascii="Times New Roman" w:hAnsi="Times New Roman"/>
          <w:b/>
          <w:i/>
          <w:color w:val="000000"/>
          <w:sz w:val="24"/>
          <w:szCs w:val="24"/>
        </w:rPr>
        <w:t>Цель 2.1.</w:t>
      </w:r>
      <w:r w:rsidRPr="00E82016">
        <w:rPr>
          <w:rFonts w:ascii="Times New Roman" w:hAnsi="Times New Roman"/>
          <w:i/>
          <w:color w:val="000000"/>
          <w:sz w:val="24"/>
          <w:szCs w:val="24"/>
        </w:rPr>
        <w:t xml:space="preserve"> </w:t>
      </w:r>
      <w:r w:rsidRPr="00E82016">
        <w:rPr>
          <w:rFonts w:ascii="Times New Roman" w:hAnsi="Times New Roman"/>
          <w:b/>
          <w:i/>
          <w:color w:val="000000"/>
          <w:sz w:val="24"/>
          <w:szCs w:val="24"/>
        </w:rPr>
        <w:t>Повышение финансовой устойчивости и конкурентоспособности банковского сектора</w:t>
      </w:r>
    </w:p>
    <w:p w:rsidR="00F2659C" w:rsidRPr="00E82016" w:rsidRDefault="00F2659C" w:rsidP="00F2659C">
      <w:pPr>
        <w:spacing w:after="0" w:line="240" w:lineRule="auto"/>
        <w:ind w:firstLine="709"/>
        <w:contextualSpacing/>
        <w:jc w:val="both"/>
        <w:rPr>
          <w:rFonts w:ascii="Times New Roman" w:hAnsi="Times New Roman"/>
          <w:b/>
          <w:i/>
          <w:sz w:val="24"/>
          <w:szCs w:val="24"/>
        </w:rPr>
      </w:pPr>
    </w:p>
    <w:p w:rsidR="00F2659C" w:rsidRPr="00E82016" w:rsidRDefault="00F2659C" w:rsidP="00F2659C">
      <w:pPr>
        <w:spacing w:after="0" w:line="240" w:lineRule="auto"/>
        <w:ind w:firstLine="709"/>
        <w:contextualSpacing/>
        <w:jc w:val="both"/>
        <w:rPr>
          <w:rFonts w:ascii="Times New Roman" w:hAnsi="Times New Roman"/>
          <w:i/>
          <w:sz w:val="24"/>
          <w:szCs w:val="24"/>
          <w:lang w:val="kk-KZ"/>
        </w:rPr>
      </w:pPr>
      <w:r w:rsidRPr="00E82016">
        <w:rPr>
          <w:rFonts w:ascii="Times New Roman" w:hAnsi="Times New Roman"/>
          <w:b/>
          <w:i/>
          <w:sz w:val="24"/>
          <w:szCs w:val="24"/>
        </w:rPr>
        <w:t>Целевой индикатор 1:</w:t>
      </w:r>
      <w:r w:rsidRPr="00E82016">
        <w:rPr>
          <w:rFonts w:ascii="Times New Roman" w:hAnsi="Times New Roman"/>
          <w:i/>
          <w:sz w:val="24"/>
          <w:szCs w:val="24"/>
        </w:rPr>
        <w:t xml:space="preserve"> </w:t>
      </w:r>
      <w:r w:rsidRPr="00E82016">
        <w:rPr>
          <w:rFonts w:ascii="Times New Roman" w:hAnsi="Times New Roman"/>
          <w:b/>
          <w:i/>
          <w:sz w:val="24"/>
          <w:szCs w:val="24"/>
          <w:lang w:val="kk-KZ"/>
        </w:rPr>
        <w:t xml:space="preserve">Показатель «Надежность банков» Глобального индекса конкурентоспособности </w:t>
      </w:r>
      <w:r w:rsidRPr="00E82016">
        <w:rPr>
          <w:rFonts w:ascii="Times New Roman" w:hAnsi="Times New Roman"/>
          <w:i/>
          <w:sz w:val="24"/>
          <w:szCs w:val="24"/>
          <w:lang w:val="kk-KZ"/>
        </w:rPr>
        <w:t>(10</w:t>
      </w:r>
      <w:r>
        <w:rPr>
          <w:rFonts w:ascii="Times New Roman" w:hAnsi="Times New Roman"/>
          <w:i/>
          <w:sz w:val="24"/>
          <w:szCs w:val="24"/>
          <w:lang w:val="kk-KZ"/>
        </w:rPr>
        <w:t>1</w:t>
      </w:r>
      <w:r w:rsidRPr="00E82016">
        <w:rPr>
          <w:rFonts w:ascii="Times New Roman" w:hAnsi="Times New Roman"/>
          <w:i/>
          <w:sz w:val="24"/>
          <w:szCs w:val="24"/>
          <w:lang w:val="kk-KZ"/>
        </w:rPr>
        <w:t xml:space="preserve"> место в рейтинге ГИК ВЭФ)</w:t>
      </w:r>
    </w:p>
    <w:p w:rsidR="00F2659C" w:rsidRDefault="00F2659C" w:rsidP="00F2659C">
      <w:pPr>
        <w:spacing w:after="0" w:line="240" w:lineRule="auto"/>
        <w:ind w:firstLine="709"/>
        <w:contextualSpacing/>
        <w:jc w:val="both"/>
        <w:rPr>
          <w:rFonts w:ascii="Times New Roman" w:hAnsi="Times New Roman"/>
          <w:b/>
          <w:bCs/>
          <w:i/>
          <w:iCs/>
          <w:sz w:val="24"/>
        </w:rPr>
      </w:pPr>
      <w:r w:rsidRPr="00E82016">
        <w:rPr>
          <w:rFonts w:ascii="Times New Roman" w:hAnsi="Times New Roman"/>
          <w:b/>
          <w:bCs/>
          <w:i/>
          <w:iCs/>
          <w:sz w:val="24"/>
        </w:rPr>
        <w:t>Мероприятия для достижения  целевого индикатора:</w:t>
      </w:r>
    </w:p>
    <w:p w:rsidR="00F2659C" w:rsidRPr="0035789A" w:rsidRDefault="00F2659C" w:rsidP="00F2659C">
      <w:pPr>
        <w:spacing w:after="0" w:line="240" w:lineRule="auto"/>
        <w:ind w:firstLine="709"/>
        <w:contextualSpacing/>
        <w:jc w:val="both"/>
        <w:rPr>
          <w:rFonts w:ascii="Times New Roman" w:hAnsi="Times New Roman"/>
          <w:color w:val="000000"/>
          <w:sz w:val="24"/>
          <w:szCs w:val="24"/>
          <w:lang w:eastAsia="ru-RU"/>
        </w:rPr>
      </w:pPr>
      <w:r w:rsidRPr="0035789A">
        <w:rPr>
          <w:rFonts w:ascii="Times New Roman" w:hAnsi="Times New Roman"/>
          <w:i/>
          <w:sz w:val="24"/>
          <w:szCs w:val="24"/>
        </w:rPr>
        <w:t>Проведение обследования параметров кредитного рынка.</w:t>
      </w:r>
    </w:p>
    <w:p w:rsidR="00254770" w:rsidRPr="00C72AC2" w:rsidRDefault="00254770" w:rsidP="00254770">
      <w:pPr>
        <w:spacing w:after="0" w:line="240" w:lineRule="auto"/>
        <w:ind w:firstLine="709"/>
        <w:contextualSpacing/>
        <w:jc w:val="both"/>
        <w:rPr>
          <w:rFonts w:ascii="Times New Roman" w:hAnsi="Times New Roman"/>
          <w:sz w:val="24"/>
          <w:szCs w:val="24"/>
        </w:rPr>
      </w:pPr>
      <w:r w:rsidRPr="00C72AC2">
        <w:rPr>
          <w:rFonts w:ascii="Times New Roman" w:hAnsi="Times New Roman"/>
          <w:sz w:val="24"/>
          <w:szCs w:val="24"/>
        </w:rPr>
        <w:t xml:space="preserve">Для достижения основных целей денежно-кредитной политики и финансовой стабильности Национальный Банк Республики Казахстан производит мониторинг развития кредитного рынка </w:t>
      </w:r>
      <w:r>
        <w:rPr>
          <w:rFonts w:ascii="Times New Roman" w:hAnsi="Times New Roman"/>
          <w:sz w:val="24"/>
          <w:szCs w:val="24"/>
        </w:rPr>
        <w:t>посредством проведения</w:t>
      </w:r>
      <w:r w:rsidRPr="00C72AC2">
        <w:rPr>
          <w:rFonts w:ascii="Times New Roman" w:hAnsi="Times New Roman"/>
          <w:sz w:val="24"/>
          <w:szCs w:val="24"/>
        </w:rPr>
        <w:t xml:space="preserve"> ежеквартального обследования банков второго уровня</w:t>
      </w:r>
      <w:r>
        <w:rPr>
          <w:rFonts w:ascii="Times New Roman" w:hAnsi="Times New Roman"/>
          <w:sz w:val="24"/>
          <w:szCs w:val="24"/>
        </w:rPr>
        <w:t>.</w:t>
      </w:r>
      <w:r w:rsidRPr="00C72AC2">
        <w:rPr>
          <w:rFonts w:ascii="Times New Roman" w:hAnsi="Times New Roman"/>
          <w:sz w:val="24"/>
          <w:szCs w:val="24"/>
        </w:rPr>
        <w:t xml:space="preserve"> </w:t>
      </w:r>
    </w:p>
    <w:p w:rsidR="00254770" w:rsidRPr="00C72AC2" w:rsidRDefault="00254770" w:rsidP="00254770">
      <w:pPr>
        <w:spacing w:after="0" w:line="240" w:lineRule="auto"/>
        <w:ind w:firstLine="709"/>
        <w:contextualSpacing/>
        <w:jc w:val="both"/>
        <w:rPr>
          <w:rFonts w:ascii="Times New Roman" w:hAnsi="Times New Roman"/>
          <w:sz w:val="24"/>
          <w:szCs w:val="24"/>
        </w:rPr>
      </w:pPr>
      <w:r w:rsidRPr="00C72AC2">
        <w:rPr>
          <w:rFonts w:ascii="Times New Roman" w:hAnsi="Times New Roman"/>
          <w:sz w:val="24"/>
          <w:szCs w:val="24"/>
        </w:rPr>
        <w:t>В 2018 год</w:t>
      </w:r>
      <w:r>
        <w:rPr>
          <w:rFonts w:ascii="Times New Roman" w:hAnsi="Times New Roman"/>
          <w:sz w:val="24"/>
          <w:szCs w:val="24"/>
        </w:rPr>
        <w:t>у</w:t>
      </w:r>
      <w:r w:rsidRPr="00C72AC2">
        <w:rPr>
          <w:rFonts w:ascii="Times New Roman" w:hAnsi="Times New Roman"/>
          <w:sz w:val="24"/>
          <w:szCs w:val="24"/>
        </w:rPr>
        <w:t xml:space="preserve"> было проведено 4 квартальных обследования параметров </w:t>
      </w:r>
      <w:r>
        <w:rPr>
          <w:rFonts w:ascii="Times New Roman" w:hAnsi="Times New Roman"/>
          <w:sz w:val="24"/>
          <w:szCs w:val="24"/>
        </w:rPr>
        <w:t>кредитования</w:t>
      </w:r>
      <w:r w:rsidRPr="00C72AC2">
        <w:rPr>
          <w:rFonts w:ascii="Times New Roman" w:hAnsi="Times New Roman"/>
          <w:sz w:val="24"/>
          <w:szCs w:val="24"/>
        </w:rPr>
        <w:t xml:space="preserve">, по итогам которых были размещены публикации на официальном </w:t>
      </w:r>
      <w:r>
        <w:rPr>
          <w:rFonts w:ascii="Times New Roman" w:hAnsi="Times New Roman"/>
          <w:sz w:val="24"/>
          <w:szCs w:val="24"/>
        </w:rPr>
        <w:t>интернет-ресурсе Национального Банка.</w:t>
      </w:r>
      <w:r w:rsidRPr="00C72AC2">
        <w:rPr>
          <w:rFonts w:ascii="Times New Roman" w:hAnsi="Times New Roman"/>
          <w:sz w:val="24"/>
          <w:szCs w:val="24"/>
        </w:rPr>
        <w:t xml:space="preserve"> </w:t>
      </w:r>
    </w:p>
    <w:p w:rsidR="00254770" w:rsidRPr="00C72AC2" w:rsidRDefault="00254770" w:rsidP="00254770">
      <w:pPr>
        <w:spacing w:after="0" w:line="240" w:lineRule="auto"/>
        <w:ind w:firstLine="709"/>
        <w:contextualSpacing/>
        <w:jc w:val="both"/>
        <w:rPr>
          <w:rFonts w:ascii="Times New Roman" w:hAnsi="Times New Roman"/>
          <w:sz w:val="24"/>
          <w:szCs w:val="24"/>
        </w:rPr>
      </w:pPr>
      <w:r w:rsidRPr="00C72AC2">
        <w:rPr>
          <w:rFonts w:ascii="Times New Roman" w:hAnsi="Times New Roman"/>
          <w:i/>
          <w:sz w:val="24"/>
          <w:szCs w:val="24"/>
        </w:rPr>
        <w:t>Корпоративный сектор.</w:t>
      </w:r>
      <w:r w:rsidRPr="00C72AC2">
        <w:rPr>
          <w:rFonts w:ascii="Times New Roman" w:hAnsi="Times New Roman"/>
          <w:sz w:val="24"/>
          <w:szCs w:val="24"/>
        </w:rPr>
        <w:t xml:space="preserve"> В связи с усили</w:t>
      </w:r>
      <w:r>
        <w:rPr>
          <w:rFonts w:ascii="Times New Roman" w:hAnsi="Times New Roman"/>
          <w:sz w:val="24"/>
          <w:szCs w:val="24"/>
        </w:rPr>
        <w:t>вшейся рыночной</w:t>
      </w:r>
      <w:r w:rsidRPr="00C72AC2">
        <w:rPr>
          <w:rFonts w:ascii="Times New Roman" w:hAnsi="Times New Roman"/>
          <w:sz w:val="24"/>
          <w:szCs w:val="24"/>
        </w:rPr>
        <w:t xml:space="preserve"> конкуренцией условия кредитовани</w:t>
      </w:r>
      <w:r>
        <w:rPr>
          <w:rFonts w:ascii="Times New Roman" w:hAnsi="Times New Roman"/>
          <w:sz w:val="24"/>
          <w:szCs w:val="24"/>
        </w:rPr>
        <w:t xml:space="preserve">я субъектов предпринимательства, </w:t>
      </w:r>
      <w:r w:rsidRPr="00C72AC2">
        <w:rPr>
          <w:rFonts w:ascii="Times New Roman" w:hAnsi="Times New Roman"/>
          <w:sz w:val="24"/>
          <w:szCs w:val="24"/>
        </w:rPr>
        <w:t>в целом по сектору</w:t>
      </w:r>
      <w:r>
        <w:rPr>
          <w:rFonts w:ascii="Times New Roman" w:hAnsi="Times New Roman"/>
          <w:sz w:val="24"/>
          <w:szCs w:val="24"/>
        </w:rPr>
        <w:t>,</w:t>
      </w:r>
      <w:r w:rsidRPr="00C72AC2">
        <w:rPr>
          <w:rFonts w:ascii="Times New Roman" w:hAnsi="Times New Roman"/>
          <w:sz w:val="24"/>
          <w:szCs w:val="24"/>
        </w:rPr>
        <w:t xml:space="preserve"> незначительно смягчались в течение первого полугодия</w:t>
      </w:r>
      <w:r>
        <w:rPr>
          <w:rFonts w:ascii="Times New Roman" w:hAnsi="Times New Roman"/>
          <w:sz w:val="24"/>
          <w:szCs w:val="24"/>
        </w:rPr>
        <w:t>, в основном, в части комиссий</w:t>
      </w:r>
      <w:r w:rsidRPr="00C72AC2">
        <w:rPr>
          <w:rFonts w:ascii="Times New Roman" w:hAnsi="Times New Roman"/>
          <w:sz w:val="24"/>
          <w:szCs w:val="24"/>
        </w:rPr>
        <w:t xml:space="preserve"> и ставок вознаграждения. Это, в свою очередь, привело к сужению маржи банков. Институциональные изменения на рынке и конкуренция за качественных заемщиков реструктурированных и ликвидируемых банков привели к снижению ставок для крупных клиентов. С 3</w:t>
      </w:r>
      <w:r>
        <w:rPr>
          <w:rFonts w:ascii="Times New Roman" w:hAnsi="Times New Roman"/>
          <w:sz w:val="24"/>
          <w:szCs w:val="24"/>
        </w:rPr>
        <w:t xml:space="preserve"> квартала</w:t>
      </w:r>
      <w:r w:rsidRPr="00C72AC2">
        <w:rPr>
          <w:rFonts w:ascii="Times New Roman" w:hAnsi="Times New Roman"/>
          <w:sz w:val="24"/>
          <w:szCs w:val="24"/>
        </w:rPr>
        <w:t xml:space="preserve"> 2018</w:t>
      </w:r>
      <w:r>
        <w:rPr>
          <w:rFonts w:ascii="Times New Roman" w:hAnsi="Times New Roman"/>
          <w:sz w:val="24"/>
          <w:szCs w:val="24"/>
        </w:rPr>
        <w:t xml:space="preserve"> года</w:t>
      </w:r>
      <w:r w:rsidRPr="00C72AC2">
        <w:rPr>
          <w:rFonts w:ascii="Times New Roman" w:hAnsi="Times New Roman"/>
          <w:sz w:val="24"/>
          <w:szCs w:val="24"/>
        </w:rPr>
        <w:t xml:space="preserve"> отдельные банки ужесточали требования к залогу и платежеспособности заемщиков в преддверии перехода на риск-ориентированный надзор. </w:t>
      </w:r>
    </w:p>
    <w:p w:rsidR="00254770" w:rsidRPr="00C72AC2" w:rsidRDefault="00254770" w:rsidP="00254770">
      <w:pPr>
        <w:spacing w:after="0" w:line="240" w:lineRule="auto"/>
        <w:ind w:firstLine="709"/>
        <w:contextualSpacing/>
        <w:jc w:val="both"/>
        <w:rPr>
          <w:rFonts w:ascii="Times New Roman" w:hAnsi="Times New Roman"/>
          <w:sz w:val="24"/>
          <w:szCs w:val="24"/>
        </w:rPr>
      </w:pPr>
      <w:r w:rsidRPr="00C72AC2">
        <w:rPr>
          <w:rFonts w:ascii="Times New Roman" w:hAnsi="Times New Roman" w:cs="Times New Roman"/>
          <w:sz w:val="24"/>
        </w:rPr>
        <w:t>Кредитование МСБ продолжал</w:t>
      </w:r>
      <w:r>
        <w:rPr>
          <w:rFonts w:ascii="Times New Roman" w:hAnsi="Times New Roman" w:cs="Times New Roman"/>
          <w:sz w:val="24"/>
        </w:rPr>
        <w:t>о</w:t>
      </w:r>
      <w:r w:rsidRPr="00C72AC2">
        <w:rPr>
          <w:rFonts w:ascii="Times New Roman" w:hAnsi="Times New Roman" w:cs="Times New Roman"/>
          <w:sz w:val="24"/>
        </w:rPr>
        <w:t xml:space="preserve"> набирать </w:t>
      </w:r>
      <w:r>
        <w:rPr>
          <w:rFonts w:ascii="Times New Roman" w:hAnsi="Times New Roman" w:cs="Times New Roman"/>
          <w:sz w:val="24"/>
        </w:rPr>
        <w:t>обороты</w:t>
      </w:r>
      <w:r w:rsidRPr="00C72AC2">
        <w:rPr>
          <w:rFonts w:ascii="Times New Roman" w:hAnsi="Times New Roman" w:cs="Times New Roman"/>
          <w:sz w:val="24"/>
        </w:rPr>
        <w:t xml:space="preserve"> в силу направленности большинства государственных программ на поддержку данного сегмента и намерений банков диверсифицировать портфель. Все больше банков ставили стратегические цели по увеличению доли МСБ в ссудном портфеле. Банки начали работы по автоматизации рассмотрения заявок малых и микробизнесов, поскольку для данных клиентов быстрое принятие решени</w:t>
      </w:r>
      <w:r>
        <w:rPr>
          <w:rFonts w:ascii="Times New Roman" w:hAnsi="Times New Roman" w:cs="Times New Roman"/>
          <w:sz w:val="24"/>
        </w:rPr>
        <w:t>й</w:t>
      </w:r>
      <w:r w:rsidRPr="00C72AC2">
        <w:rPr>
          <w:rFonts w:ascii="Times New Roman" w:hAnsi="Times New Roman" w:cs="Times New Roman"/>
          <w:sz w:val="24"/>
        </w:rPr>
        <w:t xml:space="preserve"> является ключевым фактором при выборе банка. На стороне спроса данные инициативы поддерживал</w:t>
      </w:r>
      <w:r>
        <w:rPr>
          <w:rFonts w:ascii="Times New Roman" w:hAnsi="Times New Roman" w:cs="Times New Roman"/>
          <w:sz w:val="24"/>
        </w:rPr>
        <w:t>ись соответствующим ростом спроса</w:t>
      </w:r>
      <w:r w:rsidRPr="00C72AC2">
        <w:rPr>
          <w:rFonts w:ascii="Times New Roman" w:hAnsi="Times New Roman" w:cs="Times New Roman"/>
          <w:sz w:val="24"/>
        </w:rPr>
        <w:t xml:space="preserve"> </w:t>
      </w:r>
      <w:r>
        <w:rPr>
          <w:rFonts w:ascii="Times New Roman" w:hAnsi="Times New Roman" w:cs="Times New Roman"/>
          <w:sz w:val="24"/>
        </w:rPr>
        <w:t>клиентов</w:t>
      </w:r>
      <w:r w:rsidRPr="00C72AC2">
        <w:rPr>
          <w:rFonts w:ascii="Times New Roman" w:hAnsi="Times New Roman" w:cs="Times New Roman"/>
          <w:sz w:val="24"/>
        </w:rPr>
        <w:t xml:space="preserve"> с начала года.</w:t>
      </w:r>
    </w:p>
    <w:p w:rsidR="00254770" w:rsidRPr="00C72AC2" w:rsidRDefault="00254770" w:rsidP="00254770">
      <w:pPr>
        <w:spacing w:after="0" w:line="240" w:lineRule="auto"/>
        <w:ind w:firstLine="709"/>
        <w:contextualSpacing/>
        <w:jc w:val="both"/>
        <w:rPr>
          <w:rFonts w:ascii="Times New Roman" w:hAnsi="Times New Roman"/>
          <w:sz w:val="24"/>
          <w:szCs w:val="24"/>
        </w:rPr>
      </w:pPr>
      <w:r w:rsidRPr="00C72AC2">
        <w:rPr>
          <w:rFonts w:ascii="Times New Roman" w:hAnsi="Times New Roman"/>
          <w:sz w:val="24"/>
          <w:szCs w:val="24"/>
        </w:rPr>
        <w:t>Спрос крупного и среднего бизнеса на кредитные р</w:t>
      </w:r>
      <w:r>
        <w:rPr>
          <w:rFonts w:ascii="Times New Roman" w:hAnsi="Times New Roman"/>
          <w:sz w:val="24"/>
          <w:szCs w:val="24"/>
        </w:rPr>
        <w:t>есурсы наблюдался до 3 квартала 2018 года</w:t>
      </w:r>
      <w:r w:rsidRPr="00C72AC2">
        <w:rPr>
          <w:rFonts w:ascii="Times New Roman" w:hAnsi="Times New Roman"/>
          <w:sz w:val="24"/>
          <w:szCs w:val="24"/>
        </w:rPr>
        <w:t xml:space="preserve">, после </w:t>
      </w:r>
      <w:r>
        <w:rPr>
          <w:rFonts w:ascii="Times New Roman" w:hAnsi="Times New Roman"/>
          <w:sz w:val="24"/>
          <w:szCs w:val="24"/>
        </w:rPr>
        <w:t xml:space="preserve">чего </w:t>
      </w:r>
      <w:r w:rsidRPr="00C72AC2">
        <w:rPr>
          <w:rFonts w:ascii="Times New Roman" w:hAnsi="Times New Roman"/>
          <w:sz w:val="24"/>
          <w:szCs w:val="24"/>
        </w:rPr>
        <w:t xml:space="preserve">спрос начал падать. При этом в течение года бизнес обращался преимущественно за краткосрочными займами для пополнения оборотных средств.  </w:t>
      </w:r>
    </w:p>
    <w:p w:rsidR="00254770" w:rsidRPr="00C72AC2" w:rsidRDefault="00254770" w:rsidP="00254770">
      <w:pPr>
        <w:spacing w:after="0" w:line="240" w:lineRule="auto"/>
        <w:ind w:firstLine="709"/>
        <w:contextualSpacing/>
        <w:jc w:val="both"/>
        <w:rPr>
          <w:rFonts w:ascii="Times New Roman" w:hAnsi="Times New Roman"/>
          <w:sz w:val="24"/>
          <w:szCs w:val="24"/>
          <w:lang w:val="kk-KZ"/>
        </w:rPr>
      </w:pPr>
      <w:r w:rsidRPr="00C72AC2">
        <w:rPr>
          <w:rFonts w:ascii="Times New Roman" w:hAnsi="Times New Roman"/>
          <w:i/>
          <w:sz w:val="24"/>
          <w:szCs w:val="24"/>
          <w:lang w:val="kk-KZ"/>
        </w:rPr>
        <w:t>Физические лица.</w:t>
      </w:r>
      <w:r w:rsidRPr="00C72AC2">
        <w:rPr>
          <w:rFonts w:ascii="Times New Roman" w:hAnsi="Times New Roman"/>
          <w:sz w:val="24"/>
          <w:szCs w:val="24"/>
        </w:rPr>
        <w:t xml:space="preserve"> Следом за про</w:t>
      </w:r>
      <w:r>
        <w:rPr>
          <w:rFonts w:ascii="Times New Roman" w:hAnsi="Times New Roman"/>
          <w:sz w:val="24"/>
          <w:szCs w:val="24"/>
        </w:rPr>
        <w:t>должительной</w:t>
      </w:r>
      <w:r w:rsidRPr="00C72AC2">
        <w:rPr>
          <w:rFonts w:ascii="Times New Roman" w:hAnsi="Times New Roman"/>
          <w:sz w:val="24"/>
          <w:szCs w:val="24"/>
        </w:rPr>
        <w:t xml:space="preserve"> неизменност</w:t>
      </w:r>
      <w:r>
        <w:rPr>
          <w:rFonts w:ascii="Times New Roman" w:hAnsi="Times New Roman"/>
          <w:sz w:val="24"/>
          <w:szCs w:val="24"/>
        </w:rPr>
        <w:t>ью</w:t>
      </w:r>
      <w:r w:rsidRPr="00C72AC2">
        <w:rPr>
          <w:rFonts w:ascii="Times New Roman" w:hAnsi="Times New Roman"/>
          <w:sz w:val="24"/>
          <w:szCs w:val="24"/>
        </w:rPr>
        <w:t xml:space="preserve"> условий ипотечного кредитования к середине отчетного периода смягчились условия </w:t>
      </w:r>
      <w:r>
        <w:rPr>
          <w:rFonts w:ascii="Times New Roman" w:hAnsi="Times New Roman"/>
          <w:sz w:val="24"/>
          <w:szCs w:val="24"/>
        </w:rPr>
        <w:t>по данному сегменту в</w:t>
      </w:r>
      <w:r w:rsidRPr="00C72AC2">
        <w:rPr>
          <w:rFonts w:ascii="Times New Roman" w:hAnsi="Times New Roman"/>
          <w:sz w:val="24"/>
          <w:szCs w:val="24"/>
        </w:rPr>
        <w:t xml:space="preserve"> свете запуска программы 7-20-25 </w:t>
      </w:r>
      <w:r>
        <w:rPr>
          <w:rFonts w:ascii="Times New Roman" w:hAnsi="Times New Roman"/>
          <w:sz w:val="24"/>
          <w:szCs w:val="24"/>
        </w:rPr>
        <w:t xml:space="preserve">в </w:t>
      </w:r>
      <w:r w:rsidRPr="00C72AC2">
        <w:rPr>
          <w:rFonts w:ascii="Times New Roman" w:hAnsi="Times New Roman"/>
          <w:sz w:val="24"/>
          <w:szCs w:val="24"/>
        </w:rPr>
        <w:t>июле 2018</w:t>
      </w:r>
      <w:r>
        <w:rPr>
          <w:rFonts w:ascii="Times New Roman" w:hAnsi="Times New Roman"/>
          <w:sz w:val="24"/>
          <w:szCs w:val="24"/>
        </w:rPr>
        <w:t xml:space="preserve"> </w:t>
      </w:r>
      <w:r w:rsidRPr="00C72AC2">
        <w:rPr>
          <w:rFonts w:ascii="Times New Roman" w:hAnsi="Times New Roman"/>
          <w:sz w:val="24"/>
          <w:szCs w:val="24"/>
        </w:rPr>
        <w:t>г</w:t>
      </w:r>
      <w:r>
        <w:rPr>
          <w:rFonts w:ascii="Times New Roman" w:hAnsi="Times New Roman"/>
          <w:sz w:val="24"/>
          <w:szCs w:val="24"/>
        </w:rPr>
        <w:t>ода</w:t>
      </w:r>
      <w:r w:rsidRPr="00C72AC2">
        <w:rPr>
          <w:rFonts w:ascii="Times New Roman" w:hAnsi="Times New Roman"/>
          <w:sz w:val="24"/>
          <w:szCs w:val="24"/>
        </w:rPr>
        <w:t>. Смягчение коснулось размера первоначального взноса,</w:t>
      </w:r>
      <w:r>
        <w:rPr>
          <w:rFonts w:ascii="Times New Roman" w:hAnsi="Times New Roman"/>
          <w:sz w:val="24"/>
          <w:szCs w:val="24"/>
        </w:rPr>
        <w:t xml:space="preserve"> ставки и срока займа. При этом</w:t>
      </w:r>
      <w:r w:rsidRPr="00C72AC2">
        <w:rPr>
          <w:rFonts w:ascii="Times New Roman" w:hAnsi="Times New Roman"/>
          <w:sz w:val="24"/>
          <w:szCs w:val="24"/>
        </w:rPr>
        <w:t xml:space="preserve"> в течение 2018</w:t>
      </w:r>
      <w:r>
        <w:rPr>
          <w:rFonts w:ascii="Times New Roman" w:hAnsi="Times New Roman"/>
          <w:sz w:val="24"/>
          <w:szCs w:val="24"/>
        </w:rPr>
        <w:t xml:space="preserve"> года</w:t>
      </w:r>
      <w:r w:rsidRPr="00C72AC2">
        <w:rPr>
          <w:rFonts w:ascii="Times New Roman" w:hAnsi="Times New Roman"/>
          <w:sz w:val="24"/>
          <w:szCs w:val="24"/>
        </w:rPr>
        <w:t xml:space="preserve"> условия кредитования по собственным программам банков оставались без изменений. </w:t>
      </w:r>
      <w:r w:rsidRPr="00C72AC2">
        <w:rPr>
          <w:rFonts w:ascii="Times New Roman" w:hAnsi="Times New Roman"/>
          <w:sz w:val="24"/>
          <w:szCs w:val="24"/>
          <w:lang w:val="kk-KZ"/>
        </w:rPr>
        <w:t>На фоне смягчения условий спрос на ип</w:t>
      </w:r>
      <w:r w:rsidR="00611502">
        <w:rPr>
          <w:rFonts w:ascii="Times New Roman" w:hAnsi="Times New Roman"/>
          <w:sz w:val="24"/>
          <w:szCs w:val="24"/>
          <w:lang w:val="kk-KZ"/>
        </w:rPr>
        <w:t>отечное кредитование</w:t>
      </w:r>
      <w:r w:rsidRPr="00C72AC2">
        <w:rPr>
          <w:rFonts w:ascii="Times New Roman" w:hAnsi="Times New Roman"/>
          <w:sz w:val="24"/>
          <w:szCs w:val="24"/>
          <w:lang w:val="kk-KZ"/>
        </w:rPr>
        <w:t xml:space="preserve"> усилился со 2</w:t>
      </w:r>
      <w:r w:rsidR="00611502">
        <w:rPr>
          <w:rFonts w:ascii="Times New Roman" w:hAnsi="Times New Roman"/>
          <w:sz w:val="24"/>
          <w:szCs w:val="24"/>
          <w:lang w:val="kk-KZ"/>
        </w:rPr>
        <w:t xml:space="preserve"> квартала </w:t>
      </w:r>
      <w:r w:rsidRPr="00C72AC2">
        <w:rPr>
          <w:rFonts w:ascii="Times New Roman" w:hAnsi="Times New Roman"/>
          <w:sz w:val="24"/>
          <w:szCs w:val="24"/>
          <w:lang w:val="kk-KZ"/>
        </w:rPr>
        <w:t>2018</w:t>
      </w:r>
      <w:r w:rsidR="00611502">
        <w:rPr>
          <w:rFonts w:ascii="Times New Roman" w:hAnsi="Times New Roman"/>
          <w:sz w:val="24"/>
          <w:szCs w:val="24"/>
          <w:lang w:val="kk-KZ"/>
        </w:rPr>
        <w:t xml:space="preserve"> </w:t>
      </w:r>
      <w:r w:rsidRPr="00C72AC2">
        <w:rPr>
          <w:rFonts w:ascii="Times New Roman" w:hAnsi="Times New Roman"/>
          <w:sz w:val="24"/>
          <w:szCs w:val="24"/>
          <w:lang w:val="kk-KZ"/>
        </w:rPr>
        <w:t>г</w:t>
      </w:r>
      <w:r w:rsidR="00611502">
        <w:rPr>
          <w:rFonts w:ascii="Times New Roman" w:hAnsi="Times New Roman"/>
          <w:sz w:val="24"/>
          <w:szCs w:val="24"/>
          <w:lang w:val="kk-KZ"/>
        </w:rPr>
        <w:t>ода</w:t>
      </w:r>
      <w:r w:rsidRPr="00C72AC2">
        <w:rPr>
          <w:rFonts w:ascii="Times New Roman" w:hAnsi="Times New Roman"/>
          <w:sz w:val="24"/>
          <w:szCs w:val="24"/>
          <w:lang w:val="kk-KZ"/>
        </w:rPr>
        <w:t>.</w:t>
      </w:r>
    </w:p>
    <w:p w:rsidR="00254770" w:rsidRPr="00611502" w:rsidRDefault="00254770" w:rsidP="00254770">
      <w:pPr>
        <w:spacing w:after="0" w:line="240" w:lineRule="auto"/>
        <w:ind w:firstLine="709"/>
        <w:contextualSpacing/>
        <w:jc w:val="both"/>
        <w:rPr>
          <w:rFonts w:ascii="Times New Roman" w:hAnsi="Times New Roman"/>
          <w:sz w:val="24"/>
          <w:szCs w:val="24"/>
        </w:rPr>
      </w:pPr>
      <w:r w:rsidRPr="00C72AC2">
        <w:rPr>
          <w:rFonts w:ascii="Times New Roman" w:hAnsi="Times New Roman"/>
          <w:sz w:val="24"/>
          <w:szCs w:val="24"/>
          <w:lang w:val="kk-KZ"/>
        </w:rPr>
        <w:t>На рынке потребительского кредитования беззалоговое кредитование продолжал</w:t>
      </w:r>
      <w:r>
        <w:rPr>
          <w:rFonts w:ascii="Times New Roman" w:hAnsi="Times New Roman"/>
          <w:sz w:val="24"/>
          <w:szCs w:val="24"/>
          <w:lang w:val="kk-KZ"/>
        </w:rPr>
        <w:t>о</w:t>
      </w:r>
      <w:r w:rsidRPr="00C72AC2">
        <w:rPr>
          <w:rFonts w:ascii="Times New Roman" w:hAnsi="Times New Roman"/>
          <w:sz w:val="24"/>
          <w:szCs w:val="24"/>
          <w:lang w:val="kk-KZ"/>
        </w:rPr>
        <w:t xml:space="preserve"> набирать </w:t>
      </w:r>
      <w:r>
        <w:rPr>
          <w:rFonts w:ascii="Times New Roman" w:hAnsi="Times New Roman"/>
          <w:sz w:val="24"/>
          <w:szCs w:val="24"/>
          <w:lang w:val="kk-KZ"/>
        </w:rPr>
        <w:t>обороты</w:t>
      </w:r>
      <w:r w:rsidRPr="00C72AC2">
        <w:rPr>
          <w:rFonts w:ascii="Times New Roman" w:hAnsi="Times New Roman"/>
          <w:sz w:val="24"/>
          <w:szCs w:val="24"/>
          <w:lang w:val="kk-KZ"/>
        </w:rPr>
        <w:t xml:space="preserve">. </w:t>
      </w:r>
      <w:r w:rsidRPr="00C72AC2">
        <w:rPr>
          <w:rFonts w:ascii="Times New Roman" w:hAnsi="Times New Roman"/>
          <w:sz w:val="24"/>
          <w:szCs w:val="24"/>
        </w:rPr>
        <w:t>В целях улучшения конкурентоспособности банки увеличивали лимиты кредитования и снижали процентные ставки. Отдельные банки также обогащали скоринговые модели данными телекоммуникационных и электронных почтовых сервисов для получения дополнительных сведений о платежеспособности потенциального заемщика и расширения охвата клиентов. Рост спроса на данный вид займа сохранялся на протяжении всего 2018 года.</w:t>
      </w:r>
    </w:p>
    <w:p w:rsidR="00254770" w:rsidRPr="00707447" w:rsidRDefault="00254770" w:rsidP="00254770">
      <w:pPr>
        <w:spacing w:after="0" w:line="240" w:lineRule="auto"/>
        <w:ind w:firstLine="709"/>
        <w:contextualSpacing/>
        <w:jc w:val="both"/>
        <w:rPr>
          <w:rFonts w:ascii="Times New Roman" w:hAnsi="Times New Roman"/>
          <w:b/>
          <w:sz w:val="24"/>
          <w:szCs w:val="24"/>
        </w:rPr>
      </w:pPr>
      <w:r w:rsidRPr="00707447">
        <w:rPr>
          <w:rFonts w:ascii="Times New Roman" w:hAnsi="Times New Roman"/>
          <w:b/>
          <w:sz w:val="24"/>
          <w:szCs w:val="24"/>
        </w:rPr>
        <w:t>Примечание (информация об исполнении/ неисполнении)</w:t>
      </w:r>
    </w:p>
    <w:p w:rsidR="00254770" w:rsidRPr="00707447" w:rsidRDefault="00254770" w:rsidP="00254770">
      <w:pPr>
        <w:spacing w:after="0" w:line="240" w:lineRule="auto"/>
        <w:ind w:firstLine="709"/>
        <w:contextualSpacing/>
        <w:jc w:val="both"/>
        <w:rPr>
          <w:rFonts w:ascii="Times New Roman" w:hAnsi="Times New Roman"/>
          <w:sz w:val="24"/>
          <w:szCs w:val="24"/>
        </w:rPr>
      </w:pPr>
      <w:r w:rsidRPr="00707447">
        <w:rPr>
          <w:rFonts w:ascii="Times New Roman" w:hAnsi="Times New Roman"/>
          <w:sz w:val="24"/>
          <w:szCs w:val="24"/>
        </w:rPr>
        <w:t xml:space="preserve">Согласно </w:t>
      </w:r>
      <w:r>
        <w:rPr>
          <w:rFonts w:ascii="Times New Roman" w:hAnsi="Times New Roman"/>
          <w:sz w:val="24"/>
          <w:szCs w:val="24"/>
        </w:rPr>
        <w:t>Отчету</w:t>
      </w:r>
      <w:r w:rsidRPr="00707447">
        <w:rPr>
          <w:rFonts w:ascii="Times New Roman" w:hAnsi="Times New Roman"/>
          <w:sz w:val="24"/>
          <w:szCs w:val="24"/>
        </w:rPr>
        <w:t xml:space="preserve"> ГИК ВЭФ 2017-2018 Казахстан по данному индикатору занял 120-е место</w:t>
      </w:r>
      <w:r>
        <w:rPr>
          <w:rFonts w:ascii="Times New Roman" w:hAnsi="Times New Roman"/>
          <w:sz w:val="24"/>
          <w:szCs w:val="24"/>
        </w:rPr>
        <w:t xml:space="preserve"> </w:t>
      </w:r>
      <w:r w:rsidRPr="00611502">
        <w:rPr>
          <w:rFonts w:ascii="Times New Roman" w:hAnsi="Times New Roman"/>
          <w:i/>
          <w:sz w:val="24"/>
          <w:szCs w:val="24"/>
        </w:rPr>
        <w:t>(план – 101 место).</w:t>
      </w:r>
      <w:r w:rsidRPr="00707447">
        <w:rPr>
          <w:rFonts w:ascii="Times New Roman" w:hAnsi="Times New Roman"/>
          <w:sz w:val="24"/>
          <w:szCs w:val="24"/>
        </w:rPr>
        <w:t xml:space="preserve"> Главной причиной ухудшения позиции по данному индикатору является фактор субъективного восприятия респондентами (более негативного, чем есть на самом деле) ситуации, на финансовом рынке. Национальный Банк выражал позицию о рисках некорректности </w:t>
      </w:r>
      <w:r w:rsidRPr="00707447">
        <w:rPr>
          <w:rFonts w:ascii="Times New Roman" w:hAnsi="Times New Roman"/>
          <w:sz w:val="24"/>
          <w:szCs w:val="24"/>
        </w:rPr>
        <w:lastRenderedPageBreak/>
        <w:t xml:space="preserve">показателя и необходимости изменения методологии расчета данного индикатора (перенос из категории опросных в категорию статистических) в целях большей объективности. В частности, оценка </w:t>
      </w:r>
      <w:r w:rsidR="00611502">
        <w:rPr>
          <w:rFonts w:ascii="Times New Roman" w:hAnsi="Times New Roman"/>
          <w:sz w:val="24"/>
          <w:szCs w:val="24"/>
        </w:rPr>
        <w:t xml:space="preserve">мер, </w:t>
      </w:r>
      <w:r>
        <w:rPr>
          <w:rFonts w:ascii="Times New Roman" w:hAnsi="Times New Roman"/>
          <w:sz w:val="24"/>
          <w:szCs w:val="24"/>
        </w:rPr>
        <w:t>предпринимаемых Национальным Банком</w:t>
      </w:r>
      <w:r w:rsidR="00271E80">
        <w:rPr>
          <w:rFonts w:ascii="Times New Roman" w:hAnsi="Times New Roman"/>
          <w:sz w:val="24"/>
          <w:szCs w:val="24"/>
        </w:rPr>
        <w:t xml:space="preserve"> в текущем формате, </w:t>
      </w:r>
      <w:r w:rsidRPr="00707447">
        <w:rPr>
          <w:rFonts w:ascii="Times New Roman" w:hAnsi="Times New Roman"/>
          <w:sz w:val="24"/>
          <w:szCs w:val="24"/>
        </w:rPr>
        <w:t xml:space="preserve">была подвержена негативному субъективному восприятию, поскольку вывод неплатежеспособных банков с рынка для оздоровления банковского сектора зачастую воспринимается больше как снижение надежности банковского сектора. </w:t>
      </w:r>
    </w:p>
    <w:p w:rsidR="00254770" w:rsidRDefault="00254770" w:rsidP="00254770">
      <w:pPr>
        <w:spacing w:after="0" w:line="240" w:lineRule="auto"/>
        <w:ind w:firstLine="709"/>
        <w:contextualSpacing/>
        <w:jc w:val="both"/>
        <w:rPr>
          <w:rFonts w:ascii="Times New Roman" w:hAnsi="Times New Roman"/>
          <w:sz w:val="24"/>
          <w:szCs w:val="24"/>
        </w:rPr>
      </w:pPr>
      <w:r w:rsidRPr="00707447">
        <w:rPr>
          <w:rFonts w:ascii="Times New Roman" w:hAnsi="Times New Roman"/>
          <w:sz w:val="24"/>
          <w:szCs w:val="24"/>
        </w:rPr>
        <w:t xml:space="preserve">В итоге, несмотря на меры по оздоровлению банковского сектора, очищению балансов банков от неработающих займов, повышению их капитализации и законодательную работу по усилению надзорного мандата Национального Банка, позиция по индикатору «Надежность банков» не претерпела улучшений, а даже ухудшилась. </w:t>
      </w:r>
    </w:p>
    <w:p w:rsidR="00254770" w:rsidRPr="00707447" w:rsidRDefault="00254770" w:rsidP="00254770">
      <w:pPr>
        <w:spacing w:after="0" w:line="240" w:lineRule="auto"/>
        <w:ind w:firstLine="709"/>
        <w:contextualSpacing/>
        <w:jc w:val="both"/>
        <w:rPr>
          <w:rFonts w:ascii="Times New Roman" w:hAnsi="Times New Roman"/>
          <w:sz w:val="24"/>
          <w:szCs w:val="24"/>
        </w:rPr>
      </w:pPr>
      <w:r w:rsidRPr="00707447">
        <w:rPr>
          <w:rFonts w:ascii="Times New Roman" w:hAnsi="Times New Roman"/>
          <w:sz w:val="24"/>
          <w:szCs w:val="24"/>
        </w:rPr>
        <w:t>В июле 2018 года Главой государства был подписан Закон Республики Казахстан «О внесении изменений и дополнений в некоторые законодательные акты Республики Казахстан по вопросам валютного регулирования и валютного контроля, риск-ориентированного надзора за деятельностью финансовых организаций, защиты прав потребителей финансовых услуг и совершенствования деятельности Национального Банка Республики Казахстан», предусматривающий внедрение риск-ориентированного надзора, в рамках которого Национальным Банком будет использован инструментарий мотивированного суждения, позволяющий принятие превентивных мер в случае реализации рисков. Другими словами, финансовый регулятор получит возможность предотвращать возникновение кризисных ситуаций в банках, не дожидаясь ухудшения их финансового положения. Кроме того, Национальному Банку предоставлено право по оперативному урегулированию проблемных банков с минимизацией государственной поддержки и снижением системных последствий для финансового сектора. Следует отметить, что полноценный положительный эффект от мер по оздоровлению и укреплению банковского сектора ожидается</w:t>
      </w:r>
      <w:r w:rsidR="00611502">
        <w:rPr>
          <w:rFonts w:ascii="Times New Roman" w:hAnsi="Times New Roman"/>
          <w:sz w:val="24"/>
          <w:szCs w:val="24"/>
        </w:rPr>
        <w:t xml:space="preserve"> в долгосрочном периоде, и, </w:t>
      </w:r>
      <w:r w:rsidRPr="00707447">
        <w:rPr>
          <w:rFonts w:ascii="Times New Roman" w:hAnsi="Times New Roman"/>
          <w:sz w:val="24"/>
          <w:szCs w:val="24"/>
        </w:rPr>
        <w:t>как показывает международный опыт, данные меры, несмотря на болезненное восприятие обществом, являются необходимыми для функционирования устойчивого и надежного банковского сектора.</w:t>
      </w:r>
    </w:p>
    <w:p w:rsidR="00F2659C" w:rsidRDefault="00F2659C" w:rsidP="00F2659C">
      <w:pPr>
        <w:spacing w:after="0" w:line="240" w:lineRule="auto"/>
        <w:ind w:firstLine="709"/>
        <w:contextualSpacing/>
        <w:jc w:val="both"/>
        <w:rPr>
          <w:rFonts w:ascii="Times New Roman" w:hAnsi="Times New Roman"/>
          <w:b/>
          <w:bCs/>
          <w:i/>
          <w:iCs/>
          <w:sz w:val="24"/>
        </w:rPr>
      </w:pPr>
    </w:p>
    <w:p w:rsidR="00F2659C" w:rsidRPr="00E82016" w:rsidRDefault="00F2659C" w:rsidP="00F2659C">
      <w:pPr>
        <w:spacing w:after="0" w:line="240" w:lineRule="auto"/>
        <w:ind w:firstLine="709"/>
        <w:contextualSpacing/>
        <w:jc w:val="both"/>
        <w:rPr>
          <w:rFonts w:ascii="Times New Roman" w:hAnsi="Times New Roman"/>
          <w:i/>
          <w:sz w:val="24"/>
          <w:szCs w:val="24"/>
          <w:lang w:val="kk-KZ"/>
        </w:rPr>
      </w:pPr>
      <w:r w:rsidRPr="005A4D07">
        <w:rPr>
          <w:rFonts w:ascii="Times New Roman" w:hAnsi="Times New Roman"/>
          <w:b/>
          <w:i/>
          <w:sz w:val="24"/>
          <w:szCs w:val="24"/>
        </w:rPr>
        <w:t>Целевой индикатор 2:</w:t>
      </w:r>
      <w:r w:rsidRPr="005A4D07">
        <w:rPr>
          <w:rFonts w:ascii="Times New Roman" w:hAnsi="Times New Roman"/>
          <w:i/>
          <w:sz w:val="24"/>
          <w:szCs w:val="24"/>
        </w:rPr>
        <w:t xml:space="preserve"> </w:t>
      </w:r>
      <w:r w:rsidRPr="005A4D07">
        <w:rPr>
          <w:rFonts w:ascii="Times New Roman" w:hAnsi="Times New Roman"/>
          <w:b/>
          <w:i/>
          <w:sz w:val="24"/>
          <w:szCs w:val="24"/>
          <w:lang w:val="kk-KZ"/>
        </w:rPr>
        <w:t xml:space="preserve">Объем ссудного портфеля </w:t>
      </w:r>
      <w:r w:rsidRPr="005A4D07">
        <w:rPr>
          <w:rFonts w:ascii="Times New Roman" w:hAnsi="Times New Roman"/>
          <w:i/>
          <w:sz w:val="24"/>
          <w:szCs w:val="24"/>
          <w:lang w:val="kk-KZ"/>
        </w:rPr>
        <w:t>(27% от ВВП)</w:t>
      </w:r>
    </w:p>
    <w:p w:rsidR="00F2659C" w:rsidRPr="00F13208" w:rsidRDefault="00F2659C" w:rsidP="00F2659C">
      <w:pPr>
        <w:spacing w:after="0" w:line="240" w:lineRule="auto"/>
        <w:ind w:firstLine="709"/>
        <w:contextualSpacing/>
        <w:jc w:val="both"/>
        <w:rPr>
          <w:rFonts w:ascii="Times New Roman" w:hAnsi="Times New Roman"/>
          <w:b/>
          <w:bCs/>
          <w:i/>
          <w:iCs/>
          <w:sz w:val="24"/>
        </w:rPr>
      </w:pPr>
      <w:r w:rsidRPr="00E82016">
        <w:rPr>
          <w:rFonts w:ascii="Times New Roman" w:hAnsi="Times New Roman"/>
          <w:b/>
          <w:bCs/>
          <w:i/>
          <w:iCs/>
          <w:sz w:val="24"/>
        </w:rPr>
        <w:t>Мероприятия для достижения  целевого индикатора:</w:t>
      </w:r>
    </w:p>
    <w:p w:rsidR="005A4D07" w:rsidRPr="005A4D07" w:rsidRDefault="005A4D07" w:rsidP="005A4D07">
      <w:pPr>
        <w:spacing w:after="0" w:line="240" w:lineRule="auto"/>
        <w:ind w:firstLine="709"/>
        <w:jc w:val="both"/>
        <w:rPr>
          <w:rFonts w:ascii="Times New Roman" w:hAnsi="Times New Roman" w:cs="Times New Roman"/>
          <w:sz w:val="24"/>
          <w:szCs w:val="24"/>
        </w:rPr>
      </w:pPr>
      <w:r w:rsidRPr="005A4D07">
        <w:rPr>
          <w:rFonts w:ascii="Times New Roman" w:hAnsi="Times New Roman" w:cs="Times New Roman"/>
          <w:sz w:val="24"/>
          <w:szCs w:val="24"/>
        </w:rPr>
        <w:t>Значение данного индикатора на ноябрь 2018</w:t>
      </w:r>
      <w:r>
        <w:rPr>
          <w:rFonts w:ascii="Times New Roman" w:hAnsi="Times New Roman" w:cs="Times New Roman"/>
          <w:sz w:val="24"/>
          <w:szCs w:val="24"/>
        </w:rPr>
        <w:t xml:space="preserve"> </w:t>
      </w:r>
      <w:r w:rsidRPr="005A4D07">
        <w:rPr>
          <w:rFonts w:ascii="Times New Roman" w:hAnsi="Times New Roman" w:cs="Times New Roman"/>
          <w:sz w:val="24"/>
          <w:szCs w:val="24"/>
        </w:rPr>
        <w:t xml:space="preserve">года составило – 33,2% от ВВП, что превышает плановое значение на 6,2%. </w:t>
      </w:r>
    </w:p>
    <w:p w:rsidR="005A4D07" w:rsidRPr="005A4D07" w:rsidRDefault="005A4D07" w:rsidP="005A4D07">
      <w:pPr>
        <w:spacing w:after="0" w:line="240" w:lineRule="auto"/>
        <w:ind w:firstLine="709"/>
        <w:jc w:val="both"/>
        <w:rPr>
          <w:rFonts w:ascii="Times New Roman" w:hAnsi="Times New Roman" w:cs="Times New Roman"/>
          <w:sz w:val="24"/>
          <w:szCs w:val="24"/>
        </w:rPr>
      </w:pPr>
      <w:r w:rsidRPr="005A4D07">
        <w:rPr>
          <w:rFonts w:ascii="Times New Roman" w:hAnsi="Times New Roman" w:cs="Times New Roman"/>
          <w:sz w:val="24"/>
          <w:szCs w:val="24"/>
        </w:rPr>
        <w:t xml:space="preserve">Согласно приказу </w:t>
      </w:r>
      <w:r>
        <w:rPr>
          <w:rFonts w:ascii="Times New Roman" w:hAnsi="Times New Roman" w:cs="Times New Roman"/>
          <w:sz w:val="24"/>
          <w:szCs w:val="24"/>
        </w:rPr>
        <w:t>М</w:t>
      </w:r>
      <w:r w:rsidRPr="005A4D07">
        <w:rPr>
          <w:rFonts w:ascii="Times New Roman" w:hAnsi="Times New Roman" w:cs="Times New Roman"/>
          <w:sz w:val="24"/>
          <w:szCs w:val="24"/>
        </w:rPr>
        <w:t xml:space="preserve">инистерства национальной экономики Республики Казахстан от 12 ноября 2018 года № 67 </w:t>
      </w:r>
      <w:r>
        <w:rPr>
          <w:rFonts w:ascii="Times New Roman" w:hAnsi="Times New Roman" w:cs="Times New Roman"/>
          <w:sz w:val="24"/>
          <w:szCs w:val="24"/>
        </w:rPr>
        <w:t>«О</w:t>
      </w:r>
      <w:r w:rsidRPr="005A4D07">
        <w:rPr>
          <w:rFonts w:ascii="Times New Roman" w:hAnsi="Times New Roman" w:cs="Times New Roman"/>
          <w:sz w:val="24"/>
          <w:szCs w:val="24"/>
        </w:rPr>
        <w:t>б утверждении Плана статистических работ на 2019 год</w:t>
      </w:r>
      <w:r>
        <w:rPr>
          <w:rFonts w:ascii="Times New Roman" w:hAnsi="Times New Roman" w:cs="Times New Roman"/>
          <w:sz w:val="24"/>
          <w:szCs w:val="24"/>
        </w:rPr>
        <w:t>»,</w:t>
      </w:r>
      <w:r w:rsidRPr="005A4D07">
        <w:rPr>
          <w:rFonts w:ascii="Times New Roman" w:hAnsi="Times New Roman" w:cs="Times New Roman"/>
          <w:sz w:val="24"/>
          <w:szCs w:val="24"/>
        </w:rPr>
        <w:t xml:space="preserve"> информация об объеме ВВП методом производства за 2018 год публикуется 15 февраля 2019 года.</w:t>
      </w:r>
    </w:p>
    <w:p w:rsidR="00CB30BD" w:rsidRPr="007A321E" w:rsidRDefault="00CB30BD" w:rsidP="00CB30BD">
      <w:pPr>
        <w:spacing w:after="0" w:line="240" w:lineRule="auto"/>
        <w:ind w:firstLine="709"/>
        <w:contextualSpacing/>
        <w:jc w:val="both"/>
        <w:rPr>
          <w:rFonts w:ascii="Times New Roman" w:hAnsi="Times New Roman"/>
          <w:i/>
          <w:sz w:val="24"/>
          <w:szCs w:val="24"/>
        </w:rPr>
      </w:pPr>
      <w:r w:rsidRPr="007A321E">
        <w:rPr>
          <w:rFonts w:ascii="Times New Roman" w:hAnsi="Times New Roman"/>
          <w:i/>
          <w:sz w:val="24"/>
          <w:szCs w:val="24"/>
        </w:rPr>
        <w:t>Усиление депозитной базы банков, в том числе за счет введения в банковскую практику срочных депозитов и депозитных сертификатов.</w:t>
      </w:r>
    </w:p>
    <w:p w:rsidR="00CB30BD" w:rsidRDefault="00CB30BD" w:rsidP="00CB30BD">
      <w:pPr>
        <w:keepLine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июля 2018 года подписан Закон Республики Казахстан «О внесении изменений и дополнений в некоторые законодательные акты Республики Казахстан по вопросам валютного регулирования и валютного контроля, риск-ориентированного надзора за деятельностью финансовых организаций, защиты прав потребителей финансовых услуг и совершенствования деятельности Национального Банка Республики Казахстан», в соответствии с которым в банковскую практику введен новый вид вклада (сберегательный вклад), ориентированный на стимулирование склонности экономических субъектов к средне- и долгосрочному сбережению и расширение источников фондирования банковского сектора. Привлекательность сберегательных вкладов обеспечивается за счет предоставления большей доходность, в обмен на обязательство не изымать вклад до истечения срока договора, и максимальной суммы гарантирования в размере 15 млн. тенге. Существующая система срочных депозитов сохраняется.</w:t>
      </w:r>
    </w:p>
    <w:p w:rsidR="00CB30BD" w:rsidRDefault="00CB30BD" w:rsidP="00CB30BD">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За первые 3 месяца запуска (с октября 2018 года) сберегательных вкладов более 11 тыс. вкладчиков открыли данный вклад на общую сумму 26,5 млрд. тенге. 78% сберегательных вкладов составляют долгосрочные депозиты свыше 6 месяцев. На выбор вкладчиков сегодня в депозитной линейке доступно 19 продуктов по сберегательным вкладам в 12 банках второго уровня.</w:t>
      </w:r>
    </w:p>
    <w:p w:rsidR="00CB30BD" w:rsidRDefault="00CB30BD" w:rsidP="00CB30BD">
      <w:pPr>
        <w:keepLines/>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Кроме того, Национальным Банком совместно с КФГД с 1 октября 2018г. ввел систему дифференцированных предельных ставок по депозитам в национальной валюте, которая направлена на создание условий для развития рынка срочных депозитов, а также снижение нездоровой конкуренции на депозитном рынке. В соответствии с новой системой предельные ставки по депозитам устанавливаются в зависимости от сроков, условий досрочного изъятия и возможности пополнения.</w:t>
      </w:r>
    </w:p>
    <w:p w:rsidR="00CB30BD" w:rsidRDefault="00CB30BD" w:rsidP="00CB30BD">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Вместе с тем, постановлением Правления Национального Банка от 22 декабря 2017 года №264 утверждены правила выпуска и обращения банковских депозитных сертификатов. Данные правила предусматривают упрощение порядка выпуска банковских депозитных сертификатов путем закрепления самостоятельного учета банковских депозитных сертификатов за банками – эмитентами.</w:t>
      </w:r>
    </w:p>
    <w:p w:rsidR="00CB30BD" w:rsidRDefault="00CB30BD" w:rsidP="00CB30BD">
      <w:pPr>
        <w:spacing w:after="0" w:line="240" w:lineRule="auto"/>
        <w:ind w:firstLine="709"/>
        <w:contextualSpacing/>
        <w:jc w:val="both"/>
        <w:rPr>
          <w:rFonts w:ascii="Times New Roman" w:hAnsi="Times New Roman"/>
          <w:i/>
          <w:sz w:val="24"/>
          <w:szCs w:val="24"/>
        </w:rPr>
      </w:pPr>
      <w:r>
        <w:rPr>
          <w:rFonts w:ascii="Times New Roman" w:hAnsi="Times New Roman" w:cs="Times New Roman"/>
          <w:color w:val="000000"/>
          <w:sz w:val="24"/>
          <w:szCs w:val="24"/>
        </w:rPr>
        <w:t>В целом, ожидается, что указанные меры положительно отразятся на формировании срочного рынка и деятельности банков второго уровня. Все больше банков заинтересованы в создании и продвижении новых депозитных продуктов, отличающихся от прежних стабильностью, качеством обслуживания и низкими рисками.</w:t>
      </w:r>
    </w:p>
    <w:p w:rsidR="00CB30BD" w:rsidRDefault="00CB30BD" w:rsidP="00CB30BD">
      <w:pPr>
        <w:spacing w:after="0" w:line="240" w:lineRule="auto"/>
        <w:ind w:firstLine="709"/>
        <w:contextualSpacing/>
        <w:jc w:val="both"/>
        <w:rPr>
          <w:rFonts w:ascii="Times New Roman" w:hAnsi="Times New Roman"/>
          <w:i/>
          <w:sz w:val="24"/>
          <w:szCs w:val="24"/>
        </w:rPr>
      </w:pPr>
      <w:r w:rsidRPr="007A321E">
        <w:rPr>
          <w:rFonts w:ascii="Times New Roman" w:hAnsi="Times New Roman"/>
          <w:i/>
          <w:sz w:val="24"/>
          <w:szCs w:val="24"/>
        </w:rPr>
        <w:t>Восстановление системы секьюритизации ипотечных кредитов.</w:t>
      </w:r>
    </w:p>
    <w:p w:rsidR="00CB30BD" w:rsidRPr="004E40E7" w:rsidRDefault="00CB30BD" w:rsidP="00CB30BD">
      <w:pPr>
        <w:keepLines/>
        <w:autoSpaceDE w:val="0"/>
        <w:autoSpaceDN w:val="0"/>
        <w:adjustRightInd w:val="0"/>
        <w:spacing w:after="0" w:line="240" w:lineRule="auto"/>
        <w:ind w:firstLine="709"/>
        <w:jc w:val="both"/>
        <w:rPr>
          <w:rFonts w:ascii="Times New Roman" w:hAnsi="Times New Roman"/>
          <w:sz w:val="24"/>
          <w:szCs w:val="28"/>
        </w:rPr>
      </w:pPr>
      <w:r w:rsidRPr="004E40E7">
        <w:rPr>
          <w:rFonts w:ascii="Times New Roman" w:hAnsi="Times New Roman"/>
          <w:sz w:val="24"/>
          <w:szCs w:val="28"/>
        </w:rPr>
        <w:t>Национальным Банком осуществлены меры по реализации восстановления системы секьюритизации ипотечных кредитов, в том числе создана вся необходимая инфраструктура для секьюритизации – действует оператор вторичного рынка ипотеки АО «Ипотечная организация «Баспана» (далее – Оператор), который выпуская облигации, выкупает права требования по ипотечным жилищным займам. Такая система позволяет в долгосрочной перспективе обеспечить ипотечное кредитование «длинным» фондированием путем рефинансирования банков, которые за счет высвободившихся ресурсов обеспечат выдачу новых займов.</w:t>
      </w:r>
    </w:p>
    <w:p w:rsidR="00CB30BD" w:rsidRPr="004E40E7" w:rsidRDefault="00CB30BD" w:rsidP="00CB30BD">
      <w:pPr>
        <w:tabs>
          <w:tab w:val="left" w:pos="-7230"/>
          <w:tab w:val="left" w:pos="1134"/>
        </w:tabs>
        <w:spacing w:after="0" w:line="240" w:lineRule="auto"/>
        <w:ind w:firstLine="709"/>
        <w:jc w:val="both"/>
        <w:rPr>
          <w:rFonts w:ascii="Times New Roman" w:hAnsi="Times New Roman"/>
          <w:color w:val="000000"/>
          <w:sz w:val="24"/>
          <w:szCs w:val="28"/>
        </w:rPr>
      </w:pPr>
      <w:r w:rsidRPr="004E40E7">
        <w:rPr>
          <w:rFonts w:ascii="Times New Roman" w:hAnsi="Times New Roman"/>
          <w:color w:val="000000"/>
          <w:sz w:val="24"/>
          <w:szCs w:val="28"/>
        </w:rPr>
        <w:t xml:space="preserve">Агентские облигации Оператора размещаются на торговой площадке АО "Казахстанская фондовая биржа" (KASE) среди неограниченного круга инвесторов. </w:t>
      </w:r>
    </w:p>
    <w:p w:rsidR="00CB30BD" w:rsidRPr="004E40E7" w:rsidRDefault="00CB30BD" w:rsidP="00CB30BD">
      <w:pPr>
        <w:tabs>
          <w:tab w:val="left" w:pos="-7230"/>
          <w:tab w:val="left" w:pos="1134"/>
        </w:tabs>
        <w:spacing w:after="0" w:line="240" w:lineRule="auto"/>
        <w:ind w:firstLine="709"/>
        <w:jc w:val="both"/>
        <w:rPr>
          <w:rFonts w:ascii="Times New Roman" w:hAnsi="Times New Roman"/>
          <w:sz w:val="24"/>
          <w:szCs w:val="28"/>
        </w:rPr>
      </w:pPr>
      <w:r w:rsidRPr="004E40E7">
        <w:rPr>
          <w:rFonts w:ascii="Times New Roman" w:hAnsi="Times New Roman"/>
          <w:sz w:val="24"/>
          <w:szCs w:val="28"/>
        </w:rPr>
        <w:t>Появление нового качественного и надежного финансового инструмента в виде агентских облигаций Оператора позволит не только привлечь ресурсы для активизации долгосрочного кредитования, но и даст импульс развитию отечественного фондового рынка.</w:t>
      </w:r>
    </w:p>
    <w:p w:rsidR="00F2659C" w:rsidRDefault="00F2659C" w:rsidP="00F2659C">
      <w:pPr>
        <w:spacing w:after="0" w:line="240" w:lineRule="auto"/>
        <w:ind w:firstLine="709"/>
        <w:contextualSpacing/>
        <w:jc w:val="both"/>
        <w:rPr>
          <w:rFonts w:ascii="Times New Roman" w:hAnsi="Times New Roman"/>
          <w:b/>
          <w:i/>
          <w:color w:val="000000"/>
          <w:sz w:val="24"/>
          <w:szCs w:val="24"/>
        </w:rPr>
      </w:pPr>
    </w:p>
    <w:p w:rsidR="00F2659C" w:rsidRPr="00E82016" w:rsidRDefault="00F2659C" w:rsidP="00F2659C">
      <w:pPr>
        <w:spacing w:after="0" w:line="240" w:lineRule="auto"/>
        <w:ind w:firstLine="709"/>
        <w:contextualSpacing/>
        <w:jc w:val="both"/>
        <w:rPr>
          <w:rFonts w:ascii="Times New Roman" w:hAnsi="Times New Roman"/>
          <w:i/>
          <w:sz w:val="24"/>
          <w:szCs w:val="24"/>
          <w:lang w:val="kk-KZ"/>
        </w:rPr>
      </w:pPr>
      <w:r>
        <w:rPr>
          <w:rFonts w:ascii="Times New Roman" w:hAnsi="Times New Roman"/>
          <w:b/>
          <w:i/>
          <w:sz w:val="24"/>
          <w:szCs w:val="24"/>
        </w:rPr>
        <w:t>Целевой индикатор 3</w:t>
      </w:r>
      <w:r w:rsidRPr="00E82016">
        <w:rPr>
          <w:rFonts w:ascii="Times New Roman" w:hAnsi="Times New Roman"/>
          <w:b/>
          <w:i/>
          <w:sz w:val="24"/>
          <w:szCs w:val="24"/>
        </w:rPr>
        <w:t>:</w:t>
      </w:r>
      <w:r w:rsidRPr="00E82016">
        <w:rPr>
          <w:rFonts w:ascii="Times New Roman" w:hAnsi="Times New Roman"/>
          <w:i/>
          <w:sz w:val="24"/>
          <w:szCs w:val="24"/>
        </w:rPr>
        <w:t xml:space="preserve"> </w:t>
      </w:r>
      <w:r>
        <w:rPr>
          <w:rFonts w:ascii="Times New Roman" w:hAnsi="Times New Roman"/>
          <w:b/>
          <w:i/>
          <w:sz w:val="24"/>
          <w:szCs w:val="24"/>
          <w:lang w:val="kk-KZ"/>
        </w:rPr>
        <w:t>Доля неработающих займов в ссудном портфеле банков</w:t>
      </w:r>
      <w:r w:rsidRPr="00E82016">
        <w:rPr>
          <w:rFonts w:ascii="Times New Roman" w:hAnsi="Times New Roman"/>
          <w:b/>
          <w:i/>
          <w:sz w:val="24"/>
          <w:szCs w:val="24"/>
          <w:lang w:val="kk-KZ"/>
        </w:rPr>
        <w:t xml:space="preserve"> </w:t>
      </w:r>
      <w:r w:rsidRPr="00E82016">
        <w:rPr>
          <w:rFonts w:ascii="Times New Roman" w:hAnsi="Times New Roman"/>
          <w:i/>
          <w:sz w:val="24"/>
          <w:szCs w:val="24"/>
          <w:lang w:val="kk-KZ"/>
        </w:rPr>
        <w:t>(</w:t>
      </w:r>
      <w:r>
        <w:rPr>
          <w:rFonts w:ascii="Times New Roman" w:hAnsi="Times New Roman"/>
          <w:i/>
          <w:sz w:val="24"/>
          <w:szCs w:val="24"/>
          <w:lang w:val="kk-KZ"/>
        </w:rPr>
        <w:t>10%</w:t>
      </w:r>
      <w:r w:rsidRPr="00E82016">
        <w:rPr>
          <w:rFonts w:ascii="Times New Roman" w:hAnsi="Times New Roman"/>
          <w:i/>
          <w:sz w:val="24"/>
          <w:szCs w:val="24"/>
          <w:lang w:val="kk-KZ"/>
        </w:rPr>
        <w:t>)</w:t>
      </w:r>
    </w:p>
    <w:p w:rsidR="00F2659C" w:rsidRPr="00F13208" w:rsidRDefault="00F2659C" w:rsidP="00F2659C">
      <w:pPr>
        <w:spacing w:after="0" w:line="240" w:lineRule="auto"/>
        <w:ind w:firstLine="709"/>
        <w:contextualSpacing/>
        <w:jc w:val="both"/>
        <w:rPr>
          <w:rFonts w:ascii="Times New Roman" w:hAnsi="Times New Roman"/>
          <w:b/>
          <w:bCs/>
          <w:i/>
          <w:iCs/>
          <w:sz w:val="24"/>
        </w:rPr>
      </w:pPr>
      <w:r w:rsidRPr="00E82016">
        <w:rPr>
          <w:rFonts w:ascii="Times New Roman" w:hAnsi="Times New Roman"/>
          <w:b/>
          <w:bCs/>
          <w:i/>
          <w:iCs/>
          <w:sz w:val="24"/>
        </w:rPr>
        <w:t>Мероприятия для достижения  целевого индикатора:</w:t>
      </w:r>
    </w:p>
    <w:p w:rsidR="00F2659C" w:rsidRPr="00341C28" w:rsidRDefault="00F2659C" w:rsidP="00F2659C">
      <w:pPr>
        <w:spacing w:after="0" w:line="240" w:lineRule="auto"/>
        <w:ind w:firstLine="709"/>
        <w:jc w:val="both"/>
        <w:rPr>
          <w:rFonts w:ascii="Times New Roman" w:hAnsi="Times New Roman"/>
          <w:bCs/>
          <w:i/>
          <w:iCs/>
          <w:sz w:val="24"/>
        </w:rPr>
      </w:pPr>
      <w:r>
        <w:rPr>
          <w:rFonts w:ascii="Times New Roman" w:hAnsi="Times New Roman"/>
          <w:bCs/>
          <w:i/>
          <w:iCs/>
          <w:sz w:val="24"/>
        </w:rPr>
        <w:t>Р</w:t>
      </w:r>
      <w:r w:rsidRPr="00341C28">
        <w:rPr>
          <w:rFonts w:ascii="Times New Roman" w:hAnsi="Times New Roman"/>
          <w:bCs/>
          <w:i/>
          <w:iCs/>
          <w:sz w:val="24"/>
        </w:rPr>
        <w:t>азмещение на о</w:t>
      </w:r>
      <w:r w:rsidR="001364B5">
        <w:rPr>
          <w:rFonts w:ascii="Times New Roman" w:hAnsi="Times New Roman"/>
          <w:bCs/>
          <w:i/>
          <w:iCs/>
          <w:sz w:val="24"/>
        </w:rPr>
        <w:t>фициальном интернет-ресурсе Национального Банка</w:t>
      </w:r>
      <w:r w:rsidRPr="00341C28">
        <w:rPr>
          <w:rFonts w:ascii="Times New Roman" w:hAnsi="Times New Roman"/>
          <w:bCs/>
          <w:i/>
          <w:iCs/>
          <w:sz w:val="24"/>
        </w:rPr>
        <w:t xml:space="preserve"> обзоров «Текущее состояние банковского сектора»</w:t>
      </w:r>
    </w:p>
    <w:p w:rsidR="00FE1B67" w:rsidRPr="00462708" w:rsidRDefault="00FE1B67" w:rsidP="00FE1B67">
      <w:pPr>
        <w:spacing w:after="0" w:line="240" w:lineRule="auto"/>
        <w:ind w:firstLine="709"/>
        <w:jc w:val="both"/>
        <w:rPr>
          <w:rFonts w:ascii="Times New Roman" w:hAnsi="Times New Roman" w:cs="Times New Roman"/>
          <w:sz w:val="24"/>
          <w:szCs w:val="24"/>
        </w:rPr>
      </w:pPr>
      <w:r w:rsidRPr="00462708">
        <w:rPr>
          <w:rFonts w:ascii="Times New Roman" w:hAnsi="Times New Roman" w:cs="Times New Roman"/>
          <w:sz w:val="24"/>
          <w:szCs w:val="24"/>
        </w:rPr>
        <w:t>Структура ссудного портфеля банковского сектора Республики Казахстан и результаты мониторинга деятельности банков по снижению неработающих займов отражаются в обзорах «Текущее состояние банковского сектора», которые размещаются на ежемесячной основе Департаментом надзора за банками на официальном интернет-ресурсе Национального Банка.</w:t>
      </w:r>
    </w:p>
    <w:p w:rsidR="00DC7941" w:rsidRPr="001D338B" w:rsidRDefault="00DC7941" w:rsidP="00FE1B67">
      <w:pPr>
        <w:spacing w:after="0" w:line="240" w:lineRule="auto"/>
        <w:ind w:firstLine="709"/>
        <w:jc w:val="both"/>
        <w:rPr>
          <w:rFonts w:ascii="Times New Roman" w:hAnsi="Times New Roman" w:cs="Times New Roman"/>
          <w:sz w:val="24"/>
          <w:szCs w:val="24"/>
        </w:rPr>
      </w:pPr>
      <w:r w:rsidRPr="00775D2A">
        <w:rPr>
          <w:rFonts w:ascii="Times New Roman" w:hAnsi="Times New Roman" w:cs="Times New Roman"/>
          <w:color w:val="000000"/>
          <w:sz w:val="24"/>
          <w:szCs w:val="24"/>
        </w:rPr>
        <w:t>Неработающие займы (с просроченной задолженностью свыше 90 дней) по состоянию на 1 января 2019 года составили 1 016,3 млрд. тенге или</w:t>
      </w:r>
      <w:r w:rsidR="00775D2A">
        <w:rPr>
          <w:rFonts w:ascii="Times New Roman" w:hAnsi="Times New Roman" w:cs="Times New Roman"/>
          <w:color w:val="000000"/>
          <w:sz w:val="24"/>
          <w:szCs w:val="24"/>
        </w:rPr>
        <w:t xml:space="preserve"> 7</w:t>
      </w:r>
      <w:r w:rsidRPr="00775D2A">
        <w:rPr>
          <w:rFonts w:ascii="Times New Roman" w:hAnsi="Times New Roman" w:cs="Times New Roman"/>
          <w:color w:val="000000"/>
          <w:sz w:val="24"/>
          <w:szCs w:val="24"/>
        </w:rPr>
        <w:t xml:space="preserve">,4% от ссудного портфеля </w:t>
      </w:r>
      <w:r w:rsidRPr="001D338B">
        <w:rPr>
          <w:rFonts w:ascii="Times New Roman" w:hAnsi="Times New Roman" w:cs="Times New Roman"/>
          <w:iCs/>
          <w:color w:val="000000"/>
          <w:sz w:val="24"/>
          <w:szCs w:val="24"/>
        </w:rPr>
        <w:t>(на начало 2018 года  - 1 265,2 млрд. тенге или 9,3% от ссудного портфеля)</w:t>
      </w:r>
      <w:r w:rsidRPr="001D338B">
        <w:rPr>
          <w:rFonts w:ascii="Times New Roman" w:hAnsi="Times New Roman" w:cs="Times New Roman"/>
          <w:color w:val="000000"/>
          <w:sz w:val="24"/>
          <w:szCs w:val="24"/>
        </w:rPr>
        <w:t>.</w:t>
      </w:r>
    </w:p>
    <w:p w:rsidR="00F2659C" w:rsidRPr="00E82016" w:rsidRDefault="00F2659C" w:rsidP="00F2659C">
      <w:pPr>
        <w:spacing w:after="0" w:line="240" w:lineRule="auto"/>
        <w:ind w:firstLine="709"/>
        <w:contextualSpacing/>
        <w:jc w:val="both"/>
        <w:rPr>
          <w:rFonts w:ascii="Times New Roman" w:hAnsi="Times New Roman"/>
          <w:b/>
          <w:i/>
          <w:color w:val="000000"/>
          <w:sz w:val="24"/>
          <w:szCs w:val="24"/>
        </w:rPr>
      </w:pPr>
    </w:p>
    <w:p w:rsidR="00F2659C" w:rsidRDefault="00F2659C" w:rsidP="00F2659C">
      <w:pPr>
        <w:spacing w:after="0" w:line="240" w:lineRule="auto"/>
        <w:ind w:firstLine="709"/>
        <w:contextualSpacing/>
        <w:jc w:val="both"/>
        <w:rPr>
          <w:rFonts w:ascii="Times New Roman" w:hAnsi="Times New Roman"/>
          <w:i/>
          <w:sz w:val="24"/>
          <w:szCs w:val="24"/>
          <w:lang w:val="kk-KZ"/>
        </w:rPr>
      </w:pPr>
      <w:r w:rsidRPr="00E82016">
        <w:rPr>
          <w:rFonts w:ascii="Times New Roman" w:hAnsi="Times New Roman"/>
          <w:b/>
          <w:i/>
          <w:sz w:val="24"/>
          <w:szCs w:val="24"/>
        </w:rPr>
        <w:t xml:space="preserve">Целевой индикатор </w:t>
      </w:r>
      <w:r>
        <w:rPr>
          <w:rFonts w:ascii="Times New Roman" w:hAnsi="Times New Roman"/>
          <w:b/>
          <w:i/>
          <w:sz w:val="24"/>
          <w:szCs w:val="24"/>
        </w:rPr>
        <w:t>4</w:t>
      </w:r>
      <w:r w:rsidRPr="00E82016">
        <w:rPr>
          <w:rFonts w:ascii="Times New Roman" w:hAnsi="Times New Roman"/>
          <w:b/>
          <w:i/>
          <w:sz w:val="24"/>
          <w:szCs w:val="24"/>
        </w:rPr>
        <w:t>:</w:t>
      </w:r>
      <w:r w:rsidRPr="00E82016">
        <w:rPr>
          <w:rFonts w:ascii="Times New Roman" w:hAnsi="Times New Roman"/>
          <w:i/>
          <w:sz w:val="24"/>
          <w:szCs w:val="24"/>
        </w:rPr>
        <w:t xml:space="preserve"> </w:t>
      </w:r>
      <w:r w:rsidRPr="00E82016">
        <w:rPr>
          <w:rFonts w:ascii="Times New Roman" w:hAnsi="Times New Roman"/>
          <w:b/>
          <w:i/>
          <w:sz w:val="24"/>
          <w:szCs w:val="24"/>
          <w:lang w:val="kk-KZ"/>
        </w:rPr>
        <w:t xml:space="preserve">Показатель «Доступность финансовых услуг» Глобального индекса конкурентоспособности </w:t>
      </w:r>
      <w:r w:rsidRPr="00E82016">
        <w:rPr>
          <w:rFonts w:ascii="Times New Roman" w:hAnsi="Times New Roman"/>
          <w:i/>
          <w:sz w:val="24"/>
          <w:szCs w:val="24"/>
          <w:lang w:val="kk-KZ"/>
        </w:rPr>
        <w:t>(6</w:t>
      </w:r>
      <w:r>
        <w:rPr>
          <w:rFonts w:ascii="Times New Roman" w:hAnsi="Times New Roman"/>
          <w:i/>
          <w:sz w:val="24"/>
          <w:szCs w:val="24"/>
          <w:lang w:val="kk-KZ"/>
        </w:rPr>
        <w:t>3</w:t>
      </w:r>
      <w:r w:rsidRPr="00E82016">
        <w:rPr>
          <w:rFonts w:ascii="Times New Roman" w:hAnsi="Times New Roman"/>
          <w:i/>
          <w:sz w:val="24"/>
          <w:szCs w:val="24"/>
          <w:lang w:val="kk-KZ"/>
        </w:rPr>
        <w:t xml:space="preserve"> место в рейтинге ГИК ВЭФ)</w:t>
      </w:r>
    </w:p>
    <w:p w:rsidR="00334F33" w:rsidRPr="00334F33" w:rsidRDefault="00334F33" w:rsidP="00F2659C">
      <w:pPr>
        <w:spacing w:after="0" w:line="240" w:lineRule="auto"/>
        <w:ind w:firstLine="709"/>
        <w:contextualSpacing/>
        <w:jc w:val="both"/>
        <w:rPr>
          <w:rFonts w:ascii="Times New Roman" w:hAnsi="Times New Roman"/>
          <w:bCs/>
          <w:i/>
          <w:iCs/>
          <w:sz w:val="24"/>
        </w:rPr>
      </w:pPr>
      <w:r w:rsidRPr="003D5746">
        <w:rPr>
          <w:rFonts w:ascii="Times New Roman" w:eastAsia="Times New Roman" w:hAnsi="Times New Roman"/>
          <w:sz w:val="24"/>
          <w:szCs w:val="24"/>
          <w:lang w:eastAsia="ru-RU"/>
        </w:rPr>
        <w:t>Согласно новой методологии ГИК ВЭФ 4.0, действующей с 2018 года, индикатор «</w:t>
      </w:r>
      <w:r>
        <w:rPr>
          <w:rFonts w:ascii="Times New Roman" w:eastAsia="Times New Roman" w:hAnsi="Times New Roman"/>
          <w:sz w:val="24"/>
          <w:szCs w:val="24"/>
          <w:lang w:eastAsia="ru-RU"/>
        </w:rPr>
        <w:t>Доступность финансовых услуг</w:t>
      </w:r>
      <w:r w:rsidRPr="003D5746">
        <w:rPr>
          <w:rFonts w:ascii="Times New Roman" w:eastAsia="Times New Roman" w:hAnsi="Times New Roman"/>
          <w:sz w:val="24"/>
          <w:szCs w:val="24"/>
          <w:lang w:eastAsia="ru-RU"/>
        </w:rPr>
        <w:t>» исключён из структуры отчёта ГИК ВЭФ, поскольку в настоящее время основной упор ставится на ст</w:t>
      </w:r>
      <w:r>
        <w:rPr>
          <w:rFonts w:ascii="Times New Roman" w:eastAsia="Times New Roman" w:hAnsi="Times New Roman"/>
          <w:sz w:val="24"/>
          <w:szCs w:val="24"/>
          <w:lang w:eastAsia="ru-RU"/>
        </w:rPr>
        <w:t xml:space="preserve">атистические индикаторы. </w:t>
      </w:r>
      <w:r>
        <w:rPr>
          <w:rFonts w:ascii="Times New Roman" w:eastAsia="Times New Roman" w:hAnsi="Times New Roman"/>
          <w:sz w:val="24"/>
          <w:szCs w:val="24"/>
          <w:lang w:eastAsia="ru-RU"/>
        </w:rPr>
        <w:tab/>
        <w:t xml:space="preserve">Таким </w:t>
      </w:r>
      <w:r w:rsidRPr="003D5746">
        <w:rPr>
          <w:rFonts w:ascii="Times New Roman" w:eastAsia="Times New Roman" w:hAnsi="Times New Roman"/>
          <w:sz w:val="24"/>
          <w:szCs w:val="24"/>
          <w:lang w:eastAsia="ru-RU"/>
        </w:rPr>
        <w:t xml:space="preserve">образом, не представляется возможным указать информацию по позиции Казахстана по целевому индикатору по итогам 2018 года ввиду отсутствия необходимой информации в ежегодном отчете по глобальному индексу конкурентоспособности. </w:t>
      </w:r>
    </w:p>
    <w:p w:rsidR="00F2659C" w:rsidRPr="00E82016" w:rsidRDefault="00F2659C" w:rsidP="00F2659C">
      <w:pPr>
        <w:spacing w:after="0" w:line="240" w:lineRule="auto"/>
        <w:ind w:firstLine="709"/>
        <w:contextualSpacing/>
        <w:jc w:val="both"/>
        <w:rPr>
          <w:rFonts w:ascii="Times New Roman" w:hAnsi="Times New Roman"/>
          <w:b/>
          <w:i/>
          <w:sz w:val="24"/>
        </w:rPr>
      </w:pPr>
      <w:r w:rsidRPr="00E82016">
        <w:rPr>
          <w:rFonts w:ascii="Times New Roman" w:hAnsi="Times New Roman"/>
          <w:b/>
          <w:bCs/>
          <w:i/>
          <w:iCs/>
          <w:sz w:val="24"/>
        </w:rPr>
        <w:t>Мероприятия для достижения  целевого индикатора:</w:t>
      </w:r>
    </w:p>
    <w:p w:rsidR="00F2659C" w:rsidRDefault="00F2659C" w:rsidP="00F2659C">
      <w:pPr>
        <w:spacing w:after="0" w:line="240" w:lineRule="auto"/>
        <w:ind w:firstLine="709"/>
        <w:contextualSpacing/>
        <w:jc w:val="both"/>
        <w:rPr>
          <w:rFonts w:ascii="Times New Roman" w:hAnsi="Times New Roman"/>
          <w:i/>
          <w:color w:val="000000"/>
          <w:sz w:val="24"/>
          <w:szCs w:val="24"/>
        </w:rPr>
      </w:pPr>
      <w:r>
        <w:rPr>
          <w:rFonts w:ascii="Times New Roman" w:hAnsi="Times New Roman"/>
          <w:i/>
          <w:color w:val="000000"/>
          <w:sz w:val="24"/>
          <w:szCs w:val="24"/>
        </w:rPr>
        <w:t>Реализация Программы повышения финансовой грамотности населения на 2016-2018 годы, включающей обучающие, медийные, специальные меропри</w:t>
      </w:r>
      <w:r w:rsidR="00271E80">
        <w:rPr>
          <w:rFonts w:ascii="Times New Roman" w:hAnsi="Times New Roman"/>
          <w:i/>
          <w:color w:val="000000"/>
          <w:sz w:val="24"/>
          <w:szCs w:val="24"/>
        </w:rPr>
        <w:t>я</w:t>
      </w:r>
      <w:r>
        <w:rPr>
          <w:rFonts w:ascii="Times New Roman" w:hAnsi="Times New Roman"/>
          <w:i/>
          <w:color w:val="000000"/>
          <w:sz w:val="24"/>
          <w:szCs w:val="24"/>
        </w:rPr>
        <w:t>тия (организация семинаров, круглых столов, выпуск брошюр и др.), запуск специализированного обучающего интернет-ресурса, телевизионных программ.</w:t>
      </w:r>
    </w:p>
    <w:p w:rsidR="00F2659C" w:rsidRDefault="00F2659C" w:rsidP="00F2659C">
      <w:pPr>
        <w:spacing w:after="0" w:line="240" w:lineRule="auto"/>
        <w:ind w:firstLine="709"/>
        <w:contextualSpacing/>
        <w:jc w:val="both"/>
        <w:rPr>
          <w:rFonts w:ascii="Times New Roman" w:hAnsi="Times New Roman"/>
          <w:i/>
          <w:color w:val="000000"/>
          <w:sz w:val="24"/>
          <w:szCs w:val="24"/>
        </w:rPr>
      </w:pPr>
      <w:r>
        <w:rPr>
          <w:rFonts w:ascii="Times New Roman" w:hAnsi="Times New Roman"/>
          <w:i/>
          <w:color w:val="000000"/>
          <w:sz w:val="24"/>
          <w:szCs w:val="24"/>
        </w:rPr>
        <w:lastRenderedPageBreak/>
        <w:t>Проведение информационно-разъяснительной работы среди населения по финансовым услугам, а также оказание консультационной помощи по вопросам предоставления финансовых услуг, что предоставит возможность потребителям финансовых услуг выбирать соответствующие их потребностям финансовые услуги.</w:t>
      </w:r>
    </w:p>
    <w:p w:rsidR="00F2659C" w:rsidRDefault="00F2659C" w:rsidP="00F2659C">
      <w:pPr>
        <w:spacing w:after="0" w:line="240" w:lineRule="auto"/>
        <w:ind w:firstLine="709"/>
        <w:contextualSpacing/>
        <w:jc w:val="both"/>
        <w:rPr>
          <w:rFonts w:ascii="Times New Roman" w:hAnsi="Times New Roman"/>
          <w:i/>
          <w:sz w:val="24"/>
          <w:szCs w:val="24"/>
        </w:rPr>
      </w:pPr>
      <w:r w:rsidRPr="00FA5ADD">
        <w:rPr>
          <w:rFonts w:ascii="Times New Roman" w:hAnsi="Times New Roman"/>
          <w:i/>
          <w:sz w:val="24"/>
          <w:szCs w:val="24"/>
        </w:rPr>
        <w:t>Рассмотрение вопросов по развитию предоставления финансовых услуг посредством онлайн-сервисов, что предполагает значительное увеличение доступа к финансовым услугам с наименьшими затратами на их получение</w:t>
      </w:r>
      <w:r>
        <w:rPr>
          <w:rFonts w:ascii="Times New Roman" w:hAnsi="Times New Roman"/>
          <w:i/>
          <w:sz w:val="24"/>
          <w:szCs w:val="24"/>
        </w:rPr>
        <w:t>.</w:t>
      </w:r>
    </w:p>
    <w:p w:rsidR="00334F33" w:rsidRPr="00334F33" w:rsidRDefault="00334F33" w:rsidP="00334F33">
      <w:pPr>
        <w:spacing w:after="0" w:line="240" w:lineRule="auto"/>
        <w:ind w:firstLine="709"/>
        <w:jc w:val="both"/>
        <w:rPr>
          <w:rFonts w:ascii="Times New Roman" w:eastAsia="Calibri" w:hAnsi="Times New Roman" w:cs="Times New Roman"/>
          <w:color w:val="000000"/>
          <w:sz w:val="24"/>
          <w:szCs w:val="24"/>
        </w:rPr>
      </w:pPr>
      <w:r w:rsidRPr="00334F33">
        <w:rPr>
          <w:rFonts w:ascii="Times New Roman" w:eastAsia="Calibri" w:hAnsi="Times New Roman" w:cs="Times New Roman"/>
          <w:color w:val="000000"/>
          <w:sz w:val="24"/>
          <w:szCs w:val="24"/>
        </w:rPr>
        <w:t>В июле 2018 года Национальный Банк с целью продвижения передовых подходов в области защиты прав потребителей финансовых услуг, повышения доступности финансовых услуг, финансовой грамотности населения и позиции Республики Казахстан по финансовым индикаторам Глобального индекса конкурентоспособности Всемирного экономического форума вступил в Международную организацию «Альянс за финансовую доступность».</w:t>
      </w:r>
    </w:p>
    <w:p w:rsidR="00334F33" w:rsidRPr="00334F33" w:rsidRDefault="00334F33" w:rsidP="00334F33">
      <w:pPr>
        <w:spacing w:after="0" w:line="240" w:lineRule="auto"/>
        <w:ind w:firstLine="709"/>
        <w:jc w:val="both"/>
        <w:rPr>
          <w:rFonts w:ascii="Times New Roman" w:eastAsia="Calibri" w:hAnsi="Times New Roman" w:cs="Times New Roman"/>
          <w:sz w:val="24"/>
          <w:szCs w:val="24"/>
        </w:rPr>
      </w:pPr>
      <w:r w:rsidRPr="00334F33">
        <w:rPr>
          <w:rFonts w:ascii="Times New Roman" w:eastAsia="Calibri" w:hAnsi="Times New Roman" w:cs="Times New Roman"/>
          <w:sz w:val="24"/>
          <w:szCs w:val="24"/>
        </w:rPr>
        <w:t>В рамках реализации «Программы повышения финансовой грамотности населения РК на 2016-2018 годы»</w:t>
      </w:r>
      <w:r w:rsidRPr="00334F33">
        <w:rPr>
          <w:rFonts w:ascii="Times New Roman" w:eastAsia="Calibri" w:hAnsi="Times New Roman" w:cs="Times New Roman"/>
          <w:sz w:val="24"/>
          <w:szCs w:val="24"/>
          <w:lang w:val="kk-KZ"/>
        </w:rPr>
        <w:t>,</w:t>
      </w:r>
      <w:r w:rsidRPr="00334F33">
        <w:rPr>
          <w:rFonts w:ascii="Times New Roman" w:eastAsia="Calibri" w:hAnsi="Times New Roman" w:cs="Times New Roman"/>
          <w:sz w:val="24"/>
          <w:szCs w:val="24"/>
        </w:rPr>
        <w:t xml:space="preserve"> одобренн</w:t>
      </w:r>
      <w:r w:rsidR="001364B5">
        <w:rPr>
          <w:rFonts w:ascii="Times New Roman" w:eastAsia="Calibri" w:hAnsi="Times New Roman" w:cs="Times New Roman"/>
          <w:sz w:val="24"/>
          <w:szCs w:val="24"/>
        </w:rPr>
        <w:t>ой Постановлением Правления Национального Банка</w:t>
      </w:r>
      <w:r w:rsidRPr="00334F33">
        <w:rPr>
          <w:rFonts w:ascii="Times New Roman" w:eastAsia="Calibri" w:hAnsi="Times New Roman" w:cs="Times New Roman"/>
          <w:sz w:val="24"/>
          <w:szCs w:val="24"/>
        </w:rPr>
        <w:t xml:space="preserve"> 30 сентября 2016 года, Национальным Банком реализованы следующие проекты:</w:t>
      </w:r>
    </w:p>
    <w:p w:rsidR="00334F33" w:rsidRPr="00334F33" w:rsidRDefault="00334F33" w:rsidP="00334F33">
      <w:pPr>
        <w:spacing w:after="0" w:line="240" w:lineRule="auto"/>
        <w:ind w:firstLine="709"/>
        <w:jc w:val="both"/>
        <w:rPr>
          <w:rFonts w:ascii="Times New Roman" w:eastAsia="Calibri" w:hAnsi="Times New Roman" w:cs="Times New Roman"/>
          <w:sz w:val="24"/>
          <w:szCs w:val="24"/>
        </w:rPr>
      </w:pPr>
      <w:r w:rsidRPr="00334F33">
        <w:rPr>
          <w:rFonts w:ascii="Times New Roman" w:eastAsia="Calibri" w:hAnsi="Times New Roman" w:cs="Times New Roman"/>
          <w:sz w:val="24"/>
          <w:szCs w:val="24"/>
        </w:rPr>
        <w:t>- функционирует обновленный сайт fingramota.kz, на котором размещаются материалы по финансовой грамотности, финансовые новости и видеоматериалы.</w:t>
      </w:r>
    </w:p>
    <w:p w:rsidR="00334F33" w:rsidRPr="00334F33" w:rsidRDefault="00334F33" w:rsidP="00334F33">
      <w:pPr>
        <w:spacing w:after="0" w:line="240" w:lineRule="auto"/>
        <w:ind w:firstLine="709"/>
        <w:jc w:val="both"/>
        <w:rPr>
          <w:rFonts w:ascii="Times New Roman" w:eastAsia="Calibri" w:hAnsi="Times New Roman" w:cs="Times New Roman"/>
          <w:sz w:val="24"/>
          <w:szCs w:val="24"/>
        </w:rPr>
      </w:pPr>
      <w:r w:rsidRPr="00334F33">
        <w:rPr>
          <w:rFonts w:ascii="Times New Roman" w:eastAsia="Calibri" w:hAnsi="Times New Roman" w:cs="Times New Roman"/>
          <w:sz w:val="24"/>
          <w:szCs w:val="24"/>
        </w:rPr>
        <w:t>- создаются и выходят в эфир телевизионные программы по финансовой грамотности на телеканале «Астана»:</w:t>
      </w:r>
    </w:p>
    <w:p w:rsidR="00334F33" w:rsidRPr="00334F33" w:rsidRDefault="00334F33" w:rsidP="00334F33">
      <w:pPr>
        <w:spacing w:after="0" w:line="240" w:lineRule="auto"/>
        <w:ind w:firstLine="709"/>
        <w:jc w:val="both"/>
        <w:rPr>
          <w:rFonts w:ascii="Times New Roman" w:eastAsia="Calibri" w:hAnsi="Times New Roman" w:cs="Times New Roman"/>
          <w:sz w:val="24"/>
          <w:szCs w:val="24"/>
        </w:rPr>
      </w:pPr>
      <w:r w:rsidRPr="00334F33">
        <w:rPr>
          <w:rFonts w:ascii="Times New Roman" w:eastAsia="Calibri" w:hAnsi="Times New Roman" w:cs="Times New Roman"/>
          <w:sz w:val="24"/>
          <w:szCs w:val="24"/>
        </w:rPr>
        <w:t>«Профинансы.</w:t>
      </w:r>
      <w:r w:rsidRPr="00334F33">
        <w:rPr>
          <w:rFonts w:ascii="Times New Roman" w:eastAsia="Calibri" w:hAnsi="Times New Roman" w:cs="Times New Roman"/>
          <w:sz w:val="24"/>
          <w:szCs w:val="24"/>
          <w:lang w:val="en-US"/>
        </w:rPr>
        <w:t>WEB</w:t>
      </w:r>
      <w:r w:rsidRPr="00334F33">
        <w:rPr>
          <w:rFonts w:ascii="Times New Roman" w:eastAsia="Calibri" w:hAnsi="Times New Roman" w:cs="Times New Roman"/>
          <w:sz w:val="24"/>
          <w:szCs w:val="24"/>
        </w:rPr>
        <w:t>» - для широких слоев населения, в том числе молодежной аудитории с целью повышения финансовой  грамотности населения Республики Казахстан, осведомленности о финансовых продуктах и работе финансовой системы в целом. В отчетном пери</w:t>
      </w:r>
      <w:r>
        <w:rPr>
          <w:rFonts w:ascii="Times New Roman" w:eastAsia="Calibri" w:hAnsi="Times New Roman" w:cs="Times New Roman"/>
          <w:sz w:val="24"/>
          <w:szCs w:val="24"/>
        </w:rPr>
        <w:t>оде вышло в эфир 12 телепередач;</w:t>
      </w:r>
    </w:p>
    <w:p w:rsidR="00334F33" w:rsidRPr="00334F33" w:rsidRDefault="00334F33" w:rsidP="00334F33">
      <w:pPr>
        <w:spacing w:after="0" w:line="240" w:lineRule="auto"/>
        <w:ind w:firstLine="709"/>
        <w:jc w:val="both"/>
        <w:rPr>
          <w:rFonts w:ascii="Times New Roman" w:eastAsia="Calibri" w:hAnsi="Times New Roman" w:cs="Times New Roman"/>
          <w:sz w:val="24"/>
          <w:szCs w:val="24"/>
        </w:rPr>
      </w:pPr>
      <w:r w:rsidRPr="00334F33">
        <w:rPr>
          <w:rFonts w:ascii="Times New Roman" w:eastAsia="Calibri" w:hAnsi="Times New Roman" w:cs="Times New Roman"/>
          <w:sz w:val="24"/>
          <w:szCs w:val="24"/>
        </w:rPr>
        <w:t>«Тенге</w:t>
      </w:r>
      <w:r w:rsidRPr="00334F33">
        <w:rPr>
          <w:rFonts w:ascii="Times New Roman" w:eastAsia="Calibri" w:hAnsi="Times New Roman" w:cs="Times New Roman"/>
          <w:sz w:val="24"/>
          <w:szCs w:val="24"/>
          <w:lang w:val="en-US"/>
        </w:rPr>
        <w:t>Land</w:t>
      </w:r>
      <w:r w:rsidRPr="00334F33">
        <w:rPr>
          <w:rFonts w:ascii="Times New Roman" w:eastAsia="Calibri" w:hAnsi="Times New Roman" w:cs="Times New Roman"/>
          <w:sz w:val="24"/>
          <w:szCs w:val="24"/>
        </w:rPr>
        <w:t>» - детская телевизионная программа для детей младшего и среднего школьного возраста с целью формирования базовых навыков финансовой культуры. В отчетном периоде вышло в эфир 12 телепередачи.</w:t>
      </w:r>
    </w:p>
    <w:p w:rsidR="00334F33" w:rsidRPr="00334F33" w:rsidRDefault="00334F33" w:rsidP="00334F33">
      <w:pPr>
        <w:spacing w:after="0" w:line="240" w:lineRule="auto"/>
        <w:ind w:firstLine="709"/>
        <w:jc w:val="both"/>
        <w:rPr>
          <w:rFonts w:ascii="Times New Roman" w:eastAsia="Calibri" w:hAnsi="Times New Roman" w:cs="Times New Roman"/>
          <w:sz w:val="24"/>
          <w:szCs w:val="24"/>
        </w:rPr>
      </w:pPr>
      <w:r w:rsidRPr="00334F33">
        <w:rPr>
          <w:rFonts w:ascii="Times New Roman" w:eastAsia="Calibri" w:hAnsi="Times New Roman" w:cs="Times New Roman"/>
          <w:sz w:val="24"/>
          <w:szCs w:val="24"/>
        </w:rPr>
        <w:t>- запущен выпуск приложений для детей школьного возраста в республиканских печатных изданиях «Ойла» и «Дружные ребята». В отчетном периоде опубликовано 9 приложений.</w:t>
      </w:r>
    </w:p>
    <w:p w:rsidR="00334F33" w:rsidRPr="00334F33" w:rsidRDefault="00334F33" w:rsidP="00334F33">
      <w:pPr>
        <w:spacing w:after="0" w:line="240" w:lineRule="auto"/>
        <w:ind w:firstLine="709"/>
        <w:jc w:val="both"/>
        <w:rPr>
          <w:rFonts w:ascii="Times New Roman" w:eastAsia="Calibri" w:hAnsi="Times New Roman" w:cs="Times New Roman"/>
          <w:color w:val="000000"/>
          <w:sz w:val="24"/>
          <w:szCs w:val="24"/>
        </w:rPr>
      </w:pPr>
      <w:r w:rsidRPr="00334F33">
        <w:rPr>
          <w:rFonts w:ascii="Times New Roman" w:eastAsia="Calibri" w:hAnsi="Times New Roman" w:cs="Times New Roman"/>
          <w:color w:val="000000"/>
          <w:sz w:val="24"/>
          <w:szCs w:val="24"/>
        </w:rPr>
        <w:t xml:space="preserve">Национальным Банком </w:t>
      </w:r>
      <w:r w:rsidRPr="00334F33">
        <w:rPr>
          <w:rFonts w:ascii="Times New Roman" w:eastAsia="Calibri" w:hAnsi="Times New Roman" w:cs="Times New Roman"/>
          <w:color w:val="000000"/>
          <w:sz w:val="24"/>
          <w:szCs w:val="24"/>
          <w:lang w:val="kk-KZ"/>
        </w:rPr>
        <w:t xml:space="preserve">на постоянной основе проводится </w:t>
      </w:r>
      <w:r w:rsidRPr="00334F33">
        <w:rPr>
          <w:rFonts w:ascii="Times New Roman" w:eastAsia="Calibri" w:hAnsi="Times New Roman" w:cs="Times New Roman"/>
          <w:color w:val="000000"/>
          <w:sz w:val="24"/>
          <w:szCs w:val="24"/>
        </w:rPr>
        <w:t>информационно-разъяснительная работа</w:t>
      </w:r>
      <w:r w:rsidRPr="00334F33">
        <w:rPr>
          <w:rFonts w:ascii="Times New Roman" w:eastAsia="Calibri" w:hAnsi="Times New Roman" w:cs="Times New Roman"/>
          <w:color w:val="000000"/>
          <w:sz w:val="24"/>
          <w:szCs w:val="24"/>
          <w:lang w:val="kk-KZ"/>
        </w:rPr>
        <w:t xml:space="preserve">, </w:t>
      </w:r>
      <w:r w:rsidRPr="00334F33">
        <w:rPr>
          <w:rFonts w:ascii="Times New Roman" w:eastAsia="Calibri" w:hAnsi="Times New Roman" w:cs="Times New Roman"/>
          <w:color w:val="000000"/>
          <w:sz w:val="24"/>
          <w:szCs w:val="24"/>
        </w:rPr>
        <w:t>направленн</w:t>
      </w:r>
      <w:r w:rsidRPr="00334F33">
        <w:rPr>
          <w:rFonts w:ascii="Times New Roman" w:eastAsia="Calibri" w:hAnsi="Times New Roman" w:cs="Times New Roman"/>
          <w:color w:val="000000"/>
          <w:sz w:val="24"/>
          <w:szCs w:val="24"/>
          <w:lang w:val="kk-KZ"/>
        </w:rPr>
        <w:t>ая</w:t>
      </w:r>
      <w:r w:rsidRPr="00334F33">
        <w:rPr>
          <w:rFonts w:ascii="Times New Roman" w:eastAsia="Calibri" w:hAnsi="Times New Roman" w:cs="Times New Roman"/>
          <w:color w:val="000000"/>
          <w:sz w:val="24"/>
          <w:szCs w:val="24"/>
        </w:rPr>
        <w:t xml:space="preserve"> на укрепление эффективных коммуникаций с общественностью и повышение доверия населения</w:t>
      </w:r>
      <w:r w:rsidRPr="00334F33">
        <w:rPr>
          <w:rFonts w:ascii="Times New Roman" w:eastAsia="Calibri" w:hAnsi="Times New Roman" w:cs="Times New Roman"/>
          <w:color w:val="000000"/>
          <w:sz w:val="24"/>
          <w:szCs w:val="24"/>
          <w:lang w:val="kk-KZ"/>
        </w:rPr>
        <w:t xml:space="preserve"> </w:t>
      </w:r>
      <w:r w:rsidRPr="00334F33">
        <w:rPr>
          <w:rFonts w:ascii="Times New Roman" w:eastAsia="Calibri" w:hAnsi="Times New Roman" w:cs="Times New Roman"/>
          <w:color w:val="000000"/>
          <w:sz w:val="24"/>
          <w:szCs w:val="24"/>
        </w:rPr>
        <w:t>к финансовому регулятору</w:t>
      </w:r>
      <w:r w:rsidRPr="00334F33">
        <w:rPr>
          <w:rFonts w:ascii="Times New Roman" w:eastAsia="Calibri" w:hAnsi="Times New Roman" w:cs="Times New Roman"/>
          <w:color w:val="000000"/>
          <w:sz w:val="24"/>
          <w:szCs w:val="24"/>
          <w:lang w:val="kk-KZ"/>
        </w:rPr>
        <w:t>.</w:t>
      </w:r>
      <w:r w:rsidRPr="00334F33">
        <w:rPr>
          <w:rFonts w:ascii="Times New Roman" w:eastAsia="Calibri" w:hAnsi="Times New Roman" w:cs="Times New Roman"/>
          <w:color w:val="000000"/>
          <w:sz w:val="24"/>
          <w:szCs w:val="24"/>
        </w:rPr>
        <w:t xml:space="preserve"> </w:t>
      </w:r>
    </w:p>
    <w:p w:rsidR="00F2659C" w:rsidRPr="00E82016" w:rsidRDefault="00F2659C" w:rsidP="00F2659C">
      <w:pPr>
        <w:spacing w:after="0" w:line="240" w:lineRule="auto"/>
        <w:ind w:firstLine="709"/>
        <w:contextualSpacing/>
        <w:jc w:val="both"/>
        <w:rPr>
          <w:rFonts w:ascii="Times New Roman" w:hAnsi="Times New Roman"/>
          <w:b/>
          <w:i/>
          <w:color w:val="000000"/>
          <w:sz w:val="24"/>
          <w:szCs w:val="24"/>
        </w:rPr>
      </w:pPr>
    </w:p>
    <w:p w:rsidR="00F2659C" w:rsidRPr="00E82016" w:rsidRDefault="00F2659C" w:rsidP="00F2659C">
      <w:pPr>
        <w:spacing w:after="0" w:line="240" w:lineRule="auto"/>
        <w:ind w:firstLine="709"/>
        <w:contextualSpacing/>
        <w:jc w:val="both"/>
        <w:rPr>
          <w:rFonts w:ascii="Times New Roman" w:hAnsi="Times New Roman"/>
          <w:i/>
          <w:sz w:val="24"/>
          <w:szCs w:val="24"/>
          <w:lang w:val="kk-KZ"/>
        </w:rPr>
      </w:pPr>
      <w:r w:rsidRPr="00E82016">
        <w:rPr>
          <w:rFonts w:ascii="Times New Roman" w:hAnsi="Times New Roman"/>
          <w:b/>
          <w:i/>
          <w:sz w:val="24"/>
          <w:szCs w:val="24"/>
        </w:rPr>
        <w:t xml:space="preserve">Целевой индикатор </w:t>
      </w:r>
      <w:r>
        <w:rPr>
          <w:rFonts w:ascii="Times New Roman" w:hAnsi="Times New Roman"/>
          <w:b/>
          <w:i/>
          <w:sz w:val="24"/>
          <w:szCs w:val="24"/>
        </w:rPr>
        <w:t>5</w:t>
      </w:r>
      <w:r w:rsidRPr="00E82016">
        <w:rPr>
          <w:rFonts w:ascii="Times New Roman" w:hAnsi="Times New Roman"/>
          <w:b/>
          <w:i/>
          <w:sz w:val="24"/>
          <w:szCs w:val="24"/>
        </w:rPr>
        <w:t>:</w:t>
      </w:r>
      <w:r w:rsidRPr="00E82016">
        <w:rPr>
          <w:rFonts w:ascii="Times New Roman" w:hAnsi="Times New Roman"/>
          <w:i/>
          <w:sz w:val="24"/>
          <w:szCs w:val="24"/>
        </w:rPr>
        <w:t xml:space="preserve"> </w:t>
      </w:r>
      <w:r w:rsidRPr="00E82016">
        <w:rPr>
          <w:rFonts w:ascii="Times New Roman" w:hAnsi="Times New Roman"/>
          <w:b/>
          <w:i/>
          <w:sz w:val="24"/>
          <w:szCs w:val="24"/>
          <w:lang w:val="kk-KZ"/>
        </w:rPr>
        <w:t xml:space="preserve">Показатель «Стоимость финансовых услуг» Глобального индекса конкурентоспособности </w:t>
      </w:r>
      <w:r w:rsidRPr="00E82016">
        <w:rPr>
          <w:rFonts w:ascii="Times New Roman" w:hAnsi="Times New Roman"/>
          <w:i/>
          <w:sz w:val="24"/>
          <w:szCs w:val="24"/>
          <w:lang w:val="kk-KZ"/>
        </w:rPr>
        <w:t>(5</w:t>
      </w:r>
      <w:r>
        <w:rPr>
          <w:rFonts w:ascii="Times New Roman" w:hAnsi="Times New Roman"/>
          <w:i/>
          <w:sz w:val="24"/>
          <w:szCs w:val="24"/>
          <w:lang w:val="kk-KZ"/>
        </w:rPr>
        <w:t>7</w:t>
      </w:r>
      <w:r w:rsidRPr="00E82016">
        <w:rPr>
          <w:rFonts w:ascii="Times New Roman" w:hAnsi="Times New Roman"/>
          <w:i/>
          <w:sz w:val="24"/>
          <w:szCs w:val="24"/>
          <w:lang w:val="kk-KZ"/>
        </w:rPr>
        <w:t xml:space="preserve"> место в рейтинге ГИК ВЭФ)</w:t>
      </w:r>
    </w:p>
    <w:p w:rsidR="0079351A" w:rsidRPr="00334F33" w:rsidRDefault="0079351A" w:rsidP="0079351A">
      <w:pPr>
        <w:spacing w:after="0" w:line="240" w:lineRule="auto"/>
        <w:ind w:firstLine="709"/>
        <w:contextualSpacing/>
        <w:jc w:val="both"/>
        <w:rPr>
          <w:rFonts w:ascii="Times New Roman" w:hAnsi="Times New Roman"/>
          <w:bCs/>
          <w:i/>
          <w:iCs/>
          <w:sz w:val="24"/>
        </w:rPr>
      </w:pPr>
      <w:r w:rsidRPr="003D5746">
        <w:rPr>
          <w:rFonts w:ascii="Times New Roman" w:eastAsia="Times New Roman" w:hAnsi="Times New Roman"/>
          <w:sz w:val="24"/>
          <w:szCs w:val="24"/>
          <w:lang w:eastAsia="ru-RU"/>
        </w:rPr>
        <w:t>Согласно новой методологии ГИК ВЭФ 4.0, действующей с 2018 года, индикатор «</w:t>
      </w:r>
      <w:r>
        <w:rPr>
          <w:rFonts w:ascii="Times New Roman" w:eastAsia="Times New Roman" w:hAnsi="Times New Roman"/>
          <w:sz w:val="24"/>
          <w:szCs w:val="24"/>
          <w:lang w:eastAsia="ru-RU"/>
        </w:rPr>
        <w:t>Стоимость финансовых услуг</w:t>
      </w:r>
      <w:r w:rsidRPr="003D5746">
        <w:rPr>
          <w:rFonts w:ascii="Times New Roman" w:eastAsia="Times New Roman" w:hAnsi="Times New Roman"/>
          <w:sz w:val="24"/>
          <w:szCs w:val="24"/>
          <w:lang w:eastAsia="ru-RU"/>
        </w:rPr>
        <w:t>» исключён из структуры отчёта ГИК ВЭФ, поскольку в настоящее время основной упор ставится на ст</w:t>
      </w:r>
      <w:r>
        <w:rPr>
          <w:rFonts w:ascii="Times New Roman" w:eastAsia="Times New Roman" w:hAnsi="Times New Roman"/>
          <w:sz w:val="24"/>
          <w:szCs w:val="24"/>
          <w:lang w:eastAsia="ru-RU"/>
        </w:rPr>
        <w:t xml:space="preserve">атистические индикаторы. </w:t>
      </w:r>
      <w:r>
        <w:rPr>
          <w:rFonts w:ascii="Times New Roman" w:eastAsia="Times New Roman" w:hAnsi="Times New Roman"/>
          <w:sz w:val="24"/>
          <w:szCs w:val="24"/>
          <w:lang w:eastAsia="ru-RU"/>
        </w:rPr>
        <w:tab/>
        <w:t xml:space="preserve">Таким </w:t>
      </w:r>
      <w:r w:rsidRPr="003D5746">
        <w:rPr>
          <w:rFonts w:ascii="Times New Roman" w:eastAsia="Times New Roman" w:hAnsi="Times New Roman"/>
          <w:sz w:val="24"/>
          <w:szCs w:val="24"/>
          <w:lang w:eastAsia="ru-RU"/>
        </w:rPr>
        <w:t xml:space="preserve">образом, не представляется возможным указать информацию по позиции Казахстана по целевому индикатору по итогам 2018 года ввиду отсутствия необходимой информации в ежегодном отчете по глобальному индексу конкурентоспособности. </w:t>
      </w:r>
    </w:p>
    <w:p w:rsidR="00F2659C" w:rsidRPr="00E82016" w:rsidRDefault="00F2659C" w:rsidP="00F2659C">
      <w:pPr>
        <w:spacing w:after="0" w:line="240" w:lineRule="auto"/>
        <w:ind w:firstLine="709"/>
        <w:contextualSpacing/>
        <w:jc w:val="both"/>
        <w:rPr>
          <w:rFonts w:ascii="Times New Roman" w:hAnsi="Times New Roman"/>
          <w:b/>
          <w:i/>
          <w:sz w:val="24"/>
        </w:rPr>
      </w:pPr>
      <w:r w:rsidRPr="00E82016">
        <w:rPr>
          <w:rFonts w:ascii="Times New Roman" w:hAnsi="Times New Roman"/>
          <w:b/>
          <w:bCs/>
          <w:i/>
          <w:iCs/>
          <w:sz w:val="24"/>
        </w:rPr>
        <w:t>Мероприятия для достижения  целевого индикатора:</w:t>
      </w:r>
    </w:p>
    <w:p w:rsidR="00F2659C" w:rsidRPr="009813EF" w:rsidRDefault="00F2659C" w:rsidP="00F2659C">
      <w:pPr>
        <w:spacing w:after="0" w:line="240" w:lineRule="auto"/>
        <w:ind w:firstLine="709"/>
        <w:contextualSpacing/>
        <w:jc w:val="both"/>
        <w:rPr>
          <w:rFonts w:ascii="Times New Roman" w:hAnsi="Times New Roman"/>
          <w:i/>
          <w:sz w:val="24"/>
          <w:szCs w:val="24"/>
        </w:rPr>
      </w:pPr>
      <w:r w:rsidRPr="009813EF">
        <w:rPr>
          <w:rFonts w:ascii="Times New Roman" w:hAnsi="Times New Roman"/>
          <w:i/>
          <w:sz w:val="24"/>
          <w:szCs w:val="24"/>
        </w:rPr>
        <w:t>Реализация мероприятий в рамках Программы по повышению финансовой грамотности населения на 2016-2018 годы, что позволит потребителям понять формирование стоимости финансовых услуг, создаст возможность потребителям в результате сопоставления стоимости финансовых услуг определить и выбрать наиболее приемлемую и выгодную финансовую услугу</w:t>
      </w:r>
      <w:r>
        <w:rPr>
          <w:rFonts w:ascii="Times New Roman" w:hAnsi="Times New Roman"/>
          <w:i/>
          <w:sz w:val="24"/>
          <w:szCs w:val="24"/>
        </w:rPr>
        <w:t>.</w:t>
      </w:r>
    </w:p>
    <w:p w:rsidR="00F2659C" w:rsidRDefault="00F2659C" w:rsidP="00F2659C">
      <w:pPr>
        <w:spacing w:after="0" w:line="240" w:lineRule="auto"/>
        <w:ind w:firstLine="709"/>
        <w:contextualSpacing/>
        <w:jc w:val="both"/>
        <w:rPr>
          <w:rFonts w:ascii="Times New Roman" w:hAnsi="Times New Roman"/>
          <w:i/>
          <w:sz w:val="24"/>
          <w:szCs w:val="24"/>
        </w:rPr>
      </w:pPr>
      <w:r w:rsidRPr="00E64D06">
        <w:rPr>
          <w:rFonts w:ascii="Times New Roman" w:hAnsi="Times New Roman"/>
          <w:i/>
          <w:sz w:val="24"/>
          <w:szCs w:val="24"/>
        </w:rPr>
        <w:t>Расширение круга услуг, предоставляемых АО «Казпочта», что составит конкуренцию в предоставлении банковских услуг частным клиентам (услуги по текущему счету, оплата процентов по вкладам, предоставление инвестиционных и пенсионных консультаций) и предоставлению финансовых услуг профессиональному сектору</w:t>
      </w:r>
      <w:r>
        <w:rPr>
          <w:rFonts w:ascii="Times New Roman" w:hAnsi="Times New Roman"/>
          <w:i/>
          <w:sz w:val="24"/>
          <w:szCs w:val="24"/>
        </w:rPr>
        <w:t>.</w:t>
      </w:r>
    </w:p>
    <w:p w:rsidR="00F2659C" w:rsidRDefault="00F2659C" w:rsidP="00F2659C">
      <w:pPr>
        <w:autoSpaceDE w:val="0"/>
        <w:autoSpaceDN w:val="0"/>
        <w:spacing w:after="0" w:line="240" w:lineRule="auto"/>
        <w:ind w:firstLine="709"/>
        <w:jc w:val="both"/>
        <w:rPr>
          <w:rFonts w:ascii="Times New Roman" w:hAnsi="Times New Roman"/>
          <w:i/>
          <w:sz w:val="24"/>
          <w:szCs w:val="24"/>
        </w:rPr>
      </w:pPr>
      <w:r w:rsidRPr="006E0DE3">
        <w:rPr>
          <w:rFonts w:ascii="Times New Roman" w:hAnsi="Times New Roman"/>
          <w:i/>
          <w:sz w:val="24"/>
          <w:szCs w:val="24"/>
        </w:rPr>
        <w:t>Р</w:t>
      </w:r>
      <w:r w:rsidR="001364B5">
        <w:rPr>
          <w:rFonts w:ascii="Times New Roman" w:hAnsi="Times New Roman"/>
          <w:i/>
          <w:sz w:val="24"/>
          <w:szCs w:val="24"/>
        </w:rPr>
        <w:t>азмещение на интернет-ресурсе Национального Банка</w:t>
      </w:r>
      <w:r w:rsidRPr="006E0DE3">
        <w:rPr>
          <w:rFonts w:ascii="Times New Roman" w:hAnsi="Times New Roman"/>
          <w:i/>
          <w:sz w:val="24"/>
          <w:szCs w:val="24"/>
        </w:rPr>
        <w:t xml:space="preserve"> и АО «Казпочта» сведений о ставках и тарифах по продуктам, что позволит потребителям быть всегда информированными, а также проводить сравнение стоимости</w:t>
      </w:r>
      <w:r>
        <w:rPr>
          <w:rFonts w:ascii="Times New Roman" w:hAnsi="Times New Roman"/>
          <w:i/>
          <w:sz w:val="24"/>
          <w:szCs w:val="24"/>
        </w:rPr>
        <w:t>.</w:t>
      </w:r>
    </w:p>
    <w:p w:rsidR="00504FEA" w:rsidRPr="00504FEA" w:rsidRDefault="00504FEA" w:rsidP="00504FEA">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04FEA">
        <w:rPr>
          <w:rFonts w:ascii="Times New Roman" w:eastAsia="Times New Roman" w:hAnsi="Times New Roman" w:cs="Times New Roman"/>
          <w:sz w:val="24"/>
          <w:szCs w:val="24"/>
          <w:lang w:eastAsia="ru-RU"/>
        </w:rPr>
        <w:lastRenderedPageBreak/>
        <w:t>На официальном интернет-ресурсе Национального Банка в разделе «Защита прав потребителей финансовых услуг» производится своевременное обновление  базы данных действующих тарифов по депозитам и кред</w:t>
      </w:r>
      <w:r w:rsidR="00271E80">
        <w:rPr>
          <w:rFonts w:ascii="Times New Roman" w:eastAsia="Times New Roman" w:hAnsi="Times New Roman" w:cs="Times New Roman"/>
          <w:sz w:val="24"/>
          <w:szCs w:val="24"/>
          <w:lang w:eastAsia="ru-RU"/>
        </w:rPr>
        <w:t xml:space="preserve">итам банков второго уровня и АО </w:t>
      </w:r>
      <w:r w:rsidRPr="00504FEA">
        <w:rPr>
          <w:rFonts w:ascii="Times New Roman" w:eastAsia="Times New Roman" w:hAnsi="Times New Roman" w:cs="Times New Roman"/>
          <w:sz w:val="24"/>
          <w:szCs w:val="24"/>
          <w:lang w:eastAsia="ru-RU"/>
        </w:rPr>
        <w:t xml:space="preserve">«Казпочта». </w:t>
      </w:r>
    </w:p>
    <w:p w:rsidR="00504FEA" w:rsidRPr="00504FEA" w:rsidRDefault="00504FEA" w:rsidP="00504FEA">
      <w:pPr>
        <w:autoSpaceDE w:val="0"/>
        <w:autoSpaceDN w:val="0"/>
        <w:spacing w:after="0" w:line="240" w:lineRule="auto"/>
        <w:ind w:firstLine="709"/>
        <w:jc w:val="both"/>
        <w:rPr>
          <w:rFonts w:ascii="Times New Roman" w:hAnsi="Times New Roman"/>
          <w:sz w:val="24"/>
          <w:szCs w:val="24"/>
        </w:rPr>
      </w:pPr>
      <w:r w:rsidRPr="00504FEA">
        <w:rPr>
          <w:rFonts w:ascii="Times New Roman" w:hAnsi="Times New Roman"/>
          <w:sz w:val="24"/>
          <w:szCs w:val="24"/>
        </w:rPr>
        <w:t>На сегодняшний день АО «Казпочта» предоставляет широкий спектр финансовых, брокерских, агентских, элект</w:t>
      </w:r>
      <w:r w:rsidR="00271E80">
        <w:rPr>
          <w:rFonts w:ascii="Times New Roman" w:hAnsi="Times New Roman"/>
          <w:sz w:val="24"/>
          <w:szCs w:val="24"/>
        </w:rPr>
        <w:t xml:space="preserve">ронных услуг. В распоряжении АО </w:t>
      </w:r>
      <w:r w:rsidRPr="00504FEA">
        <w:rPr>
          <w:rFonts w:ascii="Times New Roman" w:hAnsi="Times New Roman"/>
          <w:sz w:val="24"/>
          <w:szCs w:val="24"/>
        </w:rPr>
        <w:t>«Казпочта» самая масштабная </w:t>
      </w:r>
      <w:hyperlink r:id="rId9" w:tooltip="Список отделений АО " w:history="1">
        <w:r w:rsidRPr="00504FEA">
          <w:rPr>
            <w:rFonts w:ascii="Times New Roman" w:hAnsi="Times New Roman"/>
            <w:sz w:val="24"/>
            <w:szCs w:val="24"/>
          </w:rPr>
          <w:t>филиальная сеть в стране</w:t>
        </w:r>
      </w:hyperlink>
      <w:r w:rsidRPr="00504FEA">
        <w:rPr>
          <w:rFonts w:ascii="Times New Roman" w:hAnsi="Times New Roman"/>
          <w:sz w:val="24"/>
          <w:szCs w:val="24"/>
        </w:rPr>
        <w:t>, охватывающая практически всю территорию Казахстана, особенно на уровне районной и сельской местности. Почтовая сеть является эффективным инструментом для продвижения финансовых услуг для бизнеса и населения.</w:t>
      </w:r>
    </w:p>
    <w:p w:rsidR="00504FEA" w:rsidRPr="00504FEA" w:rsidRDefault="00504FEA" w:rsidP="00504FEA">
      <w:pPr>
        <w:spacing w:after="0" w:line="240" w:lineRule="auto"/>
        <w:ind w:firstLine="709"/>
        <w:jc w:val="both"/>
        <w:rPr>
          <w:rFonts w:ascii="Times New Roman" w:eastAsia="Calibri" w:hAnsi="Times New Roman" w:cs="Times New Roman"/>
          <w:sz w:val="24"/>
          <w:szCs w:val="24"/>
        </w:rPr>
      </w:pPr>
      <w:r w:rsidRPr="00504FEA">
        <w:rPr>
          <w:rFonts w:ascii="Times New Roman" w:eastAsia="Calibri" w:hAnsi="Times New Roman" w:cs="Times New Roman"/>
          <w:sz w:val="24"/>
          <w:szCs w:val="24"/>
        </w:rPr>
        <w:t xml:space="preserve">На интернет-ресурсах банков второго уровня, АО «Казпочта» и официальном </w:t>
      </w:r>
      <w:r w:rsidR="0079351A">
        <w:rPr>
          <w:rFonts w:ascii="Times New Roman" w:eastAsia="Calibri" w:hAnsi="Times New Roman" w:cs="Times New Roman"/>
          <w:sz w:val="24"/>
          <w:szCs w:val="24"/>
        </w:rPr>
        <w:t>и</w:t>
      </w:r>
      <w:r w:rsidRPr="00504FEA">
        <w:rPr>
          <w:rFonts w:ascii="Times New Roman" w:eastAsia="Calibri" w:hAnsi="Times New Roman" w:cs="Times New Roman"/>
          <w:sz w:val="24"/>
          <w:szCs w:val="24"/>
        </w:rPr>
        <w:t xml:space="preserve">нтернет-ресурсе </w:t>
      </w:r>
      <w:r w:rsidRPr="00504FEA">
        <w:rPr>
          <w:rFonts w:ascii="Times New Roman" w:eastAsia="Calibri" w:hAnsi="Times New Roman" w:cs="Times New Roman"/>
          <w:color w:val="000000"/>
          <w:sz w:val="24"/>
          <w:szCs w:val="24"/>
        </w:rPr>
        <w:t xml:space="preserve">Национального Банка </w:t>
      </w:r>
      <w:r w:rsidRPr="00504FEA">
        <w:rPr>
          <w:rFonts w:ascii="Times New Roman" w:eastAsia="Calibri" w:hAnsi="Times New Roman" w:cs="Times New Roman"/>
          <w:sz w:val="24"/>
          <w:szCs w:val="24"/>
        </w:rPr>
        <w:t>в разделе «Защита прав потребителей финансовых услуг»  размещена информация о ставках и тарифах по продуктам.</w:t>
      </w:r>
    </w:p>
    <w:p w:rsidR="00F2659C" w:rsidRPr="00E82016" w:rsidRDefault="00F2659C" w:rsidP="00F2659C">
      <w:pPr>
        <w:spacing w:after="0" w:line="240" w:lineRule="auto"/>
        <w:ind w:firstLine="709"/>
        <w:contextualSpacing/>
        <w:jc w:val="both"/>
        <w:rPr>
          <w:rFonts w:ascii="Times New Roman" w:hAnsi="Times New Roman"/>
          <w:sz w:val="24"/>
          <w:szCs w:val="24"/>
        </w:rPr>
      </w:pPr>
    </w:p>
    <w:p w:rsidR="00F2659C" w:rsidRPr="00E82016" w:rsidRDefault="00F2659C" w:rsidP="00F2659C">
      <w:pPr>
        <w:spacing w:after="0" w:line="240" w:lineRule="auto"/>
        <w:ind w:firstLine="709"/>
        <w:contextualSpacing/>
        <w:jc w:val="both"/>
        <w:rPr>
          <w:rFonts w:ascii="Times New Roman" w:hAnsi="Times New Roman"/>
          <w:i/>
          <w:sz w:val="24"/>
          <w:szCs w:val="24"/>
          <w:lang w:val="kk-KZ"/>
        </w:rPr>
      </w:pPr>
      <w:r w:rsidRPr="00E82016">
        <w:rPr>
          <w:rFonts w:ascii="Times New Roman" w:hAnsi="Times New Roman"/>
          <w:b/>
          <w:i/>
          <w:sz w:val="24"/>
          <w:szCs w:val="24"/>
        </w:rPr>
        <w:t xml:space="preserve">Целевой индикатор </w:t>
      </w:r>
      <w:r>
        <w:rPr>
          <w:rFonts w:ascii="Times New Roman" w:hAnsi="Times New Roman"/>
          <w:b/>
          <w:i/>
          <w:sz w:val="24"/>
          <w:szCs w:val="24"/>
        </w:rPr>
        <w:t>6</w:t>
      </w:r>
      <w:r w:rsidRPr="00E82016">
        <w:rPr>
          <w:rFonts w:ascii="Times New Roman" w:hAnsi="Times New Roman"/>
          <w:b/>
          <w:i/>
          <w:sz w:val="24"/>
          <w:szCs w:val="24"/>
        </w:rPr>
        <w:t>:</w:t>
      </w:r>
      <w:r w:rsidRPr="00E82016">
        <w:rPr>
          <w:rFonts w:ascii="Times New Roman" w:hAnsi="Times New Roman"/>
          <w:i/>
          <w:sz w:val="24"/>
          <w:szCs w:val="24"/>
        </w:rPr>
        <w:t xml:space="preserve"> </w:t>
      </w:r>
      <w:r w:rsidRPr="00E82016">
        <w:rPr>
          <w:rFonts w:ascii="Times New Roman" w:hAnsi="Times New Roman"/>
          <w:b/>
          <w:i/>
          <w:sz w:val="24"/>
          <w:szCs w:val="24"/>
          <w:lang w:val="kk-KZ"/>
        </w:rPr>
        <w:t xml:space="preserve">Показатель «Легкость получения заемных средств» Глобального индекса конкурентоспособности </w:t>
      </w:r>
      <w:r w:rsidRPr="00E82016">
        <w:rPr>
          <w:rFonts w:ascii="Times New Roman" w:hAnsi="Times New Roman"/>
          <w:i/>
          <w:sz w:val="24"/>
          <w:szCs w:val="24"/>
          <w:lang w:val="kk-KZ"/>
        </w:rPr>
        <w:t>(4</w:t>
      </w:r>
      <w:r>
        <w:rPr>
          <w:rFonts w:ascii="Times New Roman" w:hAnsi="Times New Roman"/>
          <w:i/>
          <w:sz w:val="24"/>
          <w:szCs w:val="24"/>
          <w:lang w:val="kk-KZ"/>
        </w:rPr>
        <w:t>2</w:t>
      </w:r>
      <w:r w:rsidRPr="00E82016">
        <w:rPr>
          <w:rFonts w:ascii="Times New Roman" w:hAnsi="Times New Roman"/>
          <w:i/>
          <w:sz w:val="24"/>
          <w:szCs w:val="24"/>
          <w:lang w:val="kk-KZ"/>
        </w:rPr>
        <w:t xml:space="preserve"> место в рейтинге ГИК ВЭФ)</w:t>
      </w:r>
    </w:p>
    <w:p w:rsidR="0079351A" w:rsidRPr="00334F33" w:rsidRDefault="0079351A" w:rsidP="0079351A">
      <w:pPr>
        <w:spacing w:after="0" w:line="240" w:lineRule="auto"/>
        <w:ind w:firstLine="709"/>
        <w:contextualSpacing/>
        <w:jc w:val="both"/>
        <w:rPr>
          <w:rFonts w:ascii="Times New Roman" w:hAnsi="Times New Roman"/>
          <w:bCs/>
          <w:i/>
          <w:iCs/>
          <w:sz w:val="24"/>
        </w:rPr>
      </w:pPr>
      <w:r w:rsidRPr="003D5746">
        <w:rPr>
          <w:rFonts w:ascii="Times New Roman" w:eastAsia="Times New Roman" w:hAnsi="Times New Roman"/>
          <w:sz w:val="24"/>
          <w:szCs w:val="24"/>
          <w:lang w:eastAsia="ru-RU"/>
        </w:rPr>
        <w:t>Согласно новой методологии ГИК ВЭФ 4.0, действующей с 2018 года, индикатор «</w:t>
      </w:r>
      <w:r>
        <w:rPr>
          <w:rFonts w:ascii="Times New Roman" w:eastAsia="Times New Roman" w:hAnsi="Times New Roman"/>
          <w:sz w:val="24"/>
          <w:szCs w:val="24"/>
          <w:lang w:eastAsia="ru-RU"/>
        </w:rPr>
        <w:t>Легкость получения заемных средств</w:t>
      </w:r>
      <w:r w:rsidRPr="003D5746">
        <w:rPr>
          <w:rFonts w:ascii="Times New Roman" w:eastAsia="Times New Roman" w:hAnsi="Times New Roman"/>
          <w:sz w:val="24"/>
          <w:szCs w:val="24"/>
          <w:lang w:eastAsia="ru-RU"/>
        </w:rPr>
        <w:t>» исключён из структуры отчёта ГИК ВЭФ, поскольку в настоящее время основной упор ставится на ст</w:t>
      </w:r>
      <w:r>
        <w:rPr>
          <w:rFonts w:ascii="Times New Roman" w:eastAsia="Times New Roman" w:hAnsi="Times New Roman"/>
          <w:sz w:val="24"/>
          <w:szCs w:val="24"/>
          <w:lang w:eastAsia="ru-RU"/>
        </w:rPr>
        <w:t xml:space="preserve">атистические индикаторы. </w:t>
      </w:r>
      <w:r>
        <w:rPr>
          <w:rFonts w:ascii="Times New Roman" w:eastAsia="Times New Roman" w:hAnsi="Times New Roman"/>
          <w:sz w:val="24"/>
          <w:szCs w:val="24"/>
          <w:lang w:eastAsia="ru-RU"/>
        </w:rPr>
        <w:tab/>
        <w:t xml:space="preserve">Таким </w:t>
      </w:r>
      <w:r w:rsidRPr="003D5746">
        <w:rPr>
          <w:rFonts w:ascii="Times New Roman" w:eastAsia="Times New Roman" w:hAnsi="Times New Roman"/>
          <w:sz w:val="24"/>
          <w:szCs w:val="24"/>
          <w:lang w:eastAsia="ru-RU"/>
        </w:rPr>
        <w:t xml:space="preserve">образом, не представляется возможным указать информацию по позиции Казахстана по целевому индикатору по итогам 2018 года ввиду отсутствия необходимой информации в ежегодном отчете по глобальному индексу конкурентоспособности. </w:t>
      </w:r>
    </w:p>
    <w:p w:rsidR="00F2659C" w:rsidRPr="00E82016" w:rsidRDefault="00F2659C" w:rsidP="00F2659C">
      <w:pPr>
        <w:spacing w:after="0" w:line="240" w:lineRule="auto"/>
        <w:ind w:firstLine="709"/>
        <w:contextualSpacing/>
        <w:jc w:val="both"/>
        <w:rPr>
          <w:rFonts w:ascii="Times New Roman" w:hAnsi="Times New Roman"/>
          <w:b/>
          <w:i/>
          <w:sz w:val="24"/>
        </w:rPr>
      </w:pPr>
      <w:r w:rsidRPr="00E82016">
        <w:rPr>
          <w:rFonts w:ascii="Times New Roman" w:hAnsi="Times New Roman"/>
          <w:b/>
          <w:bCs/>
          <w:i/>
          <w:iCs/>
          <w:sz w:val="24"/>
        </w:rPr>
        <w:t>Мероприятия для достижения  целевого индикатора:</w:t>
      </w:r>
    </w:p>
    <w:p w:rsidR="00F2659C" w:rsidRPr="00421E8F" w:rsidRDefault="00F2659C" w:rsidP="00F2659C">
      <w:pPr>
        <w:spacing w:after="0" w:line="240" w:lineRule="auto"/>
        <w:ind w:firstLine="709"/>
        <w:contextualSpacing/>
        <w:jc w:val="both"/>
        <w:rPr>
          <w:rFonts w:ascii="Times New Roman" w:hAnsi="Times New Roman"/>
          <w:i/>
          <w:sz w:val="24"/>
          <w:szCs w:val="24"/>
        </w:rPr>
      </w:pPr>
      <w:r w:rsidRPr="00421E8F">
        <w:rPr>
          <w:rFonts w:ascii="Times New Roman" w:hAnsi="Times New Roman"/>
          <w:i/>
          <w:sz w:val="24"/>
          <w:szCs w:val="24"/>
        </w:rPr>
        <w:t>Регулирование вопросов расширения возможности получения необходимой услуги юридическим лицам, которая предполагает возможность оптимизации процесса выдачи кредитов, включая сокращения сроков выдачи кредитов, рассмотрение вопросов предоставления финансовых услуг в рамках одной кредитной линии.</w:t>
      </w:r>
    </w:p>
    <w:p w:rsidR="00F2659C" w:rsidRPr="009D5DD5" w:rsidRDefault="00F2659C" w:rsidP="00F2659C">
      <w:pPr>
        <w:widowControl w:val="0"/>
        <w:pBdr>
          <w:bottom w:val="single" w:sz="4" w:space="7" w:color="FFFFFF"/>
        </w:pBdr>
        <w:tabs>
          <w:tab w:val="left" w:pos="0"/>
        </w:tabs>
        <w:spacing w:after="0" w:line="240" w:lineRule="auto"/>
        <w:ind w:firstLine="709"/>
        <w:jc w:val="both"/>
        <w:rPr>
          <w:rFonts w:ascii="Times New Roman" w:hAnsi="Times New Roman"/>
          <w:i/>
          <w:sz w:val="24"/>
          <w:szCs w:val="24"/>
        </w:rPr>
      </w:pPr>
      <w:r w:rsidRPr="009D5DD5">
        <w:rPr>
          <w:rFonts w:ascii="Times New Roman" w:hAnsi="Times New Roman"/>
          <w:i/>
          <w:sz w:val="24"/>
          <w:szCs w:val="24"/>
        </w:rPr>
        <w:t>Реализация мер по ориентации внимания кредиторов на качестве и эффективности бизнес-планов заемщиков в свете «перекредитованности» населения и бизнес сектора</w:t>
      </w:r>
      <w:r>
        <w:rPr>
          <w:rFonts w:ascii="Times New Roman" w:hAnsi="Times New Roman"/>
          <w:i/>
          <w:sz w:val="24"/>
          <w:szCs w:val="24"/>
        </w:rPr>
        <w:t>.</w:t>
      </w:r>
    </w:p>
    <w:p w:rsidR="0079351A" w:rsidRDefault="00F2659C" w:rsidP="0079351A">
      <w:pPr>
        <w:widowControl w:val="0"/>
        <w:pBdr>
          <w:bottom w:val="single" w:sz="4" w:space="7" w:color="FFFFFF"/>
        </w:pBdr>
        <w:tabs>
          <w:tab w:val="left" w:pos="0"/>
        </w:tabs>
        <w:spacing w:after="0" w:line="240" w:lineRule="auto"/>
        <w:ind w:firstLine="709"/>
        <w:jc w:val="both"/>
        <w:rPr>
          <w:rFonts w:ascii="Times New Roman" w:hAnsi="Times New Roman"/>
          <w:i/>
          <w:sz w:val="24"/>
          <w:szCs w:val="24"/>
        </w:rPr>
      </w:pPr>
      <w:r w:rsidRPr="009D5DD5">
        <w:rPr>
          <w:rFonts w:ascii="Times New Roman" w:hAnsi="Times New Roman"/>
          <w:i/>
          <w:sz w:val="24"/>
          <w:szCs w:val="24"/>
        </w:rPr>
        <w:t>Реализация мер по акцентированию внимания кредиторов на разрешении вопросов кредитоспособности заемщиков юридических лиц при рыночном снижении ликвидности залога без ущерба прав заемщиков</w:t>
      </w:r>
      <w:r>
        <w:rPr>
          <w:rFonts w:ascii="Times New Roman" w:hAnsi="Times New Roman"/>
          <w:i/>
          <w:sz w:val="24"/>
          <w:szCs w:val="24"/>
        </w:rPr>
        <w:t>.</w:t>
      </w:r>
    </w:p>
    <w:p w:rsidR="0079351A" w:rsidRDefault="0079351A" w:rsidP="0079351A">
      <w:pPr>
        <w:widowControl w:val="0"/>
        <w:pBdr>
          <w:bottom w:val="single" w:sz="4" w:space="7" w:color="FFFFFF"/>
        </w:pBdr>
        <w:tabs>
          <w:tab w:val="left" w:pos="0"/>
        </w:tabs>
        <w:spacing w:after="0" w:line="240" w:lineRule="auto"/>
        <w:ind w:firstLine="709"/>
        <w:jc w:val="both"/>
        <w:rPr>
          <w:rFonts w:ascii="Times New Roman" w:hAnsi="Times New Roman"/>
          <w:i/>
          <w:sz w:val="24"/>
          <w:szCs w:val="24"/>
        </w:rPr>
      </w:pPr>
      <w:r w:rsidRPr="0079351A">
        <w:rPr>
          <w:rFonts w:ascii="Times New Roman" w:hAnsi="Times New Roman"/>
          <w:sz w:val="24"/>
          <w:szCs w:val="24"/>
        </w:rPr>
        <w:t xml:space="preserve">30 ноября 2016 года Правлением </w:t>
      </w:r>
      <w:r>
        <w:rPr>
          <w:rFonts w:ascii="Times New Roman" w:hAnsi="Times New Roman"/>
          <w:sz w:val="24"/>
          <w:szCs w:val="24"/>
        </w:rPr>
        <w:t>Национального Банка</w:t>
      </w:r>
      <w:r w:rsidRPr="0079351A">
        <w:rPr>
          <w:rFonts w:ascii="Times New Roman" w:hAnsi="Times New Roman"/>
          <w:sz w:val="24"/>
          <w:szCs w:val="24"/>
        </w:rPr>
        <w:t xml:space="preserve"> принято постановление № 288 «Об утверждении Правил оказания услуг банку по привлечению клиентов, осуществлению проверки на соответствие требованиям банка, передаче документов клиентов банку». </w:t>
      </w:r>
    </w:p>
    <w:p w:rsidR="0079351A" w:rsidRDefault="0079351A" w:rsidP="0079351A">
      <w:pPr>
        <w:widowControl w:val="0"/>
        <w:pBdr>
          <w:bottom w:val="single" w:sz="4" w:space="7" w:color="FFFFFF"/>
        </w:pBdr>
        <w:tabs>
          <w:tab w:val="left" w:pos="0"/>
        </w:tabs>
        <w:spacing w:after="0" w:line="240" w:lineRule="auto"/>
        <w:ind w:firstLine="709"/>
        <w:jc w:val="both"/>
        <w:rPr>
          <w:rFonts w:ascii="Times New Roman" w:hAnsi="Times New Roman"/>
          <w:i/>
          <w:sz w:val="24"/>
          <w:szCs w:val="24"/>
        </w:rPr>
      </w:pPr>
      <w:r w:rsidRPr="0079351A">
        <w:rPr>
          <w:rFonts w:ascii="Times New Roman" w:eastAsia="Times New Roman" w:hAnsi="Times New Roman" w:cs="Times New Roman"/>
          <w:sz w:val="24"/>
          <w:szCs w:val="24"/>
          <w:lang w:eastAsia="ru-RU"/>
        </w:rPr>
        <w:t>Совместно с ОЮЛ «Ассоциация финансовых организаций Казахстана» прорабатываются меры по оптимизации процесса выдачи кредитов, включая сокращение сроков выдачи кредитов, рассмотрение вопросов предоставления финансовых услуг в рамках одной кредитной линии.</w:t>
      </w:r>
    </w:p>
    <w:p w:rsidR="0079351A" w:rsidRDefault="0079351A" w:rsidP="0079351A">
      <w:pPr>
        <w:widowControl w:val="0"/>
        <w:pBdr>
          <w:bottom w:val="single" w:sz="4" w:space="7" w:color="FFFFFF"/>
        </w:pBdr>
        <w:tabs>
          <w:tab w:val="left" w:pos="0"/>
        </w:tabs>
        <w:spacing w:after="0" w:line="240" w:lineRule="auto"/>
        <w:ind w:firstLine="709"/>
        <w:jc w:val="both"/>
        <w:rPr>
          <w:rFonts w:ascii="Times New Roman" w:eastAsia="Calibri" w:hAnsi="Times New Roman" w:cs="Times New Roman"/>
          <w:color w:val="000000"/>
          <w:sz w:val="24"/>
          <w:szCs w:val="24"/>
        </w:rPr>
      </w:pPr>
      <w:r w:rsidRPr="0079351A">
        <w:rPr>
          <w:rFonts w:ascii="Times New Roman" w:eastAsia="Calibri" w:hAnsi="Times New Roman" w:cs="Times New Roman"/>
          <w:color w:val="000000"/>
          <w:sz w:val="24"/>
          <w:szCs w:val="24"/>
        </w:rPr>
        <w:t xml:space="preserve">С </w:t>
      </w:r>
      <w:r>
        <w:rPr>
          <w:rFonts w:ascii="Times New Roman" w:eastAsia="Calibri" w:hAnsi="Times New Roman" w:cs="Times New Roman"/>
          <w:color w:val="000000"/>
          <w:sz w:val="24"/>
          <w:szCs w:val="24"/>
        </w:rPr>
        <w:t>1 января 2019 года</w:t>
      </w:r>
      <w:r w:rsidRPr="0079351A">
        <w:rPr>
          <w:rFonts w:ascii="Times New Roman" w:eastAsia="Calibri" w:hAnsi="Times New Roman" w:cs="Times New Roman"/>
          <w:color w:val="000000"/>
          <w:sz w:val="24"/>
          <w:szCs w:val="24"/>
        </w:rPr>
        <w:t xml:space="preserve"> исключены требования по перечню документации по кредитованию, установленных Постановлением Правления Агентства Республики Казахстан по регулированию и надзору финансового рынка и финансовых организаций от 23</w:t>
      </w:r>
      <w:r>
        <w:rPr>
          <w:rFonts w:ascii="Times New Roman" w:eastAsia="Calibri" w:hAnsi="Times New Roman" w:cs="Times New Roman"/>
          <w:color w:val="000000"/>
          <w:sz w:val="24"/>
          <w:szCs w:val="24"/>
        </w:rPr>
        <w:t xml:space="preserve"> февраля 2007 года </w:t>
      </w:r>
      <w:r w:rsidRPr="0079351A">
        <w:rPr>
          <w:rFonts w:ascii="Times New Roman" w:eastAsia="Calibri" w:hAnsi="Times New Roman" w:cs="Times New Roman"/>
          <w:color w:val="000000"/>
          <w:sz w:val="24"/>
          <w:szCs w:val="24"/>
        </w:rPr>
        <w:t>№49 «Об утверждении Правил ведени</w:t>
      </w:r>
      <w:r>
        <w:rPr>
          <w:rFonts w:ascii="Times New Roman" w:eastAsia="Calibri" w:hAnsi="Times New Roman" w:cs="Times New Roman"/>
          <w:color w:val="000000"/>
          <w:sz w:val="24"/>
          <w:szCs w:val="24"/>
        </w:rPr>
        <w:t>я документации по кредитованию».</w:t>
      </w:r>
    </w:p>
    <w:p w:rsidR="0079351A" w:rsidRDefault="0079351A" w:rsidP="0079351A">
      <w:pPr>
        <w:widowControl w:val="0"/>
        <w:pBdr>
          <w:bottom w:val="single" w:sz="4" w:space="7" w:color="FFFFFF"/>
        </w:pBdr>
        <w:tabs>
          <w:tab w:val="left" w:pos="0"/>
        </w:tabs>
        <w:spacing w:after="0" w:line="240" w:lineRule="auto"/>
        <w:ind w:firstLine="709"/>
        <w:jc w:val="both"/>
        <w:rPr>
          <w:rFonts w:ascii="Times New Roman" w:hAnsi="Times New Roman"/>
          <w:i/>
          <w:sz w:val="24"/>
          <w:szCs w:val="24"/>
        </w:rPr>
      </w:pPr>
      <w:r w:rsidRPr="0079351A">
        <w:rPr>
          <w:rFonts w:ascii="Times New Roman" w:eastAsia="Calibri" w:hAnsi="Times New Roman" w:cs="Times New Roman"/>
          <w:color w:val="000000"/>
          <w:sz w:val="24"/>
          <w:szCs w:val="24"/>
        </w:rPr>
        <w:t>Для осуществления полной и всесторонней оценки кредитного риска (в том числе качества предоставляемого залогового обеспечения) банки должны самостоятельно устанавливают перечень и форму минимальных документов, предоставляемых заемщиками, обеспечивая полноту и достоверность предоставляемых сведений о заемщиках.</w:t>
      </w:r>
    </w:p>
    <w:p w:rsidR="0079351A" w:rsidRDefault="0079351A" w:rsidP="0079351A">
      <w:pPr>
        <w:widowControl w:val="0"/>
        <w:pBdr>
          <w:bottom w:val="single" w:sz="4" w:space="7" w:color="FFFFFF"/>
        </w:pBdr>
        <w:tabs>
          <w:tab w:val="left" w:pos="0"/>
        </w:tabs>
        <w:spacing w:after="0" w:line="240" w:lineRule="auto"/>
        <w:ind w:firstLine="709"/>
        <w:jc w:val="both"/>
        <w:rPr>
          <w:rFonts w:ascii="Times New Roman" w:hAnsi="Times New Roman"/>
          <w:i/>
          <w:sz w:val="24"/>
          <w:szCs w:val="24"/>
        </w:rPr>
      </w:pPr>
      <w:r w:rsidRPr="0079351A">
        <w:rPr>
          <w:rFonts w:ascii="Times New Roman" w:eastAsia="Calibri" w:hAnsi="Times New Roman" w:cs="Times New Roman"/>
          <w:color w:val="000000"/>
          <w:sz w:val="24"/>
          <w:szCs w:val="24"/>
        </w:rPr>
        <w:t>При этом в целях оптимизации сроков рассмотрения заявок для выдачи кредитов субъектам МСБ предполагается интеграция информационных баз банков с государственными базами данных по субъектам частного предпринимательства</w:t>
      </w:r>
    </w:p>
    <w:p w:rsidR="0079351A" w:rsidRDefault="0079351A" w:rsidP="0079351A">
      <w:pPr>
        <w:widowControl w:val="0"/>
        <w:pBdr>
          <w:bottom w:val="single" w:sz="4" w:space="7" w:color="FFFFFF"/>
        </w:pBdr>
        <w:tabs>
          <w:tab w:val="left" w:pos="0"/>
        </w:tabs>
        <w:spacing w:after="0" w:line="240" w:lineRule="auto"/>
        <w:ind w:firstLine="709"/>
        <w:jc w:val="both"/>
        <w:rPr>
          <w:rFonts w:ascii="Times New Roman" w:hAnsi="Times New Roman"/>
          <w:i/>
          <w:sz w:val="24"/>
          <w:szCs w:val="24"/>
        </w:rPr>
      </w:pPr>
      <w:r w:rsidRPr="0079351A">
        <w:rPr>
          <w:rFonts w:ascii="Times New Roman" w:eastAsia="Calibri" w:hAnsi="Times New Roman" w:cs="Times New Roman"/>
          <w:color w:val="000000"/>
          <w:sz w:val="24"/>
          <w:szCs w:val="24"/>
        </w:rPr>
        <w:t>В реализацию указанного мероприятия утвержден «План мероприятий по обеспечению доступа банков к Государственным базам данн</w:t>
      </w:r>
      <w:r>
        <w:rPr>
          <w:rFonts w:ascii="Times New Roman" w:eastAsia="Calibri" w:hAnsi="Times New Roman" w:cs="Times New Roman"/>
          <w:color w:val="000000"/>
          <w:sz w:val="24"/>
          <w:szCs w:val="24"/>
        </w:rPr>
        <w:t xml:space="preserve">ых»  (далее – План мероприятий), </w:t>
      </w:r>
      <w:r w:rsidRPr="0079351A">
        <w:rPr>
          <w:rFonts w:ascii="Times New Roman" w:eastAsia="Calibri" w:hAnsi="Times New Roman" w:cs="Times New Roman"/>
          <w:color w:val="000000"/>
          <w:sz w:val="24"/>
          <w:szCs w:val="24"/>
        </w:rPr>
        <w:t>в рамках которого предусмотрено:</w:t>
      </w:r>
    </w:p>
    <w:p w:rsidR="0079351A" w:rsidRDefault="0079351A" w:rsidP="0079351A">
      <w:pPr>
        <w:widowControl w:val="0"/>
        <w:pBdr>
          <w:bottom w:val="single" w:sz="4" w:space="7" w:color="FFFFFF"/>
        </w:pBdr>
        <w:tabs>
          <w:tab w:val="left" w:pos="0"/>
        </w:tabs>
        <w:spacing w:after="0" w:line="240" w:lineRule="auto"/>
        <w:ind w:firstLine="709"/>
        <w:jc w:val="both"/>
        <w:rPr>
          <w:rFonts w:ascii="Times New Roman" w:hAnsi="Times New Roman"/>
          <w:i/>
          <w:sz w:val="24"/>
          <w:szCs w:val="24"/>
        </w:rPr>
      </w:pPr>
      <w:r w:rsidRPr="0079351A">
        <w:rPr>
          <w:rFonts w:ascii="Times New Roman" w:eastAsia="Calibri" w:hAnsi="Times New Roman" w:cs="Times New Roman"/>
          <w:color w:val="000000"/>
          <w:sz w:val="24"/>
          <w:szCs w:val="24"/>
        </w:rPr>
        <w:t>- определение перечня необходимых данных БВУ;</w:t>
      </w:r>
    </w:p>
    <w:p w:rsidR="0079351A" w:rsidRDefault="0079351A" w:rsidP="0079351A">
      <w:pPr>
        <w:widowControl w:val="0"/>
        <w:pBdr>
          <w:bottom w:val="single" w:sz="4" w:space="7" w:color="FFFFFF"/>
        </w:pBdr>
        <w:tabs>
          <w:tab w:val="left" w:pos="0"/>
        </w:tabs>
        <w:spacing w:after="0" w:line="240" w:lineRule="auto"/>
        <w:ind w:firstLine="709"/>
        <w:jc w:val="both"/>
        <w:rPr>
          <w:rFonts w:ascii="Times New Roman" w:hAnsi="Times New Roman"/>
          <w:i/>
          <w:sz w:val="24"/>
          <w:szCs w:val="24"/>
        </w:rPr>
      </w:pPr>
      <w:r w:rsidRPr="0079351A">
        <w:rPr>
          <w:rFonts w:ascii="Times New Roman" w:eastAsia="Calibri" w:hAnsi="Times New Roman" w:cs="Times New Roman"/>
          <w:color w:val="000000"/>
          <w:sz w:val="24"/>
          <w:szCs w:val="24"/>
        </w:rPr>
        <w:t>- определение реестра финансовых услуг для оказания которых необходимы данные  ГБД;</w:t>
      </w:r>
    </w:p>
    <w:p w:rsidR="0079351A" w:rsidRDefault="0079351A" w:rsidP="0079351A">
      <w:pPr>
        <w:widowControl w:val="0"/>
        <w:pBdr>
          <w:bottom w:val="single" w:sz="4" w:space="7" w:color="FFFFFF"/>
        </w:pBdr>
        <w:tabs>
          <w:tab w:val="left" w:pos="0"/>
        </w:tabs>
        <w:spacing w:after="0" w:line="240" w:lineRule="auto"/>
        <w:ind w:firstLine="709"/>
        <w:jc w:val="both"/>
        <w:rPr>
          <w:rFonts w:ascii="Times New Roman" w:hAnsi="Times New Roman"/>
          <w:i/>
          <w:sz w:val="24"/>
          <w:szCs w:val="24"/>
        </w:rPr>
      </w:pPr>
      <w:r w:rsidRPr="0079351A">
        <w:rPr>
          <w:rFonts w:ascii="Times New Roman" w:eastAsia="Calibri" w:hAnsi="Times New Roman" w:cs="Times New Roman"/>
          <w:color w:val="000000"/>
          <w:sz w:val="24"/>
          <w:szCs w:val="24"/>
        </w:rPr>
        <w:t>- анализ действующего законодательства;</w:t>
      </w:r>
    </w:p>
    <w:p w:rsidR="0079351A" w:rsidRDefault="0079351A" w:rsidP="0079351A">
      <w:pPr>
        <w:widowControl w:val="0"/>
        <w:pBdr>
          <w:bottom w:val="single" w:sz="4" w:space="7" w:color="FFFFFF"/>
        </w:pBdr>
        <w:tabs>
          <w:tab w:val="left" w:pos="0"/>
        </w:tabs>
        <w:spacing w:after="0" w:line="240" w:lineRule="auto"/>
        <w:ind w:firstLine="709"/>
        <w:jc w:val="both"/>
        <w:rPr>
          <w:rFonts w:ascii="Times New Roman" w:hAnsi="Times New Roman"/>
          <w:i/>
          <w:sz w:val="24"/>
          <w:szCs w:val="24"/>
        </w:rPr>
      </w:pPr>
      <w:r w:rsidRPr="0079351A">
        <w:rPr>
          <w:rFonts w:ascii="Times New Roman" w:eastAsia="Calibri" w:hAnsi="Times New Roman" w:cs="Times New Roman"/>
          <w:color w:val="000000"/>
          <w:sz w:val="24"/>
          <w:szCs w:val="24"/>
        </w:rPr>
        <w:t>- внесение изменений в действующее законодательство;</w:t>
      </w:r>
    </w:p>
    <w:p w:rsidR="0079351A" w:rsidRDefault="0079351A" w:rsidP="0079351A">
      <w:pPr>
        <w:widowControl w:val="0"/>
        <w:pBdr>
          <w:bottom w:val="single" w:sz="4" w:space="7" w:color="FFFFFF"/>
        </w:pBdr>
        <w:tabs>
          <w:tab w:val="left" w:pos="0"/>
        </w:tabs>
        <w:spacing w:after="0" w:line="240" w:lineRule="auto"/>
        <w:ind w:firstLine="709"/>
        <w:jc w:val="both"/>
        <w:rPr>
          <w:rFonts w:ascii="Times New Roman" w:hAnsi="Times New Roman"/>
          <w:i/>
          <w:sz w:val="24"/>
          <w:szCs w:val="24"/>
        </w:rPr>
      </w:pPr>
      <w:r w:rsidRPr="0079351A">
        <w:rPr>
          <w:rFonts w:ascii="Times New Roman" w:eastAsia="Calibri" w:hAnsi="Times New Roman" w:cs="Times New Roman"/>
          <w:color w:val="000000"/>
          <w:sz w:val="24"/>
          <w:szCs w:val="24"/>
        </w:rPr>
        <w:lastRenderedPageBreak/>
        <w:t>- разработка и утверждение правил взаимодействия баз данных и государственных систем с БВУ;</w:t>
      </w:r>
    </w:p>
    <w:p w:rsidR="0079351A" w:rsidRDefault="0079351A" w:rsidP="0079351A">
      <w:pPr>
        <w:widowControl w:val="0"/>
        <w:pBdr>
          <w:bottom w:val="single" w:sz="4" w:space="7" w:color="FFFFFF"/>
        </w:pBdr>
        <w:tabs>
          <w:tab w:val="left" w:pos="0"/>
        </w:tabs>
        <w:spacing w:after="0" w:line="240" w:lineRule="auto"/>
        <w:ind w:firstLine="709"/>
        <w:jc w:val="both"/>
        <w:rPr>
          <w:rFonts w:ascii="Times New Roman" w:hAnsi="Times New Roman"/>
          <w:i/>
          <w:sz w:val="24"/>
          <w:szCs w:val="24"/>
        </w:rPr>
      </w:pPr>
      <w:r w:rsidRPr="0079351A">
        <w:rPr>
          <w:rFonts w:ascii="Times New Roman" w:eastAsia="Calibri" w:hAnsi="Times New Roman" w:cs="Times New Roman"/>
          <w:color w:val="000000"/>
          <w:sz w:val="24"/>
          <w:szCs w:val="24"/>
        </w:rPr>
        <w:t>- техническое обеспечение организации сервисов предоставления данных БВУ с ГБД посредством инфраструктуры электронного правительства.</w:t>
      </w:r>
    </w:p>
    <w:p w:rsidR="00F2659C" w:rsidRDefault="0079351A" w:rsidP="0079351A">
      <w:pPr>
        <w:widowControl w:val="0"/>
        <w:pBdr>
          <w:bottom w:val="single" w:sz="4" w:space="7" w:color="FFFFFF"/>
        </w:pBdr>
        <w:tabs>
          <w:tab w:val="left" w:pos="0"/>
        </w:tabs>
        <w:spacing w:after="0" w:line="240" w:lineRule="auto"/>
        <w:ind w:firstLine="709"/>
        <w:jc w:val="both"/>
        <w:rPr>
          <w:rFonts w:ascii="Times New Roman" w:hAnsi="Times New Roman"/>
          <w:i/>
          <w:sz w:val="24"/>
          <w:szCs w:val="24"/>
        </w:rPr>
      </w:pPr>
      <w:r w:rsidRPr="0079351A">
        <w:rPr>
          <w:rFonts w:ascii="Times New Roman" w:eastAsia="Calibri" w:hAnsi="Times New Roman" w:cs="Times New Roman"/>
          <w:color w:val="000000"/>
          <w:sz w:val="24"/>
          <w:szCs w:val="24"/>
        </w:rPr>
        <w:t>Завершение реализации Плана мероприятий предусматривается 31 декабря 2019</w:t>
      </w:r>
      <w:r>
        <w:rPr>
          <w:rFonts w:ascii="Times New Roman" w:eastAsia="Calibri" w:hAnsi="Times New Roman" w:cs="Times New Roman"/>
          <w:color w:val="000000"/>
          <w:sz w:val="24"/>
          <w:szCs w:val="24"/>
        </w:rPr>
        <w:t xml:space="preserve"> </w:t>
      </w:r>
      <w:r w:rsidRPr="0079351A">
        <w:rPr>
          <w:rFonts w:ascii="Times New Roman" w:eastAsia="Calibri" w:hAnsi="Times New Roman" w:cs="Times New Roman"/>
          <w:color w:val="000000"/>
          <w:sz w:val="24"/>
          <w:szCs w:val="24"/>
        </w:rPr>
        <w:t>г</w:t>
      </w:r>
      <w:r>
        <w:rPr>
          <w:rFonts w:ascii="Times New Roman" w:eastAsia="Calibri" w:hAnsi="Times New Roman" w:cs="Times New Roman"/>
          <w:color w:val="000000"/>
          <w:sz w:val="24"/>
          <w:szCs w:val="24"/>
        </w:rPr>
        <w:t>ода</w:t>
      </w:r>
      <w:r w:rsidRPr="0079351A">
        <w:rPr>
          <w:rFonts w:ascii="Times New Roman" w:eastAsia="Calibri" w:hAnsi="Times New Roman" w:cs="Times New Roman"/>
          <w:color w:val="000000"/>
          <w:sz w:val="24"/>
          <w:szCs w:val="24"/>
        </w:rPr>
        <w:t>.</w:t>
      </w:r>
    </w:p>
    <w:p w:rsidR="0079351A" w:rsidRPr="0079351A" w:rsidRDefault="0079351A" w:rsidP="0079351A">
      <w:pPr>
        <w:widowControl w:val="0"/>
        <w:pBdr>
          <w:bottom w:val="single" w:sz="4" w:space="7" w:color="FFFFFF"/>
        </w:pBdr>
        <w:tabs>
          <w:tab w:val="left" w:pos="0"/>
        </w:tabs>
        <w:spacing w:after="0" w:line="240" w:lineRule="auto"/>
        <w:ind w:firstLine="709"/>
        <w:jc w:val="both"/>
        <w:rPr>
          <w:rFonts w:ascii="Times New Roman" w:hAnsi="Times New Roman"/>
          <w:i/>
          <w:sz w:val="24"/>
          <w:szCs w:val="24"/>
        </w:rPr>
      </w:pPr>
    </w:p>
    <w:p w:rsidR="00F2659C" w:rsidRPr="00E82016" w:rsidRDefault="00F2659C" w:rsidP="00F2659C">
      <w:pPr>
        <w:spacing w:after="0" w:line="240" w:lineRule="auto"/>
        <w:ind w:firstLine="709"/>
        <w:contextualSpacing/>
        <w:jc w:val="both"/>
        <w:rPr>
          <w:rFonts w:ascii="Times New Roman" w:hAnsi="Times New Roman"/>
          <w:i/>
          <w:color w:val="000000"/>
          <w:sz w:val="24"/>
          <w:szCs w:val="24"/>
        </w:rPr>
      </w:pPr>
      <w:r w:rsidRPr="00E82016">
        <w:rPr>
          <w:rFonts w:ascii="Times New Roman" w:hAnsi="Times New Roman"/>
          <w:b/>
          <w:i/>
          <w:color w:val="000000"/>
          <w:sz w:val="24"/>
          <w:szCs w:val="24"/>
        </w:rPr>
        <w:t>Цель 2.2.</w:t>
      </w:r>
      <w:r w:rsidRPr="00E82016">
        <w:rPr>
          <w:rFonts w:ascii="Times New Roman" w:hAnsi="Times New Roman"/>
          <w:i/>
          <w:color w:val="000000"/>
          <w:sz w:val="24"/>
          <w:szCs w:val="24"/>
        </w:rPr>
        <w:t xml:space="preserve"> </w:t>
      </w:r>
      <w:r w:rsidRPr="00E82016">
        <w:rPr>
          <w:rFonts w:ascii="Times New Roman" w:hAnsi="Times New Roman"/>
          <w:b/>
          <w:i/>
          <w:color w:val="000000"/>
          <w:sz w:val="24"/>
          <w:szCs w:val="24"/>
        </w:rPr>
        <w:t>Повышение финансовой устойчивости и создание необходимых условий для дальнейшего развития страхового рынка</w:t>
      </w:r>
    </w:p>
    <w:p w:rsidR="00F2659C" w:rsidRPr="00E82016" w:rsidRDefault="00F2659C" w:rsidP="00F2659C">
      <w:pPr>
        <w:spacing w:after="0" w:line="240" w:lineRule="auto"/>
        <w:ind w:firstLine="709"/>
        <w:contextualSpacing/>
        <w:jc w:val="both"/>
        <w:rPr>
          <w:rFonts w:ascii="Times New Roman" w:hAnsi="Times New Roman"/>
          <w:b/>
          <w:i/>
          <w:sz w:val="24"/>
          <w:szCs w:val="24"/>
        </w:rPr>
      </w:pPr>
    </w:p>
    <w:p w:rsidR="00F2659C" w:rsidRPr="00E82016" w:rsidRDefault="00F2659C" w:rsidP="00F2659C">
      <w:pPr>
        <w:spacing w:after="0" w:line="240" w:lineRule="auto"/>
        <w:ind w:firstLine="709"/>
        <w:contextualSpacing/>
        <w:jc w:val="both"/>
        <w:rPr>
          <w:rFonts w:ascii="Times New Roman" w:hAnsi="Times New Roman"/>
          <w:i/>
          <w:sz w:val="24"/>
          <w:szCs w:val="24"/>
          <w:lang w:val="kk-KZ"/>
        </w:rPr>
      </w:pPr>
      <w:r w:rsidRPr="00E82016">
        <w:rPr>
          <w:rFonts w:ascii="Times New Roman" w:hAnsi="Times New Roman"/>
          <w:b/>
          <w:i/>
          <w:sz w:val="24"/>
          <w:szCs w:val="24"/>
        </w:rPr>
        <w:t>Целевой индикатор</w:t>
      </w:r>
      <w:r>
        <w:rPr>
          <w:rFonts w:ascii="Times New Roman" w:hAnsi="Times New Roman"/>
          <w:b/>
          <w:i/>
          <w:sz w:val="24"/>
          <w:szCs w:val="24"/>
        </w:rPr>
        <w:t xml:space="preserve"> 1</w:t>
      </w:r>
      <w:r w:rsidRPr="00E82016">
        <w:rPr>
          <w:rFonts w:ascii="Times New Roman" w:hAnsi="Times New Roman"/>
          <w:b/>
          <w:i/>
          <w:sz w:val="24"/>
          <w:szCs w:val="24"/>
        </w:rPr>
        <w:t>:</w:t>
      </w:r>
      <w:r w:rsidRPr="00E82016">
        <w:rPr>
          <w:rFonts w:ascii="Times New Roman" w:hAnsi="Times New Roman"/>
          <w:i/>
          <w:sz w:val="24"/>
          <w:szCs w:val="24"/>
        </w:rPr>
        <w:t xml:space="preserve"> </w:t>
      </w:r>
      <w:r w:rsidRPr="00E82016">
        <w:rPr>
          <w:rFonts w:ascii="Times New Roman" w:hAnsi="Times New Roman"/>
          <w:b/>
          <w:i/>
          <w:sz w:val="24"/>
          <w:szCs w:val="24"/>
          <w:lang w:val="kk-KZ"/>
        </w:rPr>
        <w:t xml:space="preserve">Агрегированный индекс финансовой устойчивости </w:t>
      </w:r>
      <w:r w:rsidRPr="00E82016">
        <w:rPr>
          <w:rFonts w:ascii="Times New Roman" w:hAnsi="Times New Roman"/>
          <w:i/>
          <w:sz w:val="24"/>
          <w:szCs w:val="24"/>
          <w:lang w:val="kk-KZ"/>
        </w:rPr>
        <w:t>(коэффициент не более 2,</w:t>
      </w:r>
      <w:r>
        <w:rPr>
          <w:rFonts w:ascii="Times New Roman" w:hAnsi="Times New Roman"/>
          <w:i/>
          <w:sz w:val="24"/>
          <w:szCs w:val="24"/>
          <w:lang w:val="kk-KZ"/>
        </w:rPr>
        <w:t>49</w:t>
      </w:r>
      <w:r w:rsidRPr="00E82016">
        <w:rPr>
          <w:rFonts w:ascii="Times New Roman" w:hAnsi="Times New Roman"/>
          <w:i/>
          <w:sz w:val="24"/>
          <w:szCs w:val="24"/>
          <w:lang w:val="kk-KZ"/>
        </w:rPr>
        <w:t>).</w:t>
      </w:r>
    </w:p>
    <w:p w:rsidR="00BF0FDE" w:rsidRPr="00BF0FDE" w:rsidRDefault="00BF0FDE" w:rsidP="00BF0FDE">
      <w:pPr>
        <w:spacing w:line="240" w:lineRule="auto"/>
        <w:ind w:firstLine="709"/>
        <w:contextualSpacing/>
        <w:jc w:val="both"/>
        <w:rPr>
          <w:rFonts w:ascii="Times New Roman" w:hAnsi="Times New Roman"/>
          <w:sz w:val="24"/>
          <w:szCs w:val="24"/>
        </w:rPr>
      </w:pPr>
      <w:r w:rsidRPr="003D5746">
        <w:rPr>
          <w:rFonts w:ascii="Times New Roman" w:hAnsi="Times New Roman"/>
          <w:sz w:val="24"/>
          <w:szCs w:val="24"/>
        </w:rPr>
        <w:t>Значение данного индикатора по состоянию на 1 января 2019 года составило – 1,66, что говорит о подверженности страхового рынка умеренному уровню риска.</w:t>
      </w:r>
      <w:r>
        <w:rPr>
          <w:rFonts w:ascii="Times New Roman" w:hAnsi="Times New Roman"/>
          <w:sz w:val="24"/>
          <w:szCs w:val="24"/>
        </w:rPr>
        <w:t xml:space="preserve"> </w:t>
      </w:r>
      <w:r w:rsidRPr="003D5746">
        <w:rPr>
          <w:rFonts w:ascii="Times New Roman" w:hAnsi="Times New Roman"/>
          <w:sz w:val="24"/>
          <w:szCs w:val="24"/>
        </w:rPr>
        <w:t>Значение данного индикатора на аналогичную дату прошлого года составило 1,</w:t>
      </w:r>
      <w:r>
        <w:rPr>
          <w:rFonts w:ascii="Times New Roman" w:hAnsi="Times New Roman"/>
          <w:sz w:val="24"/>
          <w:szCs w:val="24"/>
        </w:rPr>
        <w:t>8</w:t>
      </w:r>
      <w:r w:rsidRPr="003D5746">
        <w:rPr>
          <w:rFonts w:ascii="Times New Roman" w:hAnsi="Times New Roman"/>
          <w:sz w:val="24"/>
          <w:szCs w:val="24"/>
        </w:rPr>
        <w:t>5, что свидетельствует об улучшении данного индикатора.</w:t>
      </w:r>
    </w:p>
    <w:p w:rsidR="00F2659C" w:rsidRPr="00E82016" w:rsidRDefault="00F2659C" w:rsidP="00F2659C">
      <w:pPr>
        <w:spacing w:after="0" w:line="240" w:lineRule="auto"/>
        <w:ind w:firstLine="709"/>
        <w:contextualSpacing/>
        <w:jc w:val="both"/>
        <w:rPr>
          <w:rFonts w:ascii="Times New Roman" w:hAnsi="Times New Roman"/>
          <w:sz w:val="24"/>
          <w:szCs w:val="28"/>
        </w:rPr>
      </w:pPr>
      <w:r w:rsidRPr="00E82016">
        <w:rPr>
          <w:rFonts w:ascii="Times New Roman" w:hAnsi="Times New Roman"/>
          <w:b/>
          <w:bCs/>
          <w:i/>
          <w:sz w:val="24"/>
          <w:szCs w:val="28"/>
        </w:rPr>
        <w:t>Мероприятие для достижения целевого индикатора:</w:t>
      </w:r>
      <w:r w:rsidRPr="00E82016">
        <w:rPr>
          <w:rFonts w:ascii="Times New Roman" w:hAnsi="Times New Roman"/>
          <w:sz w:val="24"/>
          <w:szCs w:val="28"/>
        </w:rPr>
        <w:t xml:space="preserve"> </w:t>
      </w:r>
    </w:p>
    <w:p w:rsidR="00F2659C" w:rsidRPr="006440EE" w:rsidRDefault="00F2659C" w:rsidP="00F2659C">
      <w:pPr>
        <w:spacing w:after="0" w:line="240" w:lineRule="auto"/>
        <w:ind w:firstLine="709"/>
        <w:jc w:val="both"/>
        <w:rPr>
          <w:rFonts w:ascii="Times New Roman" w:eastAsia="Times New Roman" w:hAnsi="Times New Roman"/>
          <w:i/>
          <w:sz w:val="24"/>
          <w:szCs w:val="28"/>
        </w:rPr>
      </w:pPr>
      <w:r w:rsidRPr="006440EE">
        <w:rPr>
          <w:rFonts w:ascii="Times New Roman" w:eastAsia="Times New Roman" w:hAnsi="Times New Roman"/>
          <w:i/>
          <w:sz w:val="24"/>
          <w:szCs w:val="28"/>
        </w:rPr>
        <w:t xml:space="preserve">Выработка предложений по внедрению нового стандарта достаточности собственного капитала страховых (перестраховочных) организаций в соответствии с </w:t>
      </w:r>
      <w:r w:rsidRPr="006440EE">
        <w:rPr>
          <w:rFonts w:ascii="Times New Roman" w:eastAsia="Times New Roman" w:hAnsi="Times New Roman"/>
          <w:i/>
          <w:sz w:val="24"/>
          <w:szCs w:val="28"/>
          <w:lang w:val="en-US"/>
        </w:rPr>
        <w:t>Solvency</w:t>
      </w:r>
      <w:r w:rsidRPr="006440EE">
        <w:rPr>
          <w:rFonts w:ascii="Times New Roman" w:eastAsia="Times New Roman" w:hAnsi="Times New Roman"/>
          <w:i/>
          <w:sz w:val="24"/>
          <w:szCs w:val="28"/>
        </w:rPr>
        <w:t xml:space="preserve"> </w:t>
      </w:r>
      <w:r w:rsidRPr="006440EE">
        <w:rPr>
          <w:rFonts w:ascii="Times New Roman" w:eastAsia="Times New Roman" w:hAnsi="Times New Roman"/>
          <w:i/>
          <w:sz w:val="24"/>
          <w:szCs w:val="28"/>
          <w:lang w:val="en-US"/>
        </w:rPr>
        <w:t>II</w:t>
      </w:r>
      <w:r>
        <w:rPr>
          <w:rFonts w:ascii="Times New Roman" w:eastAsia="Times New Roman" w:hAnsi="Times New Roman"/>
          <w:i/>
          <w:sz w:val="24"/>
          <w:szCs w:val="28"/>
        </w:rPr>
        <w:t>.</w:t>
      </w:r>
    </w:p>
    <w:p w:rsidR="00F2659C" w:rsidRPr="006440EE" w:rsidRDefault="00F2659C" w:rsidP="00F2659C">
      <w:pPr>
        <w:spacing w:after="0" w:line="240" w:lineRule="auto"/>
        <w:ind w:firstLine="709"/>
        <w:jc w:val="both"/>
        <w:rPr>
          <w:rFonts w:ascii="Times New Roman" w:eastAsia="Times New Roman" w:hAnsi="Times New Roman"/>
          <w:i/>
          <w:sz w:val="24"/>
          <w:szCs w:val="28"/>
        </w:rPr>
      </w:pPr>
      <w:r w:rsidRPr="006440EE">
        <w:rPr>
          <w:rFonts w:ascii="Times New Roman" w:eastAsia="Times New Roman" w:hAnsi="Times New Roman"/>
          <w:i/>
          <w:sz w:val="24"/>
          <w:szCs w:val="28"/>
        </w:rPr>
        <w:t>Совершенствование систем управления рисками и внутреннего контроля в страховых организациях</w:t>
      </w:r>
      <w:r>
        <w:rPr>
          <w:rFonts w:ascii="Times New Roman" w:eastAsia="Times New Roman" w:hAnsi="Times New Roman"/>
          <w:i/>
          <w:sz w:val="24"/>
          <w:szCs w:val="28"/>
        </w:rPr>
        <w:t>.</w:t>
      </w:r>
    </w:p>
    <w:p w:rsidR="00BF0FDE" w:rsidRDefault="00BF0FDE" w:rsidP="00BF0FDE">
      <w:pPr>
        <w:tabs>
          <w:tab w:val="left" w:pos="993"/>
        </w:tabs>
        <w:spacing w:after="0" w:line="240" w:lineRule="auto"/>
        <w:ind w:firstLine="709"/>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Постановление Правления</w:t>
      </w:r>
      <w:r w:rsidRPr="00BF0FDE">
        <w:rPr>
          <w:rFonts w:ascii="Times New Roman" w:eastAsia="Times New Roman" w:hAnsi="Times New Roman" w:cs="Times New Roman"/>
          <w:color w:val="000000"/>
          <w:sz w:val="24"/>
          <w:szCs w:val="24"/>
          <w:lang w:eastAsia="ru-RU"/>
        </w:rPr>
        <w:t xml:space="preserve"> </w:t>
      </w:r>
      <w:r w:rsidRPr="003D5746">
        <w:rPr>
          <w:rFonts w:ascii="Times New Roman" w:eastAsia="Times New Roman" w:hAnsi="Times New Roman" w:cs="Times New Roman"/>
          <w:color w:val="000000"/>
          <w:sz w:val="24"/>
          <w:szCs w:val="24"/>
          <w:lang w:eastAsia="ru-RU"/>
        </w:rPr>
        <w:t>Национального Банка</w:t>
      </w:r>
      <w:r>
        <w:rPr>
          <w:rFonts w:ascii="Times New Roman" w:eastAsia="Times New Roman" w:hAnsi="Times New Roman" w:cs="Times New Roman"/>
          <w:color w:val="000000"/>
          <w:sz w:val="24"/>
          <w:szCs w:val="24"/>
          <w:lang w:eastAsia="ru-RU"/>
        </w:rPr>
        <w:t xml:space="preserve"> от 27 апреля 2018 года №75</w:t>
      </w:r>
      <w:r w:rsidRPr="003D5746">
        <w:rPr>
          <w:rFonts w:ascii="Times New Roman" w:eastAsia="Times New Roman" w:hAnsi="Times New Roman" w:cs="Times New Roman"/>
          <w:color w:val="000000"/>
          <w:sz w:val="24"/>
          <w:szCs w:val="24"/>
          <w:lang w:eastAsia="ru-RU"/>
        </w:rPr>
        <w:t xml:space="preserve"> «Об установлении иных факторов, влияющих на ухудшение финансового положения страховой (перестраховочной) организации и страховой группы, а также утверждении Правил применения мер раннего реагирования и Методики определения факторов, влияющих на ухудшение финансового положения страховой (перестраховочной) </w:t>
      </w:r>
      <w:r>
        <w:rPr>
          <w:rFonts w:ascii="Times New Roman" w:eastAsia="Times New Roman" w:hAnsi="Times New Roman" w:cs="Times New Roman"/>
          <w:color w:val="000000"/>
          <w:sz w:val="24"/>
          <w:szCs w:val="24"/>
          <w:lang w:eastAsia="ru-RU"/>
        </w:rPr>
        <w:t xml:space="preserve">организации (страховой группы)» </w:t>
      </w:r>
      <w:r w:rsidRPr="003D5746">
        <w:rPr>
          <w:rFonts w:ascii="Times New Roman" w:hAnsi="Times New Roman" w:cs="Times New Roman"/>
          <w:sz w:val="24"/>
          <w:szCs w:val="24"/>
        </w:rPr>
        <w:t xml:space="preserve">предусматривает введение новых факторов: </w:t>
      </w:r>
    </w:p>
    <w:p w:rsidR="00BF0FDE" w:rsidRDefault="00BF0FDE" w:rsidP="00BF0FDE">
      <w:pPr>
        <w:tabs>
          <w:tab w:val="left" w:pos="99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по валютной позиции;</w:t>
      </w:r>
    </w:p>
    <w:p w:rsidR="00BF0FDE" w:rsidRDefault="00BF0FDE" w:rsidP="00BF0FDE">
      <w:pPr>
        <w:tabs>
          <w:tab w:val="left" w:pos="993"/>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3D5746">
        <w:rPr>
          <w:rFonts w:ascii="Times New Roman" w:hAnsi="Times New Roman" w:cs="Times New Roman"/>
          <w:sz w:val="24"/>
          <w:szCs w:val="24"/>
        </w:rPr>
        <w:t>по достаточности активов для покрытия</w:t>
      </w:r>
      <w:r>
        <w:rPr>
          <w:rFonts w:ascii="Times New Roman" w:hAnsi="Times New Roman" w:cs="Times New Roman"/>
          <w:sz w:val="24"/>
          <w:szCs w:val="24"/>
        </w:rPr>
        <w:t xml:space="preserve"> общей суммы страховых резервов;</w:t>
      </w:r>
    </w:p>
    <w:p w:rsidR="00BF0FDE" w:rsidRPr="00BF0FDE" w:rsidRDefault="00BF0FDE" w:rsidP="00BF0FDE">
      <w:pPr>
        <w:tabs>
          <w:tab w:val="left" w:pos="993"/>
        </w:tabs>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w:t>
      </w:r>
      <w:r w:rsidRPr="003D5746">
        <w:rPr>
          <w:rFonts w:ascii="Times New Roman" w:hAnsi="Times New Roman" w:cs="Times New Roman"/>
          <w:sz w:val="24"/>
          <w:szCs w:val="24"/>
        </w:rPr>
        <w:t xml:space="preserve"> по ограничению активов страховых организаций, размещаемых в банках второго уровня с низкими рейтингами.</w:t>
      </w:r>
    </w:p>
    <w:p w:rsidR="00BF0FDE" w:rsidRPr="003D5746" w:rsidRDefault="00BF0FDE" w:rsidP="00BF0FDE">
      <w:pPr>
        <w:spacing w:after="0" w:line="240" w:lineRule="auto"/>
        <w:ind w:firstLine="708"/>
        <w:jc w:val="both"/>
        <w:rPr>
          <w:rFonts w:ascii="Times New Roman" w:eastAsia="Times New Roman" w:hAnsi="Times New Roman" w:cs="Times New Roman"/>
          <w:color w:val="000000"/>
          <w:sz w:val="24"/>
          <w:szCs w:val="24"/>
          <w:lang w:eastAsia="ru-RU"/>
        </w:rPr>
      </w:pPr>
      <w:r w:rsidRPr="003D5746">
        <w:rPr>
          <w:rFonts w:ascii="Times New Roman" w:eastAsia="Times New Roman" w:hAnsi="Times New Roman" w:cs="Times New Roman"/>
          <w:color w:val="000000"/>
          <w:sz w:val="24"/>
          <w:szCs w:val="24"/>
          <w:lang w:eastAsia="ru-RU"/>
        </w:rPr>
        <w:t>Вышеуказанные изменения способствуют повышению финансовой устойчивости страховых (перестраховочных) организаций на страховом рынке.</w:t>
      </w:r>
    </w:p>
    <w:p w:rsidR="00F2659C" w:rsidRDefault="00F2659C" w:rsidP="00F2659C">
      <w:pPr>
        <w:spacing w:after="0" w:line="240" w:lineRule="auto"/>
        <w:ind w:firstLine="709"/>
        <w:contextualSpacing/>
        <w:jc w:val="both"/>
        <w:rPr>
          <w:rFonts w:ascii="Times New Roman" w:hAnsi="Times New Roman"/>
          <w:sz w:val="24"/>
          <w:szCs w:val="24"/>
        </w:rPr>
      </w:pPr>
    </w:p>
    <w:p w:rsidR="00F2659C" w:rsidRPr="00E82016" w:rsidRDefault="00F2659C" w:rsidP="00F2659C">
      <w:pPr>
        <w:spacing w:after="0" w:line="240" w:lineRule="auto"/>
        <w:ind w:firstLine="709"/>
        <w:contextualSpacing/>
        <w:jc w:val="both"/>
        <w:rPr>
          <w:rFonts w:ascii="Times New Roman" w:hAnsi="Times New Roman"/>
          <w:i/>
          <w:sz w:val="24"/>
          <w:szCs w:val="24"/>
          <w:lang w:val="kk-KZ"/>
        </w:rPr>
      </w:pPr>
      <w:r w:rsidRPr="00E82016">
        <w:rPr>
          <w:rFonts w:ascii="Times New Roman" w:hAnsi="Times New Roman"/>
          <w:b/>
          <w:i/>
          <w:sz w:val="24"/>
          <w:szCs w:val="24"/>
        </w:rPr>
        <w:t>Целевой индикатор</w:t>
      </w:r>
      <w:r>
        <w:rPr>
          <w:rFonts w:ascii="Times New Roman" w:hAnsi="Times New Roman"/>
          <w:b/>
          <w:i/>
          <w:sz w:val="24"/>
          <w:szCs w:val="24"/>
        </w:rPr>
        <w:t xml:space="preserve"> 2</w:t>
      </w:r>
      <w:r w:rsidRPr="00E82016">
        <w:rPr>
          <w:rFonts w:ascii="Times New Roman" w:hAnsi="Times New Roman"/>
          <w:b/>
          <w:i/>
          <w:sz w:val="24"/>
          <w:szCs w:val="24"/>
        </w:rPr>
        <w:t>:</w:t>
      </w:r>
      <w:r w:rsidRPr="00E82016">
        <w:rPr>
          <w:rFonts w:ascii="Times New Roman" w:hAnsi="Times New Roman"/>
          <w:i/>
          <w:sz w:val="24"/>
          <w:szCs w:val="24"/>
        </w:rPr>
        <w:t xml:space="preserve"> </w:t>
      </w:r>
      <w:r>
        <w:rPr>
          <w:rFonts w:ascii="Times New Roman" w:hAnsi="Times New Roman"/>
          <w:b/>
          <w:i/>
          <w:sz w:val="24"/>
          <w:szCs w:val="24"/>
          <w:lang w:val="kk-KZ"/>
        </w:rPr>
        <w:t>Индекс развития страхового рынка</w:t>
      </w:r>
      <w:r w:rsidRPr="00E82016">
        <w:rPr>
          <w:rFonts w:ascii="Times New Roman" w:hAnsi="Times New Roman"/>
          <w:b/>
          <w:i/>
          <w:sz w:val="24"/>
          <w:szCs w:val="24"/>
          <w:lang w:val="kk-KZ"/>
        </w:rPr>
        <w:t xml:space="preserve"> </w:t>
      </w:r>
      <w:r w:rsidRPr="00E82016">
        <w:rPr>
          <w:rFonts w:ascii="Times New Roman" w:hAnsi="Times New Roman"/>
          <w:i/>
          <w:sz w:val="24"/>
          <w:szCs w:val="24"/>
          <w:lang w:val="kk-KZ"/>
        </w:rPr>
        <w:t>(коэффициент не более 2,</w:t>
      </w:r>
      <w:r>
        <w:rPr>
          <w:rFonts w:ascii="Times New Roman" w:hAnsi="Times New Roman"/>
          <w:i/>
          <w:sz w:val="24"/>
          <w:szCs w:val="24"/>
          <w:lang w:val="kk-KZ"/>
        </w:rPr>
        <w:t>49</w:t>
      </w:r>
      <w:r w:rsidRPr="00E82016">
        <w:rPr>
          <w:rFonts w:ascii="Times New Roman" w:hAnsi="Times New Roman"/>
          <w:i/>
          <w:sz w:val="24"/>
          <w:szCs w:val="24"/>
          <w:lang w:val="kk-KZ"/>
        </w:rPr>
        <w:t>).</w:t>
      </w:r>
    </w:p>
    <w:p w:rsidR="00445187" w:rsidRPr="003D5746" w:rsidRDefault="00445187" w:rsidP="00445187">
      <w:pPr>
        <w:spacing w:line="240" w:lineRule="auto"/>
        <w:ind w:firstLine="709"/>
        <w:contextualSpacing/>
        <w:jc w:val="both"/>
        <w:rPr>
          <w:rFonts w:ascii="Times New Roman" w:hAnsi="Times New Roman"/>
          <w:i/>
          <w:sz w:val="24"/>
          <w:szCs w:val="24"/>
          <w:lang w:val="kk-KZ"/>
        </w:rPr>
      </w:pPr>
      <w:r w:rsidRPr="003D5746">
        <w:rPr>
          <w:rFonts w:ascii="Times New Roman" w:hAnsi="Times New Roman"/>
          <w:sz w:val="24"/>
          <w:szCs w:val="24"/>
        </w:rPr>
        <w:t>Значение данного индикатора на 1 января 2019 года составило – 1,75, что является показателем устойчивого уровня развития страхового рынка.</w:t>
      </w:r>
      <w:r>
        <w:rPr>
          <w:rFonts w:ascii="Times New Roman" w:hAnsi="Times New Roman"/>
          <w:sz w:val="24"/>
          <w:szCs w:val="24"/>
        </w:rPr>
        <w:t xml:space="preserve"> </w:t>
      </w:r>
    </w:p>
    <w:p w:rsidR="00F2659C" w:rsidRPr="00E82016" w:rsidRDefault="00F2659C" w:rsidP="00F2659C">
      <w:pPr>
        <w:spacing w:after="0" w:line="240" w:lineRule="auto"/>
        <w:ind w:firstLine="709"/>
        <w:contextualSpacing/>
        <w:jc w:val="both"/>
        <w:rPr>
          <w:rFonts w:ascii="Times New Roman" w:hAnsi="Times New Roman"/>
          <w:sz w:val="24"/>
          <w:szCs w:val="28"/>
        </w:rPr>
      </w:pPr>
      <w:r w:rsidRPr="00E82016">
        <w:rPr>
          <w:rFonts w:ascii="Times New Roman" w:hAnsi="Times New Roman"/>
          <w:b/>
          <w:bCs/>
          <w:i/>
          <w:sz w:val="24"/>
          <w:szCs w:val="28"/>
        </w:rPr>
        <w:t>Мероприятие для достижения целевого индикатора:</w:t>
      </w:r>
      <w:r w:rsidRPr="00E82016">
        <w:rPr>
          <w:rFonts w:ascii="Times New Roman" w:hAnsi="Times New Roman"/>
          <w:sz w:val="24"/>
          <w:szCs w:val="28"/>
        </w:rPr>
        <w:t xml:space="preserve"> </w:t>
      </w:r>
    </w:p>
    <w:p w:rsidR="00F2659C" w:rsidRDefault="00F2659C" w:rsidP="00F2659C">
      <w:pPr>
        <w:spacing w:after="0" w:line="240" w:lineRule="auto"/>
        <w:ind w:firstLine="709"/>
        <w:contextualSpacing/>
        <w:jc w:val="both"/>
        <w:rPr>
          <w:rFonts w:ascii="Times New Roman" w:hAnsi="Times New Roman"/>
          <w:i/>
          <w:sz w:val="24"/>
          <w:szCs w:val="24"/>
        </w:rPr>
      </w:pPr>
      <w:r>
        <w:rPr>
          <w:rFonts w:ascii="Times New Roman" w:hAnsi="Times New Roman"/>
          <w:i/>
          <w:sz w:val="24"/>
          <w:szCs w:val="24"/>
        </w:rPr>
        <w:t>Совершенствование законодательства в сфере страхования в целях развития и повышения привлекательности страхования.</w:t>
      </w:r>
    </w:p>
    <w:p w:rsidR="00445187" w:rsidRPr="003D5746" w:rsidRDefault="00445187" w:rsidP="00445187">
      <w:pPr>
        <w:spacing w:line="240" w:lineRule="auto"/>
        <w:ind w:firstLine="709"/>
        <w:contextualSpacing/>
        <w:jc w:val="both"/>
        <w:rPr>
          <w:rFonts w:ascii="Times New Roman" w:hAnsi="Times New Roman"/>
          <w:sz w:val="24"/>
          <w:szCs w:val="24"/>
        </w:rPr>
      </w:pPr>
      <w:r w:rsidRPr="003D5746">
        <w:rPr>
          <w:rFonts w:ascii="Times New Roman" w:hAnsi="Times New Roman"/>
          <w:sz w:val="24"/>
          <w:szCs w:val="24"/>
        </w:rPr>
        <w:t>Закон №166-VI, который направлен на повышение доступности, качества и снижение стоимости страховых услуг для населения и бизнеса, защиту пр</w:t>
      </w:r>
      <w:r w:rsidR="0074547A">
        <w:rPr>
          <w:rFonts w:ascii="Times New Roman" w:hAnsi="Times New Roman"/>
          <w:sz w:val="24"/>
          <w:szCs w:val="24"/>
        </w:rPr>
        <w:t xml:space="preserve">ав потребителей страховых услуг, </w:t>
      </w:r>
      <w:r w:rsidRPr="003D5746">
        <w:rPr>
          <w:rFonts w:ascii="Times New Roman" w:hAnsi="Times New Roman"/>
          <w:sz w:val="24"/>
          <w:szCs w:val="24"/>
        </w:rPr>
        <w:t>предусматривает следующие основные направления:</w:t>
      </w:r>
    </w:p>
    <w:p w:rsidR="00445187" w:rsidRPr="003D5746" w:rsidRDefault="00445187" w:rsidP="00445187">
      <w:pPr>
        <w:spacing w:line="240" w:lineRule="auto"/>
        <w:ind w:firstLine="709"/>
        <w:contextualSpacing/>
        <w:jc w:val="both"/>
        <w:rPr>
          <w:rFonts w:ascii="Times New Roman" w:hAnsi="Times New Roman"/>
          <w:sz w:val="24"/>
          <w:szCs w:val="24"/>
        </w:rPr>
      </w:pPr>
      <w:r w:rsidRPr="003D5746">
        <w:rPr>
          <w:rFonts w:ascii="Times New Roman" w:hAnsi="Times New Roman"/>
          <w:sz w:val="24"/>
          <w:szCs w:val="24"/>
        </w:rPr>
        <w:t>- внедрение онлайн-страхования, в результате которого население получает возможность заключать договоры страхования в электронной форме через интернет-ресурсы страховых компаний без посещения офиса или участия агента;</w:t>
      </w:r>
    </w:p>
    <w:p w:rsidR="00445187" w:rsidRPr="003D5746" w:rsidRDefault="00445187" w:rsidP="00445187">
      <w:pPr>
        <w:spacing w:line="240" w:lineRule="auto"/>
        <w:ind w:firstLine="709"/>
        <w:contextualSpacing/>
        <w:jc w:val="both"/>
        <w:rPr>
          <w:rFonts w:ascii="Times New Roman" w:hAnsi="Times New Roman"/>
          <w:sz w:val="24"/>
          <w:szCs w:val="24"/>
        </w:rPr>
      </w:pPr>
      <w:r w:rsidRPr="003D5746">
        <w:rPr>
          <w:rFonts w:ascii="Times New Roman" w:hAnsi="Times New Roman"/>
          <w:sz w:val="24"/>
          <w:szCs w:val="24"/>
        </w:rPr>
        <w:t>- переход к обязательному страхованию имущественных интересов самого туриста, выезжающего за рубеж. Действующее законодательство в сфере обязательного страхования гражданско-правовой ответственности туроператора или турагента не позволяет защитить интересы туристов;</w:t>
      </w:r>
    </w:p>
    <w:p w:rsidR="00445187" w:rsidRPr="003D5746" w:rsidRDefault="00445187" w:rsidP="00445187">
      <w:pPr>
        <w:spacing w:line="240" w:lineRule="auto"/>
        <w:ind w:firstLine="709"/>
        <w:contextualSpacing/>
        <w:jc w:val="both"/>
        <w:rPr>
          <w:rFonts w:ascii="Times New Roman" w:hAnsi="Times New Roman"/>
          <w:sz w:val="24"/>
          <w:szCs w:val="24"/>
        </w:rPr>
      </w:pPr>
      <w:r w:rsidRPr="003D5746">
        <w:rPr>
          <w:rFonts w:ascii="Times New Roman" w:hAnsi="Times New Roman"/>
          <w:sz w:val="24"/>
          <w:szCs w:val="24"/>
        </w:rPr>
        <w:t>- расширение полномочий страхового омбудсмана на все классы страхования (обязательные и добровольные) с сохранением права сторон на обращение в суд;</w:t>
      </w:r>
    </w:p>
    <w:p w:rsidR="00445187" w:rsidRPr="003D5746" w:rsidRDefault="00445187" w:rsidP="00445187">
      <w:pPr>
        <w:spacing w:line="240" w:lineRule="auto"/>
        <w:ind w:firstLine="709"/>
        <w:contextualSpacing/>
        <w:jc w:val="both"/>
        <w:rPr>
          <w:rFonts w:ascii="Times New Roman" w:hAnsi="Times New Roman"/>
          <w:sz w:val="24"/>
          <w:szCs w:val="24"/>
        </w:rPr>
      </w:pPr>
      <w:r w:rsidRPr="003D5746">
        <w:rPr>
          <w:rFonts w:ascii="Times New Roman" w:hAnsi="Times New Roman"/>
          <w:sz w:val="24"/>
          <w:szCs w:val="24"/>
        </w:rPr>
        <w:lastRenderedPageBreak/>
        <w:t>- дополнительные гарантии Фонда гарантирования страховых выплат в некоторых случаях отсутствия выплат по отдельным социально-значимым продуктам страхования жизни (страховые выплаты по пенсионным аннуитетам и аннуитетам работников потерявших трудоспособность);</w:t>
      </w:r>
    </w:p>
    <w:p w:rsidR="00445187" w:rsidRPr="003D5746" w:rsidRDefault="00445187" w:rsidP="00445187">
      <w:pPr>
        <w:spacing w:line="240" w:lineRule="auto"/>
        <w:ind w:firstLine="709"/>
        <w:contextualSpacing/>
        <w:jc w:val="both"/>
        <w:rPr>
          <w:rFonts w:ascii="Times New Roman" w:hAnsi="Times New Roman"/>
          <w:sz w:val="24"/>
          <w:szCs w:val="24"/>
        </w:rPr>
      </w:pPr>
      <w:r w:rsidRPr="003D5746">
        <w:rPr>
          <w:rFonts w:ascii="Times New Roman" w:hAnsi="Times New Roman"/>
          <w:sz w:val="24"/>
          <w:szCs w:val="24"/>
        </w:rPr>
        <w:t>- законодательные поправки надзорного характера, повышающие прозрачность участников страхового рынка.</w:t>
      </w:r>
    </w:p>
    <w:p w:rsidR="001D338B" w:rsidRDefault="001D338B" w:rsidP="00F2659C">
      <w:pPr>
        <w:spacing w:after="0" w:line="240" w:lineRule="auto"/>
        <w:ind w:firstLine="709"/>
        <w:contextualSpacing/>
        <w:jc w:val="both"/>
        <w:rPr>
          <w:rFonts w:ascii="Times New Roman" w:hAnsi="Times New Roman"/>
          <w:b/>
          <w:i/>
          <w:color w:val="000000"/>
          <w:sz w:val="24"/>
          <w:szCs w:val="24"/>
        </w:rPr>
      </w:pPr>
    </w:p>
    <w:p w:rsidR="00F2659C" w:rsidRPr="00E82016" w:rsidRDefault="00F2659C" w:rsidP="00F2659C">
      <w:pPr>
        <w:spacing w:after="0" w:line="240" w:lineRule="auto"/>
        <w:ind w:firstLine="709"/>
        <w:contextualSpacing/>
        <w:jc w:val="both"/>
        <w:rPr>
          <w:rFonts w:ascii="Times New Roman" w:hAnsi="Times New Roman"/>
          <w:i/>
          <w:color w:val="000000"/>
          <w:sz w:val="24"/>
          <w:szCs w:val="24"/>
        </w:rPr>
      </w:pPr>
      <w:r w:rsidRPr="00E82016">
        <w:rPr>
          <w:rFonts w:ascii="Times New Roman" w:hAnsi="Times New Roman"/>
          <w:b/>
          <w:i/>
          <w:color w:val="000000"/>
          <w:sz w:val="24"/>
          <w:szCs w:val="24"/>
        </w:rPr>
        <w:t>Цель 2.3.</w:t>
      </w:r>
      <w:r w:rsidRPr="00E82016">
        <w:rPr>
          <w:rFonts w:ascii="Times New Roman" w:hAnsi="Times New Roman"/>
          <w:i/>
          <w:color w:val="000000"/>
          <w:sz w:val="24"/>
          <w:szCs w:val="24"/>
        </w:rPr>
        <w:t xml:space="preserve"> </w:t>
      </w:r>
      <w:r w:rsidRPr="00E82016">
        <w:rPr>
          <w:rFonts w:ascii="Times New Roman" w:hAnsi="Times New Roman"/>
          <w:b/>
          <w:i/>
          <w:color w:val="000000"/>
          <w:sz w:val="24"/>
          <w:szCs w:val="24"/>
        </w:rPr>
        <w:t>Создание необходимых условий для дальнейшего развития рынка ценных бумаг</w:t>
      </w:r>
    </w:p>
    <w:p w:rsidR="00F2659C" w:rsidRDefault="00F2659C" w:rsidP="00F2659C">
      <w:pPr>
        <w:spacing w:after="0" w:line="240" w:lineRule="auto"/>
        <w:ind w:firstLine="709"/>
        <w:contextualSpacing/>
        <w:jc w:val="both"/>
        <w:rPr>
          <w:rFonts w:ascii="Times New Roman" w:hAnsi="Times New Roman"/>
          <w:i/>
          <w:sz w:val="24"/>
          <w:szCs w:val="24"/>
        </w:rPr>
      </w:pPr>
    </w:p>
    <w:p w:rsidR="00F2659C" w:rsidRPr="00E82016" w:rsidRDefault="00F2659C" w:rsidP="00F2659C">
      <w:pPr>
        <w:spacing w:after="0" w:line="240" w:lineRule="auto"/>
        <w:ind w:firstLine="709"/>
        <w:contextualSpacing/>
        <w:jc w:val="both"/>
        <w:rPr>
          <w:rFonts w:ascii="Times New Roman" w:hAnsi="Times New Roman"/>
          <w:i/>
          <w:sz w:val="24"/>
          <w:szCs w:val="24"/>
          <w:lang w:val="kk-KZ"/>
        </w:rPr>
      </w:pPr>
      <w:r w:rsidRPr="00E82016">
        <w:rPr>
          <w:rFonts w:ascii="Times New Roman" w:hAnsi="Times New Roman"/>
          <w:b/>
          <w:i/>
          <w:sz w:val="24"/>
          <w:szCs w:val="24"/>
        </w:rPr>
        <w:t xml:space="preserve">Целевой </w:t>
      </w:r>
      <w:r>
        <w:rPr>
          <w:rFonts w:ascii="Times New Roman" w:hAnsi="Times New Roman"/>
          <w:b/>
          <w:i/>
          <w:sz w:val="24"/>
          <w:szCs w:val="24"/>
        </w:rPr>
        <w:t>индикатор</w:t>
      </w:r>
      <w:r w:rsidRPr="00E82016">
        <w:rPr>
          <w:rFonts w:ascii="Times New Roman" w:hAnsi="Times New Roman"/>
          <w:b/>
          <w:i/>
          <w:sz w:val="24"/>
          <w:szCs w:val="24"/>
        </w:rPr>
        <w:t>:</w:t>
      </w:r>
      <w:r w:rsidRPr="00E82016">
        <w:rPr>
          <w:rFonts w:ascii="Times New Roman" w:hAnsi="Times New Roman"/>
          <w:i/>
          <w:sz w:val="24"/>
          <w:szCs w:val="24"/>
        </w:rPr>
        <w:t xml:space="preserve"> </w:t>
      </w:r>
      <w:r w:rsidRPr="00E82016">
        <w:rPr>
          <w:rFonts w:ascii="Times New Roman" w:hAnsi="Times New Roman"/>
          <w:b/>
          <w:i/>
          <w:sz w:val="24"/>
          <w:szCs w:val="24"/>
          <w:lang w:val="kk-KZ"/>
        </w:rPr>
        <w:t>Показатель «</w:t>
      </w:r>
      <w:r>
        <w:rPr>
          <w:rFonts w:ascii="Times New Roman" w:hAnsi="Times New Roman"/>
          <w:b/>
          <w:i/>
          <w:sz w:val="24"/>
          <w:szCs w:val="24"/>
          <w:lang w:val="kk-KZ"/>
        </w:rPr>
        <w:t>Эффективность работы совета директоров</w:t>
      </w:r>
      <w:r w:rsidRPr="00E82016">
        <w:rPr>
          <w:rFonts w:ascii="Times New Roman" w:hAnsi="Times New Roman"/>
          <w:b/>
          <w:i/>
          <w:sz w:val="24"/>
          <w:szCs w:val="24"/>
          <w:lang w:val="kk-KZ"/>
        </w:rPr>
        <w:t xml:space="preserve">» Глобального индекса конкурентоспособности </w:t>
      </w:r>
      <w:r w:rsidRPr="00E82016">
        <w:rPr>
          <w:rFonts w:ascii="Times New Roman" w:hAnsi="Times New Roman"/>
          <w:i/>
          <w:sz w:val="24"/>
          <w:szCs w:val="24"/>
          <w:lang w:val="kk-KZ"/>
        </w:rPr>
        <w:t>(</w:t>
      </w:r>
      <w:r>
        <w:rPr>
          <w:rFonts w:ascii="Times New Roman" w:hAnsi="Times New Roman"/>
          <w:i/>
          <w:sz w:val="24"/>
          <w:szCs w:val="24"/>
          <w:lang w:val="kk-KZ"/>
        </w:rPr>
        <w:t>52</w:t>
      </w:r>
      <w:r w:rsidRPr="00E82016">
        <w:rPr>
          <w:rFonts w:ascii="Times New Roman" w:hAnsi="Times New Roman"/>
          <w:i/>
          <w:sz w:val="24"/>
          <w:szCs w:val="24"/>
          <w:lang w:val="kk-KZ"/>
        </w:rPr>
        <w:t xml:space="preserve"> место в рейтинге ГИК ВЭФ)</w:t>
      </w:r>
    </w:p>
    <w:p w:rsidR="0094193E" w:rsidRPr="0094193E" w:rsidRDefault="0094193E" w:rsidP="0094193E">
      <w:pPr>
        <w:spacing w:after="0" w:line="240" w:lineRule="auto"/>
        <w:ind w:firstLine="709"/>
        <w:contextualSpacing/>
        <w:jc w:val="both"/>
        <w:rPr>
          <w:rFonts w:ascii="Times New Roman" w:hAnsi="Times New Roman"/>
          <w:bCs/>
          <w:i/>
          <w:iCs/>
          <w:sz w:val="24"/>
        </w:rPr>
      </w:pPr>
      <w:r w:rsidRPr="003D5746">
        <w:rPr>
          <w:rFonts w:ascii="Times New Roman" w:eastAsia="Times New Roman" w:hAnsi="Times New Roman"/>
          <w:sz w:val="24"/>
          <w:szCs w:val="24"/>
          <w:lang w:eastAsia="ru-RU"/>
        </w:rPr>
        <w:t>Согласно новой методологии ГИК ВЭФ 4.0, действующей с 2018 года, индикатор «Эффективность работы совета директоров» исключён из структуры отчёта ГИК ВЭФ, поскольку в настоящее время основной упор ставится на ст</w:t>
      </w:r>
      <w:r>
        <w:rPr>
          <w:rFonts w:ascii="Times New Roman" w:eastAsia="Times New Roman" w:hAnsi="Times New Roman"/>
          <w:sz w:val="24"/>
          <w:szCs w:val="24"/>
          <w:lang w:eastAsia="ru-RU"/>
        </w:rPr>
        <w:t xml:space="preserve">атистические индикаторы. </w:t>
      </w:r>
      <w:r>
        <w:rPr>
          <w:rFonts w:ascii="Times New Roman" w:eastAsia="Times New Roman" w:hAnsi="Times New Roman"/>
          <w:sz w:val="24"/>
          <w:szCs w:val="24"/>
          <w:lang w:eastAsia="ru-RU"/>
        </w:rPr>
        <w:tab/>
        <w:t xml:space="preserve">Таким </w:t>
      </w:r>
      <w:r w:rsidRPr="003D5746">
        <w:rPr>
          <w:rFonts w:ascii="Times New Roman" w:eastAsia="Times New Roman" w:hAnsi="Times New Roman"/>
          <w:sz w:val="24"/>
          <w:szCs w:val="24"/>
          <w:lang w:eastAsia="ru-RU"/>
        </w:rPr>
        <w:t xml:space="preserve">образом, не представляется возможным указать информацию по позиции Казахстана по целевому индикатору «Эффективность работы совета директоров» рейтинга ГИК ВЭФ по итогам 2018 года ввиду отсутствия необходимой информации в ежегодном отчете по глобальному индексу конкурентоспособности. </w:t>
      </w:r>
    </w:p>
    <w:p w:rsidR="00F2659C" w:rsidRPr="00E82016" w:rsidRDefault="00F2659C" w:rsidP="00F2659C">
      <w:pPr>
        <w:spacing w:after="0" w:line="240" w:lineRule="auto"/>
        <w:ind w:firstLine="709"/>
        <w:contextualSpacing/>
        <w:jc w:val="both"/>
        <w:rPr>
          <w:rFonts w:ascii="Times New Roman" w:hAnsi="Times New Roman"/>
          <w:b/>
          <w:i/>
          <w:sz w:val="24"/>
        </w:rPr>
      </w:pPr>
      <w:r w:rsidRPr="00E82016">
        <w:rPr>
          <w:rFonts w:ascii="Times New Roman" w:hAnsi="Times New Roman"/>
          <w:b/>
          <w:bCs/>
          <w:i/>
          <w:iCs/>
          <w:sz w:val="24"/>
        </w:rPr>
        <w:t>Мероприятия для достижения  целевого индикатора:</w:t>
      </w:r>
    </w:p>
    <w:p w:rsidR="0094193E" w:rsidRDefault="00F2659C" w:rsidP="0094193E">
      <w:pPr>
        <w:spacing w:after="0" w:line="240" w:lineRule="auto"/>
        <w:ind w:firstLine="709"/>
        <w:contextualSpacing/>
        <w:jc w:val="both"/>
        <w:rPr>
          <w:rFonts w:ascii="Times New Roman" w:hAnsi="Times New Roman"/>
          <w:bCs/>
          <w:i/>
          <w:iCs/>
          <w:sz w:val="24"/>
        </w:rPr>
      </w:pPr>
      <w:r>
        <w:rPr>
          <w:rFonts w:ascii="Times New Roman" w:hAnsi="Times New Roman"/>
          <w:bCs/>
          <w:i/>
          <w:iCs/>
          <w:sz w:val="24"/>
        </w:rPr>
        <w:t>Участие в круглых столах, пресс-конференциях, диалоговых площадках по обсуждению проблемных вопросов корпоративного управления, организовываемых Национальной палатой предпринимателей Республики Каз</w:t>
      </w:r>
      <w:r w:rsidR="0094193E">
        <w:rPr>
          <w:rFonts w:ascii="Times New Roman" w:hAnsi="Times New Roman"/>
          <w:bCs/>
          <w:i/>
          <w:iCs/>
          <w:sz w:val="24"/>
        </w:rPr>
        <w:t>ахстан и другими организациями.</w:t>
      </w:r>
    </w:p>
    <w:p w:rsidR="0094193E" w:rsidRDefault="0094193E" w:rsidP="0094193E">
      <w:pPr>
        <w:spacing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Pr="003D5746">
        <w:rPr>
          <w:rFonts w:ascii="Times New Roman" w:eastAsia="Times New Roman" w:hAnsi="Times New Roman"/>
          <w:sz w:val="24"/>
          <w:szCs w:val="24"/>
          <w:lang w:eastAsia="ru-RU"/>
        </w:rPr>
        <w:t>аличие эффективной практики корпоративного управления в компаниях добавляет им дополнительную стоимость. В этой связи, на постоянной основе проводится системная работа по совершенствованию качества корпоративного управления в Казахстане, в том числе по рекомендациям международных экспертов в рамках рейтинга «Doing Business» Всемирного Банка. По итогам 2018 года Казахстан в рейтинге «Doing Business» Всемирного Банка занял 28 место, при этом согласно оценкам экспертов Всемирного Банка по индикатору «Защита миноритарных инвесторов» рейтинга «Doing Business» Казахстан продолжает занимать 1 место в мире.</w:t>
      </w:r>
    </w:p>
    <w:p w:rsidR="0094193E" w:rsidRDefault="0094193E" w:rsidP="0094193E">
      <w:pPr>
        <w:spacing w:after="0" w:line="240" w:lineRule="auto"/>
        <w:ind w:firstLine="709"/>
        <w:contextualSpacing/>
        <w:jc w:val="both"/>
        <w:rPr>
          <w:rFonts w:ascii="Times New Roman" w:eastAsia="Times New Roman" w:hAnsi="Times New Roman"/>
          <w:sz w:val="24"/>
          <w:szCs w:val="24"/>
          <w:lang w:eastAsia="ru-RU"/>
        </w:rPr>
      </w:pPr>
      <w:r w:rsidRPr="003D5746">
        <w:rPr>
          <w:rFonts w:ascii="Times New Roman" w:eastAsia="Times New Roman" w:hAnsi="Times New Roman"/>
          <w:sz w:val="24"/>
          <w:szCs w:val="24"/>
          <w:lang w:eastAsia="ru-RU"/>
        </w:rPr>
        <w:t xml:space="preserve">Законом Республики Казахстан </w:t>
      </w:r>
      <w:r w:rsidR="00271E80" w:rsidRPr="003D5746">
        <w:rPr>
          <w:rFonts w:ascii="Times New Roman" w:eastAsia="Times New Roman" w:hAnsi="Times New Roman"/>
          <w:sz w:val="24"/>
          <w:szCs w:val="24"/>
          <w:lang w:eastAsia="ru-RU"/>
        </w:rPr>
        <w:t xml:space="preserve">от 24 мая 2018 года </w:t>
      </w:r>
      <w:r w:rsidRPr="003D5746">
        <w:rPr>
          <w:rFonts w:ascii="Times New Roman" w:eastAsia="Times New Roman" w:hAnsi="Times New Roman"/>
          <w:sz w:val="24"/>
          <w:szCs w:val="24"/>
          <w:lang w:eastAsia="ru-RU"/>
        </w:rPr>
        <w:t xml:space="preserve">«О внесении изменений и дополнений </w:t>
      </w:r>
      <w:r w:rsidRPr="003D5746">
        <w:rPr>
          <w:rFonts w:ascii="Times New Roman" w:eastAsia="Times New Roman" w:hAnsi="Times New Roman"/>
          <w:sz w:val="24"/>
          <w:szCs w:val="24"/>
          <w:lang w:eastAsia="ru-RU"/>
        </w:rPr>
        <w:br/>
        <w:t xml:space="preserve">в некоторые законодательные акты Республики Казахстан по вопросам </w:t>
      </w:r>
      <w:r w:rsidRPr="003D5746">
        <w:rPr>
          <w:rFonts w:ascii="Times New Roman" w:eastAsia="Times New Roman" w:hAnsi="Times New Roman"/>
          <w:sz w:val="24"/>
          <w:szCs w:val="24"/>
          <w:lang w:eastAsia="ru-RU"/>
        </w:rPr>
        <w:br/>
        <w:t xml:space="preserve">совершенствования регулирования предпринимательской деятельности» положения Закона Республики Казахстан «Об акционерных обществах» дополнены нормой о том, что акционеры, владеющие самостоятельно или в совокупности с другими акционерами пятью и более процентами голосующих акций общества, вправе получить информацию о размере вознаграждения по итогам года отдельного члена совета директоров и (или) исполнительного органа общества при одновременном наличии следующих условий: </w:t>
      </w:r>
    </w:p>
    <w:p w:rsidR="0094193E" w:rsidRPr="0094193E" w:rsidRDefault="0094193E" w:rsidP="0094193E">
      <w:pPr>
        <w:spacing w:after="0" w:line="240" w:lineRule="auto"/>
        <w:ind w:firstLine="709"/>
        <w:contextualSpacing/>
        <w:jc w:val="both"/>
        <w:rPr>
          <w:rFonts w:ascii="Times New Roman" w:hAnsi="Times New Roman"/>
          <w:bCs/>
          <w:i/>
          <w:iCs/>
          <w:sz w:val="24"/>
        </w:rPr>
      </w:pPr>
      <w:r w:rsidRPr="003D5746">
        <w:rPr>
          <w:rFonts w:ascii="Times New Roman" w:eastAsia="Times New Roman" w:hAnsi="Times New Roman"/>
          <w:sz w:val="24"/>
          <w:szCs w:val="24"/>
          <w:lang w:eastAsia="ru-RU"/>
        </w:rPr>
        <w:t xml:space="preserve">- установление судом факта умышленного введения в заблуждение акционеров общества данным членом совета директоров и (или) исполнительного органа общества с целью получения им (ими) либо его аффилированными лицами прибыли (дохода); </w:t>
      </w:r>
    </w:p>
    <w:p w:rsidR="0094193E" w:rsidRPr="003D5746" w:rsidRDefault="0094193E" w:rsidP="0094193E">
      <w:pPr>
        <w:pStyle w:val="a6"/>
        <w:tabs>
          <w:tab w:val="left" w:pos="709"/>
          <w:tab w:val="left" w:pos="993"/>
          <w:tab w:val="left" w:pos="1134"/>
        </w:tabs>
        <w:spacing w:after="0" w:line="240" w:lineRule="auto"/>
        <w:ind w:left="0" w:firstLine="709"/>
        <w:jc w:val="both"/>
        <w:rPr>
          <w:rFonts w:ascii="Times New Roman" w:eastAsia="Times New Roman" w:hAnsi="Times New Roman"/>
          <w:sz w:val="24"/>
          <w:szCs w:val="24"/>
          <w:lang w:eastAsia="ru-RU"/>
        </w:rPr>
      </w:pPr>
      <w:r w:rsidRPr="003D5746">
        <w:rPr>
          <w:rFonts w:ascii="Times New Roman" w:eastAsia="Times New Roman" w:hAnsi="Times New Roman"/>
          <w:sz w:val="24"/>
          <w:szCs w:val="24"/>
          <w:lang w:eastAsia="ru-RU"/>
        </w:rPr>
        <w:t>- если будет доказано, что недобросовестные действия и (или) бездействие данного члена совета директоров и (или) исполнительного органа общества повлекли возникновение убытков общества.</w:t>
      </w:r>
    </w:p>
    <w:p w:rsidR="0094193E" w:rsidRPr="003D5746" w:rsidRDefault="0094193E" w:rsidP="0094193E">
      <w:pPr>
        <w:pStyle w:val="a6"/>
        <w:tabs>
          <w:tab w:val="left" w:pos="709"/>
          <w:tab w:val="left" w:pos="993"/>
          <w:tab w:val="left" w:pos="1134"/>
        </w:tabs>
        <w:spacing w:after="0" w:line="240" w:lineRule="auto"/>
        <w:ind w:left="0" w:firstLine="709"/>
        <w:jc w:val="both"/>
        <w:rPr>
          <w:rFonts w:ascii="Times New Roman" w:eastAsia="Times New Roman" w:hAnsi="Times New Roman"/>
          <w:sz w:val="24"/>
          <w:szCs w:val="24"/>
          <w:lang w:eastAsia="ru-RU"/>
        </w:rPr>
      </w:pPr>
      <w:r w:rsidRPr="003D5746">
        <w:rPr>
          <w:rFonts w:ascii="Times New Roman" w:eastAsia="Times New Roman" w:hAnsi="Times New Roman"/>
          <w:sz w:val="24"/>
          <w:szCs w:val="24"/>
          <w:lang w:eastAsia="ru-RU"/>
        </w:rPr>
        <w:t>Разработанным Национальным Банком Законом № 166-VI предусмотрены меры, направленные, в том числе, на совершенствование системы раскрытия информации о деятельности эмитентов. В частности, в целях систематизации доступа инвесторов к информации о деятельности эмитентов и снижения финансовой нагрузки на эмитентов:</w:t>
      </w:r>
    </w:p>
    <w:p w:rsidR="0094193E" w:rsidRPr="003D5746" w:rsidRDefault="0094193E" w:rsidP="0094193E">
      <w:pPr>
        <w:pStyle w:val="a6"/>
        <w:tabs>
          <w:tab w:val="left" w:pos="709"/>
          <w:tab w:val="left" w:pos="993"/>
          <w:tab w:val="left" w:pos="1134"/>
        </w:tabs>
        <w:spacing w:after="0" w:line="240" w:lineRule="auto"/>
        <w:ind w:left="0" w:firstLine="709"/>
        <w:jc w:val="both"/>
        <w:rPr>
          <w:rFonts w:ascii="Times New Roman" w:eastAsia="Times New Roman" w:hAnsi="Times New Roman"/>
          <w:sz w:val="24"/>
          <w:szCs w:val="24"/>
          <w:lang w:eastAsia="ru-RU"/>
        </w:rPr>
      </w:pPr>
      <w:r w:rsidRPr="003D5746">
        <w:rPr>
          <w:rFonts w:ascii="Times New Roman" w:eastAsia="Times New Roman" w:hAnsi="Times New Roman"/>
          <w:sz w:val="24"/>
          <w:szCs w:val="24"/>
          <w:lang w:eastAsia="ru-RU"/>
        </w:rPr>
        <w:t>-</w:t>
      </w:r>
      <w:r w:rsidRPr="003D5746">
        <w:rPr>
          <w:rFonts w:ascii="Times New Roman" w:eastAsia="Times New Roman" w:hAnsi="Times New Roman"/>
          <w:sz w:val="24"/>
          <w:szCs w:val="24"/>
          <w:lang w:eastAsia="ru-RU"/>
        </w:rPr>
        <w:tab/>
        <w:t>оптимизирован перечень раскрываемой эмитентами информации о своей деятельности, исключены дублирующие нормы;</w:t>
      </w:r>
    </w:p>
    <w:p w:rsidR="0094193E" w:rsidRPr="003D5746" w:rsidRDefault="0094193E" w:rsidP="0094193E">
      <w:pPr>
        <w:pStyle w:val="a6"/>
        <w:tabs>
          <w:tab w:val="left" w:pos="709"/>
          <w:tab w:val="left" w:pos="993"/>
          <w:tab w:val="left" w:pos="1134"/>
        </w:tabs>
        <w:spacing w:after="0" w:line="240" w:lineRule="auto"/>
        <w:ind w:left="0" w:firstLine="709"/>
        <w:jc w:val="both"/>
        <w:rPr>
          <w:rFonts w:ascii="Times New Roman" w:eastAsia="Times New Roman" w:hAnsi="Times New Roman"/>
          <w:sz w:val="24"/>
          <w:szCs w:val="24"/>
          <w:lang w:eastAsia="ru-RU"/>
        </w:rPr>
      </w:pPr>
      <w:r w:rsidRPr="003D5746">
        <w:rPr>
          <w:rFonts w:ascii="Times New Roman" w:eastAsia="Times New Roman" w:hAnsi="Times New Roman"/>
          <w:sz w:val="24"/>
          <w:szCs w:val="24"/>
          <w:lang w:eastAsia="ru-RU"/>
        </w:rPr>
        <w:t>-</w:t>
      </w:r>
      <w:r w:rsidRPr="003D5746">
        <w:rPr>
          <w:rFonts w:ascii="Times New Roman" w:eastAsia="Times New Roman" w:hAnsi="Times New Roman"/>
          <w:sz w:val="24"/>
          <w:szCs w:val="24"/>
          <w:lang w:eastAsia="ru-RU"/>
        </w:rPr>
        <w:tab/>
        <w:t>в качестве единого бесплатного источника информации об эмитентах определен Депозитарий финансовой отчетности.</w:t>
      </w:r>
    </w:p>
    <w:p w:rsidR="0094193E" w:rsidRPr="003D5746" w:rsidRDefault="0094193E" w:rsidP="0094193E">
      <w:pPr>
        <w:pStyle w:val="a6"/>
        <w:tabs>
          <w:tab w:val="left" w:pos="709"/>
          <w:tab w:val="left" w:pos="993"/>
          <w:tab w:val="left" w:pos="1134"/>
        </w:tabs>
        <w:spacing w:after="0" w:line="240" w:lineRule="auto"/>
        <w:ind w:left="0" w:firstLine="709"/>
        <w:jc w:val="both"/>
        <w:rPr>
          <w:rFonts w:ascii="Times New Roman" w:eastAsia="Times New Roman" w:hAnsi="Times New Roman"/>
          <w:sz w:val="24"/>
          <w:szCs w:val="24"/>
          <w:lang w:eastAsia="ru-RU"/>
        </w:rPr>
      </w:pPr>
      <w:r w:rsidRPr="003D5746">
        <w:rPr>
          <w:rFonts w:ascii="Times New Roman" w:eastAsia="Times New Roman" w:hAnsi="Times New Roman"/>
          <w:sz w:val="24"/>
          <w:szCs w:val="24"/>
          <w:lang w:eastAsia="ru-RU"/>
        </w:rPr>
        <w:t xml:space="preserve">Данные поправки согласуются с принципами корпоративного управления G20/ОЭСР по раскрытию информации, которые устанавливают, что каналы распространения информации </w:t>
      </w:r>
      <w:r w:rsidRPr="003D5746">
        <w:rPr>
          <w:rFonts w:ascii="Times New Roman" w:eastAsia="Times New Roman" w:hAnsi="Times New Roman"/>
          <w:sz w:val="24"/>
          <w:szCs w:val="24"/>
          <w:lang w:eastAsia="ru-RU"/>
        </w:rPr>
        <w:lastRenderedPageBreak/>
        <w:t xml:space="preserve">должны обеспечивать равноправный, своевременный и не связанный с чрезмерными расходами доступ пользователей к необходимой информации.  </w:t>
      </w:r>
    </w:p>
    <w:p w:rsidR="0094193E" w:rsidRPr="003D5746" w:rsidRDefault="0094193E" w:rsidP="0094193E">
      <w:pPr>
        <w:pStyle w:val="a6"/>
        <w:tabs>
          <w:tab w:val="left" w:pos="709"/>
          <w:tab w:val="left" w:pos="993"/>
          <w:tab w:val="left" w:pos="1134"/>
        </w:tabs>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Также, </w:t>
      </w:r>
      <w:r w:rsidRPr="003D5746">
        <w:rPr>
          <w:rFonts w:ascii="Times New Roman" w:eastAsia="Times New Roman" w:hAnsi="Times New Roman"/>
          <w:sz w:val="24"/>
          <w:szCs w:val="24"/>
          <w:lang w:eastAsia="ru-RU"/>
        </w:rPr>
        <w:t>необходимо отметить, что в реализацию Закона № 166-VI в части совершенствования системы раскрытия информации о деятельности эмитентов принято постановление Правления Национального Банка от 27 августа 2018 года № 189</w:t>
      </w:r>
      <w:r>
        <w:rPr>
          <w:rFonts w:ascii="Times New Roman" w:eastAsia="Times New Roman" w:hAnsi="Times New Roman"/>
          <w:sz w:val="24"/>
          <w:szCs w:val="24"/>
          <w:lang w:eastAsia="ru-RU"/>
        </w:rPr>
        <w:t xml:space="preserve"> </w:t>
      </w:r>
      <w:r w:rsidRPr="003D5746">
        <w:rPr>
          <w:rFonts w:ascii="Times New Roman" w:eastAsia="Times New Roman" w:hAnsi="Times New Roman"/>
          <w:sz w:val="24"/>
          <w:szCs w:val="24"/>
          <w:lang w:eastAsia="ru-RU"/>
        </w:rPr>
        <w:t>«Об утверждении Правил раскрытия эмитентом информации, Требований к содержанию информации, подлежащей раскрытию эмитентом, а также сроков раскрытия эмитентом информации на интернет-ресурсе депозитария финансовой отчетности»</w:t>
      </w:r>
      <w:r>
        <w:rPr>
          <w:rFonts w:ascii="Times New Roman" w:eastAsia="Times New Roman" w:hAnsi="Times New Roman"/>
          <w:sz w:val="24"/>
          <w:szCs w:val="24"/>
          <w:lang w:eastAsia="ru-RU"/>
        </w:rPr>
        <w:t xml:space="preserve"> </w:t>
      </w:r>
      <w:r w:rsidRPr="003D5746">
        <w:rPr>
          <w:rFonts w:ascii="Times New Roman" w:eastAsia="Times New Roman" w:hAnsi="Times New Roman"/>
          <w:sz w:val="24"/>
          <w:szCs w:val="24"/>
          <w:lang w:eastAsia="ru-RU"/>
        </w:rPr>
        <w:t>в новой редакции</w:t>
      </w:r>
      <w:r>
        <w:rPr>
          <w:rFonts w:ascii="Times New Roman" w:eastAsia="Times New Roman" w:hAnsi="Times New Roman"/>
          <w:sz w:val="24"/>
          <w:szCs w:val="24"/>
          <w:lang w:eastAsia="ru-RU"/>
        </w:rPr>
        <w:t xml:space="preserve">. </w:t>
      </w:r>
    </w:p>
    <w:p w:rsidR="0094193E" w:rsidRPr="003D5746" w:rsidRDefault="0094193E" w:rsidP="0094193E">
      <w:pPr>
        <w:pStyle w:val="a6"/>
        <w:tabs>
          <w:tab w:val="left" w:pos="709"/>
          <w:tab w:val="left" w:pos="993"/>
          <w:tab w:val="left" w:pos="1134"/>
        </w:tabs>
        <w:spacing w:after="0" w:line="240" w:lineRule="auto"/>
        <w:ind w:left="0" w:firstLine="709"/>
        <w:jc w:val="both"/>
        <w:rPr>
          <w:rFonts w:ascii="Times New Roman" w:eastAsia="Times New Roman" w:hAnsi="Times New Roman"/>
          <w:sz w:val="24"/>
          <w:szCs w:val="24"/>
          <w:lang w:eastAsia="ru-RU"/>
        </w:rPr>
      </w:pPr>
      <w:r w:rsidRPr="003D5746">
        <w:rPr>
          <w:rFonts w:ascii="Times New Roman" w:eastAsia="Times New Roman" w:hAnsi="Times New Roman"/>
          <w:sz w:val="24"/>
          <w:szCs w:val="24"/>
          <w:lang w:eastAsia="ru-RU"/>
        </w:rPr>
        <w:t>Кроме того, в настоящее время в целях улучшения позиции Казахстана по индикатору «Эффективность работы советов директоров» предусмотрено мероприятие по организации Национальной палатой предпринимателей «Атамекен» круглых столов, пресс-конференций, диалоговых площадок по обсуждению проблемных вопросов корпоративного управления при участии Национального Банка.</w:t>
      </w:r>
    </w:p>
    <w:p w:rsidR="0094193E" w:rsidRPr="003D5746" w:rsidRDefault="0094193E" w:rsidP="0094193E">
      <w:pPr>
        <w:pStyle w:val="a6"/>
        <w:tabs>
          <w:tab w:val="left" w:pos="709"/>
          <w:tab w:val="left" w:pos="993"/>
          <w:tab w:val="left" w:pos="1134"/>
        </w:tabs>
        <w:spacing w:after="0" w:line="240" w:lineRule="auto"/>
        <w:ind w:left="0" w:firstLine="709"/>
        <w:jc w:val="both"/>
        <w:rPr>
          <w:rFonts w:ascii="Times New Roman" w:eastAsia="Times New Roman" w:hAnsi="Times New Roman"/>
          <w:sz w:val="24"/>
          <w:szCs w:val="24"/>
          <w:lang w:eastAsia="ru-RU"/>
        </w:rPr>
      </w:pPr>
      <w:r w:rsidRPr="003D5746">
        <w:rPr>
          <w:rFonts w:ascii="Times New Roman" w:eastAsia="Times New Roman" w:hAnsi="Times New Roman"/>
          <w:sz w:val="24"/>
          <w:szCs w:val="24"/>
          <w:lang w:eastAsia="ru-RU"/>
        </w:rPr>
        <w:t>Так, в феврале, марте и августе 2018 года в целях повышения информированности бизнеса и населения регионов была проведена крупномасштабная информационно-разъяснительная кампания по освещению реформ, направленных на улучшение позиции Казахстана в рейтинге ГИК ВЭФ, с участием представителей профильных государственных органов, в том числе ответственных подразделений Национального Банка.</w:t>
      </w:r>
    </w:p>
    <w:p w:rsidR="0094193E" w:rsidRPr="003D5746" w:rsidRDefault="0094193E" w:rsidP="0094193E">
      <w:pPr>
        <w:pStyle w:val="a6"/>
        <w:tabs>
          <w:tab w:val="left" w:pos="709"/>
          <w:tab w:val="left" w:pos="993"/>
          <w:tab w:val="left" w:pos="1134"/>
        </w:tabs>
        <w:spacing w:after="0" w:line="240" w:lineRule="auto"/>
        <w:ind w:left="0" w:firstLine="709"/>
        <w:jc w:val="both"/>
        <w:rPr>
          <w:rFonts w:ascii="Times New Roman" w:eastAsia="Times New Roman" w:hAnsi="Times New Roman"/>
          <w:sz w:val="24"/>
          <w:szCs w:val="24"/>
          <w:lang w:eastAsia="ru-RU"/>
        </w:rPr>
      </w:pPr>
      <w:r w:rsidRPr="003D5746">
        <w:rPr>
          <w:rFonts w:ascii="Times New Roman" w:eastAsia="Times New Roman" w:hAnsi="Times New Roman"/>
          <w:sz w:val="24"/>
          <w:szCs w:val="24"/>
          <w:lang w:eastAsia="ru-RU"/>
        </w:rPr>
        <w:t>В мае 2018 года было проведено заседание рабочей группы по фактору «Институты» ГИК ВЭФ, где обсуждались вопросы и рекомендации Национального Банка по совершенствованию работы советов директоров и механизмам раскрытия информации для заинтересованных сторон. Помимо этого, в июле 2018 года представитель Национального Банка принял участие в мероприятии по разъяснению норм законодательства о предоставлении информации в депозитарий финансовой отчетности (на площадке АО «НУХ «Байтерек», г. Астана).</w:t>
      </w:r>
    </w:p>
    <w:p w:rsidR="0094193E" w:rsidRDefault="0094193E" w:rsidP="0094193E">
      <w:pPr>
        <w:pStyle w:val="a6"/>
        <w:tabs>
          <w:tab w:val="left" w:pos="709"/>
          <w:tab w:val="left" w:pos="993"/>
          <w:tab w:val="left" w:pos="1134"/>
        </w:tabs>
        <w:spacing w:after="0" w:line="240" w:lineRule="auto"/>
        <w:ind w:left="0" w:firstLine="709"/>
        <w:jc w:val="both"/>
        <w:rPr>
          <w:rFonts w:ascii="Times New Roman" w:eastAsia="Times New Roman" w:hAnsi="Times New Roman"/>
          <w:sz w:val="24"/>
          <w:szCs w:val="24"/>
          <w:lang w:eastAsia="ru-RU"/>
        </w:rPr>
      </w:pPr>
      <w:r w:rsidRPr="003D5746">
        <w:rPr>
          <w:rFonts w:ascii="Times New Roman" w:eastAsia="Times New Roman" w:hAnsi="Times New Roman"/>
          <w:sz w:val="24"/>
          <w:szCs w:val="24"/>
          <w:lang w:eastAsia="ru-RU"/>
        </w:rPr>
        <w:t>В свою очередь, Национальным Банком регулярно проводятся информационно-разъяснительные работы по актуальным вопросам корпоративного управления в обществах, в том числе правоприменительной практики отдельных норм Закона Республики Казахстан «Об акционерных обществах».</w:t>
      </w:r>
    </w:p>
    <w:p w:rsidR="0094193E" w:rsidRPr="0094193E" w:rsidRDefault="0094193E" w:rsidP="0094193E">
      <w:pPr>
        <w:pStyle w:val="a6"/>
        <w:tabs>
          <w:tab w:val="left" w:pos="709"/>
          <w:tab w:val="left" w:pos="993"/>
          <w:tab w:val="left" w:pos="1134"/>
        </w:tabs>
        <w:spacing w:after="0" w:line="240" w:lineRule="auto"/>
        <w:ind w:left="0" w:firstLine="709"/>
        <w:jc w:val="both"/>
        <w:rPr>
          <w:rFonts w:ascii="Times New Roman" w:eastAsia="Times New Roman" w:hAnsi="Times New Roman"/>
          <w:sz w:val="24"/>
          <w:szCs w:val="24"/>
          <w:lang w:eastAsia="ru-RU"/>
        </w:rPr>
      </w:pPr>
      <w:r w:rsidRPr="003D5746">
        <w:rPr>
          <w:rFonts w:ascii="Times New Roman" w:eastAsia="Times New Roman" w:hAnsi="Times New Roman"/>
          <w:sz w:val="24"/>
          <w:szCs w:val="24"/>
          <w:lang w:eastAsia="ru-RU"/>
        </w:rPr>
        <w:t>Национальный Банк продолжит реализацию мер по совершенствованию законодательства по вопросам корпоративного управления.</w:t>
      </w:r>
    </w:p>
    <w:p w:rsidR="00F2659C" w:rsidRPr="00A35C36" w:rsidRDefault="00F2659C" w:rsidP="00F2659C">
      <w:pPr>
        <w:spacing w:after="0" w:line="240" w:lineRule="auto"/>
        <w:ind w:firstLine="709"/>
        <w:contextualSpacing/>
        <w:jc w:val="both"/>
        <w:rPr>
          <w:rFonts w:ascii="Times New Roman" w:hAnsi="Times New Roman"/>
          <w:bCs/>
          <w:i/>
          <w:iCs/>
          <w:sz w:val="24"/>
        </w:rPr>
      </w:pPr>
    </w:p>
    <w:p w:rsidR="00F2659C" w:rsidRPr="00E82016" w:rsidRDefault="00F2659C" w:rsidP="00F2659C">
      <w:pPr>
        <w:spacing w:after="0" w:line="240" w:lineRule="auto"/>
        <w:ind w:firstLine="709"/>
        <w:contextualSpacing/>
        <w:jc w:val="both"/>
        <w:rPr>
          <w:rFonts w:ascii="Times New Roman" w:hAnsi="Times New Roman"/>
          <w:b/>
          <w:i/>
          <w:color w:val="000000"/>
          <w:sz w:val="24"/>
          <w:szCs w:val="24"/>
        </w:rPr>
      </w:pPr>
      <w:r w:rsidRPr="00E82016">
        <w:rPr>
          <w:rFonts w:ascii="Times New Roman" w:hAnsi="Times New Roman"/>
          <w:b/>
          <w:i/>
          <w:color w:val="000000"/>
          <w:sz w:val="24"/>
          <w:szCs w:val="24"/>
        </w:rPr>
        <w:t>Цель 2.4.</w:t>
      </w:r>
      <w:r w:rsidRPr="00E82016">
        <w:rPr>
          <w:rFonts w:ascii="Times New Roman" w:hAnsi="Times New Roman"/>
          <w:i/>
          <w:color w:val="000000"/>
          <w:sz w:val="24"/>
          <w:szCs w:val="24"/>
        </w:rPr>
        <w:t xml:space="preserve"> </w:t>
      </w:r>
      <w:r>
        <w:rPr>
          <w:rFonts w:ascii="Times New Roman" w:hAnsi="Times New Roman"/>
          <w:b/>
          <w:i/>
          <w:color w:val="000000"/>
          <w:sz w:val="24"/>
          <w:szCs w:val="24"/>
        </w:rPr>
        <w:t>Создание условий по дальнейшему развитию накопительной пенсионной системы</w:t>
      </w:r>
    </w:p>
    <w:p w:rsidR="00F2659C" w:rsidRPr="00E82016" w:rsidRDefault="00F2659C" w:rsidP="00F2659C">
      <w:pPr>
        <w:spacing w:after="0" w:line="240" w:lineRule="auto"/>
        <w:ind w:firstLine="709"/>
        <w:contextualSpacing/>
        <w:jc w:val="both"/>
        <w:rPr>
          <w:rFonts w:ascii="Times New Roman" w:hAnsi="Times New Roman"/>
          <w:b/>
          <w:i/>
          <w:sz w:val="24"/>
          <w:szCs w:val="24"/>
        </w:rPr>
      </w:pPr>
    </w:p>
    <w:p w:rsidR="00F2659C" w:rsidRPr="00E82016" w:rsidRDefault="00F2659C" w:rsidP="00F2659C">
      <w:pPr>
        <w:spacing w:after="0" w:line="240" w:lineRule="auto"/>
        <w:ind w:firstLine="709"/>
        <w:contextualSpacing/>
        <w:jc w:val="both"/>
        <w:rPr>
          <w:rFonts w:ascii="Times New Roman" w:hAnsi="Times New Roman"/>
          <w:i/>
          <w:sz w:val="24"/>
          <w:szCs w:val="24"/>
          <w:lang w:val="kk-KZ"/>
        </w:rPr>
      </w:pPr>
      <w:r>
        <w:rPr>
          <w:rFonts w:ascii="Times New Roman" w:hAnsi="Times New Roman"/>
          <w:b/>
          <w:i/>
          <w:sz w:val="24"/>
          <w:szCs w:val="24"/>
        </w:rPr>
        <w:t>Целевой индикатор</w:t>
      </w:r>
      <w:r w:rsidRPr="00E82016">
        <w:rPr>
          <w:rFonts w:ascii="Times New Roman" w:hAnsi="Times New Roman"/>
          <w:b/>
          <w:i/>
          <w:sz w:val="24"/>
          <w:szCs w:val="24"/>
        </w:rPr>
        <w:t>:</w:t>
      </w:r>
      <w:r w:rsidRPr="00E82016">
        <w:rPr>
          <w:rFonts w:ascii="Times New Roman" w:hAnsi="Times New Roman"/>
          <w:i/>
          <w:sz w:val="24"/>
          <w:szCs w:val="24"/>
        </w:rPr>
        <w:t xml:space="preserve"> </w:t>
      </w:r>
      <w:r>
        <w:rPr>
          <w:rFonts w:ascii="Times New Roman" w:hAnsi="Times New Roman"/>
          <w:b/>
          <w:i/>
          <w:sz w:val="24"/>
          <w:szCs w:val="24"/>
          <w:lang w:val="kk-KZ"/>
        </w:rPr>
        <w:t>Доходность пенсионных активов ЕНПФ</w:t>
      </w:r>
      <w:r w:rsidRPr="00E82016">
        <w:rPr>
          <w:rFonts w:ascii="Times New Roman" w:hAnsi="Times New Roman"/>
          <w:b/>
          <w:i/>
          <w:sz w:val="24"/>
          <w:szCs w:val="24"/>
          <w:lang w:val="kk-KZ"/>
        </w:rPr>
        <w:t xml:space="preserve"> </w:t>
      </w:r>
      <w:r w:rsidRPr="00E82016">
        <w:rPr>
          <w:rFonts w:ascii="Times New Roman" w:hAnsi="Times New Roman"/>
          <w:i/>
          <w:sz w:val="24"/>
          <w:szCs w:val="24"/>
          <w:lang w:val="kk-KZ"/>
        </w:rPr>
        <w:t>(</w:t>
      </w:r>
      <w:r>
        <w:rPr>
          <w:rFonts w:ascii="Times New Roman" w:hAnsi="Times New Roman"/>
          <w:i/>
          <w:sz w:val="24"/>
          <w:szCs w:val="24"/>
          <w:lang w:val="kk-KZ"/>
        </w:rPr>
        <w:t>не менее 5%</w:t>
      </w:r>
      <w:r w:rsidRPr="00E82016">
        <w:rPr>
          <w:rFonts w:ascii="Times New Roman" w:hAnsi="Times New Roman"/>
          <w:i/>
          <w:sz w:val="24"/>
          <w:szCs w:val="24"/>
          <w:lang w:val="kk-KZ"/>
        </w:rPr>
        <w:t>)</w:t>
      </w:r>
    </w:p>
    <w:p w:rsidR="00F2659C" w:rsidRPr="00E82016" w:rsidRDefault="00F2659C" w:rsidP="00F2659C">
      <w:pPr>
        <w:spacing w:after="0" w:line="240" w:lineRule="auto"/>
        <w:ind w:firstLine="709"/>
        <w:contextualSpacing/>
        <w:jc w:val="both"/>
        <w:rPr>
          <w:rFonts w:ascii="Times New Roman" w:hAnsi="Times New Roman"/>
          <w:b/>
          <w:i/>
          <w:sz w:val="24"/>
        </w:rPr>
      </w:pPr>
      <w:r w:rsidRPr="00E82016">
        <w:rPr>
          <w:rFonts w:ascii="Times New Roman" w:hAnsi="Times New Roman"/>
          <w:b/>
          <w:bCs/>
          <w:i/>
          <w:iCs/>
          <w:sz w:val="24"/>
        </w:rPr>
        <w:t>Мероприятия для достижения  целевого индикатора:</w:t>
      </w:r>
    </w:p>
    <w:p w:rsidR="00F2659C" w:rsidRDefault="00F2659C" w:rsidP="00F2659C">
      <w:pPr>
        <w:spacing w:after="0" w:line="240" w:lineRule="auto"/>
        <w:ind w:firstLine="709"/>
        <w:contextualSpacing/>
        <w:jc w:val="both"/>
        <w:rPr>
          <w:rFonts w:ascii="Times New Roman" w:hAnsi="Times New Roman"/>
          <w:i/>
          <w:color w:val="000000"/>
          <w:sz w:val="24"/>
          <w:szCs w:val="24"/>
        </w:rPr>
      </w:pPr>
      <w:r>
        <w:rPr>
          <w:rFonts w:ascii="Times New Roman" w:hAnsi="Times New Roman"/>
          <w:i/>
          <w:color w:val="000000"/>
          <w:sz w:val="24"/>
          <w:szCs w:val="24"/>
        </w:rPr>
        <w:t>Осуществление инвестиционного управления пенсионными активами ЕНПФ.</w:t>
      </w:r>
    </w:p>
    <w:p w:rsidR="00032932" w:rsidRPr="00032932" w:rsidRDefault="00032932" w:rsidP="00032932">
      <w:pPr>
        <w:spacing w:after="0" w:line="240" w:lineRule="auto"/>
        <w:ind w:firstLine="709"/>
        <w:jc w:val="both"/>
        <w:rPr>
          <w:rFonts w:ascii="Times New Roman" w:hAnsi="Times New Roman" w:cs="Times New Roman"/>
          <w:sz w:val="24"/>
          <w:szCs w:val="24"/>
        </w:rPr>
      </w:pPr>
      <w:r w:rsidRPr="00032932">
        <w:rPr>
          <w:rFonts w:ascii="Times New Roman" w:hAnsi="Times New Roman" w:cs="Times New Roman"/>
          <w:sz w:val="24"/>
          <w:szCs w:val="24"/>
        </w:rPr>
        <w:t>По итогам 2018 года (</w:t>
      </w:r>
      <w:r>
        <w:rPr>
          <w:rFonts w:ascii="Times New Roman" w:hAnsi="Times New Roman" w:cs="Times New Roman"/>
          <w:color w:val="000000"/>
          <w:sz w:val="24"/>
          <w:szCs w:val="24"/>
        </w:rPr>
        <w:t xml:space="preserve">за период с </w:t>
      </w:r>
      <w:r w:rsidRPr="00032932">
        <w:rPr>
          <w:rFonts w:ascii="Times New Roman" w:hAnsi="Times New Roman" w:cs="Times New Roman"/>
          <w:color w:val="000000"/>
          <w:sz w:val="24"/>
          <w:szCs w:val="24"/>
        </w:rPr>
        <w:t xml:space="preserve">1 января по 31 декабря 2018 года) </w:t>
      </w:r>
      <w:r w:rsidRPr="00032932">
        <w:rPr>
          <w:rFonts w:ascii="Times New Roman" w:hAnsi="Times New Roman" w:cs="Times New Roman"/>
          <w:sz w:val="24"/>
          <w:szCs w:val="24"/>
        </w:rPr>
        <w:t>доходность пенсионных активов ЕНПФ, распределенная на счета вкладчиков ЕНПФ, составила 11,27% при годовом уровне инфляции в размере 5,3%. Реальная доходность по пенсионным активам за 2018 год составила 5,97%.</w:t>
      </w:r>
    </w:p>
    <w:p w:rsidR="00032932" w:rsidRPr="00032932" w:rsidRDefault="00032932" w:rsidP="00032932">
      <w:pPr>
        <w:spacing w:after="0" w:line="240" w:lineRule="auto"/>
        <w:ind w:firstLine="709"/>
        <w:jc w:val="both"/>
        <w:rPr>
          <w:rFonts w:ascii="Times New Roman" w:hAnsi="Times New Roman" w:cs="Times New Roman"/>
          <w:sz w:val="24"/>
          <w:szCs w:val="24"/>
        </w:rPr>
      </w:pPr>
      <w:r w:rsidRPr="00032932">
        <w:rPr>
          <w:rFonts w:ascii="Times New Roman" w:hAnsi="Times New Roman" w:cs="Times New Roman"/>
          <w:sz w:val="24"/>
          <w:szCs w:val="24"/>
        </w:rPr>
        <w:t>Таким образом, фактическая доходность пенсионных активов ЕНПФ в 2018 году превысила установленное целевое значение в размере не менее 5% на 6,27%.</w:t>
      </w:r>
    </w:p>
    <w:p w:rsidR="00032932" w:rsidRPr="00032932" w:rsidRDefault="00032932" w:rsidP="00032932">
      <w:pPr>
        <w:shd w:val="clear" w:color="auto" w:fill="FFFFFF" w:themeFill="background1"/>
        <w:spacing w:after="0" w:line="240" w:lineRule="auto"/>
        <w:ind w:firstLine="709"/>
        <w:jc w:val="both"/>
        <w:rPr>
          <w:rFonts w:ascii="Times New Roman" w:hAnsi="Times New Roman" w:cs="Times New Roman"/>
          <w:sz w:val="24"/>
          <w:szCs w:val="24"/>
        </w:rPr>
      </w:pPr>
      <w:r w:rsidRPr="00032932">
        <w:rPr>
          <w:rFonts w:ascii="Times New Roman" w:hAnsi="Times New Roman" w:cs="Times New Roman"/>
          <w:sz w:val="24"/>
          <w:szCs w:val="24"/>
        </w:rPr>
        <w:t>Для достижения целевого индикатора в течение отчетного периода осуществлялась инвестиционная деятельность в отношении пенсионных активов. По состоянию на 1 января 2019 года в рамках направлений, одобренных Советом по управлению Национальным фондом Республики Казахстан на 2018 год, пенсионные активы ЕНПФ проинвестированы следующим образом:</w:t>
      </w:r>
    </w:p>
    <w:p w:rsidR="00032932" w:rsidRPr="00032932" w:rsidRDefault="00032932" w:rsidP="00032932">
      <w:pPr>
        <w:shd w:val="clear" w:color="auto" w:fill="FFFFFF" w:themeFill="background1"/>
        <w:tabs>
          <w:tab w:val="left" w:pos="1134"/>
        </w:tabs>
        <w:spacing w:after="0" w:line="240" w:lineRule="auto"/>
        <w:ind w:firstLine="709"/>
        <w:jc w:val="both"/>
        <w:rPr>
          <w:rFonts w:ascii="Times New Roman" w:hAnsi="Times New Roman" w:cs="Times New Roman"/>
          <w:sz w:val="24"/>
          <w:szCs w:val="24"/>
        </w:rPr>
      </w:pPr>
      <w:r w:rsidRPr="00032932">
        <w:rPr>
          <w:rFonts w:ascii="Times New Roman" w:hAnsi="Times New Roman" w:cs="Times New Roman"/>
          <w:sz w:val="24"/>
          <w:szCs w:val="24"/>
        </w:rPr>
        <w:t>˗</w:t>
      </w:r>
      <w:r w:rsidRPr="00032932">
        <w:rPr>
          <w:rFonts w:ascii="Times New Roman" w:hAnsi="Times New Roman" w:cs="Times New Roman"/>
          <w:sz w:val="24"/>
          <w:szCs w:val="24"/>
        </w:rPr>
        <w:tab/>
        <w:t>приобретены государственные ценные бумаги Республики Казахстан на сумму 361,3 млрд. тенге со средневзвешенной доходностью 8,5% годовых;</w:t>
      </w:r>
    </w:p>
    <w:p w:rsidR="00032932" w:rsidRPr="00032932" w:rsidRDefault="00032932" w:rsidP="00032932">
      <w:pPr>
        <w:pStyle w:val="a6"/>
        <w:numPr>
          <w:ilvl w:val="0"/>
          <w:numId w:val="46"/>
        </w:numPr>
        <w:shd w:val="clear" w:color="auto" w:fill="FFFFFF" w:themeFill="background1"/>
        <w:tabs>
          <w:tab w:val="left" w:pos="1134"/>
        </w:tabs>
        <w:spacing w:after="0" w:line="240" w:lineRule="auto"/>
        <w:ind w:left="0" w:firstLine="709"/>
        <w:jc w:val="both"/>
        <w:rPr>
          <w:rFonts w:ascii="Times New Roman" w:hAnsi="Times New Roman" w:cs="Times New Roman"/>
          <w:sz w:val="24"/>
          <w:szCs w:val="24"/>
        </w:rPr>
      </w:pPr>
      <w:r w:rsidRPr="00032932">
        <w:rPr>
          <w:rFonts w:ascii="Times New Roman" w:hAnsi="Times New Roman" w:cs="Times New Roman"/>
          <w:sz w:val="24"/>
          <w:szCs w:val="24"/>
        </w:rPr>
        <w:t>приобретена иностранная валюта в целях диверсификации портфеля пенсионных активов ЕНПФ на сумму 397,3 млрд. тенге (нетто покупки);</w:t>
      </w:r>
    </w:p>
    <w:p w:rsidR="00032932" w:rsidRPr="00032932" w:rsidRDefault="00032932" w:rsidP="00032932">
      <w:pPr>
        <w:pStyle w:val="a6"/>
        <w:numPr>
          <w:ilvl w:val="0"/>
          <w:numId w:val="46"/>
        </w:numPr>
        <w:shd w:val="clear" w:color="auto" w:fill="FFFFFF" w:themeFill="background1"/>
        <w:tabs>
          <w:tab w:val="left" w:pos="1134"/>
        </w:tabs>
        <w:spacing w:after="0" w:line="240" w:lineRule="auto"/>
        <w:ind w:left="0" w:firstLine="709"/>
        <w:jc w:val="both"/>
        <w:rPr>
          <w:rFonts w:ascii="Times New Roman" w:hAnsi="Times New Roman" w:cs="Times New Roman"/>
          <w:sz w:val="24"/>
          <w:szCs w:val="24"/>
        </w:rPr>
      </w:pPr>
      <w:r w:rsidRPr="00032932">
        <w:rPr>
          <w:rFonts w:ascii="Times New Roman" w:hAnsi="Times New Roman" w:cs="Times New Roman"/>
          <w:sz w:val="24"/>
          <w:szCs w:val="24"/>
        </w:rPr>
        <w:t>приобретены долговые ценные бумаги субъектов квазигосударственного сектора на сумму 595,6 млрд. тенге со средневзвешенной доходностью 10,0% годовых;</w:t>
      </w:r>
    </w:p>
    <w:p w:rsidR="00032932" w:rsidRPr="00032932" w:rsidRDefault="00032932" w:rsidP="00032932">
      <w:pPr>
        <w:shd w:val="clear" w:color="auto" w:fill="FFFFFF" w:themeFill="background1"/>
        <w:tabs>
          <w:tab w:val="left" w:pos="1134"/>
        </w:tabs>
        <w:spacing w:after="0" w:line="240" w:lineRule="auto"/>
        <w:ind w:firstLine="709"/>
        <w:jc w:val="both"/>
        <w:rPr>
          <w:rFonts w:ascii="Times New Roman" w:hAnsi="Times New Roman" w:cs="Times New Roman"/>
          <w:sz w:val="24"/>
          <w:szCs w:val="24"/>
        </w:rPr>
      </w:pPr>
      <w:r w:rsidRPr="00032932">
        <w:rPr>
          <w:rFonts w:ascii="Times New Roman" w:hAnsi="Times New Roman" w:cs="Times New Roman"/>
          <w:sz w:val="24"/>
          <w:szCs w:val="24"/>
        </w:rPr>
        <w:lastRenderedPageBreak/>
        <w:t>˗</w:t>
      </w:r>
      <w:r w:rsidRPr="00032932">
        <w:rPr>
          <w:rFonts w:ascii="Times New Roman" w:hAnsi="Times New Roman" w:cs="Times New Roman"/>
          <w:sz w:val="24"/>
          <w:szCs w:val="24"/>
        </w:rPr>
        <w:tab/>
        <w:t>приобретены облигации международной финансовой организации на сумму 22,5 млрд. тенге со средневзвешенной доходностью 9,3% годовых;</w:t>
      </w:r>
    </w:p>
    <w:p w:rsidR="00032932" w:rsidRPr="00032932" w:rsidRDefault="00032932" w:rsidP="00032932">
      <w:pPr>
        <w:shd w:val="clear" w:color="auto" w:fill="FFFFFF" w:themeFill="background1"/>
        <w:tabs>
          <w:tab w:val="left" w:pos="1134"/>
        </w:tabs>
        <w:spacing w:after="0" w:line="240" w:lineRule="auto"/>
        <w:ind w:firstLine="709"/>
        <w:jc w:val="both"/>
        <w:rPr>
          <w:rFonts w:ascii="Times New Roman" w:hAnsi="Times New Roman" w:cs="Times New Roman"/>
          <w:sz w:val="24"/>
          <w:szCs w:val="24"/>
        </w:rPr>
      </w:pPr>
      <w:r w:rsidRPr="00032932">
        <w:rPr>
          <w:rFonts w:ascii="Times New Roman" w:hAnsi="Times New Roman" w:cs="Times New Roman"/>
          <w:sz w:val="24"/>
          <w:szCs w:val="24"/>
        </w:rPr>
        <w:t>˗</w:t>
      </w:r>
      <w:r w:rsidRPr="00032932">
        <w:rPr>
          <w:rFonts w:ascii="Times New Roman" w:hAnsi="Times New Roman" w:cs="Times New Roman"/>
          <w:sz w:val="24"/>
          <w:szCs w:val="24"/>
        </w:rPr>
        <w:tab/>
        <w:t>приобретены облигации банков второго уровня на сумму 88,2 млрд. тенге со средневзвешенной доходностью 12% годовых в рамках объявленной облигационной программы на сумму 200 млрд. тенге и обеспечения долгосрочной тенговой ликвидности на сумму 600 млрд. тенге;</w:t>
      </w:r>
    </w:p>
    <w:p w:rsidR="00032932" w:rsidRPr="00032932" w:rsidRDefault="00032932" w:rsidP="00032932">
      <w:pPr>
        <w:shd w:val="clear" w:color="auto" w:fill="FFFFFF" w:themeFill="background1"/>
        <w:tabs>
          <w:tab w:val="left" w:pos="1134"/>
        </w:tabs>
        <w:spacing w:after="0" w:line="240" w:lineRule="auto"/>
        <w:ind w:firstLine="709"/>
        <w:jc w:val="both"/>
        <w:rPr>
          <w:rFonts w:ascii="Times New Roman" w:hAnsi="Times New Roman" w:cs="Times New Roman"/>
          <w:sz w:val="24"/>
          <w:szCs w:val="24"/>
        </w:rPr>
      </w:pPr>
      <w:r w:rsidRPr="00032932">
        <w:rPr>
          <w:rFonts w:ascii="Times New Roman" w:hAnsi="Times New Roman" w:cs="Times New Roman"/>
          <w:sz w:val="24"/>
          <w:szCs w:val="24"/>
        </w:rPr>
        <w:t>Национальный Банк в качестве доверительного управляющего пенсионными активами ЕНПФ принял участие в первичном размещении (IPO) акций АО «НАК «Казатомпром» на Лондонской фондовой бирже. В портфель пенсионных активов ЕНПФ были приобретены глобальные депозитарные расписки АО «НАК «Казатомпром» на сумму 150 млн. долларов США. При этом в рамках проведенного IPO общий объем размещения составил 451 млн. долларов США, из которых 237 млн. долларов США приобретены иностранными инвесторами.</w:t>
      </w:r>
    </w:p>
    <w:p w:rsidR="00032932" w:rsidRPr="00032932" w:rsidRDefault="00032932" w:rsidP="00032932">
      <w:pPr>
        <w:shd w:val="clear" w:color="auto" w:fill="FFFFFF" w:themeFill="background1"/>
        <w:spacing w:after="0" w:line="240" w:lineRule="auto"/>
        <w:ind w:firstLine="709"/>
        <w:jc w:val="both"/>
        <w:rPr>
          <w:rFonts w:ascii="Times New Roman" w:hAnsi="Times New Roman" w:cs="Times New Roman"/>
          <w:sz w:val="24"/>
          <w:szCs w:val="24"/>
        </w:rPr>
      </w:pPr>
      <w:r w:rsidRPr="00032932">
        <w:rPr>
          <w:rFonts w:ascii="Times New Roman" w:hAnsi="Times New Roman" w:cs="Times New Roman"/>
          <w:sz w:val="24"/>
          <w:szCs w:val="24"/>
        </w:rPr>
        <w:t>Инвестирование пенсионных активов в облигации эмитентов развивающихся стран осуществляется только в государственные ценные бумаги и облигации квазигосударственных компаний (со 100% участием государства), номинированные в долларах США. Данные инвестиции осуществляются в соответствии с Инвестиционной декларацией ЕНПФ, утвержденной Правлением Национального Банка. Новое целевое распределение валютного портфеля пенсионных активов ЕНПФ было включено в Инвестиционную декларацию ЕНПФ в августе 2017 года.</w:t>
      </w:r>
    </w:p>
    <w:p w:rsidR="00032932" w:rsidRPr="00032932" w:rsidRDefault="00032932" w:rsidP="00032932">
      <w:pPr>
        <w:shd w:val="clear" w:color="auto" w:fill="FFFFFF" w:themeFill="background1"/>
        <w:spacing w:after="0" w:line="240" w:lineRule="auto"/>
        <w:ind w:firstLine="709"/>
        <w:jc w:val="both"/>
        <w:rPr>
          <w:rFonts w:ascii="Times New Roman" w:hAnsi="Times New Roman" w:cs="Times New Roman"/>
          <w:sz w:val="24"/>
          <w:szCs w:val="24"/>
        </w:rPr>
      </w:pPr>
      <w:r w:rsidRPr="00032932">
        <w:rPr>
          <w:rFonts w:ascii="Times New Roman" w:hAnsi="Times New Roman" w:cs="Times New Roman"/>
          <w:sz w:val="24"/>
          <w:szCs w:val="24"/>
        </w:rPr>
        <w:t>С ноября 2017 года начато инвестирование в ценные бумаги эмитентов развивающихся стран. На сегодняшний день в портфель пенсионных активов ЕНПФ приобретены государственные ценные бумаги Правительства Бразилии, Мексики, Чили, Перу, Польши, Индонезии, Филиппин и России, а также облигации компаний квазигосударственного сектора Китая, Индии, Мексики, Индонезии и Чили.</w:t>
      </w:r>
    </w:p>
    <w:p w:rsidR="00032932" w:rsidRPr="00032932" w:rsidRDefault="00032932" w:rsidP="00032932">
      <w:pPr>
        <w:shd w:val="clear" w:color="auto" w:fill="FFFFFF" w:themeFill="background1"/>
        <w:spacing w:after="0" w:line="240" w:lineRule="auto"/>
        <w:ind w:firstLine="709"/>
        <w:jc w:val="both"/>
        <w:rPr>
          <w:rFonts w:ascii="Times New Roman" w:hAnsi="Times New Roman" w:cs="Times New Roman"/>
          <w:sz w:val="24"/>
          <w:szCs w:val="24"/>
        </w:rPr>
      </w:pPr>
      <w:r w:rsidRPr="00032932">
        <w:rPr>
          <w:rFonts w:ascii="Times New Roman" w:hAnsi="Times New Roman" w:cs="Times New Roman"/>
          <w:sz w:val="24"/>
          <w:szCs w:val="24"/>
        </w:rPr>
        <w:t>Объем инвестиций по указанному направлению составляет порядка 1,44 млрд. долларов США со средневзвешенной доходностью 4,42% годовых.</w:t>
      </w:r>
    </w:p>
    <w:p w:rsidR="00032932" w:rsidRPr="00032932" w:rsidRDefault="00032932" w:rsidP="00032932">
      <w:pPr>
        <w:spacing w:after="0" w:line="240" w:lineRule="auto"/>
        <w:ind w:firstLine="709"/>
        <w:contextualSpacing/>
        <w:jc w:val="both"/>
        <w:rPr>
          <w:rFonts w:ascii="Times New Roman" w:hAnsi="Times New Roman" w:cs="Times New Roman"/>
          <w:b/>
          <w:i/>
          <w:color w:val="000000"/>
          <w:sz w:val="24"/>
          <w:szCs w:val="24"/>
        </w:rPr>
      </w:pPr>
      <w:r w:rsidRPr="00032932">
        <w:rPr>
          <w:rFonts w:ascii="Times New Roman" w:hAnsi="Times New Roman" w:cs="Times New Roman"/>
          <w:sz w:val="24"/>
          <w:szCs w:val="24"/>
        </w:rPr>
        <w:t>Наряду с этим, для получения и поддержания доходности по пенсионным активам ЕНПФ имеющиеся свободные денежные остатки по пенсионным активам ежедневно инвестировались в инструменты денежного рынка.</w:t>
      </w:r>
    </w:p>
    <w:p w:rsidR="00F2659C" w:rsidRPr="00C04287" w:rsidRDefault="00F2659C" w:rsidP="00F2659C">
      <w:pPr>
        <w:spacing w:after="0" w:line="240" w:lineRule="auto"/>
        <w:ind w:firstLine="709"/>
        <w:contextualSpacing/>
        <w:jc w:val="both"/>
        <w:rPr>
          <w:rFonts w:ascii="Times New Roman" w:hAnsi="Times New Roman"/>
          <w:i/>
          <w:color w:val="000000"/>
          <w:sz w:val="24"/>
          <w:szCs w:val="24"/>
        </w:rPr>
      </w:pPr>
    </w:p>
    <w:p w:rsidR="00F2659C" w:rsidRPr="00E82016" w:rsidRDefault="00F2659C" w:rsidP="00F2659C">
      <w:pPr>
        <w:spacing w:after="0" w:line="240" w:lineRule="auto"/>
        <w:ind w:firstLine="709"/>
        <w:contextualSpacing/>
        <w:jc w:val="both"/>
        <w:rPr>
          <w:rFonts w:ascii="Times New Roman" w:hAnsi="Times New Roman"/>
          <w:b/>
          <w:i/>
          <w:color w:val="000000"/>
          <w:sz w:val="24"/>
          <w:szCs w:val="24"/>
        </w:rPr>
      </w:pPr>
      <w:r w:rsidRPr="00E82016">
        <w:rPr>
          <w:rFonts w:ascii="Times New Roman" w:hAnsi="Times New Roman"/>
          <w:b/>
          <w:i/>
          <w:color w:val="000000"/>
          <w:sz w:val="24"/>
          <w:szCs w:val="24"/>
        </w:rPr>
        <w:t>Цель 2.</w:t>
      </w:r>
      <w:r>
        <w:rPr>
          <w:rFonts w:ascii="Times New Roman" w:hAnsi="Times New Roman"/>
          <w:b/>
          <w:i/>
          <w:color w:val="000000"/>
          <w:sz w:val="24"/>
          <w:szCs w:val="24"/>
        </w:rPr>
        <w:t>5</w:t>
      </w:r>
      <w:r w:rsidRPr="00E82016">
        <w:rPr>
          <w:rFonts w:ascii="Times New Roman" w:hAnsi="Times New Roman"/>
          <w:b/>
          <w:i/>
          <w:color w:val="000000"/>
          <w:sz w:val="24"/>
          <w:szCs w:val="24"/>
        </w:rPr>
        <w:t>.</w:t>
      </w:r>
      <w:r w:rsidRPr="00E82016">
        <w:rPr>
          <w:rFonts w:ascii="Times New Roman" w:hAnsi="Times New Roman"/>
          <w:i/>
          <w:color w:val="000000"/>
          <w:sz w:val="24"/>
          <w:szCs w:val="24"/>
        </w:rPr>
        <w:t xml:space="preserve"> </w:t>
      </w:r>
      <w:r>
        <w:rPr>
          <w:rFonts w:ascii="Times New Roman" w:hAnsi="Times New Roman"/>
          <w:b/>
          <w:i/>
          <w:color w:val="000000"/>
          <w:sz w:val="24"/>
          <w:szCs w:val="24"/>
        </w:rPr>
        <w:t>Обеспечение</w:t>
      </w:r>
      <w:r w:rsidRPr="00E82016">
        <w:rPr>
          <w:rFonts w:ascii="Times New Roman" w:hAnsi="Times New Roman"/>
          <w:b/>
          <w:i/>
          <w:color w:val="000000"/>
          <w:sz w:val="24"/>
          <w:szCs w:val="24"/>
        </w:rPr>
        <w:t xml:space="preserve"> эффективного валютного регулирования и валютного контроля</w:t>
      </w:r>
    </w:p>
    <w:p w:rsidR="00F2659C" w:rsidRDefault="00F2659C" w:rsidP="00F2659C">
      <w:pPr>
        <w:spacing w:after="0" w:line="240" w:lineRule="auto"/>
        <w:ind w:firstLine="709"/>
        <w:contextualSpacing/>
        <w:jc w:val="both"/>
        <w:rPr>
          <w:rFonts w:ascii="Times New Roman" w:hAnsi="Times New Roman"/>
          <w:b/>
          <w:i/>
          <w:sz w:val="24"/>
          <w:szCs w:val="24"/>
        </w:rPr>
      </w:pPr>
    </w:p>
    <w:p w:rsidR="00F2659C" w:rsidRPr="00E82016" w:rsidRDefault="00F2659C" w:rsidP="00F2659C">
      <w:pPr>
        <w:spacing w:after="0" w:line="240" w:lineRule="auto"/>
        <w:ind w:firstLine="709"/>
        <w:contextualSpacing/>
        <w:jc w:val="both"/>
        <w:rPr>
          <w:rFonts w:ascii="Times New Roman" w:hAnsi="Times New Roman"/>
          <w:i/>
          <w:sz w:val="24"/>
          <w:szCs w:val="24"/>
          <w:lang w:val="kk-KZ"/>
        </w:rPr>
      </w:pPr>
      <w:r w:rsidRPr="00E82016">
        <w:rPr>
          <w:rFonts w:ascii="Times New Roman" w:hAnsi="Times New Roman"/>
          <w:b/>
          <w:i/>
          <w:sz w:val="24"/>
          <w:szCs w:val="24"/>
        </w:rPr>
        <w:t>Целевой индикатор 1:</w:t>
      </w:r>
      <w:r w:rsidRPr="00E82016">
        <w:rPr>
          <w:rFonts w:ascii="Times New Roman" w:hAnsi="Times New Roman"/>
          <w:i/>
          <w:sz w:val="24"/>
          <w:szCs w:val="24"/>
        </w:rPr>
        <w:t xml:space="preserve"> </w:t>
      </w:r>
      <w:r w:rsidRPr="00E82016">
        <w:rPr>
          <w:rFonts w:ascii="Times New Roman" w:hAnsi="Times New Roman"/>
          <w:b/>
          <w:i/>
          <w:sz w:val="24"/>
          <w:szCs w:val="24"/>
          <w:lang w:val="kk-KZ"/>
        </w:rPr>
        <w:t xml:space="preserve">Пороговое значение в отношении суммы внешнеторгового контракта, при превышении которого такой контракт попадает под требование учетной регистрации </w:t>
      </w:r>
      <w:r w:rsidRPr="00E82016">
        <w:rPr>
          <w:rFonts w:ascii="Times New Roman" w:hAnsi="Times New Roman"/>
          <w:i/>
          <w:sz w:val="24"/>
          <w:szCs w:val="24"/>
          <w:lang w:val="kk-KZ"/>
        </w:rPr>
        <w:t>(</w:t>
      </w:r>
      <w:r>
        <w:rPr>
          <w:rFonts w:ascii="Times New Roman" w:hAnsi="Times New Roman"/>
          <w:i/>
          <w:sz w:val="24"/>
          <w:szCs w:val="24"/>
          <w:lang w:val="kk-KZ"/>
        </w:rPr>
        <w:t>50</w:t>
      </w:r>
      <w:r w:rsidRPr="00E82016">
        <w:rPr>
          <w:rFonts w:ascii="Times New Roman" w:hAnsi="Times New Roman"/>
          <w:i/>
          <w:sz w:val="24"/>
          <w:szCs w:val="24"/>
          <w:lang w:val="kk-KZ"/>
        </w:rPr>
        <w:t xml:space="preserve"> тыс.долл.США)</w:t>
      </w:r>
    </w:p>
    <w:p w:rsidR="00F2659C" w:rsidRPr="00E82016" w:rsidRDefault="00F2659C" w:rsidP="00F2659C">
      <w:pPr>
        <w:spacing w:after="0" w:line="240" w:lineRule="auto"/>
        <w:ind w:firstLine="709"/>
        <w:contextualSpacing/>
        <w:jc w:val="both"/>
        <w:rPr>
          <w:rFonts w:ascii="Times New Roman" w:hAnsi="Times New Roman"/>
          <w:b/>
          <w:i/>
          <w:sz w:val="24"/>
        </w:rPr>
      </w:pPr>
      <w:r w:rsidRPr="00E82016">
        <w:rPr>
          <w:rFonts w:ascii="Times New Roman" w:hAnsi="Times New Roman"/>
          <w:b/>
          <w:bCs/>
          <w:i/>
          <w:iCs/>
          <w:sz w:val="24"/>
        </w:rPr>
        <w:t>Мероприятия для достижения  целевого индикатора:</w:t>
      </w:r>
    </w:p>
    <w:p w:rsidR="004971BA" w:rsidRPr="004971BA" w:rsidRDefault="004971BA" w:rsidP="004971BA">
      <w:pPr>
        <w:spacing w:after="0" w:line="240" w:lineRule="auto"/>
        <w:ind w:firstLine="709"/>
        <w:contextualSpacing/>
        <w:jc w:val="both"/>
        <w:rPr>
          <w:rFonts w:ascii="Times New Roman" w:eastAsia="Calibri" w:hAnsi="Times New Roman"/>
          <w:i/>
          <w:sz w:val="24"/>
          <w:szCs w:val="24"/>
        </w:rPr>
      </w:pPr>
      <w:r w:rsidRPr="004971BA">
        <w:rPr>
          <w:rFonts w:ascii="Times New Roman" w:eastAsia="Calibri" w:hAnsi="Times New Roman"/>
          <w:i/>
          <w:sz w:val="24"/>
          <w:szCs w:val="24"/>
        </w:rPr>
        <w:t>Совершенствование регулирования порядка обращения валютных ценностей.</w:t>
      </w:r>
    </w:p>
    <w:p w:rsidR="004971BA" w:rsidRPr="006427D3" w:rsidRDefault="004971BA" w:rsidP="004971BA">
      <w:pPr>
        <w:spacing w:after="0" w:line="240" w:lineRule="auto"/>
        <w:ind w:firstLine="709"/>
        <w:contextualSpacing/>
        <w:jc w:val="both"/>
        <w:rPr>
          <w:rFonts w:ascii="Times New Roman" w:eastAsia="Calibri" w:hAnsi="Times New Roman"/>
          <w:sz w:val="24"/>
          <w:szCs w:val="24"/>
        </w:rPr>
      </w:pPr>
      <w:r w:rsidRPr="006427D3">
        <w:rPr>
          <w:rFonts w:ascii="Times New Roman" w:eastAsia="Calibri" w:hAnsi="Times New Roman"/>
          <w:sz w:val="24"/>
          <w:szCs w:val="24"/>
        </w:rPr>
        <w:t>Проведены работы в направлении совершенствования регулирования порядк</w:t>
      </w:r>
      <w:r w:rsidR="00271E80">
        <w:rPr>
          <w:rFonts w:ascii="Times New Roman" w:eastAsia="Calibri" w:hAnsi="Times New Roman"/>
          <w:sz w:val="24"/>
          <w:szCs w:val="24"/>
        </w:rPr>
        <w:t>а обращения валютных ценностей, в</w:t>
      </w:r>
      <w:r w:rsidRPr="006427D3">
        <w:rPr>
          <w:rFonts w:ascii="Times New Roman" w:eastAsia="Calibri" w:hAnsi="Times New Roman"/>
          <w:sz w:val="24"/>
          <w:szCs w:val="24"/>
        </w:rPr>
        <w:t xml:space="preserve"> частности: </w:t>
      </w:r>
    </w:p>
    <w:p w:rsidR="004971BA" w:rsidRPr="006427D3" w:rsidRDefault="004971BA" w:rsidP="004971BA">
      <w:pPr>
        <w:spacing w:after="0" w:line="240" w:lineRule="auto"/>
        <w:ind w:firstLine="709"/>
        <w:contextualSpacing/>
        <w:jc w:val="both"/>
        <w:rPr>
          <w:rFonts w:ascii="Times New Roman" w:eastAsia="Calibri" w:hAnsi="Times New Roman"/>
          <w:sz w:val="24"/>
          <w:szCs w:val="24"/>
        </w:rPr>
      </w:pPr>
      <w:r w:rsidRPr="006427D3">
        <w:rPr>
          <w:rFonts w:ascii="Times New Roman" w:eastAsia="Calibri" w:hAnsi="Times New Roman"/>
          <w:sz w:val="24"/>
          <w:szCs w:val="24"/>
        </w:rPr>
        <w:t>1) 2 июля 2018 года приняты Законы «О валютном регулировании и валютном контроле» №167-VI и «О внесении изменений и дополнений в некоторые законодательные акты Республики Казахстан по вопросам валютного регулирования и валютного контроля, риск-ориентированного надзора за деятельностью финансовых организаций, защиты прав потребителей финансовых услуг и совершенствования деятельности Национального Банка Республики Казахстан» №168-VI;</w:t>
      </w:r>
    </w:p>
    <w:p w:rsidR="004971BA" w:rsidRPr="006427D3" w:rsidRDefault="004971BA" w:rsidP="004971BA">
      <w:pPr>
        <w:spacing w:after="0" w:line="240" w:lineRule="auto"/>
        <w:ind w:firstLine="709"/>
        <w:contextualSpacing/>
        <w:jc w:val="both"/>
        <w:rPr>
          <w:rFonts w:ascii="Times New Roman" w:eastAsia="Calibri" w:hAnsi="Times New Roman"/>
          <w:sz w:val="24"/>
          <w:szCs w:val="24"/>
        </w:rPr>
      </w:pPr>
      <w:r w:rsidRPr="006427D3">
        <w:rPr>
          <w:rFonts w:ascii="Times New Roman" w:eastAsia="Calibri" w:hAnsi="Times New Roman"/>
          <w:sz w:val="24"/>
          <w:szCs w:val="24"/>
        </w:rPr>
        <w:t xml:space="preserve">2) принято постановление Правления Национального Банка </w:t>
      </w:r>
      <w:r>
        <w:rPr>
          <w:rFonts w:ascii="Times New Roman" w:eastAsia="Calibri" w:hAnsi="Times New Roman"/>
          <w:sz w:val="24"/>
          <w:szCs w:val="24"/>
        </w:rPr>
        <w:t xml:space="preserve">от </w:t>
      </w:r>
      <w:r w:rsidRPr="006427D3">
        <w:rPr>
          <w:rFonts w:ascii="Times New Roman" w:eastAsia="Calibri" w:hAnsi="Times New Roman"/>
          <w:sz w:val="24"/>
          <w:szCs w:val="24"/>
        </w:rPr>
        <w:t>27 августа 2018 года</w:t>
      </w:r>
      <w:r>
        <w:rPr>
          <w:rFonts w:ascii="Times New Roman" w:eastAsia="Calibri" w:hAnsi="Times New Roman"/>
          <w:sz w:val="24"/>
          <w:szCs w:val="24"/>
        </w:rPr>
        <w:t xml:space="preserve"> </w:t>
      </w:r>
      <w:r w:rsidRPr="006427D3">
        <w:rPr>
          <w:rFonts w:ascii="Times New Roman" w:eastAsia="Calibri" w:hAnsi="Times New Roman"/>
          <w:sz w:val="24"/>
          <w:szCs w:val="24"/>
        </w:rPr>
        <w:t>№183  «О внесении изменений и дополнений в постановление Правления Национального Банка Республики Казахстан от 16 июля 2014 года № 144 «Об утверждении Правил организации обменных операций с наличной иностранной валютой в Республике Казахстан»;</w:t>
      </w:r>
    </w:p>
    <w:p w:rsidR="004971BA" w:rsidRPr="006427D3" w:rsidRDefault="004971BA" w:rsidP="004971BA">
      <w:pPr>
        <w:spacing w:after="0" w:line="240" w:lineRule="auto"/>
        <w:ind w:firstLine="709"/>
        <w:contextualSpacing/>
        <w:jc w:val="both"/>
        <w:rPr>
          <w:rFonts w:ascii="Times New Roman" w:eastAsia="Calibri" w:hAnsi="Times New Roman"/>
          <w:sz w:val="24"/>
          <w:szCs w:val="24"/>
        </w:rPr>
      </w:pPr>
      <w:r w:rsidRPr="006427D3">
        <w:rPr>
          <w:rFonts w:ascii="Times New Roman" w:eastAsia="Calibri" w:hAnsi="Times New Roman"/>
          <w:sz w:val="24"/>
          <w:szCs w:val="24"/>
        </w:rPr>
        <w:t xml:space="preserve">3) принято постановление Правления Национального Банка </w:t>
      </w:r>
      <w:r>
        <w:rPr>
          <w:rFonts w:ascii="Times New Roman" w:eastAsia="Calibri" w:hAnsi="Times New Roman"/>
          <w:sz w:val="24"/>
          <w:szCs w:val="24"/>
        </w:rPr>
        <w:t xml:space="preserve">от </w:t>
      </w:r>
      <w:r w:rsidRPr="006427D3">
        <w:rPr>
          <w:rFonts w:ascii="Times New Roman" w:eastAsia="Calibri" w:hAnsi="Times New Roman"/>
          <w:sz w:val="24"/>
          <w:szCs w:val="24"/>
        </w:rPr>
        <w:t>29 ноября 2018 года №295 «О внесении изменений в некоторые постановления Правления Национального Банка Республики Казахстан по вопросам валютного регулирования и валютного контроля;</w:t>
      </w:r>
    </w:p>
    <w:p w:rsidR="004971BA" w:rsidRPr="006427D3" w:rsidRDefault="004971BA" w:rsidP="004971BA">
      <w:pPr>
        <w:spacing w:after="0" w:line="240" w:lineRule="auto"/>
        <w:ind w:firstLine="709"/>
        <w:contextualSpacing/>
        <w:jc w:val="both"/>
        <w:rPr>
          <w:rFonts w:ascii="Times New Roman" w:eastAsia="Calibri" w:hAnsi="Times New Roman"/>
          <w:sz w:val="24"/>
          <w:szCs w:val="24"/>
        </w:rPr>
      </w:pPr>
      <w:r w:rsidRPr="006427D3">
        <w:rPr>
          <w:rFonts w:ascii="Times New Roman" w:eastAsia="Calibri" w:hAnsi="Times New Roman"/>
          <w:sz w:val="24"/>
          <w:szCs w:val="24"/>
        </w:rPr>
        <w:t xml:space="preserve">4) принято постановление Правления Национального Банка </w:t>
      </w:r>
      <w:r>
        <w:rPr>
          <w:rFonts w:ascii="Times New Roman" w:eastAsia="Calibri" w:hAnsi="Times New Roman"/>
          <w:sz w:val="24"/>
          <w:szCs w:val="24"/>
        </w:rPr>
        <w:t xml:space="preserve">от </w:t>
      </w:r>
      <w:r w:rsidRPr="006427D3">
        <w:rPr>
          <w:rFonts w:ascii="Times New Roman" w:eastAsia="Calibri" w:hAnsi="Times New Roman"/>
          <w:sz w:val="24"/>
          <w:szCs w:val="24"/>
        </w:rPr>
        <w:t xml:space="preserve">29 ноября 2018 года №296 «О внесении изменения в постановление Правления Национального Банка Республики Казахстан от 31 декабря 2014 года № 265 «О внесении изменений в постановление Правления </w:t>
      </w:r>
      <w:r w:rsidRPr="006427D3">
        <w:rPr>
          <w:rFonts w:ascii="Times New Roman" w:eastAsia="Calibri" w:hAnsi="Times New Roman"/>
          <w:sz w:val="24"/>
          <w:szCs w:val="24"/>
        </w:rPr>
        <w:lastRenderedPageBreak/>
        <w:t>Национального Банка Республики Казахстан от 24 августа 2009 года № 78 «Об утверждении Правил установления пределов отклонения курса покупки от курса продажи иностранной валюты за тенге по операциям, проводимым через обменные пункты» и установлении пределов отклонения курса покупки от курса продажи долларов США и евро за тенге по операциям, проводимым через обменные пункты».</w:t>
      </w:r>
    </w:p>
    <w:p w:rsidR="00F2659C" w:rsidRPr="00E82016" w:rsidRDefault="00F2659C" w:rsidP="00F2659C">
      <w:pPr>
        <w:spacing w:after="0" w:line="240" w:lineRule="auto"/>
        <w:ind w:firstLine="709"/>
        <w:contextualSpacing/>
        <w:jc w:val="both"/>
        <w:rPr>
          <w:rFonts w:ascii="Times New Roman" w:hAnsi="Times New Roman"/>
          <w:b/>
          <w:i/>
          <w:sz w:val="24"/>
          <w:szCs w:val="24"/>
        </w:rPr>
      </w:pPr>
    </w:p>
    <w:p w:rsidR="00F2659C" w:rsidRPr="00E82016" w:rsidRDefault="00F2659C" w:rsidP="00F2659C">
      <w:pPr>
        <w:spacing w:after="0" w:line="240" w:lineRule="auto"/>
        <w:ind w:firstLine="709"/>
        <w:contextualSpacing/>
        <w:jc w:val="both"/>
        <w:rPr>
          <w:rFonts w:ascii="Times New Roman" w:hAnsi="Times New Roman"/>
          <w:i/>
          <w:sz w:val="24"/>
          <w:szCs w:val="24"/>
        </w:rPr>
      </w:pPr>
      <w:r w:rsidRPr="00E82016">
        <w:rPr>
          <w:rFonts w:ascii="Times New Roman" w:hAnsi="Times New Roman"/>
          <w:b/>
          <w:i/>
          <w:sz w:val="24"/>
          <w:szCs w:val="24"/>
        </w:rPr>
        <w:t>Целевой индикатор 2:</w:t>
      </w:r>
      <w:r w:rsidRPr="00E82016">
        <w:rPr>
          <w:rFonts w:ascii="Times New Roman" w:hAnsi="Times New Roman"/>
          <w:i/>
          <w:sz w:val="24"/>
          <w:szCs w:val="24"/>
        </w:rPr>
        <w:t xml:space="preserve"> </w:t>
      </w:r>
      <w:r w:rsidRPr="00E82016">
        <w:rPr>
          <w:rFonts w:ascii="Times New Roman" w:hAnsi="Times New Roman"/>
          <w:b/>
          <w:i/>
          <w:sz w:val="24"/>
          <w:szCs w:val="24"/>
          <w:lang w:val="kk-KZ"/>
        </w:rPr>
        <w:t xml:space="preserve">Количество юридических лиц, исключительным видом деятельности которых является организация обменных операций с наличной иностранной валютой, охваченных проверками на основе системы оценки степени рисков </w:t>
      </w:r>
      <w:r w:rsidRPr="00E82016">
        <w:rPr>
          <w:rFonts w:ascii="Times New Roman" w:hAnsi="Times New Roman"/>
          <w:i/>
          <w:sz w:val="24"/>
          <w:szCs w:val="24"/>
          <w:lang w:val="kk-KZ"/>
        </w:rPr>
        <w:t>(не более 60%)</w:t>
      </w:r>
    </w:p>
    <w:p w:rsidR="00F2659C" w:rsidRPr="00E82016" w:rsidRDefault="00F2659C" w:rsidP="00F2659C">
      <w:pPr>
        <w:spacing w:after="0" w:line="240" w:lineRule="auto"/>
        <w:ind w:firstLine="709"/>
        <w:contextualSpacing/>
        <w:jc w:val="both"/>
        <w:rPr>
          <w:rFonts w:ascii="Times New Roman" w:hAnsi="Times New Roman"/>
          <w:b/>
          <w:i/>
          <w:sz w:val="24"/>
        </w:rPr>
      </w:pPr>
      <w:r w:rsidRPr="00E82016">
        <w:rPr>
          <w:rFonts w:ascii="Times New Roman" w:hAnsi="Times New Roman"/>
          <w:b/>
          <w:bCs/>
          <w:i/>
          <w:iCs/>
          <w:sz w:val="24"/>
        </w:rPr>
        <w:t>Мероприятия для достижения  целевого индикатора:</w:t>
      </w:r>
    </w:p>
    <w:p w:rsidR="00F2659C" w:rsidRDefault="00F2659C" w:rsidP="00F2659C">
      <w:pPr>
        <w:spacing w:after="0" w:line="240" w:lineRule="auto"/>
        <w:ind w:firstLine="709"/>
        <w:contextualSpacing/>
        <w:jc w:val="both"/>
        <w:rPr>
          <w:rFonts w:ascii="Times New Roman" w:hAnsi="Times New Roman"/>
          <w:i/>
          <w:sz w:val="24"/>
          <w:szCs w:val="24"/>
        </w:rPr>
      </w:pPr>
      <w:r>
        <w:rPr>
          <w:rFonts w:ascii="Times New Roman" w:hAnsi="Times New Roman"/>
          <w:i/>
          <w:sz w:val="24"/>
          <w:szCs w:val="24"/>
        </w:rPr>
        <w:t>Организация проверок (определение перечня проверяемых лиц на основе оценки степени риска, проведение оформление актов по результатам проверок) юридических лиц, исключительным видом деятельности которых является организация обменных операций с наличной иностранной валютой.</w:t>
      </w:r>
    </w:p>
    <w:p w:rsidR="009E19F7" w:rsidRPr="006427D3" w:rsidRDefault="009E19F7" w:rsidP="009E19F7">
      <w:pPr>
        <w:spacing w:after="0" w:line="240" w:lineRule="auto"/>
        <w:ind w:firstLine="709"/>
        <w:jc w:val="both"/>
        <w:rPr>
          <w:rFonts w:ascii="Times New Roman" w:hAnsi="Times New Roman"/>
          <w:color w:val="000000"/>
          <w:sz w:val="24"/>
          <w:szCs w:val="24"/>
          <w:lang w:eastAsia="ru-RU"/>
        </w:rPr>
      </w:pPr>
      <w:r w:rsidRPr="006427D3">
        <w:rPr>
          <w:rFonts w:ascii="Times New Roman" w:hAnsi="Times New Roman"/>
          <w:color w:val="000000"/>
          <w:sz w:val="24"/>
          <w:szCs w:val="24"/>
          <w:lang w:eastAsia="ru-RU"/>
        </w:rPr>
        <w:t>В условиях либерального валютного режима актуальным является вопрос повышения эффективности контрольных процедур для обеспечения соблюдения резидентами требований валютного законодательства, а также усиление действенности норм, предусматривающих ответственность за его несоблюдение. Одной из задач Н</w:t>
      </w:r>
      <w:r>
        <w:rPr>
          <w:rFonts w:ascii="Times New Roman" w:hAnsi="Times New Roman"/>
          <w:color w:val="000000"/>
          <w:sz w:val="24"/>
          <w:szCs w:val="24"/>
          <w:lang w:eastAsia="ru-RU"/>
        </w:rPr>
        <w:t>ационального Банка</w:t>
      </w:r>
      <w:r w:rsidRPr="006427D3">
        <w:rPr>
          <w:rFonts w:ascii="Times New Roman" w:hAnsi="Times New Roman"/>
          <w:color w:val="000000"/>
          <w:sz w:val="24"/>
          <w:szCs w:val="24"/>
          <w:lang w:eastAsia="ru-RU"/>
        </w:rPr>
        <w:t xml:space="preserve"> является совершенствование регулирования организованного рынка обмена валют и обеспечение эффективного контроля путем проведения проверок деятельности юридических лиц, исключительным видом деятельности которых является организация обменных операций с наличной иностранной валютой (уполномоченных организаций), на основе оценки степени рисков.</w:t>
      </w:r>
    </w:p>
    <w:p w:rsidR="009E19F7" w:rsidRPr="006427D3" w:rsidRDefault="009E19F7" w:rsidP="009E19F7">
      <w:pPr>
        <w:spacing w:after="0" w:line="240" w:lineRule="auto"/>
        <w:ind w:firstLine="709"/>
        <w:jc w:val="both"/>
        <w:rPr>
          <w:rFonts w:ascii="Times New Roman" w:hAnsi="Times New Roman"/>
          <w:color w:val="000000"/>
          <w:sz w:val="24"/>
          <w:szCs w:val="24"/>
          <w:lang w:eastAsia="ru-RU"/>
        </w:rPr>
      </w:pPr>
      <w:r w:rsidRPr="006427D3">
        <w:rPr>
          <w:rFonts w:ascii="Times New Roman" w:hAnsi="Times New Roman"/>
          <w:color w:val="000000"/>
          <w:sz w:val="24"/>
          <w:szCs w:val="24"/>
          <w:lang w:eastAsia="ru-RU"/>
        </w:rPr>
        <w:t>По итогам проведенной оценки степени рисков был утвержден Перечень уполномоченных организаций, подлежащих проверке территориальными филиалами Н</w:t>
      </w:r>
      <w:r>
        <w:rPr>
          <w:rFonts w:ascii="Times New Roman" w:hAnsi="Times New Roman"/>
          <w:color w:val="000000"/>
          <w:sz w:val="24"/>
          <w:szCs w:val="24"/>
          <w:lang w:eastAsia="ru-RU"/>
        </w:rPr>
        <w:t>ационального Банка</w:t>
      </w:r>
      <w:r w:rsidRPr="006427D3">
        <w:rPr>
          <w:rFonts w:ascii="Times New Roman" w:hAnsi="Times New Roman"/>
          <w:color w:val="000000"/>
          <w:sz w:val="24"/>
          <w:szCs w:val="24"/>
          <w:lang w:eastAsia="ru-RU"/>
        </w:rPr>
        <w:t xml:space="preserve"> в 2018 году.</w:t>
      </w:r>
    </w:p>
    <w:p w:rsidR="00F2659C" w:rsidRDefault="009E19F7" w:rsidP="009E19F7">
      <w:pPr>
        <w:spacing w:after="0" w:line="240" w:lineRule="auto"/>
        <w:ind w:firstLine="709"/>
        <w:jc w:val="both"/>
        <w:rPr>
          <w:rFonts w:ascii="Times New Roman" w:hAnsi="Times New Roman"/>
          <w:color w:val="000000"/>
          <w:sz w:val="24"/>
          <w:szCs w:val="24"/>
          <w:lang w:eastAsia="ru-RU"/>
        </w:rPr>
      </w:pPr>
      <w:r w:rsidRPr="006427D3">
        <w:rPr>
          <w:rFonts w:ascii="Times New Roman" w:hAnsi="Times New Roman"/>
          <w:color w:val="000000"/>
          <w:sz w:val="24"/>
          <w:szCs w:val="24"/>
          <w:lang w:eastAsia="ru-RU"/>
        </w:rPr>
        <w:t>За 2018 год в соответствии с Перечнем было проведено 204 провер</w:t>
      </w:r>
      <w:r>
        <w:rPr>
          <w:rFonts w:ascii="Times New Roman" w:hAnsi="Times New Roman"/>
          <w:color w:val="000000"/>
          <w:sz w:val="24"/>
          <w:szCs w:val="24"/>
          <w:lang w:eastAsia="ru-RU"/>
        </w:rPr>
        <w:t>ки</w:t>
      </w:r>
      <w:r w:rsidRPr="006427D3">
        <w:rPr>
          <w:rFonts w:ascii="Times New Roman" w:hAnsi="Times New Roman"/>
          <w:color w:val="000000"/>
          <w:sz w:val="24"/>
          <w:szCs w:val="24"/>
          <w:lang w:eastAsia="ru-RU"/>
        </w:rPr>
        <w:t xml:space="preserve"> уполномоченных организаций, что обеспечило охват </w:t>
      </w:r>
      <w:r w:rsidRPr="006427D3">
        <w:rPr>
          <w:rFonts w:ascii="Times New Roman" w:hAnsi="Times New Roman"/>
          <w:sz w:val="24"/>
          <w:szCs w:val="24"/>
          <w:lang w:eastAsia="ru-RU"/>
        </w:rPr>
        <w:t>41,1%</w:t>
      </w:r>
      <w:r w:rsidRPr="006427D3">
        <w:rPr>
          <w:rFonts w:ascii="Times New Roman" w:hAnsi="Times New Roman"/>
          <w:color w:val="000000"/>
          <w:sz w:val="24"/>
          <w:szCs w:val="24"/>
          <w:lang w:eastAsia="ru-RU"/>
        </w:rPr>
        <w:t xml:space="preserve"> от общего количества объектов проверок (целевой индикатор по итогам года  – не более 60%) от общего количества действующих на территории РК уполномоченных организаций.</w:t>
      </w:r>
    </w:p>
    <w:p w:rsidR="009E19F7" w:rsidRPr="009E19F7" w:rsidRDefault="009E19F7" w:rsidP="009E19F7">
      <w:pPr>
        <w:spacing w:after="0" w:line="240" w:lineRule="auto"/>
        <w:ind w:firstLine="709"/>
        <w:jc w:val="both"/>
        <w:rPr>
          <w:rFonts w:ascii="Times New Roman" w:hAnsi="Times New Roman"/>
          <w:color w:val="000000"/>
          <w:sz w:val="24"/>
          <w:szCs w:val="24"/>
          <w:lang w:eastAsia="ru-RU"/>
        </w:rPr>
      </w:pPr>
    </w:p>
    <w:p w:rsidR="00F2659C" w:rsidRPr="00E82016" w:rsidRDefault="00F2659C" w:rsidP="00F2659C">
      <w:pPr>
        <w:spacing w:after="0" w:line="240" w:lineRule="auto"/>
        <w:ind w:firstLine="709"/>
        <w:contextualSpacing/>
        <w:jc w:val="both"/>
        <w:rPr>
          <w:rFonts w:ascii="Times New Roman" w:hAnsi="Times New Roman"/>
          <w:i/>
          <w:color w:val="000000"/>
          <w:sz w:val="24"/>
          <w:szCs w:val="24"/>
        </w:rPr>
      </w:pPr>
      <w:r w:rsidRPr="00E82016">
        <w:rPr>
          <w:rFonts w:ascii="Times New Roman" w:hAnsi="Times New Roman"/>
          <w:b/>
          <w:i/>
          <w:color w:val="000000"/>
          <w:sz w:val="24"/>
          <w:szCs w:val="24"/>
        </w:rPr>
        <w:t>Цель 2.</w:t>
      </w:r>
      <w:r>
        <w:rPr>
          <w:rFonts w:ascii="Times New Roman" w:hAnsi="Times New Roman"/>
          <w:b/>
          <w:i/>
          <w:color w:val="000000"/>
          <w:sz w:val="24"/>
          <w:szCs w:val="24"/>
        </w:rPr>
        <w:t>6</w:t>
      </w:r>
      <w:r w:rsidRPr="00E82016">
        <w:rPr>
          <w:rFonts w:ascii="Times New Roman" w:hAnsi="Times New Roman"/>
          <w:b/>
          <w:i/>
          <w:color w:val="000000"/>
          <w:sz w:val="24"/>
          <w:szCs w:val="24"/>
        </w:rPr>
        <w:t>.</w:t>
      </w:r>
      <w:r w:rsidRPr="00E82016">
        <w:rPr>
          <w:rFonts w:ascii="Times New Roman" w:hAnsi="Times New Roman"/>
          <w:i/>
          <w:color w:val="000000"/>
          <w:sz w:val="24"/>
          <w:szCs w:val="24"/>
        </w:rPr>
        <w:t xml:space="preserve"> </w:t>
      </w:r>
      <w:r>
        <w:rPr>
          <w:rFonts w:ascii="Times New Roman" w:hAnsi="Times New Roman"/>
          <w:b/>
          <w:i/>
          <w:color w:val="000000"/>
          <w:sz w:val="24"/>
          <w:szCs w:val="24"/>
        </w:rPr>
        <w:t>Обеспечение надлежащего уровня</w:t>
      </w:r>
      <w:r w:rsidRPr="00E82016">
        <w:rPr>
          <w:rFonts w:ascii="Times New Roman" w:hAnsi="Times New Roman"/>
          <w:b/>
          <w:i/>
          <w:color w:val="000000"/>
          <w:sz w:val="24"/>
          <w:szCs w:val="24"/>
        </w:rPr>
        <w:t xml:space="preserve"> защиты прав </w:t>
      </w:r>
      <w:r>
        <w:rPr>
          <w:rFonts w:ascii="Times New Roman" w:hAnsi="Times New Roman"/>
          <w:b/>
          <w:i/>
          <w:color w:val="000000"/>
          <w:sz w:val="24"/>
          <w:szCs w:val="24"/>
        </w:rPr>
        <w:t xml:space="preserve">и законных </w:t>
      </w:r>
      <w:r w:rsidRPr="00E82016">
        <w:rPr>
          <w:rFonts w:ascii="Times New Roman" w:hAnsi="Times New Roman"/>
          <w:b/>
          <w:i/>
          <w:color w:val="000000"/>
          <w:sz w:val="24"/>
          <w:szCs w:val="24"/>
        </w:rPr>
        <w:t>потребителей финансовых услуг</w:t>
      </w:r>
    </w:p>
    <w:p w:rsidR="00F2659C" w:rsidRPr="00E82016" w:rsidRDefault="00F2659C" w:rsidP="00F2659C">
      <w:pPr>
        <w:spacing w:after="0" w:line="240" w:lineRule="auto"/>
        <w:ind w:firstLine="709"/>
        <w:contextualSpacing/>
        <w:jc w:val="both"/>
        <w:rPr>
          <w:rFonts w:ascii="Times New Roman" w:hAnsi="Times New Roman"/>
          <w:b/>
          <w:i/>
          <w:sz w:val="24"/>
          <w:szCs w:val="24"/>
        </w:rPr>
      </w:pPr>
    </w:p>
    <w:p w:rsidR="00F2659C" w:rsidRPr="00E82016" w:rsidRDefault="00F2659C" w:rsidP="00F2659C">
      <w:pPr>
        <w:spacing w:after="0" w:line="240" w:lineRule="auto"/>
        <w:ind w:firstLine="709"/>
        <w:contextualSpacing/>
        <w:jc w:val="both"/>
        <w:rPr>
          <w:rFonts w:ascii="Times New Roman" w:hAnsi="Times New Roman"/>
          <w:i/>
          <w:color w:val="000000"/>
          <w:sz w:val="24"/>
          <w:szCs w:val="24"/>
        </w:rPr>
      </w:pPr>
      <w:r w:rsidRPr="00E82016">
        <w:rPr>
          <w:rFonts w:ascii="Times New Roman" w:hAnsi="Times New Roman"/>
          <w:b/>
          <w:i/>
          <w:sz w:val="24"/>
          <w:szCs w:val="24"/>
        </w:rPr>
        <w:t>Целевой индикатор:</w:t>
      </w:r>
      <w:r w:rsidRPr="00E82016">
        <w:rPr>
          <w:rFonts w:ascii="Times New Roman" w:hAnsi="Times New Roman"/>
          <w:i/>
          <w:sz w:val="24"/>
          <w:szCs w:val="24"/>
        </w:rPr>
        <w:t xml:space="preserve"> </w:t>
      </w:r>
      <w:r w:rsidRPr="00E82016">
        <w:rPr>
          <w:rFonts w:ascii="Times New Roman" w:hAnsi="Times New Roman"/>
          <w:b/>
          <w:i/>
          <w:sz w:val="24"/>
          <w:szCs w:val="24"/>
          <w:lang w:val="kk-KZ"/>
        </w:rPr>
        <w:t xml:space="preserve">Доля потребителей, оказывающих доверие финансовому рынку, % </w:t>
      </w:r>
      <w:r w:rsidRPr="00E82016">
        <w:rPr>
          <w:rFonts w:ascii="Times New Roman" w:hAnsi="Times New Roman"/>
          <w:i/>
          <w:sz w:val="24"/>
          <w:szCs w:val="24"/>
          <w:lang w:val="kk-KZ"/>
        </w:rPr>
        <w:t>(4</w:t>
      </w:r>
      <w:r>
        <w:rPr>
          <w:rFonts w:ascii="Times New Roman" w:hAnsi="Times New Roman"/>
          <w:i/>
          <w:sz w:val="24"/>
          <w:szCs w:val="24"/>
          <w:lang w:val="kk-KZ"/>
        </w:rPr>
        <w:t>3</w:t>
      </w:r>
      <w:r w:rsidRPr="00E82016">
        <w:rPr>
          <w:rFonts w:ascii="Times New Roman" w:hAnsi="Times New Roman"/>
          <w:i/>
          <w:sz w:val="24"/>
          <w:szCs w:val="24"/>
          <w:lang w:val="kk-KZ"/>
        </w:rPr>
        <w:t>% опрошенных)</w:t>
      </w:r>
    </w:p>
    <w:p w:rsidR="00AF331B" w:rsidRPr="00AF331B" w:rsidRDefault="00AF331B" w:rsidP="00AF331B">
      <w:pPr>
        <w:spacing w:after="0" w:line="240" w:lineRule="auto"/>
        <w:ind w:firstLine="709"/>
        <w:contextualSpacing/>
        <w:jc w:val="both"/>
        <w:rPr>
          <w:rFonts w:ascii="Times New Roman" w:eastAsia="Calibri" w:hAnsi="Times New Roman" w:cs="Times New Roman"/>
          <w:b/>
          <w:bCs/>
          <w:i/>
          <w:iCs/>
          <w:sz w:val="24"/>
        </w:rPr>
      </w:pPr>
      <w:r w:rsidRPr="00AF331B">
        <w:rPr>
          <w:rFonts w:ascii="Times New Roman" w:eastAsia="Calibri" w:hAnsi="Times New Roman" w:cs="Times New Roman"/>
          <w:sz w:val="24"/>
          <w:szCs w:val="24"/>
        </w:rPr>
        <w:t>По направлению усиления системы защиты прав потребителей финансовых услуг для определения целевого индикатора «Доля потребителей, оказывающих доверие финансовому рынку» в 2018 года проведен социологический опрос потребителей финансовых услуг. Количество опрошенных составило 2510 человек.</w:t>
      </w:r>
    </w:p>
    <w:p w:rsidR="00AF331B" w:rsidRPr="00AF331B" w:rsidRDefault="00AF331B" w:rsidP="00AF331B">
      <w:pPr>
        <w:spacing w:after="0" w:line="240" w:lineRule="auto"/>
        <w:ind w:firstLine="709"/>
        <w:contextualSpacing/>
        <w:jc w:val="both"/>
        <w:rPr>
          <w:rFonts w:ascii="Times New Roman" w:hAnsi="Times New Roman"/>
          <w:b/>
          <w:i/>
          <w:sz w:val="24"/>
        </w:rPr>
      </w:pPr>
      <w:r w:rsidRPr="00AF331B">
        <w:rPr>
          <w:rFonts w:ascii="Times New Roman" w:hAnsi="Times New Roman"/>
          <w:b/>
          <w:bCs/>
          <w:i/>
          <w:iCs/>
          <w:sz w:val="24"/>
        </w:rPr>
        <w:t>Мероприятия для достижения  целевого индикатора:</w:t>
      </w:r>
    </w:p>
    <w:p w:rsidR="00AF331B" w:rsidRPr="00AF331B" w:rsidRDefault="00AF331B" w:rsidP="00AF331B">
      <w:pPr>
        <w:spacing w:after="0" w:line="240" w:lineRule="auto"/>
        <w:ind w:firstLine="709"/>
        <w:contextualSpacing/>
        <w:jc w:val="both"/>
        <w:rPr>
          <w:rFonts w:ascii="Times New Roman" w:hAnsi="Times New Roman"/>
          <w:i/>
          <w:sz w:val="24"/>
          <w:szCs w:val="24"/>
        </w:rPr>
      </w:pPr>
      <w:r w:rsidRPr="00AF331B">
        <w:rPr>
          <w:rFonts w:ascii="Times New Roman" w:hAnsi="Times New Roman"/>
          <w:i/>
          <w:sz w:val="24"/>
          <w:szCs w:val="24"/>
        </w:rPr>
        <w:t>Организация и проведение социологического опроса.</w:t>
      </w:r>
    </w:p>
    <w:p w:rsidR="00AF331B" w:rsidRPr="00FE4C15" w:rsidRDefault="00AF331B" w:rsidP="00AF331B">
      <w:pPr>
        <w:spacing w:after="0" w:line="240" w:lineRule="auto"/>
        <w:ind w:firstLine="709"/>
        <w:jc w:val="both"/>
        <w:rPr>
          <w:rFonts w:ascii="Times New Roman" w:eastAsia="Calibri" w:hAnsi="Times New Roman" w:cs="Times New Roman"/>
          <w:color w:val="000000"/>
          <w:sz w:val="24"/>
          <w:szCs w:val="24"/>
          <w:u w:val="single"/>
        </w:rPr>
      </w:pPr>
      <w:r w:rsidRPr="00AF331B">
        <w:rPr>
          <w:rFonts w:ascii="Times New Roman" w:eastAsia="Calibri" w:hAnsi="Times New Roman" w:cs="Times New Roman"/>
          <w:color w:val="000000"/>
          <w:sz w:val="24"/>
          <w:szCs w:val="24"/>
        </w:rPr>
        <w:t xml:space="preserve">В соответствии с проведенным социальным исследованием </w:t>
      </w:r>
      <w:r>
        <w:rPr>
          <w:rFonts w:ascii="Times New Roman" w:eastAsia="Calibri" w:hAnsi="Times New Roman" w:cs="Times New Roman"/>
          <w:color w:val="000000"/>
          <w:sz w:val="24"/>
          <w:szCs w:val="24"/>
        </w:rPr>
        <w:t>«</w:t>
      </w:r>
      <w:r w:rsidRPr="00AF331B">
        <w:rPr>
          <w:rFonts w:ascii="Times New Roman" w:eastAsia="Calibri" w:hAnsi="Times New Roman" w:cs="Times New Roman"/>
          <w:color w:val="000000"/>
          <w:sz w:val="24"/>
          <w:szCs w:val="24"/>
        </w:rPr>
        <w:t>полностью</w:t>
      </w:r>
      <w:r>
        <w:rPr>
          <w:rFonts w:ascii="Times New Roman" w:eastAsia="Calibri" w:hAnsi="Times New Roman" w:cs="Times New Roman"/>
          <w:color w:val="000000"/>
          <w:sz w:val="24"/>
          <w:szCs w:val="24"/>
        </w:rPr>
        <w:t>»</w:t>
      </w:r>
      <w:r w:rsidRPr="00AF331B">
        <w:rPr>
          <w:rFonts w:ascii="Times New Roman" w:eastAsia="Calibri" w:hAnsi="Times New Roman" w:cs="Times New Roman"/>
          <w:color w:val="000000"/>
          <w:sz w:val="24"/>
          <w:szCs w:val="24"/>
        </w:rPr>
        <w:t xml:space="preserve"> или </w:t>
      </w:r>
      <w:r>
        <w:rPr>
          <w:rFonts w:ascii="Times New Roman" w:eastAsia="Calibri" w:hAnsi="Times New Roman" w:cs="Times New Roman"/>
          <w:color w:val="000000"/>
          <w:sz w:val="24"/>
          <w:szCs w:val="24"/>
        </w:rPr>
        <w:t>«</w:t>
      </w:r>
      <w:r w:rsidRPr="00AF331B">
        <w:rPr>
          <w:rFonts w:ascii="Times New Roman" w:eastAsia="Calibri" w:hAnsi="Times New Roman" w:cs="Times New Roman"/>
          <w:color w:val="000000"/>
          <w:sz w:val="24"/>
          <w:szCs w:val="24"/>
        </w:rPr>
        <w:t>скорее</w:t>
      </w:r>
      <w:r>
        <w:rPr>
          <w:rFonts w:ascii="Times New Roman" w:eastAsia="Calibri" w:hAnsi="Times New Roman" w:cs="Times New Roman"/>
          <w:color w:val="000000"/>
          <w:sz w:val="24"/>
          <w:szCs w:val="24"/>
        </w:rPr>
        <w:t>»</w:t>
      </w:r>
      <w:r w:rsidRPr="00AF331B">
        <w:rPr>
          <w:rFonts w:ascii="Times New Roman" w:eastAsia="Calibri" w:hAnsi="Times New Roman" w:cs="Times New Roman"/>
          <w:color w:val="000000"/>
          <w:sz w:val="24"/>
          <w:szCs w:val="24"/>
        </w:rPr>
        <w:t xml:space="preserve"> доверяют финансовым организациям Казахстана </w:t>
      </w:r>
      <w:r>
        <w:rPr>
          <w:rFonts w:ascii="Times New Roman" w:eastAsia="Calibri" w:hAnsi="Times New Roman" w:cs="Times New Roman"/>
          <w:color w:val="000000"/>
          <w:sz w:val="24"/>
          <w:szCs w:val="24"/>
        </w:rPr>
        <w:t xml:space="preserve">- </w:t>
      </w:r>
      <w:r w:rsidRPr="00AF331B">
        <w:rPr>
          <w:rFonts w:ascii="Times New Roman" w:eastAsia="Calibri" w:hAnsi="Times New Roman" w:cs="Times New Roman"/>
          <w:color w:val="000000"/>
          <w:sz w:val="24"/>
          <w:szCs w:val="24"/>
        </w:rPr>
        <w:t xml:space="preserve">32% респондентов, 35% </w:t>
      </w:r>
      <w:r>
        <w:rPr>
          <w:rFonts w:ascii="Times New Roman" w:eastAsia="Calibri" w:hAnsi="Times New Roman" w:cs="Times New Roman"/>
          <w:color w:val="000000"/>
          <w:sz w:val="24"/>
          <w:szCs w:val="24"/>
        </w:rPr>
        <w:t xml:space="preserve">- </w:t>
      </w:r>
      <w:r w:rsidRPr="00AF331B">
        <w:rPr>
          <w:rFonts w:ascii="Times New Roman" w:eastAsia="Calibri" w:hAnsi="Times New Roman" w:cs="Times New Roman"/>
          <w:color w:val="000000"/>
          <w:sz w:val="24"/>
          <w:szCs w:val="24"/>
        </w:rPr>
        <w:t>считают, что финансовая система Казахстана надежна. При этом 60% доверяют Национальному Банку.</w:t>
      </w:r>
    </w:p>
    <w:p w:rsidR="00F2659C" w:rsidRPr="00BC70DC" w:rsidRDefault="00F2659C" w:rsidP="00F2659C">
      <w:pPr>
        <w:spacing w:after="0" w:line="240" w:lineRule="auto"/>
        <w:ind w:firstLine="709"/>
        <w:contextualSpacing/>
        <w:jc w:val="both"/>
        <w:rPr>
          <w:rFonts w:ascii="Times New Roman" w:hAnsi="Times New Roman"/>
          <w:i/>
          <w:sz w:val="24"/>
          <w:szCs w:val="24"/>
        </w:rPr>
      </w:pPr>
    </w:p>
    <w:p w:rsidR="00F2659C" w:rsidRPr="00E82016" w:rsidRDefault="00F2659C" w:rsidP="00F2659C">
      <w:pPr>
        <w:spacing w:after="0" w:line="240" w:lineRule="auto"/>
        <w:ind w:firstLine="709"/>
        <w:contextualSpacing/>
        <w:jc w:val="both"/>
        <w:rPr>
          <w:rFonts w:ascii="Times New Roman" w:hAnsi="Times New Roman"/>
          <w:i/>
          <w:color w:val="000000"/>
          <w:sz w:val="24"/>
          <w:szCs w:val="24"/>
        </w:rPr>
      </w:pPr>
      <w:r>
        <w:rPr>
          <w:rFonts w:ascii="Times New Roman" w:hAnsi="Times New Roman"/>
          <w:b/>
          <w:i/>
          <w:color w:val="000000"/>
          <w:sz w:val="24"/>
          <w:szCs w:val="24"/>
        </w:rPr>
        <w:t>Цель 2.7</w:t>
      </w:r>
      <w:r w:rsidRPr="00E82016">
        <w:rPr>
          <w:rFonts w:ascii="Times New Roman" w:hAnsi="Times New Roman"/>
          <w:b/>
          <w:i/>
          <w:color w:val="000000"/>
          <w:sz w:val="24"/>
          <w:szCs w:val="24"/>
        </w:rPr>
        <w:t>.</w:t>
      </w:r>
      <w:r w:rsidRPr="00E82016">
        <w:rPr>
          <w:rFonts w:ascii="Times New Roman" w:hAnsi="Times New Roman"/>
          <w:i/>
          <w:color w:val="000000"/>
          <w:sz w:val="24"/>
          <w:szCs w:val="24"/>
        </w:rPr>
        <w:t xml:space="preserve"> </w:t>
      </w:r>
      <w:r w:rsidRPr="00E82016">
        <w:rPr>
          <w:rFonts w:ascii="Times New Roman" w:hAnsi="Times New Roman"/>
          <w:b/>
          <w:i/>
          <w:color w:val="000000"/>
          <w:sz w:val="24"/>
          <w:szCs w:val="24"/>
        </w:rPr>
        <w:t>Обеспечение функционирования платежных систем</w:t>
      </w:r>
      <w:r w:rsidRPr="00E82016">
        <w:rPr>
          <w:rFonts w:ascii="Times New Roman" w:hAnsi="Times New Roman"/>
          <w:i/>
          <w:color w:val="000000"/>
          <w:sz w:val="24"/>
          <w:szCs w:val="24"/>
        </w:rPr>
        <w:t xml:space="preserve"> </w:t>
      </w:r>
    </w:p>
    <w:p w:rsidR="00F2659C" w:rsidRPr="00E82016" w:rsidRDefault="00F2659C" w:rsidP="00F2659C">
      <w:pPr>
        <w:spacing w:after="0" w:line="240" w:lineRule="auto"/>
        <w:ind w:firstLine="709"/>
        <w:contextualSpacing/>
        <w:jc w:val="both"/>
        <w:rPr>
          <w:rFonts w:ascii="Times New Roman" w:hAnsi="Times New Roman"/>
          <w:i/>
          <w:sz w:val="24"/>
          <w:szCs w:val="24"/>
        </w:rPr>
      </w:pPr>
      <w:r w:rsidRPr="00E82016">
        <w:rPr>
          <w:rFonts w:ascii="Times New Roman" w:hAnsi="Times New Roman"/>
          <w:b/>
          <w:i/>
          <w:color w:val="000000"/>
          <w:sz w:val="24"/>
          <w:szCs w:val="24"/>
        </w:rPr>
        <w:t>Целевой индикатор 1:</w:t>
      </w:r>
      <w:r w:rsidRPr="00E82016">
        <w:rPr>
          <w:rFonts w:ascii="Times New Roman" w:hAnsi="Times New Roman"/>
          <w:i/>
          <w:color w:val="000000"/>
          <w:sz w:val="24"/>
          <w:szCs w:val="24"/>
        </w:rPr>
        <w:t xml:space="preserve"> </w:t>
      </w:r>
      <w:r w:rsidRPr="00E82016">
        <w:rPr>
          <w:rFonts w:ascii="Times New Roman" w:hAnsi="Times New Roman"/>
          <w:b/>
          <w:i/>
          <w:iCs/>
          <w:sz w:val="24"/>
          <w:szCs w:val="24"/>
        </w:rPr>
        <w:t>Коэффициент работоспособности М</w:t>
      </w:r>
      <w:r>
        <w:rPr>
          <w:rFonts w:ascii="Times New Roman" w:hAnsi="Times New Roman"/>
          <w:b/>
          <w:i/>
          <w:iCs/>
          <w:sz w:val="24"/>
          <w:szCs w:val="24"/>
        </w:rPr>
        <w:t>ежбанковской системы переводов денег</w:t>
      </w:r>
      <w:r w:rsidRPr="00E82016">
        <w:rPr>
          <w:rFonts w:ascii="Times New Roman" w:hAnsi="Times New Roman"/>
          <w:b/>
          <w:i/>
          <w:iCs/>
          <w:sz w:val="24"/>
          <w:szCs w:val="24"/>
        </w:rPr>
        <w:t xml:space="preserve"> за год </w:t>
      </w:r>
      <w:r w:rsidRPr="00E82016">
        <w:rPr>
          <w:rFonts w:ascii="Times New Roman" w:hAnsi="Times New Roman"/>
          <w:i/>
          <w:iCs/>
          <w:sz w:val="24"/>
          <w:szCs w:val="24"/>
        </w:rPr>
        <w:t>(не менее 95%).</w:t>
      </w:r>
    </w:p>
    <w:p w:rsidR="00F25E24" w:rsidRDefault="00F25E24" w:rsidP="00F25E24">
      <w:pPr>
        <w:spacing w:line="240" w:lineRule="auto"/>
        <w:ind w:firstLine="709"/>
        <w:contextualSpacing/>
        <w:jc w:val="both"/>
        <w:rPr>
          <w:rFonts w:ascii="Times New Roman" w:hAnsi="Times New Roman"/>
          <w:spacing w:val="-6"/>
          <w:sz w:val="24"/>
          <w:szCs w:val="24"/>
        </w:rPr>
      </w:pPr>
      <w:r w:rsidRPr="00E721BD">
        <w:rPr>
          <w:rFonts w:ascii="Times New Roman" w:hAnsi="Times New Roman"/>
          <w:spacing w:val="-6"/>
          <w:sz w:val="24"/>
          <w:szCs w:val="24"/>
        </w:rPr>
        <w:t>В 201</w:t>
      </w:r>
      <w:r w:rsidRPr="00D037D0">
        <w:rPr>
          <w:rFonts w:ascii="Times New Roman" w:hAnsi="Times New Roman"/>
          <w:spacing w:val="-6"/>
          <w:sz w:val="24"/>
          <w:szCs w:val="24"/>
        </w:rPr>
        <w:t>8</w:t>
      </w:r>
      <w:r w:rsidRPr="00E721BD">
        <w:rPr>
          <w:rFonts w:ascii="Times New Roman" w:hAnsi="Times New Roman"/>
          <w:spacing w:val="-6"/>
          <w:sz w:val="24"/>
          <w:szCs w:val="24"/>
        </w:rPr>
        <w:t xml:space="preserve"> году коэффициент работоспособности Межбанковской системы переводов денег (МСПД) составил  99,</w:t>
      </w:r>
      <w:r>
        <w:rPr>
          <w:rFonts w:ascii="Times New Roman" w:hAnsi="Times New Roman"/>
          <w:spacing w:val="-6"/>
          <w:sz w:val="24"/>
          <w:szCs w:val="24"/>
        </w:rPr>
        <w:t>99</w:t>
      </w:r>
      <w:r w:rsidRPr="00E721BD">
        <w:rPr>
          <w:rFonts w:ascii="Times New Roman" w:hAnsi="Times New Roman"/>
          <w:spacing w:val="-6"/>
          <w:sz w:val="24"/>
          <w:szCs w:val="24"/>
        </w:rPr>
        <w:t>%, что характеризует высокую эффективность функционирования указанной платежной системы.</w:t>
      </w:r>
    </w:p>
    <w:p w:rsidR="00F25E24" w:rsidRDefault="00F25E24" w:rsidP="00F25E24">
      <w:pPr>
        <w:spacing w:line="240" w:lineRule="auto"/>
        <w:ind w:firstLine="709"/>
        <w:contextualSpacing/>
        <w:jc w:val="both"/>
        <w:rPr>
          <w:rFonts w:ascii="Times New Roman" w:hAnsi="Times New Roman"/>
          <w:i/>
          <w:iCs/>
          <w:sz w:val="24"/>
          <w:szCs w:val="24"/>
        </w:rPr>
      </w:pPr>
      <w:r w:rsidRPr="00E721BD">
        <w:rPr>
          <w:rFonts w:ascii="Times New Roman" w:hAnsi="Times New Roman"/>
          <w:b/>
          <w:i/>
          <w:color w:val="000000"/>
          <w:sz w:val="24"/>
          <w:szCs w:val="24"/>
        </w:rPr>
        <w:t>Целевой индикатор 2:</w:t>
      </w:r>
      <w:r w:rsidRPr="00E721BD">
        <w:rPr>
          <w:rFonts w:ascii="Times New Roman" w:hAnsi="Times New Roman"/>
          <w:i/>
          <w:color w:val="000000"/>
          <w:sz w:val="24"/>
          <w:szCs w:val="24"/>
        </w:rPr>
        <w:t xml:space="preserve"> </w:t>
      </w:r>
      <w:r w:rsidRPr="00E721BD">
        <w:rPr>
          <w:rFonts w:ascii="Times New Roman" w:hAnsi="Times New Roman"/>
          <w:b/>
          <w:i/>
          <w:iCs/>
          <w:sz w:val="24"/>
          <w:szCs w:val="24"/>
        </w:rPr>
        <w:t>Коэффициент работоспособности С</w:t>
      </w:r>
      <w:r>
        <w:rPr>
          <w:rFonts w:ascii="Times New Roman" w:hAnsi="Times New Roman"/>
          <w:b/>
          <w:i/>
          <w:iCs/>
          <w:sz w:val="24"/>
          <w:szCs w:val="24"/>
        </w:rPr>
        <w:t xml:space="preserve">истемы межбанковского </w:t>
      </w:r>
      <w:r w:rsidRPr="00E721BD">
        <w:rPr>
          <w:rFonts w:ascii="Times New Roman" w:hAnsi="Times New Roman"/>
          <w:b/>
          <w:i/>
          <w:iCs/>
          <w:sz w:val="24"/>
          <w:szCs w:val="24"/>
        </w:rPr>
        <w:t xml:space="preserve"> </w:t>
      </w:r>
      <w:r>
        <w:rPr>
          <w:rFonts w:ascii="Times New Roman" w:hAnsi="Times New Roman"/>
          <w:b/>
          <w:i/>
          <w:iCs/>
          <w:sz w:val="24"/>
          <w:szCs w:val="24"/>
        </w:rPr>
        <w:t xml:space="preserve">клиринга </w:t>
      </w:r>
      <w:r w:rsidRPr="00E721BD">
        <w:rPr>
          <w:rFonts w:ascii="Times New Roman" w:hAnsi="Times New Roman"/>
          <w:b/>
          <w:i/>
          <w:iCs/>
          <w:sz w:val="24"/>
          <w:szCs w:val="24"/>
        </w:rPr>
        <w:t xml:space="preserve">за год </w:t>
      </w:r>
      <w:r w:rsidRPr="00E721BD">
        <w:rPr>
          <w:rFonts w:ascii="Times New Roman" w:hAnsi="Times New Roman"/>
          <w:i/>
          <w:iCs/>
          <w:sz w:val="24"/>
          <w:szCs w:val="24"/>
        </w:rPr>
        <w:t>(не менее 95%).</w:t>
      </w:r>
    </w:p>
    <w:p w:rsidR="00F25E24" w:rsidRPr="00F25E24" w:rsidRDefault="00F25E24" w:rsidP="00F25E24">
      <w:pPr>
        <w:spacing w:line="240" w:lineRule="auto"/>
        <w:ind w:firstLine="709"/>
        <w:contextualSpacing/>
        <w:jc w:val="both"/>
        <w:rPr>
          <w:rFonts w:ascii="Times New Roman" w:hAnsi="Times New Roman"/>
          <w:spacing w:val="-6"/>
          <w:sz w:val="24"/>
          <w:szCs w:val="24"/>
        </w:rPr>
      </w:pPr>
      <w:r w:rsidRPr="00E721BD">
        <w:rPr>
          <w:rFonts w:ascii="Times New Roman" w:hAnsi="Times New Roman"/>
          <w:spacing w:val="-6"/>
          <w:sz w:val="24"/>
          <w:szCs w:val="24"/>
        </w:rPr>
        <w:lastRenderedPageBreak/>
        <w:t>В 201</w:t>
      </w:r>
      <w:r w:rsidRPr="00D037D0">
        <w:rPr>
          <w:rFonts w:ascii="Times New Roman" w:hAnsi="Times New Roman"/>
          <w:spacing w:val="-6"/>
          <w:sz w:val="24"/>
          <w:szCs w:val="24"/>
        </w:rPr>
        <w:t>8</w:t>
      </w:r>
      <w:r w:rsidRPr="00E721BD">
        <w:rPr>
          <w:rFonts w:ascii="Times New Roman" w:hAnsi="Times New Roman"/>
          <w:spacing w:val="-6"/>
          <w:sz w:val="24"/>
          <w:szCs w:val="24"/>
        </w:rPr>
        <w:t xml:space="preserve"> году коэффициент работоспособности Системы межбанковского клиринга (СМК) составил </w:t>
      </w:r>
      <w:r w:rsidRPr="00D037D0">
        <w:rPr>
          <w:rFonts w:ascii="Times New Roman" w:hAnsi="Times New Roman"/>
          <w:spacing w:val="-6"/>
          <w:sz w:val="24"/>
          <w:szCs w:val="24"/>
        </w:rPr>
        <w:t>99</w:t>
      </w:r>
      <w:r w:rsidRPr="00E721BD">
        <w:rPr>
          <w:rFonts w:ascii="Times New Roman" w:hAnsi="Times New Roman"/>
          <w:spacing w:val="-6"/>
          <w:sz w:val="24"/>
          <w:szCs w:val="24"/>
        </w:rPr>
        <w:t>,</w:t>
      </w:r>
      <w:r w:rsidRPr="00D037D0">
        <w:rPr>
          <w:rFonts w:ascii="Times New Roman" w:hAnsi="Times New Roman"/>
          <w:spacing w:val="-6"/>
          <w:sz w:val="24"/>
          <w:szCs w:val="24"/>
        </w:rPr>
        <w:t>99</w:t>
      </w:r>
      <w:r w:rsidRPr="00E721BD">
        <w:rPr>
          <w:rFonts w:ascii="Times New Roman" w:hAnsi="Times New Roman"/>
          <w:spacing w:val="-6"/>
          <w:sz w:val="24"/>
          <w:szCs w:val="24"/>
        </w:rPr>
        <w:t>%, что характеризует высокую эффективность функционирования указанной платежной системы.</w:t>
      </w:r>
    </w:p>
    <w:p w:rsidR="00F25E24" w:rsidRPr="00E721BD" w:rsidRDefault="00F25E24" w:rsidP="00F25E24">
      <w:pPr>
        <w:spacing w:line="240" w:lineRule="auto"/>
        <w:ind w:firstLine="709"/>
        <w:contextualSpacing/>
        <w:jc w:val="both"/>
        <w:rPr>
          <w:rFonts w:ascii="Times New Roman" w:hAnsi="Times New Roman"/>
          <w:b/>
          <w:i/>
          <w:iCs/>
          <w:sz w:val="24"/>
          <w:szCs w:val="24"/>
        </w:rPr>
      </w:pPr>
      <w:r w:rsidRPr="00E721BD">
        <w:rPr>
          <w:rFonts w:ascii="Times New Roman" w:hAnsi="Times New Roman"/>
          <w:b/>
          <w:i/>
          <w:iCs/>
          <w:sz w:val="24"/>
          <w:szCs w:val="24"/>
        </w:rPr>
        <w:t>Мероприятия для достижения целевых индикаторов:</w:t>
      </w:r>
    </w:p>
    <w:p w:rsidR="00F25E24" w:rsidRPr="00E721BD" w:rsidRDefault="00F25E24" w:rsidP="00F25E24">
      <w:pPr>
        <w:spacing w:line="240" w:lineRule="auto"/>
        <w:ind w:firstLine="709"/>
        <w:contextualSpacing/>
        <w:jc w:val="both"/>
        <w:rPr>
          <w:rFonts w:ascii="Times New Roman" w:hAnsi="Times New Roman" w:cs="Times New Roman"/>
          <w:i/>
          <w:iCs/>
          <w:sz w:val="24"/>
          <w:szCs w:val="24"/>
        </w:rPr>
      </w:pPr>
      <w:r w:rsidRPr="00E721BD">
        <w:rPr>
          <w:rFonts w:ascii="Times New Roman" w:hAnsi="Times New Roman"/>
          <w:i/>
          <w:iCs/>
          <w:sz w:val="24"/>
          <w:szCs w:val="24"/>
        </w:rPr>
        <w:t xml:space="preserve">Проведение совместно </w:t>
      </w:r>
      <w:r>
        <w:rPr>
          <w:rFonts w:ascii="Times New Roman" w:hAnsi="Times New Roman"/>
          <w:i/>
          <w:iCs/>
          <w:sz w:val="24"/>
          <w:szCs w:val="24"/>
        </w:rPr>
        <w:t xml:space="preserve">с </w:t>
      </w:r>
      <w:r w:rsidRPr="00E721BD">
        <w:rPr>
          <w:rFonts w:ascii="Times New Roman" w:hAnsi="Times New Roman"/>
          <w:i/>
          <w:iCs/>
          <w:sz w:val="24"/>
          <w:szCs w:val="24"/>
        </w:rPr>
        <w:t xml:space="preserve">КЦМР плановых (тестовых) мероприятий по </w:t>
      </w:r>
      <w:r w:rsidRPr="00E721BD">
        <w:rPr>
          <w:rFonts w:ascii="Times New Roman" w:hAnsi="Times New Roman" w:cs="Times New Roman"/>
          <w:i/>
          <w:iCs/>
          <w:sz w:val="24"/>
          <w:szCs w:val="24"/>
        </w:rPr>
        <w:t>переводу платежных систем на программно-технический комплекс резервного центра</w:t>
      </w:r>
    </w:p>
    <w:p w:rsidR="00F25E24" w:rsidRPr="00E721BD" w:rsidRDefault="00F25E24" w:rsidP="00F25E24">
      <w:pPr>
        <w:spacing w:after="0" w:line="240" w:lineRule="auto"/>
        <w:ind w:firstLine="709"/>
        <w:contextualSpacing/>
        <w:jc w:val="both"/>
        <w:rPr>
          <w:rFonts w:ascii="Times New Roman" w:hAnsi="Times New Roman" w:cs="Times New Roman"/>
          <w:iCs/>
          <w:sz w:val="24"/>
          <w:szCs w:val="24"/>
        </w:rPr>
      </w:pPr>
      <w:r w:rsidRPr="00E721BD">
        <w:rPr>
          <w:rFonts w:ascii="Times New Roman" w:hAnsi="Times New Roman" w:cs="Times New Roman"/>
          <w:iCs/>
          <w:sz w:val="24"/>
          <w:szCs w:val="24"/>
        </w:rPr>
        <w:t>В 201</w:t>
      </w:r>
      <w:r w:rsidRPr="00D037D0">
        <w:rPr>
          <w:rFonts w:ascii="Times New Roman" w:hAnsi="Times New Roman" w:cs="Times New Roman"/>
          <w:iCs/>
          <w:sz w:val="24"/>
          <w:szCs w:val="24"/>
        </w:rPr>
        <w:t xml:space="preserve">8 </w:t>
      </w:r>
      <w:r>
        <w:rPr>
          <w:rFonts w:ascii="Times New Roman" w:hAnsi="Times New Roman" w:cs="Times New Roman"/>
          <w:iCs/>
          <w:sz w:val="24"/>
          <w:szCs w:val="24"/>
        </w:rPr>
        <w:t xml:space="preserve">году проведено </w:t>
      </w:r>
      <w:r>
        <w:rPr>
          <w:rFonts w:ascii="Times New Roman" w:hAnsi="Times New Roman" w:cs="Times New Roman"/>
          <w:iCs/>
          <w:sz w:val="24"/>
          <w:szCs w:val="24"/>
          <w:lang w:val="kk-KZ"/>
        </w:rPr>
        <w:t>одно</w:t>
      </w:r>
      <w:r w:rsidRPr="00E721BD">
        <w:rPr>
          <w:rFonts w:ascii="Times New Roman" w:hAnsi="Times New Roman" w:cs="Times New Roman"/>
          <w:iCs/>
          <w:sz w:val="24"/>
          <w:szCs w:val="24"/>
        </w:rPr>
        <w:t xml:space="preserve"> мероприяти</w:t>
      </w:r>
      <w:r>
        <w:rPr>
          <w:rFonts w:ascii="Times New Roman" w:hAnsi="Times New Roman" w:cs="Times New Roman"/>
          <w:iCs/>
          <w:sz w:val="24"/>
          <w:szCs w:val="24"/>
          <w:lang w:val="kk-KZ"/>
        </w:rPr>
        <w:t>е</w:t>
      </w:r>
      <w:r w:rsidRPr="00E721BD">
        <w:rPr>
          <w:rFonts w:ascii="Times New Roman" w:hAnsi="Times New Roman" w:cs="Times New Roman"/>
          <w:iCs/>
          <w:sz w:val="24"/>
          <w:szCs w:val="24"/>
        </w:rPr>
        <w:t xml:space="preserve"> по переводу платежных систем на программно-техниче</w:t>
      </w:r>
      <w:r>
        <w:rPr>
          <w:rFonts w:ascii="Times New Roman" w:hAnsi="Times New Roman" w:cs="Times New Roman"/>
          <w:iCs/>
          <w:sz w:val="24"/>
          <w:szCs w:val="24"/>
        </w:rPr>
        <w:t>ский комплекс резервного центра.</w:t>
      </w:r>
      <w:r w:rsidRPr="00E721BD">
        <w:rPr>
          <w:rFonts w:ascii="Times New Roman" w:hAnsi="Times New Roman" w:cs="Times New Roman"/>
          <w:iCs/>
          <w:sz w:val="24"/>
          <w:szCs w:val="24"/>
        </w:rPr>
        <w:t xml:space="preserve"> </w:t>
      </w:r>
      <w:r>
        <w:rPr>
          <w:rFonts w:ascii="Times New Roman" w:hAnsi="Times New Roman" w:cs="Times New Roman"/>
          <w:iCs/>
          <w:sz w:val="24"/>
          <w:szCs w:val="24"/>
        </w:rPr>
        <w:t>П</w:t>
      </w:r>
      <w:r w:rsidRPr="00E721BD">
        <w:rPr>
          <w:rFonts w:ascii="Times New Roman" w:hAnsi="Times New Roman" w:cs="Times New Roman"/>
          <w:iCs/>
          <w:sz w:val="24"/>
          <w:szCs w:val="24"/>
        </w:rPr>
        <w:t xml:space="preserve">еревод платежных систем на программно-технический комплекс резервного центра осуществлен </w:t>
      </w:r>
      <w:r>
        <w:rPr>
          <w:rFonts w:ascii="Times New Roman" w:hAnsi="Times New Roman" w:cs="Times New Roman"/>
          <w:iCs/>
          <w:sz w:val="24"/>
          <w:szCs w:val="24"/>
          <w:lang w:val="kk-KZ"/>
        </w:rPr>
        <w:t>8</w:t>
      </w:r>
      <w:r w:rsidRPr="00E721BD">
        <w:rPr>
          <w:rFonts w:ascii="Times New Roman" w:hAnsi="Times New Roman" w:cs="Times New Roman"/>
          <w:iCs/>
          <w:sz w:val="24"/>
          <w:szCs w:val="24"/>
        </w:rPr>
        <w:t xml:space="preserve"> </w:t>
      </w:r>
      <w:r>
        <w:rPr>
          <w:rFonts w:ascii="Times New Roman" w:hAnsi="Times New Roman" w:cs="Times New Roman"/>
          <w:iCs/>
          <w:sz w:val="24"/>
          <w:szCs w:val="24"/>
          <w:lang w:val="kk-KZ"/>
        </w:rPr>
        <w:t xml:space="preserve">июня </w:t>
      </w:r>
      <w:r w:rsidRPr="00E721BD">
        <w:rPr>
          <w:rFonts w:ascii="Times New Roman" w:hAnsi="Times New Roman" w:cs="Times New Roman"/>
          <w:iCs/>
          <w:sz w:val="24"/>
          <w:szCs w:val="24"/>
        </w:rPr>
        <w:t>201</w:t>
      </w:r>
      <w:r>
        <w:rPr>
          <w:rFonts w:ascii="Times New Roman" w:hAnsi="Times New Roman" w:cs="Times New Roman"/>
          <w:iCs/>
          <w:sz w:val="24"/>
          <w:szCs w:val="24"/>
          <w:lang w:val="kk-KZ"/>
        </w:rPr>
        <w:t>8</w:t>
      </w:r>
      <w:r w:rsidRPr="00E721BD">
        <w:rPr>
          <w:rFonts w:ascii="Times New Roman" w:hAnsi="Times New Roman" w:cs="Times New Roman"/>
          <w:iCs/>
          <w:sz w:val="24"/>
          <w:szCs w:val="24"/>
        </w:rPr>
        <w:t xml:space="preserve"> года. Обратный перевод на сервера основного центра проведен </w:t>
      </w:r>
      <w:r>
        <w:rPr>
          <w:rFonts w:ascii="Times New Roman" w:hAnsi="Times New Roman" w:cs="Times New Roman"/>
          <w:iCs/>
          <w:sz w:val="24"/>
          <w:szCs w:val="24"/>
          <w:lang w:val="kk-KZ"/>
        </w:rPr>
        <w:t>7</w:t>
      </w:r>
      <w:r w:rsidRPr="00E721BD">
        <w:rPr>
          <w:rFonts w:ascii="Times New Roman" w:hAnsi="Times New Roman" w:cs="Times New Roman"/>
          <w:iCs/>
          <w:sz w:val="24"/>
          <w:szCs w:val="24"/>
        </w:rPr>
        <w:t xml:space="preserve"> </w:t>
      </w:r>
      <w:r>
        <w:rPr>
          <w:rFonts w:ascii="Times New Roman" w:hAnsi="Times New Roman" w:cs="Times New Roman"/>
          <w:iCs/>
          <w:sz w:val="24"/>
          <w:szCs w:val="24"/>
        </w:rPr>
        <w:t>декабря</w:t>
      </w:r>
      <w:r w:rsidRPr="00E721BD">
        <w:rPr>
          <w:rFonts w:ascii="Times New Roman" w:hAnsi="Times New Roman" w:cs="Times New Roman"/>
          <w:iCs/>
          <w:sz w:val="24"/>
          <w:szCs w:val="24"/>
        </w:rPr>
        <w:t xml:space="preserve"> 201</w:t>
      </w:r>
      <w:r>
        <w:rPr>
          <w:rFonts w:ascii="Times New Roman" w:hAnsi="Times New Roman" w:cs="Times New Roman"/>
          <w:iCs/>
          <w:sz w:val="24"/>
          <w:szCs w:val="24"/>
          <w:lang w:val="kk-KZ"/>
        </w:rPr>
        <w:t>8</w:t>
      </w:r>
      <w:r>
        <w:rPr>
          <w:rFonts w:ascii="Times New Roman" w:hAnsi="Times New Roman" w:cs="Times New Roman"/>
          <w:iCs/>
          <w:sz w:val="24"/>
          <w:szCs w:val="24"/>
        </w:rPr>
        <w:t xml:space="preserve"> года.</w:t>
      </w:r>
    </w:p>
    <w:p w:rsidR="006346A7" w:rsidRDefault="00F25E24" w:rsidP="00F25E24">
      <w:pPr>
        <w:spacing w:after="0" w:line="240" w:lineRule="auto"/>
        <w:ind w:firstLine="709"/>
        <w:contextualSpacing/>
        <w:jc w:val="both"/>
        <w:rPr>
          <w:rFonts w:ascii="Times New Roman" w:hAnsi="Times New Roman" w:cs="Times New Roman"/>
          <w:iCs/>
          <w:sz w:val="24"/>
          <w:szCs w:val="24"/>
        </w:rPr>
      </w:pPr>
      <w:r w:rsidRPr="00C61AA4">
        <w:rPr>
          <w:rFonts w:ascii="Times New Roman" w:hAnsi="Times New Roman" w:cs="Times New Roman"/>
          <w:iCs/>
          <w:sz w:val="24"/>
          <w:szCs w:val="24"/>
        </w:rPr>
        <w:t>Проблем в работе программного обеспечения и оборудования при переходах отмечено не было.</w:t>
      </w:r>
    </w:p>
    <w:p w:rsidR="00F25E24" w:rsidRPr="00F25E24" w:rsidRDefault="00F25E24" w:rsidP="00F25E24">
      <w:pPr>
        <w:spacing w:after="0" w:line="240" w:lineRule="auto"/>
        <w:ind w:firstLine="709"/>
        <w:contextualSpacing/>
        <w:jc w:val="both"/>
        <w:rPr>
          <w:rFonts w:ascii="Times New Roman" w:hAnsi="Times New Roman" w:cs="Times New Roman"/>
          <w:iCs/>
          <w:sz w:val="24"/>
          <w:szCs w:val="24"/>
        </w:rPr>
      </w:pPr>
    </w:p>
    <w:p w:rsidR="006346A7" w:rsidRPr="00E721BD" w:rsidRDefault="006346A7" w:rsidP="00E20F8F">
      <w:pPr>
        <w:spacing w:line="240" w:lineRule="auto"/>
        <w:ind w:firstLine="709"/>
        <w:contextualSpacing/>
        <w:jc w:val="center"/>
        <w:rPr>
          <w:rFonts w:ascii="Times New Roman" w:hAnsi="Times New Roman"/>
          <w:b/>
          <w:sz w:val="24"/>
          <w:szCs w:val="24"/>
        </w:rPr>
      </w:pPr>
      <w:r w:rsidRPr="00E721BD">
        <w:rPr>
          <w:rFonts w:ascii="Times New Roman" w:hAnsi="Times New Roman"/>
          <w:b/>
          <w:sz w:val="24"/>
          <w:szCs w:val="24"/>
        </w:rPr>
        <w:t>Выводы об итогах реализации Стратегического плана</w:t>
      </w:r>
    </w:p>
    <w:p w:rsidR="006346A7" w:rsidRPr="00E721BD" w:rsidRDefault="006346A7" w:rsidP="006346A7">
      <w:pPr>
        <w:spacing w:line="240" w:lineRule="auto"/>
        <w:ind w:firstLine="709"/>
        <w:contextualSpacing/>
        <w:jc w:val="both"/>
        <w:rPr>
          <w:rFonts w:ascii="Times New Roman" w:hAnsi="Times New Roman"/>
          <w:sz w:val="24"/>
          <w:szCs w:val="24"/>
        </w:rPr>
      </w:pPr>
    </w:p>
    <w:p w:rsidR="006346A7" w:rsidRPr="00E721BD" w:rsidRDefault="006346A7" w:rsidP="006346A7">
      <w:pPr>
        <w:spacing w:line="240" w:lineRule="auto"/>
        <w:ind w:firstLine="709"/>
        <w:contextualSpacing/>
        <w:jc w:val="both"/>
        <w:rPr>
          <w:rFonts w:ascii="Times New Roman" w:hAnsi="Times New Roman"/>
          <w:sz w:val="24"/>
          <w:szCs w:val="24"/>
        </w:rPr>
      </w:pPr>
      <w:r w:rsidRPr="00E721BD">
        <w:rPr>
          <w:rFonts w:ascii="Times New Roman" w:hAnsi="Times New Roman"/>
          <w:sz w:val="24"/>
          <w:szCs w:val="24"/>
        </w:rPr>
        <w:t xml:space="preserve">Результаты проведенного анализа свидетельствуют о том, что </w:t>
      </w:r>
      <w:r w:rsidR="002E0F16" w:rsidRPr="00E721BD">
        <w:rPr>
          <w:rFonts w:ascii="Times New Roman" w:hAnsi="Times New Roman"/>
          <w:sz w:val="24"/>
          <w:szCs w:val="24"/>
        </w:rPr>
        <w:t>Н</w:t>
      </w:r>
      <w:r w:rsidR="0079166B">
        <w:rPr>
          <w:rFonts w:ascii="Times New Roman" w:hAnsi="Times New Roman"/>
          <w:sz w:val="24"/>
          <w:szCs w:val="24"/>
        </w:rPr>
        <w:t>ациональным Банком</w:t>
      </w:r>
      <w:r w:rsidRPr="00E721BD">
        <w:rPr>
          <w:rFonts w:ascii="Times New Roman" w:hAnsi="Times New Roman"/>
          <w:sz w:val="24"/>
          <w:szCs w:val="24"/>
        </w:rPr>
        <w:t xml:space="preserve"> за 201</w:t>
      </w:r>
      <w:r w:rsidR="00F2659C">
        <w:rPr>
          <w:rFonts w:ascii="Times New Roman" w:hAnsi="Times New Roman"/>
          <w:sz w:val="24"/>
          <w:szCs w:val="24"/>
        </w:rPr>
        <w:t>8</w:t>
      </w:r>
      <w:r w:rsidRPr="00E721BD">
        <w:rPr>
          <w:rFonts w:ascii="Times New Roman" w:hAnsi="Times New Roman"/>
          <w:sz w:val="24"/>
          <w:szCs w:val="24"/>
        </w:rPr>
        <w:t xml:space="preserve"> год в целом выполнены запланированные цели и целевые индикаторы по</w:t>
      </w:r>
      <w:r w:rsidR="00E1087E" w:rsidRPr="00E721BD">
        <w:rPr>
          <w:rFonts w:ascii="Times New Roman" w:hAnsi="Times New Roman"/>
          <w:sz w:val="24"/>
          <w:szCs w:val="24"/>
        </w:rPr>
        <w:t xml:space="preserve"> основным </w:t>
      </w:r>
      <w:r w:rsidRPr="00E721BD">
        <w:rPr>
          <w:rFonts w:ascii="Times New Roman" w:hAnsi="Times New Roman"/>
          <w:sz w:val="24"/>
          <w:szCs w:val="24"/>
        </w:rPr>
        <w:t xml:space="preserve">стратегическим направлениям деятельности </w:t>
      </w:r>
      <w:r w:rsidR="002E0F16" w:rsidRPr="00E721BD">
        <w:rPr>
          <w:rFonts w:ascii="Times New Roman" w:hAnsi="Times New Roman"/>
          <w:sz w:val="24"/>
          <w:szCs w:val="24"/>
        </w:rPr>
        <w:t>Н</w:t>
      </w:r>
      <w:r w:rsidR="0079166B">
        <w:rPr>
          <w:rFonts w:ascii="Times New Roman" w:hAnsi="Times New Roman"/>
          <w:sz w:val="24"/>
          <w:szCs w:val="24"/>
        </w:rPr>
        <w:t>ационального Банка</w:t>
      </w:r>
      <w:r w:rsidRPr="00E721BD">
        <w:rPr>
          <w:rFonts w:ascii="Times New Roman" w:hAnsi="Times New Roman"/>
          <w:sz w:val="24"/>
          <w:szCs w:val="24"/>
        </w:rPr>
        <w:t xml:space="preserve">, отраженным в Стратегическом плане </w:t>
      </w:r>
      <w:r w:rsidR="002E0F16" w:rsidRPr="00E721BD">
        <w:rPr>
          <w:rFonts w:ascii="Times New Roman" w:hAnsi="Times New Roman"/>
          <w:sz w:val="24"/>
          <w:szCs w:val="24"/>
        </w:rPr>
        <w:t>Н</w:t>
      </w:r>
      <w:r w:rsidR="0079166B">
        <w:rPr>
          <w:rFonts w:ascii="Times New Roman" w:hAnsi="Times New Roman"/>
          <w:sz w:val="24"/>
          <w:szCs w:val="24"/>
        </w:rPr>
        <w:t>ационального Банка</w:t>
      </w:r>
      <w:r w:rsidRPr="00E721BD">
        <w:rPr>
          <w:rFonts w:ascii="Times New Roman" w:hAnsi="Times New Roman"/>
          <w:sz w:val="24"/>
          <w:szCs w:val="24"/>
        </w:rPr>
        <w:t xml:space="preserve"> на 201</w:t>
      </w:r>
      <w:r w:rsidR="00E36986">
        <w:rPr>
          <w:rFonts w:ascii="Times New Roman" w:hAnsi="Times New Roman"/>
          <w:sz w:val="24"/>
          <w:szCs w:val="24"/>
        </w:rPr>
        <w:t>7</w:t>
      </w:r>
      <w:r w:rsidRPr="00E721BD">
        <w:rPr>
          <w:rFonts w:ascii="Times New Roman" w:hAnsi="Times New Roman"/>
          <w:sz w:val="24"/>
          <w:szCs w:val="24"/>
        </w:rPr>
        <w:t>-20</w:t>
      </w:r>
      <w:r w:rsidR="00E36986">
        <w:rPr>
          <w:rFonts w:ascii="Times New Roman" w:hAnsi="Times New Roman"/>
          <w:sz w:val="24"/>
          <w:szCs w:val="24"/>
        </w:rPr>
        <w:t>21</w:t>
      </w:r>
      <w:r w:rsidRPr="00E721BD">
        <w:rPr>
          <w:rFonts w:ascii="Times New Roman" w:hAnsi="Times New Roman"/>
          <w:sz w:val="24"/>
          <w:szCs w:val="24"/>
        </w:rPr>
        <w:t xml:space="preserve"> годы, за исключением отдельных, полноценная реализация которых не была осуществлена по не зависящим от </w:t>
      </w:r>
      <w:r w:rsidR="002E0F16" w:rsidRPr="00E721BD">
        <w:rPr>
          <w:rFonts w:ascii="Times New Roman" w:hAnsi="Times New Roman"/>
          <w:sz w:val="24"/>
          <w:szCs w:val="24"/>
        </w:rPr>
        <w:t>Н</w:t>
      </w:r>
      <w:r w:rsidR="0079166B">
        <w:rPr>
          <w:rFonts w:ascii="Times New Roman" w:hAnsi="Times New Roman"/>
          <w:sz w:val="24"/>
          <w:szCs w:val="24"/>
        </w:rPr>
        <w:t xml:space="preserve">ационального Банка </w:t>
      </w:r>
      <w:r w:rsidRPr="00E721BD">
        <w:rPr>
          <w:rFonts w:ascii="Times New Roman" w:hAnsi="Times New Roman"/>
          <w:sz w:val="24"/>
          <w:szCs w:val="24"/>
        </w:rPr>
        <w:t>причинам.</w:t>
      </w:r>
    </w:p>
    <w:p w:rsidR="00FD339B" w:rsidRPr="00E721BD" w:rsidRDefault="00FD339B" w:rsidP="00E20F8F">
      <w:pPr>
        <w:spacing w:line="240" w:lineRule="auto"/>
        <w:ind w:firstLine="709"/>
        <w:contextualSpacing/>
        <w:jc w:val="center"/>
        <w:rPr>
          <w:rFonts w:ascii="Times New Roman" w:hAnsi="Times New Roman"/>
          <w:b/>
          <w:sz w:val="24"/>
          <w:szCs w:val="24"/>
        </w:rPr>
      </w:pPr>
    </w:p>
    <w:p w:rsidR="00FD339B" w:rsidRPr="00E721BD" w:rsidRDefault="006346A7" w:rsidP="00FD339B">
      <w:pPr>
        <w:spacing w:line="240" w:lineRule="auto"/>
        <w:ind w:firstLine="709"/>
        <w:contextualSpacing/>
        <w:jc w:val="center"/>
        <w:rPr>
          <w:rFonts w:ascii="Times New Roman" w:hAnsi="Times New Roman"/>
          <w:b/>
          <w:sz w:val="24"/>
          <w:szCs w:val="24"/>
        </w:rPr>
      </w:pPr>
      <w:r w:rsidRPr="00E721BD">
        <w:rPr>
          <w:rFonts w:ascii="Times New Roman" w:hAnsi="Times New Roman"/>
          <w:b/>
          <w:sz w:val="24"/>
          <w:szCs w:val="24"/>
        </w:rPr>
        <w:t>Предложения</w:t>
      </w:r>
    </w:p>
    <w:p w:rsidR="00234D95" w:rsidRPr="00E721BD" w:rsidRDefault="00234D95" w:rsidP="00FD339B">
      <w:pPr>
        <w:spacing w:line="240" w:lineRule="auto"/>
        <w:ind w:firstLine="709"/>
        <w:contextualSpacing/>
        <w:jc w:val="center"/>
        <w:rPr>
          <w:rFonts w:ascii="Times New Roman" w:hAnsi="Times New Roman"/>
          <w:b/>
          <w:sz w:val="24"/>
          <w:szCs w:val="24"/>
        </w:rPr>
      </w:pPr>
    </w:p>
    <w:p w:rsidR="006346A7" w:rsidRPr="00E721BD" w:rsidRDefault="006346A7" w:rsidP="00FD339B">
      <w:pPr>
        <w:spacing w:line="240" w:lineRule="auto"/>
        <w:ind w:firstLine="709"/>
        <w:contextualSpacing/>
        <w:jc w:val="both"/>
        <w:rPr>
          <w:rFonts w:ascii="Times New Roman" w:hAnsi="Times New Roman"/>
          <w:sz w:val="24"/>
          <w:szCs w:val="24"/>
        </w:rPr>
      </w:pPr>
      <w:r w:rsidRPr="00E721BD">
        <w:rPr>
          <w:rFonts w:ascii="Times New Roman" w:hAnsi="Times New Roman"/>
          <w:sz w:val="24"/>
          <w:szCs w:val="24"/>
        </w:rPr>
        <w:t xml:space="preserve">Продолжить дальнейшую работу по реализации Стратегического плана </w:t>
      </w:r>
      <w:r w:rsidR="002E0F16" w:rsidRPr="00E721BD">
        <w:rPr>
          <w:rFonts w:ascii="Times New Roman" w:hAnsi="Times New Roman"/>
          <w:sz w:val="24"/>
          <w:szCs w:val="24"/>
        </w:rPr>
        <w:t>Н</w:t>
      </w:r>
      <w:r w:rsidR="0079166B">
        <w:rPr>
          <w:rFonts w:ascii="Times New Roman" w:hAnsi="Times New Roman"/>
          <w:sz w:val="24"/>
          <w:szCs w:val="24"/>
        </w:rPr>
        <w:t>ационального Банка</w:t>
      </w:r>
      <w:r w:rsidRPr="00E721BD">
        <w:rPr>
          <w:rFonts w:ascii="Times New Roman" w:hAnsi="Times New Roman"/>
          <w:sz w:val="24"/>
          <w:szCs w:val="24"/>
        </w:rPr>
        <w:t xml:space="preserve"> по выполнению запланированных к достижению по итогам 201</w:t>
      </w:r>
      <w:r w:rsidR="00F2659C">
        <w:rPr>
          <w:rFonts w:ascii="Times New Roman" w:hAnsi="Times New Roman"/>
          <w:sz w:val="24"/>
          <w:szCs w:val="24"/>
        </w:rPr>
        <w:t>9</w:t>
      </w:r>
      <w:r w:rsidRPr="00E721BD">
        <w:rPr>
          <w:rFonts w:ascii="Times New Roman" w:hAnsi="Times New Roman"/>
          <w:sz w:val="24"/>
          <w:szCs w:val="24"/>
        </w:rPr>
        <w:t xml:space="preserve"> года</w:t>
      </w:r>
      <w:r w:rsidR="002E0F16" w:rsidRPr="00E721BD">
        <w:rPr>
          <w:rFonts w:ascii="Times New Roman" w:hAnsi="Times New Roman"/>
          <w:sz w:val="24"/>
          <w:szCs w:val="24"/>
        </w:rPr>
        <w:t xml:space="preserve"> </w:t>
      </w:r>
      <w:r w:rsidRPr="00E721BD">
        <w:rPr>
          <w:rFonts w:ascii="Times New Roman" w:hAnsi="Times New Roman"/>
          <w:sz w:val="24"/>
          <w:szCs w:val="24"/>
        </w:rPr>
        <w:t xml:space="preserve">целевых индикаторов по основным стратегическим направлениям деятельности </w:t>
      </w:r>
      <w:r w:rsidR="002E0F16" w:rsidRPr="00E721BD">
        <w:rPr>
          <w:rFonts w:ascii="Times New Roman" w:hAnsi="Times New Roman"/>
          <w:sz w:val="24"/>
          <w:szCs w:val="24"/>
        </w:rPr>
        <w:t>Н</w:t>
      </w:r>
      <w:r w:rsidR="0079166B">
        <w:rPr>
          <w:rFonts w:ascii="Times New Roman" w:hAnsi="Times New Roman"/>
          <w:sz w:val="24"/>
          <w:szCs w:val="24"/>
        </w:rPr>
        <w:t>ационального Банка</w:t>
      </w:r>
      <w:r w:rsidRPr="00E721BD">
        <w:rPr>
          <w:rFonts w:ascii="Times New Roman" w:hAnsi="Times New Roman"/>
          <w:sz w:val="24"/>
          <w:szCs w:val="24"/>
        </w:rPr>
        <w:t xml:space="preserve">. </w:t>
      </w:r>
    </w:p>
    <w:p w:rsidR="00FD339B" w:rsidRPr="00E721BD" w:rsidRDefault="00FD339B" w:rsidP="006346A7">
      <w:pPr>
        <w:spacing w:line="240" w:lineRule="auto"/>
        <w:ind w:firstLine="709"/>
        <w:contextualSpacing/>
        <w:jc w:val="both"/>
        <w:rPr>
          <w:rFonts w:ascii="Times New Roman" w:hAnsi="Times New Roman"/>
          <w:sz w:val="24"/>
          <w:szCs w:val="24"/>
        </w:rPr>
      </w:pPr>
    </w:p>
    <w:p w:rsidR="00FD339B" w:rsidRPr="00E721BD" w:rsidRDefault="00FD339B" w:rsidP="006346A7">
      <w:pPr>
        <w:spacing w:line="240" w:lineRule="auto"/>
        <w:ind w:firstLine="709"/>
        <w:contextualSpacing/>
        <w:jc w:val="both"/>
        <w:rPr>
          <w:rFonts w:ascii="Times New Roman" w:hAnsi="Times New Roman"/>
          <w:sz w:val="24"/>
          <w:szCs w:val="24"/>
        </w:rPr>
      </w:pPr>
    </w:p>
    <w:p w:rsidR="006346A7" w:rsidRPr="00E721BD" w:rsidRDefault="006346A7" w:rsidP="006346A7">
      <w:pPr>
        <w:spacing w:line="240" w:lineRule="auto"/>
        <w:contextualSpacing/>
        <w:jc w:val="both"/>
        <w:rPr>
          <w:rFonts w:ascii="Times New Roman" w:hAnsi="Times New Roman"/>
          <w:sz w:val="24"/>
          <w:szCs w:val="24"/>
        </w:rPr>
      </w:pPr>
    </w:p>
    <w:p w:rsidR="006346A7" w:rsidRPr="00E721BD" w:rsidRDefault="00E446A1" w:rsidP="00E446A1">
      <w:pPr>
        <w:spacing w:line="240" w:lineRule="auto"/>
        <w:contextualSpacing/>
        <w:rPr>
          <w:rFonts w:ascii="Times New Roman" w:hAnsi="Times New Roman"/>
          <w:b/>
          <w:sz w:val="28"/>
          <w:szCs w:val="24"/>
        </w:rPr>
      </w:pPr>
      <w:r>
        <w:rPr>
          <w:rFonts w:ascii="Times New Roman" w:hAnsi="Times New Roman"/>
          <w:b/>
          <w:sz w:val="28"/>
          <w:szCs w:val="24"/>
        </w:rPr>
        <w:t xml:space="preserve">          </w:t>
      </w:r>
      <w:r w:rsidR="006346A7" w:rsidRPr="00E721BD">
        <w:rPr>
          <w:rFonts w:ascii="Times New Roman" w:hAnsi="Times New Roman"/>
          <w:b/>
          <w:sz w:val="28"/>
          <w:szCs w:val="24"/>
        </w:rPr>
        <w:t>Председатель</w:t>
      </w:r>
      <w:r>
        <w:rPr>
          <w:rFonts w:ascii="Times New Roman" w:hAnsi="Times New Roman"/>
          <w:b/>
          <w:sz w:val="28"/>
          <w:szCs w:val="24"/>
        </w:rPr>
        <w:t xml:space="preserve"> </w:t>
      </w:r>
      <w:r w:rsidR="006346A7" w:rsidRPr="00E721BD">
        <w:rPr>
          <w:rFonts w:ascii="Times New Roman" w:hAnsi="Times New Roman"/>
          <w:b/>
          <w:sz w:val="28"/>
          <w:szCs w:val="24"/>
        </w:rPr>
        <w:t xml:space="preserve">Национального Банка          </w:t>
      </w:r>
      <w:r w:rsidR="00875448" w:rsidRPr="00E721BD">
        <w:rPr>
          <w:rFonts w:ascii="Times New Roman" w:hAnsi="Times New Roman"/>
          <w:b/>
          <w:sz w:val="28"/>
          <w:szCs w:val="24"/>
        </w:rPr>
        <w:t xml:space="preserve">     </w:t>
      </w:r>
      <w:r w:rsidR="006346A7" w:rsidRPr="00E721BD">
        <w:rPr>
          <w:rFonts w:ascii="Times New Roman" w:hAnsi="Times New Roman"/>
          <w:b/>
          <w:sz w:val="28"/>
          <w:szCs w:val="24"/>
        </w:rPr>
        <w:t xml:space="preserve">        </w:t>
      </w:r>
      <w:r w:rsidR="00875448" w:rsidRPr="00E721BD">
        <w:rPr>
          <w:rFonts w:ascii="Times New Roman" w:hAnsi="Times New Roman"/>
          <w:b/>
          <w:sz w:val="28"/>
          <w:szCs w:val="24"/>
        </w:rPr>
        <w:t xml:space="preserve">  </w:t>
      </w:r>
      <w:r>
        <w:rPr>
          <w:rFonts w:ascii="Times New Roman" w:hAnsi="Times New Roman"/>
          <w:b/>
          <w:sz w:val="28"/>
          <w:szCs w:val="24"/>
        </w:rPr>
        <w:t xml:space="preserve">                </w:t>
      </w:r>
      <w:r w:rsidR="006346A7" w:rsidRPr="00E721BD">
        <w:rPr>
          <w:rFonts w:ascii="Times New Roman" w:hAnsi="Times New Roman"/>
          <w:b/>
          <w:sz w:val="28"/>
          <w:szCs w:val="24"/>
        </w:rPr>
        <w:t>Д. Акишев</w:t>
      </w:r>
    </w:p>
    <w:p w:rsidR="006346A7" w:rsidRPr="00E721BD" w:rsidRDefault="006346A7" w:rsidP="006346A7">
      <w:pPr>
        <w:spacing w:line="240" w:lineRule="auto"/>
        <w:contextualSpacing/>
        <w:jc w:val="both"/>
        <w:rPr>
          <w:rFonts w:ascii="Times New Roman" w:hAnsi="Times New Roman"/>
        </w:rPr>
      </w:pPr>
    </w:p>
    <w:p w:rsidR="00514689" w:rsidRPr="00E721BD" w:rsidRDefault="00514689" w:rsidP="006346A7">
      <w:pPr>
        <w:spacing w:line="240" w:lineRule="auto"/>
        <w:contextualSpacing/>
        <w:jc w:val="both"/>
        <w:rPr>
          <w:rFonts w:ascii="Times New Roman" w:hAnsi="Times New Roman" w:cs="Times New Roman"/>
          <w:b/>
          <w:sz w:val="24"/>
          <w:szCs w:val="24"/>
        </w:rPr>
      </w:pPr>
    </w:p>
    <w:p w:rsidR="00797FEA" w:rsidRDefault="00797FEA" w:rsidP="006346A7">
      <w:pPr>
        <w:spacing w:line="240" w:lineRule="auto"/>
        <w:contextualSpacing/>
        <w:jc w:val="both"/>
        <w:rPr>
          <w:rFonts w:ascii="Times New Roman" w:hAnsi="Times New Roman" w:cs="Times New Roman"/>
          <w:i/>
          <w:sz w:val="18"/>
          <w:szCs w:val="24"/>
        </w:rPr>
      </w:pPr>
    </w:p>
    <w:p w:rsidR="00797FEA" w:rsidRDefault="00797FEA" w:rsidP="006346A7">
      <w:pPr>
        <w:spacing w:line="240" w:lineRule="auto"/>
        <w:contextualSpacing/>
        <w:jc w:val="both"/>
        <w:rPr>
          <w:rFonts w:ascii="Times New Roman" w:hAnsi="Times New Roman" w:cs="Times New Roman"/>
          <w:i/>
          <w:sz w:val="18"/>
          <w:szCs w:val="24"/>
        </w:rPr>
      </w:pPr>
    </w:p>
    <w:p w:rsidR="005F0475" w:rsidRDefault="005F0475" w:rsidP="006346A7">
      <w:pPr>
        <w:spacing w:line="240" w:lineRule="auto"/>
        <w:contextualSpacing/>
        <w:jc w:val="both"/>
        <w:rPr>
          <w:rFonts w:ascii="Times New Roman" w:hAnsi="Times New Roman" w:cs="Times New Roman"/>
          <w:i/>
          <w:sz w:val="18"/>
          <w:szCs w:val="24"/>
        </w:rPr>
      </w:pPr>
    </w:p>
    <w:p w:rsidR="005F0475" w:rsidRDefault="005F0475" w:rsidP="006346A7">
      <w:pPr>
        <w:spacing w:line="240" w:lineRule="auto"/>
        <w:contextualSpacing/>
        <w:jc w:val="both"/>
        <w:rPr>
          <w:rFonts w:ascii="Times New Roman" w:hAnsi="Times New Roman" w:cs="Times New Roman"/>
          <w:i/>
          <w:sz w:val="18"/>
          <w:szCs w:val="24"/>
        </w:rPr>
      </w:pPr>
    </w:p>
    <w:p w:rsidR="005F0475" w:rsidRDefault="005F0475" w:rsidP="006346A7">
      <w:pPr>
        <w:spacing w:line="240" w:lineRule="auto"/>
        <w:contextualSpacing/>
        <w:jc w:val="both"/>
        <w:rPr>
          <w:rFonts w:ascii="Times New Roman" w:hAnsi="Times New Roman" w:cs="Times New Roman"/>
          <w:i/>
          <w:sz w:val="18"/>
          <w:szCs w:val="24"/>
        </w:rPr>
      </w:pPr>
    </w:p>
    <w:p w:rsidR="005F0475" w:rsidRDefault="005F0475" w:rsidP="006346A7">
      <w:pPr>
        <w:spacing w:line="240" w:lineRule="auto"/>
        <w:contextualSpacing/>
        <w:jc w:val="both"/>
        <w:rPr>
          <w:rFonts w:ascii="Times New Roman" w:hAnsi="Times New Roman" w:cs="Times New Roman"/>
          <w:i/>
          <w:sz w:val="18"/>
          <w:szCs w:val="24"/>
        </w:rPr>
      </w:pPr>
    </w:p>
    <w:p w:rsidR="005F0475" w:rsidRDefault="005F0475" w:rsidP="006346A7">
      <w:pPr>
        <w:spacing w:line="240" w:lineRule="auto"/>
        <w:contextualSpacing/>
        <w:jc w:val="both"/>
        <w:rPr>
          <w:rFonts w:ascii="Times New Roman" w:hAnsi="Times New Roman" w:cs="Times New Roman"/>
          <w:i/>
          <w:sz w:val="18"/>
          <w:szCs w:val="24"/>
        </w:rPr>
      </w:pPr>
    </w:p>
    <w:p w:rsidR="005F0475" w:rsidRDefault="005F0475" w:rsidP="006346A7">
      <w:pPr>
        <w:spacing w:line="240" w:lineRule="auto"/>
        <w:contextualSpacing/>
        <w:jc w:val="both"/>
        <w:rPr>
          <w:rFonts w:ascii="Times New Roman" w:hAnsi="Times New Roman" w:cs="Times New Roman"/>
          <w:i/>
          <w:sz w:val="18"/>
          <w:szCs w:val="24"/>
        </w:rPr>
      </w:pPr>
    </w:p>
    <w:p w:rsidR="005F0475" w:rsidRDefault="005F0475" w:rsidP="006346A7">
      <w:pPr>
        <w:spacing w:line="240" w:lineRule="auto"/>
        <w:contextualSpacing/>
        <w:jc w:val="both"/>
        <w:rPr>
          <w:rFonts w:ascii="Times New Roman" w:hAnsi="Times New Roman" w:cs="Times New Roman"/>
          <w:i/>
          <w:sz w:val="18"/>
          <w:szCs w:val="24"/>
        </w:rPr>
      </w:pPr>
    </w:p>
    <w:p w:rsidR="005F0475" w:rsidRDefault="005F0475" w:rsidP="006346A7">
      <w:pPr>
        <w:spacing w:line="240" w:lineRule="auto"/>
        <w:contextualSpacing/>
        <w:jc w:val="both"/>
        <w:rPr>
          <w:rFonts w:ascii="Times New Roman" w:hAnsi="Times New Roman" w:cs="Times New Roman"/>
          <w:i/>
          <w:sz w:val="18"/>
          <w:szCs w:val="24"/>
        </w:rPr>
      </w:pPr>
    </w:p>
    <w:p w:rsidR="005F0475" w:rsidRDefault="005F0475" w:rsidP="006346A7">
      <w:pPr>
        <w:spacing w:line="240" w:lineRule="auto"/>
        <w:contextualSpacing/>
        <w:jc w:val="both"/>
        <w:rPr>
          <w:rFonts w:ascii="Times New Roman" w:hAnsi="Times New Roman" w:cs="Times New Roman"/>
          <w:i/>
          <w:sz w:val="18"/>
          <w:szCs w:val="24"/>
        </w:rPr>
      </w:pPr>
    </w:p>
    <w:p w:rsidR="005F0475" w:rsidRDefault="005F0475" w:rsidP="006346A7">
      <w:pPr>
        <w:spacing w:line="240" w:lineRule="auto"/>
        <w:contextualSpacing/>
        <w:jc w:val="both"/>
        <w:rPr>
          <w:rFonts w:ascii="Times New Roman" w:hAnsi="Times New Roman" w:cs="Times New Roman"/>
          <w:i/>
          <w:sz w:val="18"/>
          <w:szCs w:val="24"/>
        </w:rPr>
      </w:pPr>
    </w:p>
    <w:p w:rsidR="005F0475" w:rsidRDefault="005F0475" w:rsidP="006346A7">
      <w:pPr>
        <w:spacing w:line="240" w:lineRule="auto"/>
        <w:contextualSpacing/>
        <w:jc w:val="both"/>
        <w:rPr>
          <w:rFonts w:ascii="Times New Roman" w:hAnsi="Times New Roman" w:cs="Times New Roman"/>
          <w:i/>
          <w:sz w:val="18"/>
          <w:szCs w:val="24"/>
        </w:rPr>
      </w:pPr>
    </w:p>
    <w:p w:rsidR="005F0475" w:rsidRDefault="005F0475" w:rsidP="006346A7">
      <w:pPr>
        <w:spacing w:line="240" w:lineRule="auto"/>
        <w:contextualSpacing/>
        <w:jc w:val="both"/>
        <w:rPr>
          <w:rFonts w:ascii="Times New Roman" w:hAnsi="Times New Roman" w:cs="Times New Roman"/>
          <w:i/>
          <w:sz w:val="18"/>
          <w:szCs w:val="24"/>
        </w:rPr>
      </w:pPr>
    </w:p>
    <w:p w:rsidR="005F0475" w:rsidRDefault="005F0475" w:rsidP="006346A7">
      <w:pPr>
        <w:spacing w:line="240" w:lineRule="auto"/>
        <w:contextualSpacing/>
        <w:jc w:val="both"/>
        <w:rPr>
          <w:rFonts w:ascii="Times New Roman" w:hAnsi="Times New Roman" w:cs="Times New Roman"/>
          <w:i/>
          <w:sz w:val="18"/>
          <w:szCs w:val="24"/>
        </w:rPr>
      </w:pPr>
    </w:p>
    <w:p w:rsidR="005F0475" w:rsidRDefault="005F0475" w:rsidP="006346A7">
      <w:pPr>
        <w:spacing w:line="240" w:lineRule="auto"/>
        <w:contextualSpacing/>
        <w:jc w:val="both"/>
        <w:rPr>
          <w:rFonts w:ascii="Times New Roman" w:hAnsi="Times New Roman" w:cs="Times New Roman"/>
          <w:i/>
          <w:sz w:val="18"/>
          <w:szCs w:val="24"/>
        </w:rPr>
      </w:pPr>
    </w:p>
    <w:p w:rsidR="005F0475" w:rsidRDefault="005F0475" w:rsidP="006346A7">
      <w:pPr>
        <w:spacing w:line="240" w:lineRule="auto"/>
        <w:contextualSpacing/>
        <w:jc w:val="both"/>
        <w:rPr>
          <w:rFonts w:ascii="Times New Roman" w:hAnsi="Times New Roman" w:cs="Times New Roman"/>
          <w:i/>
          <w:sz w:val="18"/>
          <w:szCs w:val="24"/>
        </w:rPr>
      </w:pPr>
    </w:p>
    <w:p w:rsidR="001D338B" w:rsidRDefault="001D338B" w:rsidP="00434459">
      <w:pPr>
        <w:spacing w:line="240" w:lineRule="auto"/>
        <w:ind w:firstLine="709"/>
        <w:contextualSpacing/>
        <w:jc w:val="both"/>
        <w:rPr>
          <w:rFonts w:ascii="Times New Roman" w:hAnsi="Times New Roman" w:cs="Times New Roman"/>
          <w:i/>
          <w:sz w:val="18"/>
          <w:szCs w:val="24"/>
        </w:rPr>
      </w:pPr>
    </w:p>
    <w:p w:rsidR="00C83D25" w:rsidRDefault="00C83D25" w:rsidP="00434459">
      <w:pPr>
        <w:spacing w:line="240" w:lineRule="auto"/>
        <w:ind w:firstLine="709"/>
        <w:contextualSpacing/>
        <w:jc w:val="both"/>
        <w:rPr>
          <w:rFonts w:ascii="Times New Roman" w:hAnsi="Times New Roman" w:cs="Times New Roman"/>
          <w:i/>
          <w:sz w:val="18"/>
          <w:szCs w:val="24"/>
        </w:rPr>
      </w:pPr>
    </w:p>
    <w:p w:rsidR="00C83D25" w:rsidRDefault="00C83D25" w:rsidP="00434459">
      <w:pPr>
        <w:spacing w:line="240" w:lineRule="auto"/>
        <w:ind w:firstLine="709"/>
        <w:contextualSpacing/>
        <w:jc w:val="both"/>
        <w:rPr>
          <w:rFonts w:ascii="Times New Roman" w:hAnsi="Times New Roman" w:cs="Times New Roman"/>
          <w:i/>
          <w:sz w:val="18"/>
          <w:szCs w:val="24"/>
        </w:rPr>
      </w:pPr>
    </w:p>
    <w:p w:rsidR="00C83D25" w:rsidRDefault="00C83D25" w:rsidP="00434459">
      <w:pPr>
        <w:spacing w:line="240" w:lineRule="auto"/>
        <w:ind w:firstLine="709"/>
        <w:contextualSpacing/>
        <w:jc w:val="both"/>
        <w:rPr>
          <w:rFonts w:ascii="Times New Roman" w:hAnsi="Times New Roman" w:cs="Times New Roman"/>
          <w:i/>
          <w:sz w:val="18"/>
          <w:szCs w:val="24"/>
        </w:rPr>
      </w:pPr>
    </w:p>
    <w:p w:rsidR="00C83D25" w:rsidRDefault="00C83D25" w:rsidP="00434459">
      <w:pPr>
        <w:spacing w:line="240" w:lineRule="auto"/>
        <w:ind w:firstLine="709"/>
        <w:contextualSpacing/>
        <w:jc w:val="both"/>
        <w:rPr>
          <w:rFonts w:ascii="Times New Roman" w:hAnsi="Times New Roman" w:cs="Times New Roman"/>
          <w:i/>
          <w:sz w:val="18"/>
          <w:szCs w:val="24"/>
        </w:rPr>
      </w:pPr>
    </w:p>
    <w:p w:rsidR="00C83D25" w:rsidRDefault="00C83D25" w:rsidP="00434459">
      <w:pPr>
        <w:spacing w:line="240" w:lineRule="auto"/>
        <w:ind w:firstLine="709"/>
        <w:contextualSpacing/>
        <w:jc w:val="both"/>
        <w:rPr>
          <w:rFonts w:ascii="Times New Roman" w:hAnsi="Times New Roman" w:cs="Times New Roman"/>
          <w:i/>
          <w:sz w:val="18"/>
          <w:szCs w:val="24"/>
        </w:rPr>
      </w:pPr>
    </w:p>
    <w:p w:rsidR="00C83D25" w:rsidRDefault="00C83D25" w:rsidP="00434459">
      <w:pPr>
        <w:spacing w:line="240" w:lineRule="auto"/>
        <w:ind w:firstLine="709"/>
        <w:contextualSpacing/>
        <w:jc w:val="both"/>
        <w:rPr>
          <w:rFonts w:ascii="Times New Roman" w:hAnsi="Times New Roman" w:cs="Times New Roman"/>
          <w:i/>
          <w:sz w:val="18"/>
          <w:szCs w:val="24"/>
        </w:rPr>
      </w:pPr>
    </w:p>
    <w:p w:rsidR="00C83D25" w:rsidRDefault="00C83D25" w:rsidP="00434459">
      <w:pPr>
        <w:spacing w:line="240" w:lineRule="auto"/>
        <w:ind w:firstLine="709"/>
        <w:contextualSpacing/>
        <w:jc w:val="both"/>
        <w:rPr>
          <w:rFonts w:ascii="Times New Roman" w:hAnsi="Times New Roman" w:cs="Times New Roman"/>
          <w:i/>
          <w:sz w:val="18"/>
          <w:szCs w:val="24"/>
        </w:rPr>
      </w:pPr>
    </w:p>
    <w:p w:rsidR="00C83D25" w:rsidRDefault="00C83D25" w:rsidP="00434459">
      <w:pPr>
        <w:spacing w:line="240" w:lineRule="auto"/>
        <w:ind w:firstLine="709"/>
        <w:contextualSpacing/>
        <w:jc w:val="both"/>
        <w:rPr>
          <w:rFonts w:ascii="Times New Roman" w:hAnsi="Times New Roman"/>
          <w:b/>
          <w:sz w:val="24"/>
          <w:szCs w:val="24"/>
        </w:rPr>
      </w:pPr>
      <w:bookmarkStart w:id="1" w:name="_GoBack"/>
      <w:bookmarkEnd w:id="1"/>
    </w:p>
    <w:p w:rsidR="005F0475" w:rsidRDefault="005F0475" w:rsidP="00434459">
      <w:pPr>
        <w:spacing w:line="240" w:lineRule="auto"/>
        <w:ind w:firstLine="709"/>
        <w:contextualSpacing/>
        <w:jc w:val="both"/>
        <w:rPr>
          <w:rFonts w:ascii="Times New Roman" w:hAnsi="Times New Roman"/>
          <w:b/>
          <w:sz w:val="24"/>
          <w:szCs w:val="24"/>
        </w:rPr>
      </w:pPr>
    </w:p>
    <w:p w:rsidR="005F0475" w:rsidRDefault="005F0475" w:rsidP="00434459">
      <w:pPr>
        <w:spacing w:line="240" w:lineRule="auto"/>
        <w:ind w:firstLine="709"/>
        <w:contextualSpacing/>
        <w:jc w:val="both"/>
        <w:rPr>
          <w:rFonts w:ascii="Times New Roman" w:hAnsi="Times New Roman"/>
          <w:b/>
          <w:sz w:val="24"/>
          <w:szCs w:val="24"/>
        </w:rPr>
      </w:pPr>
    </w:p>
    <w:p w:rsidR="00E20F8F" w:rsidRPr="00434459" w:rsidRDefault="00E20F8F" w:rsidP="00434459">
      <w:pPr>
        <w:spacing w:line="240" w:lineRule="auto"/>
        <w:ind w:firstLine="709"/>
        <w:contextualSpacing/>
        <w:jc w:val="both"/>
        <w:rPr>
          <w:rFonts w:ascii="Times New Roman" w:hAnsi="Times New Roman" w:cs="Times New Roman"/>
          <w:i/>
          <w:sz w:val="18"/>
          <w:szCs w:val="24"/>
        </w:rPr>
      </w:pPr>
      <w:r w:rsidRPr="00E721BD">
        <w:rPr>
          <w:rFonts w:ascii="Times New Roman" w:hAnsi="Times New Roman"/>
          <w:b/>
          <w:sz w:val="24"/>
          <w:szCs w:val="24"/>
        </w:rPr>
        <w:lastRenderedPageBreak/>
        <w:t xml:space="preserve">Примечания: </w:t>
      </w:r>
    </w:p>
    <w:p w:rsidR="00E20F8F" w:rsidRPr="00E721BD" w:rsidRDefault="00F2659C" w:rsidP="00E20F8F">
      <w:pPr>
        <w:spacing w:line="240" w:lineRule="auto"/>
        <w:ind w:firstLine="709"/>
        <w:contextualSpacing/>
        <w:jc w:val="both"/>
        <w:rPr>
          <w:rFonts w:ascii="Times New Roman" w:hAnsi="Times New Roman"/>
          <w:sz w:val="24"/>
          <w:szCs w:val="24"/>
        </w:rPr>
      </w:pPr>
      <w:r>
        <w:rPr>
          <w:rFonts w:ascii="Times New Roman" w:hAnsi="Times New Roman"/>
          <w:sz w:val="24"/>
          <w:szCs w:val="24"/>
        </w:rPr>
        <w:t>Расшифровка аббревиатур:</w:t>
      </w:r>
    </w:p>
    <w:p w:rsidR="00E20F8F" w:rsidRPr="00E721BD" w:rsidRDefault="00E20F8F" w:rsidP="00E20F8F">
      <w:pPr>
        <w:spacing w:line="240" w:lineRule="auto"/>
        <w:ind w:firstLine="709"/>
        <w:contextualSpacing/>
        <w:jc w:val="both"/>
        <w:rPr>
          <w:rFonts w:ascii="Times New Roman" w:hAnsi="Times New Roman"/>
          <w:sz w:val="24"/>
          <w:szCs w:val="24"/>
        </w:rPr>
      </w:pPr>
      <w:r w:rsidRPr="00E721BD">
        <w:rPr>
          <w:rFonts w:ascii="Times New Roman" w:hAnsi="Times New Roman"/>
          <w:sz w:val="24"/>
          <w:szCs w:val="24"/>
        </w:rPr>
        <w:t>АПРК – Администрация Президента Республики Казахстан</w:t>
      </w:r>
    </w:p>
    <w:p w:rsidR="00E20F8F" w:rsidRPr="00E721BD" w:rsidRDefault="00E20F8F" w:rsidP="00E20F8F">
      <w:pPr>
        <w:spacing w:line="240" w:lineRule="auto"/>
        <w:ind w:firstLine="709"/>
        <w:contextualSpacing/>
        <w:jc w:val="both"/>
        <w:rPr>
          <w:rFonts w:ascii="Times New Roman" w:hAnsi="Times New Roman"/>
          <w:sz w:val="24"/>
          <w:szCs w:val="24"/>
        </w:rPr>
      </w:pPr>
      <w:r w:rsidRPr="00E721BD">
        <w:rPr>
          <w:rFonts w:ascii="Times New Roman" w:hAnsi="Times New Roman"/>
          <w:sz w:val="24"/>
          <w:szCs w:val="24"/>
        </w:rPr>
        <w:t xml:space="preserve">ВВП – валовый внутренний продукт </w:t>
      </w:r>
    </w:p>
    <w:p w:rsidR="00E20F8F" w:rsidRPr="00E721BD" w:rsidRDefault="00E20F8F" w:rsidP="00E20F8F">
      <w:pPr>
        <w:spacing w:line="240" w:lineRule="auto"/>
        <w:ind w:firstLine="709"/>
        <w:contextualSpacing/>
        <w:jc w:val="both"/>
        <w:rPr>
          <w:rFonts w:ascii="Times New Roman" w:hAnsi="Times New Roman"/>
          <w:sz w:val="24"/>
          <w:szCs w:val="24"/>
        </w:rPr>
      </w:pPr>
      <w:r w:rsidRPr="00E721BD">
        <w:rPr>
          <w:rFonts w:ascii="Times New Roman" w:hAnsi="Times New Roman"/>
          <w:sz w:val="24"/>
          <w:szCs w:val="24"/>
        </w:rPr>
        <w:t>ЗВА – золотовалютные активы</w:t>
      </w:r>
    </w:p>
    <w:p w:rsidR="00E20F8F" w:rsidRPr="00E721BD" w:rsidRDefault="00E20F8F" w:rsidP="00E20F8F">
      <w:pPr>
        <w:spacing w:line="240" w:lineRule="auto"/>
        <w:ind w:firstLine="709"/>
        <w:contextualSpacing/>
        <w:jc w:val="both"/>
        <w:rPr>
          <w:rFonts w:ascii="Times New Roman" w:hAnsi="Times New Roman"/>
          <w:sz w:val="24"/>
          <w:szCs w:val="24"/>
        </w:rPr>
      </w:pPr>
      <w:r w:rsidRPr="00E721BD">
        <w:rPr>
          <w:rFonts w:ascii="Times New Roman" w:hAnsi="Times New Roman"/>
          <w:sz w:val="24"/>
          <w:szCs w:val="24"/>
        </w:rPr>
        <w:t>КЦМР НБРК  – Казахстанский центр межбанковских расчетов Национального Банка Республики Казахстан</w:t>
      </w:r>
    </w:p>
    <w:p w:rsidR="00E20F8F" w:rsidRPr="00E721BD" w:rsidRDefault="00E20F8F" w:rsidP="00E20F8F">
      <w:pPr>
        <w:spacing w:line="240" w:lineRule="auto"/>
        <w:ind w:firstLine="709"/>
        <w:contextualSpacing/>
        <w:jc w:val="both"/>
        <w:rPr>
          <w:rFonts w:ascii="Times New Roman" w:hAnsi="Times New Roman"/>
          <w:sz w:val="24"/>
          <w:szCs w:val="24"/>
        </w:rPr>
      </w:pPr>
      <w:r w:rsidRPr="00E721BD">
        <w:rPr>
          <w:rFonts w:ascii="Times New Roman" w:hAnsi="Times New Roman"/>
          <w:sz w:val="24"/>
          <w:szCs w:val="24"/>
        </w:rPr>
        <w:t>НБРК – Национальный Банка Республики Казахстан</w:t>
      </w:r>
    </w:p>
    <w:p w:rsidR="00E20F8F" w:rsidRPr="00E721BD" w:rsidRDefault="00E20F8F" w:rsidP="00E20F8F">
      <w:pPr>
        <w:spacing w:line="240" w:lineRule="auto"/>
        <w:ind w:firstLine="709"/>
        <w:contextualSpacing/>
        <w:jc w:val="both"/>
        <w:rPr>
          <w:rFonts w:ascii="Times New Roman" w:hAnsi="Times New Roman"/>
          <w:sz w:val="24"/>
          <w:szCs w:val="24"/>
        </w:rPr>
      </w:pPr>
      <w:r w:rsidRPr="00E721BD">
        <w:rPr>
          <w:rFonts w:ascii="Times New Roman" w:hAnsi="Times New Roman"/>
          <w:sz w:val="24"/>
          <w:szCs w:val="24"/>
        </w:rPr>
        <w:t xml:space="preserve">НФ РК – Национальный фонд Республики Казахстан </w:t>
      </w:r>
    </w:p>
    <w:p w:rsidR="00E20F8F" w:rsidRPr="00E721BD" w:rsidRDefault="00E20F8F" w:rsidP="00E20F8F">
      <w:pPr>
        <w:spacing w:line="240" w:lineRule="auto"/>
        <w:ind w:firstLine="709"/>
        <w:contextualSpacing/>
        <w:jc w:val="both"/>
        <w:rPr>
          <w:rFonts w:ascii="Times New Roman" w:hAnsi="Times New Roman"/>
          <w:sz w:val="24"/>
          <w:szCs w:val="24"/>
        </w:rPr>
      </w:pPr>
      <w:r w:rsidRPr="00E721BD">
        <w:rPr>
          <w:rFonts w:ascii="Times New Roman" w:hAnsi="Times New Roman"/>
          <w:sz w:val="24"/>
          <w:szCs w:val="24"/>
        </w:rPr>
        <w:t>МСПД – межбанковская система переводов денег</w:t>
      </w:r>
    </w:p>
    <w:p w:rsidR="00E20F8F" w:rsidRPr="00E721BD" w:rsidRDefault="00E20F8F" w:rsidP="00E20F8F">
      <w:pPr>
        <w:spacing w:line="240" w:lineRule="auto"/>
        <w:ind w:firstLine="709"/>
        <w:contextualSpacing/>
        <w:jc w:val="both"/>
        <w:rPr>
          <w:rFonts w:ascii="Times New Roman" w:hAnsi="Times New Roman"/>
          <w:sz w:val="24"/>
          <w:szCs w:val="24"/>
        </w:rPr>
      </w:pPr>
      <w:r w:rsidRPr="00E721BD">
        <w:rPr>
          <w:rFonts w:ascii="Times New Roman" w:hAnsi="Times New Roman"/>
          <w:sz w:val="24"/>
          <w:szCs w:val="24"/>
        </w:rPr>
        <w:t>СМК – Система межбанковского клиринга</w:t>
      </w:r>
    </w:p>
    <w:p w:rsidR="00E20F8F" w:rsidRPr="00E721BD" w:rsidRDefault="00E20F8F" w:rsidP="00E20F8F">
      <w:pPr>
        <w:spacing w:line="240" w:lineRule="auto"/>
        <w:ind w:firstLine="709"/>
        <w:contextualSpacing/>
        <w:jc w:val="both"/>
        <w:rPr>
          <w:rFonts w:ascii="Times New Roman" w:hAnsi="Times New Roman"/>
          <w:sz w:val="24"/>
          <w:szCs w:val="24"/>
        </w:rPr>
      </w:pPr>
      <w:r w:rsidRPr="00E721BD">
        <w:rPr>
          <w:rFonts w:ascii="Times New Roman" w:hAnsi="Times New Roman"/>
          <w:sz w:val="24"/>
          <w:szCs w:val="24"/>
        </w:rPr>
        <w:t>ПП НБРК – постановление Правления Национального Банка Республики Казахстан</w:t>
      </w:r>
    </w:p>
    <w:p w:rsidR="00E20F8F" w:rsidRPr="00E721BD" w:rsidRDefault="00E20F8F" w:rsidP="00E20F8F">
      <w:pPr>
        <w:spacing w:line="240" w:lineRule="auto"/>
        <w:ind w:firstLine="709"/>
        <w:contextualSpacing/>
        <w:jc w:val="both"/>
        <w:rPr>
          <w:rFonts w:ascii="Times New Roman" w:hAnsi="Times New Roman"/>
          <w:sz w:val="24"/>
          <w:szCs w:val="24"/>
        </w:rPr>
      </w:pPr>
      <w:r w:rsidRPr="00E721BD">
        <w:rPr>
          <w:rFonts w:ascii="Times New Roman" w:hAnsi="Times New Roman"/>
          <w:sz w:val="24"/>
          <w:szCs w:val="24"/>
        </w:rPr>
        <w:t>КС МНЭ РК – Комитет по статистике Министерства национальной экономики Республики Казахстан</w:t>
      </w:r>
    </w:p>
    <w:p w:rsidR="00E20F8F" w:rsidRPr="00E721BD" w:rsidRDefault="00E20F8F" w:rsidP="00E20F8F">
      <w:pPr>
        <w:spacing w:line="240" w:lineRule="auto"/>
        <w:ind w:firstLine="709"/>
        <w:contextualSpacing/>
        <w:jc w:val="both"/>
        <w:rPr>
          <w:rFonts w:ascii="Times New Roman" w:hAnsi="Times New Roman"/>
          <w:sz w:val="24"/>
          <w:szCs w:val="24"/>
        </w:rPr>
      </w:pPr>
      <w:r w:rsidRPr="00E721BD">
        <w:rPr>
          <w:rFonts w:ascii="Times New Roman" w:hAnsi="Times New Roman"/>
          <w:sz w:val="24"/>
          <w:szCs w:val="24"/>
        </w:rPr>
        <w:t>МВФ – Международный Валютный Фонд</w:t>
      </w:r>
    </w:p>
    <w:p w:rsidR="00E20F8F" w:rsidRDefault="00E20F8F" w:rsidP="00E20F8F">
      <w:pPr>
        <w:spacing w:line="240" w:lineRule="auto"/>
        <w:ind w:firstLine="709"/>
        <w:contextualSpacing/>
        <w:jc w:val="both"/>
        <w:rPr>
          <w:rFonts w:ascii="Times New Roman" w:hAnsi="Times New Roman"/>
          <w:sz w:val="24"/>
          <w:szCs w:val="24"/>
        </w:rPr>
      </w:pPr>
      <w:r w:rsidRPr="00E721BD">
        <w:rPr>
          <w:rFonts w:ascii="Times New Roman" w:hAnsi="Times New Roman"/>
          <w:sz w:val="24"/>
          <w:szCs w:val="24"/>
        </w:rPr>
        <w:t>МЮ РК – Министерство юстиции Республики Казахстан</w:t>
      </w:r>
    </w:p>
    <w:p w:rsidR="00E36986" w:rsidRDefault="00E36986" w:rsidP="00E20F8F">
      <w:pPr>
        <w:spacing w:line="240" w:lineRule="auto"/>
        <w:ind w:firstLine="709"/>
        <w:contextualSpacing/>
        <w:jc w:val="both"/>
        <w:rPr>
          <w:rFonts w:ascii="Times New Roman" w:hAnsi="Times New Roman"/>
          <w:sz w:val="24"/>
          <w:szCs w:val="24"/>
        </w:rPr>
      </w:pPr>
      <w:r>
        <w:rPr>
          <w:rFonts w:ascii="Times New Roman" w:hAnsi="Times New Roman"/>
          <w:sz w:val="24"/>
          <w:szCs w:val="24"/>
        </w:rPr>
        <w:t>ЕНПФ – АО «Единый накопительный пенсионный фонд»</w:t>
      </w:r>
    </w:p>
    <w:p w:rsidR="00F2659C" w:rsidRDefault="00F2659C" w:rsidP="00E20F8F">
      <w:pPr>
        <w:spacing w:line="240" w:lineRule="auto"/>
        <w:ind w:firstLine="709"/>
        <w:contextualSpacing/>
        <w:jc w:val="both"/>
        <w:rPr>
          <w:rFonts w:ascii="Times New Roman" w:hAnsi="Times New Roman"/>
          <w:sz w:val="24"/>
          <w:szCs w:val="24"/>
        </w:rPr>
      </w:pPr>
      <w:r>
        <w:rPr>
          <w:rFonts w:ascii="Times New Roman" w:hAnsi="Times New Roman"/>
          <w:sz w:val="24"/>
          <w:szCs w:val="24"/>
        </w:rPr>
        <w:t>ВТО – Всемирная торговая организация</w:t>
      </w:r>
    </w:p>
    <w:p w:rsidR="00373493" w:rsidRDefault="00373493" w:rsidP="00E20F8F">
      <w:pPr>
        <w:spacing w:line="240" w:lineRule="auto"/>
        <w:ind w:firstLine="709"/>
        <w:contextualSpacing/>
        <w:jc w:val="both"/>
        <w:rPr>
          <w:rFonts w:ascii="Times New Roman" w:hAnsi="Times New Roman"/>
          <w:sz w:val="24"/>
          <w:szCs w:val="24"/>
        </w:rPr>
      </w:pPr>
      <w:r>
        <w:rPr>
          <w:rFonts w:ascii="Times New Roman" w:hAnsi="Times New Roman"/>
          <w:sz w:val="24"/>
          <w:szCs w:val="24"/>
        </w:rPr>
        <w:t>ГИК ВЭФ – Глобальный индекс конкурентоспособности Всемирного экономического форума</w:t>
      </w:r>
    </w:p>
    <w:p w:rsidR="00373493" w:rsidRDefault="00373493" w:rsidP="00E20F8F">
      <w:pPr>
        <w:spacing w:line="240" w:lineRule="auto"/>
        <w:ind w:firstLine="709"/>
        <w:contextualSpacing/>
        <w:jc w:val="both"/>
        <w:rPr>
          <w:rFonts w:ascii="Times New Roman" w:hAnsi="Times New Roman"/>
          <w:sz w:val="24"/>
          <w:szCs w:val="24"/>
        </w:rPr>
      </w:pPr>
      <w:r>
        <w:rPr>
          <w:rFonts w:ascii="Times New Roman" w:hAnsi="Times New Roman"/>
          <w:sz w:val="24"/>
          <w:szCs w:val="24"/>
        </w:rPr>
        <w:t>МСБ – малый и средний бизнес</w:t>
      </w:r>
    </w:p>
    <w:p w:rsidR="004839D9" w:rsidRDefault="004839D9" w:rsidP="00E20F8F">
      <w:pPr>
        <w:spacing w:line="240" w:lineRule="auto"/>
        <w:ind w:firstLine="709"/>
        <w:contextualSpacing/>
        <w:jc w:val="both"/>
        <w:rPr>
          <w:rFonts w:ascii="Times New Roman" w:hAnsi="Times New Roman"/>
          <w:sz w:val="24"/>
          <w:szCs w:val="24"/>
        </w:rPr>
      </w:pPr>
      <w:r>
        <w:rPr>
          <w:rFonts w:ascii="Times New Roman" w:hAnsi="Times New Roman"/>
          <w:sz w:val="24"/>
          <w:szCs w:val="24"/>
        </w:rPr>
        <w:t>РЦБ – рынок ценных бумаг</w:t>
      </w:r>
    </w:p>
    <w:p w:rsidR="004839D9" w:rsidRDefault="004839D9" w:rsidP="00E20F8F">
      <w:pPr>
        <w:spacing w:line="240" w:lineRule="auto"/>
        <w:ind w:firstLine="709"/>
        <w:contextualSpacing/>
        <w:jc w:val="both"/>
        <w:rPr>
          <w:rFonts w:ascii="Times New Roman" w:hAnsi="Times New Roman"/>
          <w:sz w:val="24"/>
          <w:szCs w:val="24"/>
        </w:rPr>
      </w:pPr>
      <w:r>
        <w:rPr>
          <w:rFonts w:ascii="Times New Roman" w:hAnsi="Times New Roman"/>
          <w:sz w:val="24"/>
          <w:szCs w:val="24"/>
        </w:rPr>
        <w:t>МФЦА – Международный финансовый центр «Астана»</w:t>
      </w:r>
    </w:p>
    <w:p w:rsidR="004839D9" w:rsidRDefault="004839D9" w:rsidP="00E20F8F">
      <w:pPr>
        <w:spacing w:line="240" w:lineRule="auto"/>
        <w:ind w:firstLine="709"/>
        <w:contextualSpacing/>
        <w:jc w:val="both"/>
        <w:rPr>
          <w:rFonts w:ascii="Times New Roman" w:hAnsi="Times New Roman"/>
          <w:sz w:val="24"/>
          <w:szCs w:val="24"/>
        </w:rPr>
      </w:pPr>
      <w:r>
        <w:rPr>
          <w:rFonts w:ascii="Times New Roman" w:hAnsi="Times New Roman"/>
          <w:sz w:val="24"/>
          <w:szCs w:val="24"/>
          <w:lang w:val="en-US"/>
        </w:rPr>
        <w:t>KASE</w:t>
      </w:r>
      <w:r w:rsidRPr="00D83FDB">
        <w:rPr>
          <w:rFonts w:ascii="Times New Roman" w:hAnsi="Times New Roman"/>
          <w:sz w:val="24"/>
          <w:szCs w:val="24"/>
        </w:rPr>
        <w:t xml:space="preserve"> – </w:t>
      </w:r>
      <w:r>
        <w:rPr>
          <w:rFonts w:ascii="Times New Roman" w:hAnsi="Times New Roman"/>
          <w:sz w:val="24"/>
          <w:szCs w:val="24"/>
        </w:rPr>
        <w:t xml:space="preserve">Казахстанская фондовая биржа </w:t>
      </w:r>
    </w:p>
    <w:p w:rsidR="00434459" w:rsidRDefault="00434459" w:rsidP="00E20F8F">
      <w:pPr>
        <w:spacing w:line="240" w:lineRule="auto"/>
        <w:ind w:firstLine="709"/>
        <w:contextualSpacing/>
        <w:jc w:val="both"/>
        <w:rPr>
          <w:rFonts w:ascii="Times New Roman" w:hAnsi="Times New Roman"/>
          <w:sz w:val="24"/>
          <w:szCs w:val="24"/>
        </w:rPr>
      </w:pPr>
      <w:r>
        <w:rPr>
          <w:rFonts w:ascii="Times New Roman" w:hAnsi="Times New Roman"/>
          <w:sz w:val="24"/>
          <w:szCs w:val="24"/>
        </w:rPr>
        <w:t>ГБД – государственная база данных</w:t>
      </w:r>
    </w:p>
    <w:p w:rsidR="00DD00CC" w:rsidRDefault="00DD00CC" w:rsidP="00E20F8F">
      <w:pPr>
        <w:spacing w:line="240" w:lineRule="auto"/>
        <w:ind w:firstLine="709"/>
        <w:contextualSpacing/>
        <w:jc w:val="both"/>
        <w:rPr>
          <w:rFonts w:ascii="Times New Roman" w:hAnsi="Times New Roman"/>
          <w:sz w:val="24"/>
          <w:szCs w:val="24"/>
        </w:rPr>
      </w:pPr>
      <w:r>
        <w:rPr>
          <w:rFonts w:ascii="Times New Roman" w:hAnsi="Times New Roman"/>
          <w:sz w:val="24"/>
          <w:szCs w:val="24"/>
        </w:rPr>
        <w:t>КФГД – Казахстанский фонд гарантирования депозитов</w:t>
      </w:r>
    </w:p>
    <w:p w:rsidR="00FD54FE" w:rsidRPr="00FD54FE" w:rsidRDefault="00FD54FE" w:rsidP="00FD54FE">
      <w:pPr>
        <w:spacing w:line="240" w:lineRule="auto"/>
        <w:ind w:firstLine="709"/>
        <w:contextualSpacing/>
        <w:jc w:val="both"/>
        <w:rPr>
          <w:rFonts w:ascii="Times New Roman" w:hAnsi="Times New Roman"/>
          <w:sz w:val="24"/>
          <w:szCs w:val="24"/>
        </w:rPr>
      </w:pPr>
      <w:r w:rsidRPr="00FD54FE">
        <w:rPr>
          <w:rFonts w:ascii="Times New Roman" w:hAnsi="Times New Roman"/>
          <w:sz w:val="24"/>
          <w:szCs w:val="24"/>
        </w:rPr>
        <w:t>LCR – Liquidity coverage ratio</w:t>
      </w:r>
    </w:p>
    <w:p w:rsidR="00FD54FE" w:rsidRPr="00FD54FE" w:rsidRDefault="00FD54FE" w:rsidP="00FD54FE">
      <w:pPr>
        <w:spacing w:line="240" w:lineRule="auto"/>
        <w:ind w:firstLine="709"/>
        <w:contextualSpacing/>
        <w:jc w:val="both"/>
        <w:rPr>
          <w:rFonts w:ascii="Times New Roman" w:hAnsi="Times New Roman"/>
          <w:sz w:val="24"/>
          <w:szCs w:val="24"/>
        </w:rPr>
      </w:pPr>
      <w:r w:rsidRPr="00FD54FE">
        <w:rPr>
          <w:rFonts w:ascii="Times New Roman" w:hAnsi="Times New Roman"/>
          <w:sz w:val="24"/>
          <w:szCs w:val="24"/>
        </w:rPr>
        <w:t>БКБН – Базельский</w:t>
      </w:r>
      <w:r>
        <w:rPr>
          <w:rFonts w:ascii="Times New Roman" w:hAnsi="Times New Roman"/>
          <w:sz w:val="24"/>
          <w:szCs w:val="24"/>
        </w:rPr>
        <w:t xml:space="preserve"> комитет по банковскому надзору</w:t>
      </w:r>
    </w:p>
    <w:p w:rsidR="00FD54FE" w:rsidRPr="00FD54FE" w:rsidRDefault="00FD54FE" w:rsidP="00FD54FE">
      <w:pPr>
        <w:spacing w:line="240" w:lineRule="auto"/>
        <w:ind w:firstLine="709"/>
        <w:contextualSpacing/>
        <w:jc w:val="both"/>
        <w:rPr>
          <w:rFonts w:ascii="Times New Roman" w:hAnsi="Times New Roman"/>
          <w:sz w:val="24"/>
          <w:szCs w:val="24"/>
        </w:rPr>
      </w:pPr>
      <w:r w:rsidRPr="00FD54FE">
        <w:rPr>
          <w:rFonts w:ascii="Times New Roman" w:hAnsi="Times New Roman"/>
          <w:sz w:val="24"/>
          <w:szCs w:val="24"/>
        </w:rPr>
        <w:t>МСФО – Международный</w:t>
      </w:r>
      <w:r>
        <w:rPr>
          <w:rFonts w:ascii="Times New Roman" w:hAnsi="Times New Roman"/>
          <w:sz w:val="24"/>
          <w:szCs w:val="24"/>
        </w:rPr>
        <w:t xml:space="preserve"> стандарт финансовой отчетности</w:t>
      </w:r>
    </w:p>
    <w:p w:rsidR="00FD54FE" w:rsidRPr="00FD54FE" w:rsidRDefault="00FD54FE" w:rsidP="00FD54FE">
      <w:pPr>
        <w:spacing w:line="240" w:lineRule="auto"/>
        <w:ind w:firstLine="709"/>
        <w:contextualSpacing/>
        <w:jc w:val="both"/>
        <w:rPr>
          <w:rFonts w:ascii="Times New Roman" w:hAnsi="Times New Roman"/>
          <w:sz w:val="24"/>
          <w:szCs w:val="24"/>
        </w:rPr>
      </w:pPr>
      <w:r w:rsidRPr="00FD54FE">
        <w:rPr>
          <w:rFonts w:ascii="Times New Roman" w:hAnsi="Times New Roman"/>
          <w:sz w:val="24"/>
          <w:szCs w:val="24"/>
        </w:rPr>
        <w:t xml:space="preserve">БРК – </w:t>
      </w:r>
      <w:r>
        <w:rPr>
          <w:rFonts w:ascii="Times New Roman" w:hAnsi="Times New Roman"/>
          <w:sz w:val="24"/>
          <w:szCs w:val="24"/>
        </w:rPr>
        <w:t>АО «Банк развития Казахстана»</w:t>
      </w:r>
    </w:p>
    <w:p w:rsidR="00FD54FE" w:rsidRPr="00FD54FE" w:rsidRDefault="00FD54FE" w:rsidP="00FD54FE">
      <w:pPr>
        <w:spacing w:line="240" w:lineRule="auto"/>
        <w:ind w:firstLine="709"/>
        <w:contextualSpacing/>
        <w:jc w:val="both"/>
        <w:rPr>
          <w:rFonts w:ascii="Times New Roman" w:hAnsi="Times New Roman"/>
          <w:sz w:val="24"/>
          <w:szCs w:val="24"/>
        </w:rPr>
      </w:pPr>
      <w:r w:rsidRPr="00FD54FE">
        <w:rPr>
          <w:rFonts w:ascii="Times New Roman" w:hAnsi="Times New Roman"/>
          <w:sz w:val="24"/>
          <w:szCs w:val="24"/>
        </w:rPr>
        <w:t xml:space="preserve">СК – </w:t>
      </w:r>
      <w:r>
        <w:rPr>
          <w:rFonts w:ascii="Times New Roman" w:hAnsi="Times New Roman"/>
          <w:sz w:val="24"/>
          <w:szCs w:val="24"/>
        </w:rPr>
        <w:t>Собственный капитал</w:t>
      </w:r>
    </w:p>
    <w:p w:rsidR="00FD54FE" w:rsidRPr="00FD54FE" w:rsidRDefault="00FD54FE" w:rsidP="00FD54FE">
      <w:pPr>
        <w:spacing w:line="240" w:lineRule="auto"/>
        <w:ind w:firstLine="709"/>
        <w:contextualSpacing/>
        <w:jc w:val="both"/>
        <w:rPr>
          <w:rFonts w:ascii="Times New Roman" w:hAnsi="Times New Roman"/>
          <w:sz w:val="24"/>
          <w:szCs w:val="24"/>
        </w:rPr>
      </w:pPr>
      <w:r w:rsidRPr="00FD54FE">
        <w:rPr>
          <w:rFonts w:ascii="Times New Roman" w:hAnsi="Times New Roman"/>
          <w:sz w:val="24"/>
          <w:szCs w:val="24"/>
        </w:rPr>
        <w:t xml:space="preserve">ЦБ – </w:t>
      </w:r>
      <w:r>
        <w:rPr>
          <w:rFonts w:ascii="Times New Roman" w:hAnsi="Times New Roman"/>
          <w:sz w:val="24"/>
          <w:szCs w:val="24"/>
        </w:rPr>
        <w:t>Ценные бумаги</w:t>
      </w:r>
    </w:p>
    <w:p w:rsidR="00FD54FE" w:rsidRPr="00FD54FE" w:rsidRDefault="00FD54FE" w:rsidP="00FD54FE">
      <w:pPr>
        <w:spacing w:line="240" w:lineRule="auto"/>
        <w:ind w:firstLine="709"/>
        <w:contextualSpacing/>
        <w:jc w:val="both"/>
        <w:rPr>
          <w:rFonts w:ascii="Times New Roman" w:hAnsi="Times New Roman"/>
          <w:sz w:val="24"/>
          <w:szCs w:val="24"/>
        </w:rPr>
      </w:pPr>
      <w:r w:rsidRPr="00FD54FE">
        <w:rPr>
          <w:rFonts w:ascii="Times New Roman" w:hAnsi="Times New Roman"/>
          <w:sz w:val="24"/>
          <w:szCs w:val="24"/>
        </w:rPr>
        <w:t>ЕАБР – Евразийский банк развития</w:t>
      </w:r>
    </w:p>
    <w:p w:rsidR="00FD54FE" w:rsidRPr="004839D9" w:rsidRDefault="00FD54FE" w:rsidP="00E20F8F">
      <w:pPr>
        <w:spacing w:line="240" w:lineRule="auto"/>
        <w:ind w:firstLine="709"/>
        <w:contextualSpacing/>
        <w:jc w:val="both"/>
        <w:rPr>
          <w:rFonts w:ascii="Times New Roman" w:hAnsi="Times New Roman"/>
          <w:sz w:val="24"/>
          <w:szCs w:val="24"/>
        </w:rPr>
      </w:pPr>
    </w:p>
    <w:p w:rsidR="00E20F8F" w:rsidRPr="00250274" w:rsidRDefault="00E20F8F" w:rsidP="006346A7">
      <w:pPr>
        <w:spacing w:line="240" w:lineRule="auto"/>
        <w:contextualSpacing/>
        <w:jc w:val="both"/>
        <w:rPr>
          <w:rFonts w:ascii="Times New Roman" w:hAnsi="Times New Roman" w:cs="Times New Roman"/>
          <w:b/>
          <w:sz w:val="24"/>
          <w:szCs w:val="24"/>
        </w:rPr>
      </w:pPr>
    </w:p>
    <w:sectPr w:rsidR="00E20F8F" w:rsidRPr="00250274" w:rsidSect="005743FE">
      <w:head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B39" w:rsidRDefault="00EE6B39" w:rsidP="00250274">
      <w:pPr>
        <w:spacing w:after="0" w:line="240" w:lineRule="auto"/>
      </w:pPr>
      <w:r>
        <w:separator/>
      </w:r>
    </w:p>
  </w:endnote>
  <w:endnote w:type="continuationSeparator" w:id="0">
    <w:p w:rsidR="00EE6B39" w:rsidRDefault="00EE6B39" w:rsidP="0025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B39" w:rsidRDefault="00EE6B39" w:rsidP="00250274">
      <w:pPr>
        <w:spacing w:after="0" w:line="240" w:lineRule="auto"/>
      </w:pPr>
      <w:r>
        <w:separator/>
      </w:r>
    </w:p>
  </w:footnote>
  <w:footnote w:type="continuationSeparator" w:id="0">
    <w:p w:rsidR="00EE6B39" w:rsidRDefault="00EE6B39" w:rsidP="00250274">
      <w:pPr>
        <w:spacing w:after="0" w:line="240" w:lineRule="auto"/>
      </w:pPr>
      <w:r>
        <w:continuationSeparator/>
      </w:r>
    </w:p>
  </w:footnote>
  <w:footnote w:id="1">
    <w:p w:rsidR="00504FEA" w:rsidRDefault="00504FEA" w:rsidP="00A33068">
      <w:pPr>
        <w:pStyle w:val="aa"/>
        <w:jc w:val="both"/>
      </w:pPr>
      <w:r>
        <w:rPr>
          <w:rStyle w:val="a9"/>
        </w:rPr>
        <w:footnoteRef/>
      </w:r>
      <w:r>
        <w:t xml:space="preserve"> Отношение золотовалютных резервов к трехмесячному импорту товаров и услуг</w:t>
      </w:r>
    </w:p>
  </w:footnote>
  <w:footnote w:id="2">
    <w:p w:rsidR="00504FEA" w:rsidRDefault="00504FEA" w:rsidP="00875448">
      <w:pPr>
        <w:pStyle w:val="aa"/>
        <w:jc w:val="both"/>
      </w:pPr>
      <w:r>
        <w:rPr>
          <w:rStyle w:val="a9"/>
        </w:rPr>
        <w:footnoteRef/>
      </w:r>
      <w:r>
        <w:t xml:space="preserve"> Коэффициент работоспособности платежной системы за год исчисляется как отношение реального времени работы (период времени от открытия операционного дня до закрытия операционного дня платежной системы с исключением периода времени, когда платежная система была остановлена) к общему времени работы платежной системы (период времени от открытия операционного дня до закрытия операционного дня платежной системы)</w:t>
      </w:r>
    </w:p>
  </w:footnote>
  <w:footnote w:id="3">
    <w:p w:rsidR="00504FEA" w:rsidRDefault="00504FEA" w:rsidP="008F13F7">
      <w:pPr>
        <w:pStyle w:val="aa"/>
        <w:jc w:val="both"/>
      </w:pPr>
      <w:r>
        <w:rPr>
          <w:rStyle w:val="a9"/>
        </w:rPr>
        <w:footnoteRef/>
      </w:r>
      <w:r>
        <w:t xml:space="preserve"> Закон Республики Казахстан от 2 июля 2018 года «</w:t>
      </w:r>
      <w:r w:rsidRPr="00C3596F">
        <w:t>О внесении изменений и дополнений в некоторые законодательные акты Республики</w:t>
      </w:r>
      <w:r>
        <w:t xml:space="preserve"> </w:t>
      </w:r>
      <w:r w:rsidRPr="00C3596F">
        <w:t>Казахстан</w:t>
      </w:r>
      <w:r>
        <w:t xml:space="preserve"> </w:t>
      </w:r>
      <w:r w:rsidRPr="00C3596F">
        <w:t>по вопросам валютного регулирования и валютного контроля, риск-ориентированного надзора за деятельностью финансовых организаций, защиты прав потребителей финансовых услуг и совершенствования деятельности Национального Банка Республики Казахстан</w:t>
      </w:r>
      <w:r>
        <w:t>»</w:t>
      </w:r>
    </w:p>
  </w:footnote>
  <w:footnote w:id="4">
    <w:p w:rsidR="00450B5D" w:rsidRPr="00450B5D" w:rsidRDefault="00450B5D" w:rsidP="00450B5D">
      <w:pPr>
        <w:pStyle w:val="aa"/>
      </w:pPr>
      <w:r w:rsidRPr="00450B5D">
        <w:rPr>
          <w:rStyle w:val="a9"/>
        </w:rPr>
        <w:footnoteRef/>
      </w:r>
      <w:r w:rsidRPr="00450B5D">
        <w:t xml:space="preserve"> Дополнено статьями </w:t>
      </w:r>
      <w:r w:rsidRPr="00450B5D">
        <w:rPr>
          <w:color w:val="000000"/>
        </w:rPr>
        <w:t>94 и 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230"/>
      <w:docPartObj>
        <w:docPartGallery w:val="Page Numbers (Top of Page)"/>
        <w:docPartUnique/>
      </w:docPartObj>
    </w:sdtPr>
    <w:sdtEndPr/>
    <w:sdtContent>
      <w:p w:rsidR="00504FEA" w:rsidRDefault="00504FEA">
        <w:pPr>
          <w:pStyle w:val="af3"/>
          <w:jc w:val="center"/>
        </w:pPr>
        <w:r>
          <w:fldChar w:fldCharType="begin"/>
        </w:r>
        <w:r>
          <w:instrText>PAGE   \* MERGEFORMAT</w:instrText>
        </w:r>
        <w:r>
          <w:fldChar w:fldCharType="separate"/>
        </w:r>
        <w:r w:rsidR="00C83D25">
          <w:rPr>
            <w:noProof/>
          </w:rPr>
          <w:t>38</w:t>
        </w:r>
        <w:r>
          <w:fldChar w:fldCharType="end"/>
        </w:r>
      </w:p>
    </w:sdtContent>
  </w:sdt>
  <w:p w:rsidR="00504FEA" w:rsidRDefault="00504FEA">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F2E9F4E"/>
    <w:lvl w:ilvl="0">
      <w:start w:val="1"/>
      <w:numFmt w:val="bullet"/>
      <w:pStyle w:val="a"/>
      <w:lvlText w:val=""/>
      <w:lvlJc w:val="left"/>
      <w:pPr>
        <w:tabs>
          <w:tab w:val="num" w:pos="720"/>
        </w:tabs>
        <w:ind w:left="720" w:hanging="720"/>
      </w:pPr>
      <w:rPr>
        <w:rFonts w:ascii="Symbol" w:hAnsi="Symbol" w:hint="default"/>
      </w:rPr>
    </w:lvl>
  </w:abstractNum>
  <w:abstractNum w:abstractNumId="1">
    <w:nsid w:val="02D547FF"/>
    <w:multiLevelType w:val="hybridMultilevel"/>
    <w:tmpl w:val="A1A824A6"/>
    <w:lvl w:ilvl="0" w:tplc="183C1ED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52E5C02"/>
    <w:multiLevelType w:val="hybridMultilevel"/>
    <w:tmpl w:val="43CAF132"/>
    <w:lvl w:ilvl="0" w:tplc="A35EBE32">
      <w:start w:val="1"/>
      <w:numFmt w:val="decimal"/>
      <w:lvlText w:val="%1)"/>
      <w:lvlJc w:val="left"/>
      <w:pPr>
        <w:ind w:left="720" w:hanging="360"/>
      </w:pPr>
      <w:rPr>
        <w:rFonts w:ascii="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328F2"/>
    <w:multiLevelType w:val="hybridMultilevel"/>
    <w:tmpl w:val="00F4DB8C"/>
    <w:lvl w:ilvl="0" w:tplc="A720E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091A85"/>
    <w:multiLevelType w:val="hybridMultilevel"/>
    <w:tmpl w:val="80C69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B330DD"/>
    <w:multiLevelType w:val="hybridMultilevel"/>
    <w:tmpl w:val="BE601212"/>
    <w:lvl w:ilvl="0" w:tplc="50342D50">
      <w:start w:val="1"/>
      <w:numFmt w:val="decimal"/>
      <w:lvlText w:val="%1)"/>
      <w:lvlJc w:val="left"/>
      <w:pPr>
        <w:ind w:left="1429" w:hanging="360"/>
      </w:pPr>
      <w:rPr>
        <w:rFonts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B1025EA"/>
    <w:multiLevelType w:val="hybridMultilevel"/>
    <w:tmpl w:val="3FA89852"/>
    <w:lvl w:ilvl="0" w:tplc="706C3B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3C429F"/>
    <w:multiLevelType w:val="hybridMultilevel"/>
    <w:tmpl w:val="08F0478A"/>
    <w:lvl w:ilvl="0" w:tplc="99AAA01C">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56E5380"/>
    <w:multiLevelType w:val="hybridMultilevel"/>
    <w:tmpl w:val="214EF3E4"/>
    <w:lvl w:ilvl="0" w:tplc="A720E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57733DA"/>
    <w:multiLevelType w:val="hybridMultilevel"/>
    <w:tmpl w:val="FBBCF0A8"/>
    <w:lvl w:ilvl="0" w:tplc="A720E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6597F88"/>
    <w:multiLevelType w:val="hybridMultilevel"/>
    <w:tmpl w:val="F7040200"/>
    <w:lvl w:ilvl="0" w:tplc="9DFC3CCE">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AF55755"/>
    <w:multiLevelType w:val="hybridMultilevel"/>
    <w:tmpl w:val="39EEDD44"/>
    <w:lvl w:ilvl="0" w:tplc="052A588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C80117C"/>
    <w:multiLevelType w:val="hybridMultilevel"/>
    <w:tmpl w:val="C88E9C80"/>
    <w:lvl w:ilvl="0" w:tplc="8EF6E73A">
      <w:start w:val="1"/>
      <w:numFmt w:val="decimal"/>
      <w:lvlText w:val="%1)"/>
      <w:lvlJc w:val="left"/>
      <w:pPr>
        <w:ind w:left="720" w:hanging="360"/>
      </w:pPr>
      <w:rPr>
        <w:rFonts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BE6D1B"/>
    <w:multiLevelType w:val="hybridMultilevel"/>
    <w:tmpl w:val="02D620AE"/>
    <w:lvl w:ilvl="0" w:tplc="F976A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2182F90"/>
    <w:multiLevelType w:val="hybridMultilevel"/>
    <w:tmpl w:val="274629DC"/>
    <w:lvl w:ilvl="0" w:tplc="04190011">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1754CE"/>
    <w:multiLevelType w:val="hybridMultilevel"/>
    <w:tmpl w:val="5B648EE4"/>
    <w:lvl w:ilvl="0" w:tplc="736C5514">
      <w:start w:val="1"/>
      <w:numFmt w:val="bullet"/>
      <w:lvlText w:val=""/>
      <w:lvlJc w:val="left"/>
      <w:pPr>
        <w:ind w:left="6173" w:hanging="360"/>
      </w:pPr>
      <w:rPr>
        <w:rFonts w:ascii="Symbol" w:hAnsi="Symbol" w:hint="default"/>
      </w:rPr>
    </w:lvl>
    <w:lvl w:ilvl="1" w:tplc="569E6212">
      <w:start w:val="1"/>
      <w:numFmt w:val="decimal"/>
      <w:lvlText w:val="%2)"/>
      <w:lvlJc w:val="left"/>
      <w:pPr>
        <w:ind w:left="-259" w:hanging="1005"/>
      </w:pPr>
      <w:rPr>
        <w:rFonts w:hint="default"/>
      </w:rPr>
    </w:lvl>
    <w:lvl w:ilvl="2" w:tplc="0419001B" w:tentative="1">
      <w:start w:val="1"/>
      <w:numFmt w:val="lowerRoman"/>
      <w:lvlText w:val="%3."/>
      <w:lvlJc w:val="right"/>
      <w:pPr>
        <w:ind w:left="-184" w:hanging="180"/>
      </w:pPr>
    </w:lvl>
    <w:lvl w:ilvl="3" w:tplc="0419000F" w:tentative="1">
      <w:start w:val="1"/>
      <w:numFmt w:val="decimal"/>
      <w:lvlText w:val="%4."/>
      <w:lvlJc w:val="left"/>
      <w:pPr>
        <w:ind w:left="536" w:hanging="360"/>
      </w:pPr>
    </w:lvl>
    <w:lvl w:ilvl="4" w:tplc="04190019" w:tentative="1">
      <w:start w:val="1"/>
      <w:numFmt w:val="lowerLetter"/>
      <w:lvlText w:val="%5."/>
      <w:lvlJc w:val="left"/>
      <w:pPr>
        <w:ind w:left="1256" w:hanging="360"/>
      </w:pPr>
    </w:lvl>
    <w:lvl w:ilvl="5" w:tplc="0419001B" w:tentative="1">
      <w:start w:val="1"/>
      <w:numFmt w:val="lowerRoman"/>
      <w:lvlText w:val="%6."/>
      <w:lvlJc w:val="right"/>
      <w:pPr>
        <w:ind w:left="1976" w:hanging="180"/>
      </w:pPr>
    </w:lvl>
    <w:lvl w:ilvl="6" w:tplc="0419000F" w:tentative="1">
      <w:start w:val="1"/>
      <w:numFmt w:val="decimal"/>
      <w:lvlText w:val="%7."/>
      <w:lvlJc w:val="left"/>
      <w:pPr>
        <w:ind w:left="2696" w:hanging="360"/>
      </w:pPr>
    </w:lvl>
    <w:lvl w:ilvl="7" w:tplc="04190019" w:tentative="1">
      <w:start w:val="1"/>
      <w:numFmt w:val="lowerLetter"/>
      <w:lvlText w:val="%8."/>
      <w:lvlJc w:val="left"/>
      <w:pPr>
        <w:ind w:left="3416" w:hanging="360"/>
      </w:pPr>
    </w:lvl>
    <w:lvl w:ilvl="8" w:tplc="0419001B" w:tentative="1">
      <w:start w:val="1"/>
      <w:numFmt w:val="lowerRoman"/>
      <w:lvlText w:val="%9."/>
      <w:lvlJc w:val="right"/>
      <w:pPr>
        <w:ind w:left="4136" w:hanging="180"/>
      </w:pPr>
    </w:lvl>
  </w:abstractNum>
  <w:abstractNum w:abstractNumId="16">
    <w:nsid w:val="29195002"/>
    <w:multiLevelType w:val="hybridMultilevel"/>
    <w:tmpl w:val="1D98D1F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nsid w:val="31611682"/>
    <w:multiLevelType w:val="hybridMultilevel"/>
    <w:tmpl w:val="32DEC4DE"/>
    <w:lvl w:ilvl="0" w:tplc="4BBA796A">
      <w:start w:val="1"/>
      <w:numFmt w:val="decimal"/>
      <w:lvlText w:val="%1)"/>
      <w:lvlJc w:val="left"/>
      <w:pPr>
        <w:ind w:left="720" w:hanging="360"/>
      </w:pPr>
      <w:rPr>
        <w:rFonts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8F20F1"/>
    <w:multiLevelType w:val="hybridMultilevel"/>
    <w:tmpl w:val="EA2AF1CE"/>
    <w:lvl w:ilvl="0" w:tplc="CD4C8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69C43B9"/>
    <w:multiLevelType w:val="hybridMultilevel"/>
    <w:tmpl w:val="1BC81E68"/>
    <w:lvl w:ilvl="0" w:tplc="FED84994">
      <w:start w:val="1"/>
      <w:numFmt w:val="decimal"/>
      <w:lvlText w:val="%1."/>
      <w:lvlJc w:val="left"/>
      <w:pPr>
        <w:ind w:left="540" w:hanging="256"/>
      </w:pPr>
      <w:rPr>
        <w:rFonts w:hint="default"/>
        <w:spacing w:val="0"/>
        <w:w w:val="100"/>
        <w:position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422E71"/>
    <w:multiLevelType w:val="hybridMultilevel"/>
    <w:tmpl w:val="E20A32DE"/>
    <w:lvl w:ilvl="0" w:tplc="736C55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CBA6A96"/>
    <w:multiLevelType w:val="hybridMultilevel"/>
    <w:tmpl w:val="A3242980"/>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E2F3F9D"/>
    <w:multiLevelType w:val="hybridMultilevel"/>
    <w:tmpl w:val="16700820"/>
    <w:lvl w:ilvl="0" w:tplc="1786D8AA">
      <w:start w:val="1"/>
      <w:numFmt w:val="decimal"/>
      <w:lvlText w:val="%1."/>
      <w:lvlJc w:val="left"/>
      <w:pPr>
        <w:ind w:left="1068" w:hanging="360"/>
      </w:pPr>
      <w:rPr>
        <w:rFonts w:ascii="Times New Roman" w:eastAsia="Times New Roman"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3F473BCB"/>
    <w:multiLevelType w:val="hybridMultilevel"/>
    <w:tmpl w:val="2654B7BE"/>
    <w:lvl w:ilvl="0" w:tplc="05D06DA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6FD20E3"/>
    <w:multiLevelType w:val="hybridMultilevel"/>
    <w:tmpl w:val="A5645AE4"/>
    <w:lvl w:ilvl="0" w:tplc="A720E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8011291"/>
    <w:multiLevelType w:val="hybridMultilevel"/>
    <w:tmpl w:val="4C025B12"/>
    <w:lvl w:ilvl="0" w:tplc="F448F7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C8006EC"/>
    <w:multiLevelType w:val="hybridMultilevel"/>
    <w:tmpl w:val="6D560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CC02AA6"/>
    <w:multiLevelType w:val="hybridMultilevel"/>
    <w:tmpl w:val="8D4077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D655656"/>
    <w:multiLevelType w:val="hybridMultilevel"/>
    <w:tmpl w:val="C22CAC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E456B34"/>
    <w:multiLevelType w:val="hybridMultilevel"/>
    <w:tmpl w:val="DAE8849E"/>
    <w:lvl w:ilvl="0" w:tplc="A720E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69673E9"/>
    <w:multiLevelType w:val="hybridMultilevel"/>
    <w:tmpl w:val="319C9232"/>
    <w:lvl w:ilvl="0" w:tplc="83DC1D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nsid w:val="5DD90EBA"/>
    <w:multiLevelType w:val="hybridMultilevel"/>
    <w:tmpl w:val="54A6B62C"/>
    <w:lvl w:ilvl="0" w:tplc="6CF8D9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FB568DF"/>
    <w:multiLevelType w:val="hybridMultilevel"/>
    <w:tmpl w:val="7A2C83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0035FE"/>
    <w:multiLevelType w:val="hybridMultilevel"/>
    <w:tmpl w:val="8F66C88E"/>
    <w:lvl w:ilvl="0" w:tplc="C0B09C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7D93148"/>
    <w:multiLevelType w:val="hybridMultilevel"/>
    <w:tmpl w:val="C15C7B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A948FD"/>
    <w:multiLevelType w:val="hybridMultilevel"/>
    <w:tmpl w:val="B9C0A31A"/>
    <w:lvl w:ilvl="0" w:tplc="05307CB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6B586A14"/>
    <w:multiLevelType w:val="hybridMultilevel"/>
    <w:tmpl w:val="17F4483A"/>
    <w:lvl w:ilvl="0" w:tplc="488EC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B5B4AF0"/>
    <w:multiLevelType w:val="hybridMultilevel"/>
    <w:tmpl w:val="327AD440"/>
    <w:lvl w:ilvl="0" w:tplc="05D06DA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C0B2216"/>
    <w:multiLevelType w:val="hybridMultilevel"/>
    <w:tmpl w:val="D7A44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D9E2870"/>
    <w:multiLevelType w:val="hybridMultilevel"/>
    <w:tmpl w:val="13D098C8"/>
    <w:lvl w:ilvl="0" w:tplc="04190001">
      <w:start w:val="1"/>
      <w:numFmt w:val="decimal"/>
      <w:lvlText w:val="%1."/>
      <w:lvlJc w:val="left"/>
      <w:pPr>
        <w:tabs>
          <w:tab w:val="num" w:pos="540"/>
        </w:tabs>
        <w:ind w:left="5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0">
    <w:nsid w:val="72F6177C"/>
    <w:multiLevelType w:val="hybridMultilevel"/>
    <w:tmpl w:val="C1DC9F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D91F80"/>
    <w:multiLevelType w:val="hybridMultilevel"/>
    <w:tmpl w:val="4CB42B74"/>
    <w:lvl w:ilvl="0" w:tplc="CD4C8FF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7A48689E"/>
    <w:multiLevelType w:val="hybridMultilevel"/>
    <w:tmpl w:val="55DAFD12"/>
    <w:lvl w:ilvl="0" w:tplc="763414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B972384"/>
    <w:multiLevelType w:val="hybridMultilevel"/>
    <w:tmpl w:val="6A9A232A"/>
    <w:lvl w:ilvl="0" w:tplc="AC140664">
      <w:start w:val="1"/>
      <w:numFmt w:val="decimal"/>
      <w:lvlText w:val="%1."/>
      <w:lvlJc w:val="center"/>
      <w:pPr>
        <w:tabs>
          <w:tab w:val="num" w:pos="252"/>
        </w:tabs>
        <w:ind w:left="252" w:hanging="7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C035675"/>
    <w:multiLevelType w:val="hybridMultilevel"/>
    <w:tmpl w:val="DECA7624"/>
    <w:lvl w:ilvl="0" w:tplc="EBEC405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5">
    <w:nsid w:val="7ED76286"/>
    <w:multiLevelType w:val="multilevel"/>
    <w:tmpl w:val="13D098C8"/>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22"/>
  </w:num>
  <w:num w:numId="3">
    <w:abstractNumId w:val="15"/>
  </w:num>
  <w:num w:numId="4">
    <w:abstractNumId w:val="0"/>
  </w:num>
  <w:num w:numId="5">
    <w:abstractNumId w:val="25"/>
  </w:num>
  <w:num w:numId="6">
    <w:abstractNumId w:val="1"/>
  </w:num>
  <w:num w:numId="7">
    <w:abstractNumId w:val="36"/>
  </w:num>
  <w:num w:numId="8">
    <w:abstractNumId w:val="13"/>
  </w:num>
  <w:num w:numId="9">
    <w:abstractNumId w:val="20"/>
  </w:num>
  <w:num w:numId="10">
    <w:abstractNumId w:val="35"/>
  </w:num>
  <w:num w:numId="11">
    <w:abstractNumId w:val="26"/>
  </w:num>
  <w:num w:numId="12">
    <w:abstractNumId w:val="38"/>
  </w:num>
  <w:num w:numId="13">
    <w:abstractNumId w:val="33"/>
  </w:num>
  <w:num w:numId="14">
    <w:abstractNumId w:val="23"/>
  </w:num>
  <w:num w:numId="15">
    <w:abstractNumId w:val="28"/>
  </w:num>
  <w:num w:numId="16">
    <w:abstractNumId w:val="27"/>
  </w:num>
  <w:num w:numId="17">
    <w:abstractNumId w:val="9"/>
  </w:num>
  <w:num w:numId="18">
    <w:abstractNumId w:val="7"/>
  </w:num>
  <w:num w:numId="19">
    <w:abstractNumId w:val="31"/>
  </w:num>
  <w:num w:numId="20">
    <w:abstractNumId w:val="10"/>
  </w:num>
  <w:num w:numId="21">
    <w:abstractNumId w:val="5"/>
  </w:num>
  <w:num w:numId="22">
    <w:abstractNumId w:val="3"/>
  </w:num>
  <w:num w:numId="23">
    <w:abstractNumId w:val="12"/>
  </w:num>
  <w:num w:numId="24">
    <w:abstractNumId w:val="8"/>
  </w:num>
  <w:num w:numId="25">
    <w:abstractNumId w:val="17"/>
  </w:num>
  <w:num w:numId="26">
    <w:abstractNumId w:val="16"/>
  </w:num>
  <w:num w:numId="27">
    <w:abstractNumId w:val="39"/>
  </w:num>
  <w:num w:numId="28">
    <w:abstractNumId w:val="21"/>
  </w:num>
  <w:num w:numId="29">
    <w:abstractNumId w:val="32"/>
  </w:num>
  <w:num w:numId="30">
    <w:abstractNumId w:val="45"/>
  </w:num>
  <w:num w:numId="31">
    <w:abstractNumId w:val="43"/>
  </w:num>
  <w:num w:numId="32">
    <w:abstractNumId w:val="14"/>
  </w:num>
  <w:num w:numId="33">
    <w:abstractNumId w:val="42"/>
  </w:num>
  <w:num w:numId="34">
    <w:abstractNumId w:val="18"/>
  </w:num>
  <w:num w:numId="35">
    <w:abstractNumId w:val="34"/>
  </w:num>
  <w:num w:numId="36">
    <w:abstractNumId w:val="29"/>
  </w:num>
  <w:num w:numId="37">
    <w:abstractNumId w:val="44"/>
  </w:num>
  <w:num w:numId="38">
    <w:abstractNumId w:val="30"/>
  </w:num>
  <w:num w:numId="39">
    <w:abstractNumId w:val="41"/>
  </w:num>
  <w:num w:numId="40">
    <w:abstractNumId w:val="40"/>
  </w:num>
  <w:num w:numId="41">
    <w:abstractNumId w:val="6"/>
  </w:num>
  <w:num w:numId="42">
    <w:abstractNumId w:val="19"/>
  </w:num>
  <w:num w:numId="43">
    <w:abstractNumId w:val="2"/>
  </w:num>
  <w:num w:numId="44">
    <w:abstractNumId w:val="11"/>
  </w:num>
  <w:num w:numId="45">
    <w:abstractNumId w:val="2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EF5"/>
    <w:rsid w:val="00021B0A"/>
    <w:rsid w:val="00022BFA"/>
    <w:rsid w:val="00032932"/>
    <w:rsid w:val="00032A50"/>
    <w:rsid w:val="000356E3"/>
    <w:rsid w:val="00037318"/>
    <w:rsid w:val="00041A57"/>
    <w:rsid w:val="000421B3"/>
    <w:rsid w:val="00042958"/>
    <w:rsid w:val="00066F53"/>
    <w:rsid w:val="00076FAD"/>
    <w:rsid w:val="00082E7E"/>
    <w:rsid w:val="000A086C"/>
    <w:rsid w:val="000C2504"/>
    <w:rsid w:val="000C31C9"/>
    <w:rsid w:val="000D2FDA"/>
    <w:rsid w:val="000D33DA"/>
    <w:rsid w:val="000E1294"/>
    <w:rsid w:val="000E2AEF"/>
    <w:rsid w:val="000E51F0"/>
    <w:rsid w:val="000E5775"/>
    <w:rsid w:val="000F4A3A"/>
    <w:rsid w:val="000F5445"/>
    <w:rsid w:val="00103C77"/>
    <w:rsid w:val="00103FB6"/>
    <w:rsid w:val="00104A8E"/>
    <w:rsid w:val="00106F19"/>
    <w:rsid w:val="00107FBD"/>
    <w:rsid w:val="00117CFF"/>
    <w:rsid w:val="00130616"/>
    <w:rsid w:val="0013272A"/>
    <w:rsid w:val="001360EF"/>
    <w:rsid w:val="001364B5"/>
    <w:rsid w:val="00142BA0"/>
    <w:rsid w:val="00152409"/>
    <w:rsid w:val="001545A7"/>
    <w:rsid w:val="0015585C"/>
    <w:rsid w:val="0015683D"/>
    <w:rsid w:val="0016305F"/>
    <w:rsid w:val="00163FE0"/>
    <w:rsid w:val="00191E1A"/>
    <w:rsid w:val="001924B8"/>
    <w:rsid w:val="00192F3A"/>
    <w:rsid w:val="0019339D"/>
    <w:rsid w:val="00195D2D"/>
    <w:rsid w:val="001B4EF4"/>
    <w:rsid w:val="001D338B"/>
    <w:rsid w:val="001D36FB"/>
    <w:rsid w:val="001E1769"/>
    <w:rsid w:val="001E187B"/>
    <w:rsid w:val="001E3619"/>
    <w:rsid w:val="00200805"/>
    <w:rsid w:val="002055D3"/>
    <w:rsid w:val="002077CE"/>
    <w:rsid w:val="00207A6B"/>
    <w:rsid w:val="00217163"/>
    <w:rsid w:val="00234D95"/>
    <w:rsid w:val="0024448D"/>
    <w:rsid w:val="00247EE2"/>
    <w:rsid w:val="00250274"/>
    <w:rsid w:val="002534C2"/>
    <w:rsid w:val="0025395A"/>
    <w:rsid w:val="00254770"/>
    <w:rsid w:val="00254B9E"/>
    <w:rsid w:val="00262661"/>
    <w:rsid w:val="00262693"/>
    <w:rsid w:val="00263B50"/>
    <w:rsid w:val="00271E80"/>
    <w:rsid w:val="0027703C"/>
    <w:rsid w:val="002811CC"/>
    <w:rsid w:val="002A0D34"/>
    <w:rsid w:val="002A109A"/>
    <w:rsid w:val="002B32E4"/>
    <w:rsid w:val="002B52F9"/>
    <w:rsid w:val="002B5485"/>
    <w:rsid w:val="002B7781"/>
    <w:rsid w:val="002C29A5"/>
    <w:rsid w:val="002C7015"/>
    <w:rsid w:val="002D4B93"/>
    <w:rsid w:val="002E0F16"/>
    <w:rsid w:val="002E10EA"/>
    <w:rsid w:val="002E3AFC"/>
    <w:rsid w:val="002F1C48"/>
    <w:rsid w:val="002F6AF0"/>
    <w:rsid w:val="003027CC"/>
    <w:rsid w:val="00307FF5"/>
    <w:rsid w:val="00310025"/>
    <w:rsid w:val="003100B8"/>
    <w:rsid w:val="0031137F"/>
    <w:rsid w:val="0031156C"/>
    <w:rsid w:val="00313813"/>
    <w:rsid w:val="003248D6"/>
    <w:rsid w:val="003279DF"/>
    <w:rsid w:val="00330669"/>
    <w:rsid w:val="003316E1"/>
    <w:rsid w:val="00331AB0"/>
    <w:rsid w:val="00333A5C"/>
    <w:rsid w:val="00334F33"/>
    <w:rsid w:val="00341BCE"/>
    <w:rsid w:val="00342398"/>
    <w:rsid w:val="003431C6"/>
    <w:rsid w:val="00361B17"/>
    <w:rsid w:val="00373493"/>
    <w:rsid w:val="003776EC"/>
    <w:rsid w:val="00383548"/>
    <w:rsid w:val="00384110"/>
    <w:rsid w:val="00390096"/>
    <w:rsid w:val="00390631"/>
    <w:rsid w:val="00392104"/>
    <w:rsid w:val="00393F04"/>
    <w:rsid w:val="00394043"/>
    <w:rsid w:val="00397C03"/>
    <w:rsid w:val="003A0A5B"/>
    <w:rsid w:val="003A4FFA"/>
    <w:rsid w:val="003B301A"/>
    <w:rsid w:val="003C4827"/>
    <w:rsid w:val="003D08A5"/>
    <w:rsid w:val="003D468A"/>
    <w:rsid w:val="003D7F63"/>
    <w:rsid w:val="003F5446"/>
    <w:rsid w:val="003F5B65"/>
    <w:rsid w:val="00413106"/>
    <w:rsid w:val="004157EB"/>
    <w:rsid w:val="00425575"/>
    <w:rsid w:val="00430EA9"/>
    <w:rsid w:val="00430F53"/>
    <w:rsid w:val="00433A47"/>
    <w:rsid w:val="00434459"/>
    <w:rsid w:val="00434482"/>
    <w:rsid w:val="00436EE4"/>
    <w:rsid w:val="00445187"/>
    <w:rsid w:val="00445DDD"/>
    <w:rsid w:val="00450B5D"/>
    <w:rsid w:val="00453DF7"/>
    <w:rsid w:val="00453F24"/>
    <w:rsid w:val="00455514"/>
    <w:rsid w:val="00456328"/>
    <w:rsid w:val="0046062E"/>
    <w:rsid w:val="00476A57"/>
    <w:rsid w:val="004839D9"/>
    <w:rsid w:val="00490F8C"/>
    <w:rsid w:val="004971BA"/>
    <w:rsid w:val="004C09F5"/>
    <w:rsid w:val="004C79AA"/>
    <w:rsid w:val="004C7B82"/>
    <w:rsid w:val="004C7E1C"/>
    <w:rsid w:val="004E1857"/>
    <w:rsid w:val="004E25AB"/>
    <w:rsid w:val="004F3544"/>
    <w:rsid w:val="00504FEA"/>
    <w:rsid w:val="00514689"/>
    <w:rsid w:val="00520B7F"/>
    <w:rsid w:val="005218EB"/>
    <w:rsid w:val="005219BA"/>
    <w:rsid w:val="00524FE5"/>
    <w:rsid w:val="00540BA6"/>
    <w:rsid w:val="00541C19"/>
    <w:rsid w:val="00542283"/>
    <w:rsid w:val="00542F73"/>
    <w:rsid w:val="0054364E"/>
    <w:rsid w:val="00552348"/>
    <w:rsid w:val="005554F4"/>
    <w:rsid w:val="00557B4B"/>
    <w:rsid w:val="00562767"/>
    <w:rsid w:val="00565036"/>
    <w:rsid w:val="005743FE"/>
    <w:rsid w:val="00576567"/>
    <w:rsid w:val="0057675A"/>
    <w:rsid w:val="00576A60"/>
    <w:rsid w:val="0057757B"/>
    <w:rsid w:val="00581FC7"/>
    <w:rsid w:val="00584056"/>
    <w:rsid w:val="0059069B"/>
    <w:rsid w:val="00593C83"/>
    <w:rsid w:val="005A03EC"/>
    <w:rsid w:val="005A4D07"/>
    <w:rsid w:val="005B7903"/>
    <w:rsid w:val="005C14AB"/>
    <w:rsid w:val="005C6214"/>
    <w:rsid w:val="005C657A"/>
    <w:rsid w:val="005D7DA0"/>
    <w:rsid w:val="005E6AC1"/>
    <w:rsid w:val="005F0475"/>
    <w:rsid w:val="00611502"/>
    <w:rsid w:val="006138C3"/>
    <w:rsid w:val="00613B6A"/>
    <w:rsid w:val="0062235C"/>
    <w:rsid w:val="00624584"/>
    <w:rsid w:val="006346A7"/>
    <w:rsid w:val="00644BA0"/>
    <w:rsid w:val="00644C81"/>
    <w:rsid w:val="00646F53"/>
    <w:rsid w:val="006475D2"/>
    <w:rsid w:val="00657FCE"/>
    <w:rsid w:val="0066273A"/>
    <w:rsid w:val="00662C8F"/>
    <w:rsid w:val="00665803"/>
    <w:rsid w:val="00672DF4"/>
    <w:rsid w:val="006748BA"/>
    <w:rsid w:val="0067639B"/>
    <w:rsid w:val="00680893"/>
    <w:rsid w:val="00680DB4"/>
    <w:rsid w:val="00694493"/>
    <w:rsid w:val="006958CC"/>
    <w:rsid w:val="006A2A0F"/>
    <w:rsid w:val="006A312D"/>
    <w:rsid w:val="006A39A2"/>
    <w:rsid w:val="006A43EB"/>
    <w:rsid w:val="006A4A13"/>
    <w:rsid w:val="006B1E43"/>
    <w:rsid w:val="006B2DA2"/>
    <w:rsid w:val="006B5219"/>
    <w:rsid w:val="006B7760"/>
    <w:rsid w:val="006D6FCC"/>
    <w:rsid w:val="006D7487"/>
    <w:rsid w:val="00704DB9"/>
    <w:rsid w:val="00707DE7"/>
    <w:rsid w:val="0071116F"/>
    <w:rsid w:val="007122A2"/>
    <w:rsid w:val="0072013D"/>
    <w:rsid w:val="00721550"/>
    <w:rsid w:val="00721B48"/>
    <w:rsid w:val="00724B4B"/>
    <w:rsid w:val="0073338F"/>
    <w:rsid w:val="0073540E"/>
    <w:rsid w:val="00735B5A"/>
    <w:rsid w:val="00735D15"/>
    <w:rsid w:val="00736141"/>
    <w:rsid w:val="00742396"/>
    <w:rsid w:val="0074547A"/>
    <w:rsid w:val="00747F8E"/>
    <w:rsid w:val="00755194"/>
    <w:rsid w:val="00764FD1"/>
    <w:rsid w:val="007656B7"/>
    <w:rsid w:val="0076597B"/>
    <w:rsid w:val="007666DF"/>
    <w:rsid w:val="0076731F"/>
    <w:rsid w:val="00771CD3"/>
    <w:rsid w:val="00775D2A"/>
    <w:rsid w:val="0079136C"/>
    <w:rsid w:val="0079166B"/>
    <w:rsid w:val="0079351A"/>
    <w:rsid w:val="00797FEA"/>
    <w:rsid w:val="007A1698"/>
    <w:rsid w:val="007A4247"/>
    <w:rsid w:val="007A42E7"/>
    <w:rsid w:val="007C4A35"/>
    <w:rsid w:val="007C6D00"/>
    <w:rsid w:val="007D2188"/>
    <w:rsid w:val="007D2FAE"/>
    <w:rsid w:val="007D35E5"/>
    <w:rsid w:val="007E1397"/>
    <w:rsid w:val="007E1EE6"/>
    <w:rsid w:val="007E2163"/>
    <w:rsid w:val="007E263B"/>
    <w:rsid w:val="007E2DED"/>
    <w:rsid w:val="007E3F8E"/>
    <w:rsid w:val="007E58AE"/>
    <w:rsid w:val="007F252B"/>
    <w:rsid w:val="007F3151"/>
    <w:rsid w:val="007F6D0B"/>
    <w:rsid w:val="007F7E89"/>
    <w:rsid w:val="00801A56"/>
    <w:rsid w:val="00811FB1"/>
    <w:rsid w:val="00812B67"/>
    <w:rsid w:val="00813FA5"/>
    <w:rsid w:val="00817335"/>
    <w:rsid w:val="00821B2B"/>
    <w:rsid w:val="0082349A"/>
    <w:rsid w:val="00823557"/>
    <w:rsid w:val="008363AD"/>
    <w:rsid w:val="00857832"/>
    <w:rsid w:val="0086072C"/>
    <w:rsid w:val="008656D6"/>
    <w:rsid w:val="00873449"/>
    <w:rsid w:val="00875448"/>
    <w:rsid w:val="00895732"/>
    <w:rsid w:val="00897354"/>
    <w:rsid w:val="008A26CF"/>
    <w:rsid w:val="008A559D"/>
    <w:rsid w:val="008A5F40"/>
    <w:rsid w:val="008B5E8A"/>
    <w:rsid w:val="008C4FE4"/>
    <w:rsid w:val="008C5F32"/>
    <w:rsid w:val="008D4D57"/>
    <w:rsid w:val="008D71F9"/>
    <w:rsid w:val="008E3172"/>
    <w:rsid w:val="008E3E4F"/>
    <w:rsid w:val="008E40C2"/>
    <w:rsid w:val="008F13F7"/>
    <w:rsid w:val="008F530E"/>
    <w:rsid w:val="009039BA"/>
    <w:rsid w:val="00906226"/>
    <w:rsid w:val="0091449F"/>
    <w:rsid w:val="009162B5"/>
    <w:rsid w:val="0091739C"/>
    <w:rsid w:val="009311CD"/>
    <w:rsid w:val="00933030"/>
    <w:rsid w:val="009339C5"/>
    <w:rsid w:val="0094193E"/>
    <w:rsid w:val="00944C42"/>
    <w:rsid w:val="009502CA"/>
    <w:rsid w:val="0095436B"/>
    <w:rsid w:val="00957BDC"/>
    <w:rsid w:val="00960D67"/>
    <w:rsid w:val="00972DB4"/>
    <w:rsid w:val="00976A30"/>
    <w:rsid w:val="00977C80"/>
    <w:rsid w:val="00982486"/>
    <w:rsid w:val="00993814"/>
    <w:rsid w:val="009947B7"/>
    <w:rsid w:val="00995571"/>
    <w:rsid w:val="00995612"/>
    <w:rsid w:val="009A1F59"/>
    <w:rsid w:val="009A2932"/>
    <w:rsid w:val="009A2DB4"/>
    <w:rsid w:val="009A6BFD"/>
    <w:rsid w:val="009E19F7"/>
    <w:rsid w:val="009E2774"/>
    <w:rsid w:val="009F0B98"/>
    <w:rsid w:val="009F3B66"/>
    <w:rsid w:val="00A02619"/>
    <w:rsid w:val="00A122D4"/>
    <w:rsid w:val="00A1549C"/>
    <w:rsid w:val="00A23893"/>
    <w:rsid w:val="00A31BDE"/>
    <w:rsid w:val="00A31E63"/>
    <w:rsid w:val="00A32CBD"/>
    <w:rsid w:val="00A33068"/>
    <w:rsid w:val="00A34D59"/>
    <w:rsid w:val="00A4247F"/>
    <w:rsid w:val="00A44EDF"/>
    <w:rsid w:val="00A47560"/>
    <w:rsid w:val="00A51279"/>
    <w:rsid w:val="00A52E53"/>
    <w:rsid w:val="00A56609"/>
    <w:rsid w:val="00A65AFD"/>
    <w:rsid w:val="00A66D2F"/>
    <w:rsid w:val="00A72FCB"/>
    <w:rsid w:val="00A766F1"/>
    <w:rsid w:val="00A8002C"/>
    <w:rsid w:val="00A8274C"/>
    <w:rsid w:val="00A87C32"/>
    <w:rsid w:val="00A950CF"/>
    <w:rsid w:val="00A9575D"/>
    <w:rsid w:val="00AA10F9"/>
    <w:rsid w:val="00AA2BB2"/>
    <w:rsid w:val="00AC2BBA"/>
    <w:rsid w:val="00AD0C07"/>
    <w:rsid w:val="00AD1E8C"/>
    <w:rsid w:val="00AD38F8"/>
    <w:rsid w:val="00AF331B"/>
    <w:rsid w:val="00AF5F45"/>
    <w:rsid w:val="00B0717E"/>
    <w:rsid w:val="00B07835"/>
    <w:rsid w:val="00B203A3"/>
    <w:rsid w:val="00B252FD"/>
    <w:rsid w:val="00B264CA"/>
    <w:rsid w:val="00B35DA7"/>
    <w:rsid w:val="00B35F66"/>
    <w:rsid w:val="00B45EFC"/>
    <w:rsid w:val="00B471E6"/>
    <w:rsid w:val="00B5284F"/>
    <w:rsid w:val="00B551CA"/>
    <w:rsid w:val="00B70402"/>
    <w:rsid w:val="00B81641"/>
    <w:rsid w:val="00B8527F"/>
    <w:rsid w:val="00B852C8"/>
    <w:rsid w:val="00B962C5"/>
    <w:rsid w:val="00BA3388"/>
    <w:rsid w:val="00BA4DBC"/>
    <w:rsid w:val="00BB0803"/>
    <w:rsid w:val="00BB22BB"/>
    <w:rsid w:val="00BB5BBB"/>
    <w:rsid w:val="00BB639F"/>
    <w:rsid w:val="00BC1EEC"/>
    <w:rsid w:val="00BC5C6D"/>
    <w:rsid w:val="00BD34A1"/>
    <w:rsid w:val="00BE2244"/>
    <w:rsid w:val="00BF0FDE"/>
    <w:rsid w:val="00BF3F99"/>
    <w:rsid w:val="00BF7AC3"/>
    <w:rsid w:val="00C028C5"/>
    <w:rsid w:val="00C03618"/>
    <w:rsid w:val="00C10890"/>
    <w:rsid w:val="00C127A3"/>
    <w:rsid w:val="00C15D2A"/>
    <w:rsid w:val="00C2205A"/>
    <w:rsid w:val="00C2271F"/>
    <w:rsid w:val="00C3799B"/>
    <w:rsid w:val="00C41B9A"/>
    <w:rsid w:val="00C61AA4"/>
    <w:rsid w:val="00C62139"/>
    <w:rsid w:val="00C63385"/>
    <w:rsid w:val="00C64A6B"/>
    <w:rsid w:val="00C7576A"/>
    <w:rsid w:val="00C804B8"/>
    <w:rsid w:val="00C83D25"/>
    <w:rsid w:val="00C936FC"/>
    <w:rsid w:val="00C9485F"/>
    <w:rsid w:val="00C97C57"/>
    <w:rsid w:val="00CA34B0"/>
    <w:rsid w:val="00CA4A4B"/>
    <w:rsid w:val="00CA68CA"/>
    <w:rsid w:val="00CB1656"/>
    <w:rsid w:val="00CB30BD"/>
    <w:rsid w:val="00CC0C7D"/>
    <w:rsid w:val="00CC1BC0"/>
    <w:rsid w:val="00CC52FD"/>
    <w:rsid w:val="00CD13F7"/>
    <w:rsid w:val="00CE4B4B"/>
    <w:rsid w:val="00CE4DFD"/>
    <w:rsid w:val="00CF0ED2"/>
    <w:rsid w:val="00CF22FA"/>
    <w:rsid w:val="00CF5D71"/>
    <w:rsid w:val="00CF6E39"/>
    <w:rsid w:val="00D0673B"/>
    <w:rsid w:val="00D06D62"/>
    <w:rsid w:val="00D1437C"/>
    <w:rsid w:val="00D14D17"/>
    <w:rsid w:val="00D204CA"/>
    <w:rsid w:val="00D2128F"/>
    <w:rsid w:val="00D234E8"/>
    <w:rsid w:val="00D33C34"/>
    <w:rsid w:val="00D3728F"/>
    <w:rsid w:val="00D4046F"/>
    <w:rsid w:val="00D417A8"/>
    <w:rsid w:val="00D454F0"/>
    <w:rsid w:val="00D5325E"/>
    <w:rsid w:val="00D538E2"/>
    <w:rsid w:val="00D56804"/>
    <w:rsid w:val="00D648A4"/>
    <w:rsid w:val="00D64B14"/>
    <w:rsid w:val="00D660A1"/>
    <w:rsid w:val="00D662DA"/>
    <w:rsid w:val="00D72BCD"/>
    <w:rsid w:val="00D7466E"/>
    <w:rsid w:val="00D83FDB"/>
    <w:rsid w:val="00D86CBB"/>
    <w:rsid w:val="00D92C54"/>
    <w:rsid w:val="00D9450D"/>
    <w:rsid w:val="00D954F6"/>
    <w:rsid w:val="00D97039"/>
    <w:rsid w:val="00DA0EBD"/>
    <w:rsid w:val="00DA218D"/>
    <w:rsid w:val="00DB6ECE"/>
    <w:rsid w:val="00DC0425"/>
    <w:rsid w:val="00DC50C9"/>
    <w:rsid w:val="00DC5D03"/>
    <w:rsid w:val="00DC7941"/>
    <w:rsid w:val="00DD00CC"/>
    <w:rsid w:val="00DD027A"/>
    <w:rsid w:val="00DD37BC"/>
    <w:rsid w:val="00DE30C3"/>
    <w:rsid w:val="00DF0801"/>
    <w:rsid w:val="00DF6880"/>
    <w:rsid w:val="00E02869"/>
    <w:rsid w:val="00E1087E"/>
    <w:rsid w:val="00E120B8"/>
    <w:rsid w:val="00E17B58"/>
    <w:rsid w:val="00E20F8F"/>
    <w:rsid w:val="00E23D64"/>
    <w:rsid w:val="00E30A9A"/>
    <w:rsid w:val="00E36986"/>
    <w:rsid w:val="00E4024D"/>
    <w:rsid w:val="00E446A1"/>
    <w:rsid w:val="00E53E32"/>
    <w:rsid w:val="00E56B41"/>
    <w:rsid w:val="00E66D83"/>
    <w:rsid w:val="00E721BD"/>
    <w:rsid w:val="00E7677C"/>
    <w:rsid w:val="00E81559"/>
    <w:rsid w:val="00E836E0"/>
    <w:rsid w:val="00E87F8C"/>
    <w:rsid w:val="00E9059E"/>
    <w:rsid w:val="00E91D10"/>
    <w:rsid w:val="00EA0A73"/>
    <w:rsid w:val="00EB595A"/>
    <w:rsid w:val="00ED565D"/>
    <w:rsid w:val="00EE0879"/>
    <w:rsid w:val="00EE1D01"/>
    <w:rsid w:val="00EE6B39"/>
    <w:rsid w:val="00EE74C5"/>
    <w:rsid w:val="00EF4211"/>
    <w:rsid w:val="00F023D5"/>
    <w:rsid w:val="00F056E8"/>
    <w:rsid w:val="00F10731"/>
    <w:rsid w:val="00F11B55"/>
    <w:rsid w:val="00F13226"/>
    <w:rsid w:val="00F17E4A"/>
    <w:rsid w:val="00F24630"/>
    <w:rsid w:val="00F25E24"/>
    <w:rsid w:val="00F2659C"/>
    <w:rsid w:val="00F279D4"/>
    <w:rsid w:val="00F3351E"/>
    <w:rsid w:val="00F452AC"/>
    <w:rsid w:val="00F47C46"/>
    <w:rsid w:val="00F5004A"/>
    <w:rsid w:val="00F54111"/>
    <w:rsid w:val="00F54B4B"/>
    <w:rsid w:val="00F551ED"/>
    <w:rsid w:val="00F55534"/>
    <w:rsid w:val="00F5650A"/>
    <w:rsid w:val="00F60B69"/>
    <w:rsid w:val="00F645E9"/>
    <w:rsid w:val="00F65757"/>
    <w:rsid w:val="00F7181D"/>
    <w:rsid w:val="00F8174D"/>
    <w:rsid w:val="00F849C5"/>
    <w:rsid w:val="00F8749F"/>
    <w:rsid w:val="00FA605D"/>
    <w:rsid w:val="00FB107F"/>
    <w:rsid w:val="00FB1376"/>
    <w:rsid w:val="00FB55D2"/>
    <w:rsid w:val="00FB7EF5"/>
    <w:rsid w:val="00FC1475"/>
    <w:rsid w:val="00FC1908"/>
    <w:rsid w:val="00FC6083"/>
    <w:rsid w:val="00FC73C6"/>
    <w:rsid w:val="00FD339B"/>
    <w:rsid w:val="00FD54FE"/>
    <w:rsid w:val="00FD5615"/>
    <w:rsid w:val="00FE1B67"/>
    <w:rsid w:val="00FF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w:uiPriority="2"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F2659C"/>
    <w:pPr>
      <w:keepNext/>
      <w:spacing w:before="240" w:after="60" w:line="240" w:lineRule="auto"/>
      <w:jc w:val="both"/>
      <w:outlineLvl w:val="0"/>
    </w:pPr>
    <w:rPr>
      <w:rFonts w:ascii="Arial" w:eastAsia="Calibri" w:hAnsi="Arial" w:cs="Arial"/>
      <w:b/>
      <w:bCs/>
      <w:kern w:val="32"/>
      <w:sz w:val="32"/>
      <w:szCs w:val="32"/>
    </w:rPr>
  </w:style>
  <w:style w:type="paragraph" w:styleId="2">
    <w:name w:val="heading 2"/>
    <w:basedOn w:val="a0"/>
    <w:next w:val="a0"/>
    <w:link w:val="20"/>
    <w:qFormat/>
    <w:rsid w:val="006346A7"/>
    <w:pPr>
      <w:keepNext/>
      <w:spacing w:before="240" w:after="60" w:line="240" w:lineRule="auto"/>
      <w:ind w:firstLine="720"/>
      <w:jc w:val="both"/>
      <w:outlineLvl w:val="1"/>
    </w:pPr>
    <w:rPr>
      <w:rFonts w:ascii="Arial" w:eastAsia="Times New Roman" w:hAnsi="Arial" w:cs="Arial"/>
      <w:b/>
      <w:bCs/>
      <w:i/>
      <w:iCs/>
      <w:sz w:val="28"/>
      <w:szCs w:val="28"/>
    </w:rPr>
  </w:style>
  <w:style w:type="paragraph" w:styleId="3">
    <w:name w:val="heading 3"/>
    <w:basedOn w:val="a0"/>
    <w:next w:val="a0"/>
    <w:link w:val="30"/>
    <w:qFormat/>
    <w:rsid w:val="006346A7"/>
    <w:pPr>
      <w:keepNext/>
      <w:tabs>
        <w:tab w:val="num" w:pos="1800"/>
      </w:tabs>
      <w:spacing w:before="240" w:after="60" w:line="240" w:lineRule="auto"/>
      <w:ind w:left="1440"/>
      <w:outlineLvl w:val="2"/>
    </w:pPr>
    <w:rPr>
      <w:rFonts w:ascii="Arial" w:eastAsia="Times New Roman" w:hAnsi="Arial" w:cs="Arial"/>
      <w:b/>
      <w:bCs/>
      <w:sz w:val="26"/>
      <w:szCs w:val="26"/>
      <w:lang w:eastAsia="ru-RU"/>
    </w:rPr>
  </w:style>
  <w:style w:type="paragraph" w:styleId="4">
    <w:name w:val="heading 4"/>
    <w:basedOn w:val="a0"/>
    <w:next w:val="a0"/>
    <w:link w:val="40"/>
    <w:qFormat/>
    <w:rsid w:val="006346A7"/>
    <w:pPr>
      <w:keepNext/>
      <w:tabs>
        <w:tab w:val="num" w:pos="2520"/>
      </w:tabs>
      <w:spacing w:after="0" w:line="240" w:lineRule="auto"/>
      <w:ind w:left="2160"/>
      <w:jc w:val="right"/>
      <w:outlineLvl w:val="3"/>
    </w:pPr>
    <w:rPr>
      <w:rFonts w:ascii="Times New Roman" w:eastAsia="Times New Roman" w:hAnsi="Times New Roman" w:cs="Times New Roman"/>
      <w:i/>
      <w:iCs/>
      <w:color w:val="000000"/>
      <w:sz w:val="28"/>
      <w:szCs w:val="28"/>
      <w:lang w:eastAsia="ru-RU"/>
    </w:rPr>
  </w:style>
  <w:style w:type="paragraph" w:styleId="5">
    <w:name w:val="heading 5"/>
    <w:basedOn w:val="a0"/>
    <w:next w:val="a0"/>
    <w:link w:val="50"/>
    <w:qFormat/>
    <w:rsid w:val="006346A7"/>
    <w:pPr>
      <w:keepNext/>
      <w:tabs>
        <w:tab w:val="num" w:pos="3240"/>
      </w:tabs>
      <w:spacing w:after="0" w:line="240" w:lineRule="auto"/>
      <w:ind w:left="2880"/>
      <w:jc w:val="center"/>
      <w:outlineLvl w:val="4"/>
    </w:pPr>
    <w:rPr>
      <w:rFonts w:ascii="Times New Roman" w:eastAsia="Times New Roman" w:hAnsi="Times New Roman" w:cs="Times New Roman"/>
      <w:b/>
      <w:bCs/>
      <w:color w:val="000000"/>
      <w:sz w:val="40"/>
      <w:szCs w:val="40"/>
      <w:lang w:eastAsia="ru-RU"/>
    </w:rPr>
  </w:style>
  <w:style w:type="paragraph" w:styleId="6">
    <w:name w:val="heading 6"/>
    <w:basedOn w:val="a0"/>
    <w:next w:val="a0"/>
    <w:link w:val="60"/>
    <w:qFormat/>
    <w:rsid w:val="006346A7"/>
    <w:pPr>
      <w:tabs>
        <w:tab w:val="num" w:pos="3960"/>
      </w:tabs>
      <w:spacing w:before="240" w:after="60" w:line="240" w:lineRule="auto"/>
      <w:ind w:left="3600"/>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6346A7"/>
    <w:pPr>
      <w:tabs>
        <w:tab w:val="num" w:pos="4680"/>
      </w:tabs>
      <w:spacing w:before="240" w:after="60" w:line="240" w:lineRule="auto"/>
      <w:ind w:left="4320"/>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6346A7"/>
    <w:pPr>
      <w:tabs>
        <w:tab w:val="num" w:pos="5400"/>
      </w:tabs>
      <w:spacing w:before="240" w:after="60" w:line="240" w:lineRule="auto"/>
      <w:ind w:left="5040"/>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6346A7"/>
    <w:pPr>
      <w:tabs>
        <w:tab w:val="num" w:pos="6120"/>
      </w:tabs>
      <w:spacing w:before="240" w:after="60" w:line="240" w:lineRule="auto"/>
      <w:ind w:left="5760"/>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
    <w:basedOn w:val="a0"/>
    <w:link w:val="a5"/>
    <w:rsid w:val="00B252F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5">
    <w:name w:val="Обычный (веб) Знак"/>
    <w:aliases w:val="Обычный (Web)1 Знак2,Знак Знак3 Знак2,Обычный (Web) Знак2,Обычный (веб) Знак1 Знак2,Обычный (веб) Знак Знак1 Знак2,Знак Знак1 Знак Знак3,Обычный (веб) Знак Знак Знак Знак3,Знак Знак1 Знак Знак Знак2,Знак Знак Знак Знак Знак Знак1"/>
    <w:link w:val="a4"/>
    <w:locked/>
    <w:rsid w:val="00B252FD"/>
    <w:rPr>
      <w:rFonts w:ascii="Times New Roman" w:eastAsia="Calibri" w:hAnsi="Times New Roman" w:cs="Times New Roman"/>
      <w:sz w:val="24"/>
      <w:szCs w:val="24"/>
      <w:lang w:eastAsia="ru-RU"/>
    </w:rPr>
  </w:style>
  <w:style w:type="character" w:customStyle="1" w:styleId="apple-converted-space">
    <w:name w:val="apple-converted-space"/>
    <w:basedOn w:val="a1"/>
    <w:rsid w:val="00B252FD"/>
  </w:style>
  <w:style w:type="paragraph" w:styleId="a6">
    <w:name w:val="List Paragraph"/>
    <w:aliases w:val="без абзаца,ненум_список,Heading1,Colorful List - Accent 11,маркированный,References,NUMBERED PARAGRAPH,List Paragraph 1,Bullets,List_Paragraph,Multilevel para_II,List Paragraph1,Akapit z listą BS,List Paragraph (numbered (a))"/>
    <w:basedOn w:val="a0"/>
    <w:link w:val="a7"/>
    <w:uiPriority w:val="34"/>
    <w:qFormat/>
    <w:rsid w:val="00B252FD"/>
    <w:pPr>
      <w:ind w:left="720"/>
      <w:contextualSpacing/>
    </w:pPr>
  </w:style>
  <w:style w:type="table" w:styleId="a8">
    <w:name w:val="Table Grid"/>
    <w:basedOn w:val="a2"/>
    <w:rsid w:val="00D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otnote reference"/>
    <w:aliases w:val="Footnote Reference Number,Footnote Reference_LVL6,Footnote Reference_LVL61,Footnote Reference_LVL62,Footnote Reference_LVL63,Footnote Reference_LVL64,fr,PIC Footnote Reference,Текст сноски Знак2 Знак Знак"/>
    <w:uiPriority w:val="99"/>
    <w:rsid w:val="008D71F9"/>
    <w:rPr>
      <w:vertAlign w:val="superscript"/>
    </w:rPr>
  </w:style>
  <w:style w:type="paragraph" w:styleId="aa">
    <w:name w:val="footnote text"/>
    <w:aliases w:val="Текст сноски-FN,single space,footnote text"/>
    <w:basedOn w:val="a0"/>
    <w:link w:val="ab"/>
    <w:uiPriority w:val="99"/>
    <w:rsid w:val="008D71F9"/>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Текст сноски-FN Знак1,single space Знак1,footnote text Знак"/>
    <w:basedOn w:val="a1"/>
    <w:link w:val="aa"/>
    <w:uiPriority w:val="99"/>
    <w:rsid w:val="008D71F9"/>
    <w:rPr>
      <w:rFonts w:ascii="Times New Roman" w:eastAsia="Times New Roman" w:hAnsi="Times New Roman" w:cs="Times New Roman"/>
      <w:sz w:val="20"/>
      <w:szCs w:val="20"/>
      <w:lang w:eastAsia="ru-RU"/>
    </w:rPr>
  </w:style>
  <w:style w:type="character" w:customStyle="1" w:styleId="20">
    <w:name w:val="Заголовок 2 Знак"/>
    <w:basedOn w:val="a1"/>
    <w:link w:val="2"/>
    <w:rsid w:val="006346A7"/>
    <w:rPr>
      <w:rFonts w:ascii="Arial" w:eastAsia="Times New Roman" w:hAnsi="Arial" w:cs="Arial"/>
      <w:b/>
      <w:bCs/>
      <w:i/>
      <w:iCs/>
      <w:sz w:val="28"/>
      <w:szCs w:val="28"/>
    </w:rPr>
  </w:style>
  <w:style w:type="character" w:customStyle="1" w:styleId="30">
    <w:name w:val="Заголовок 3 Знак"/>
    <w:basedOn w:val="a1"/>
    <w:link w:val="3"/>
    <w:rsid w:val="006346A7"/>
    <w:rPr>
      <w:rFonts w:ascii="Arial" w:eastAsia="Times New Roman" w:hAnsi="Arial" w:cs="Arial"/>
      <w:b/>
      <w:bCs/>
      <w:sz w:val="26"/>
      <w:szCs w:val="26"/>
      <w:lang w:eastAsia="ru-RU"/>
    </w:rPr>
  </w:style>
  <w:style w:type="character" w:customStyle="1" w:styleId="40">
    <w:name w:val="Заголовок 4 Знак"/>
    <w:basedOn w:val="a1"/>
    <w:link w:val="4"/>
    <w:rsid w:val="006346A7"/>
    <w:rPr>
      <w:rFonts w:ascii="Times New Roman" w:eastAsia="Times New Roman" w:hAnsi="Times New Roman" w:cs="Times New Roman"/>
      <w:i/>
      <w:iCs/>
      <w:color w:val="000000"/>
      <w:sz w:val="28"/>
      <w:szCs w:val="28"/>
      <w:lang w:eastAsia="ru-RU"/>
    </w:rPr>
  </w:style>
  <w:style w:type="character" w:customStyle="1" w:styleId="50">
    <w:name w:val="Заголовок 5 Знак"/>
    <w:basedOn w:val="a1"/>
    <w:link w:val="5"/>
    <w:rsid w:val="006346A7"/>
    <w:rPr>
      <w:rFonts w:ascii="Times New Roman" w:eastAsia="Times New Roman" w:hAnsi="Times New Roman" w:cs="Times New Roman"/>
      <w:b/>
      <w:bCs/>
      <w:color w:val="000000"/>
      <w:sz w:val="40"/>
      <w:szCs w:val="40"/>
      <w:lang w:eastAsia="ru-RU"/>
    </w:rPr>
  </w:style>
  <w:style w:type="character" w:customStyle="1" w:styleId="60">
    <w:name w:val="Заголовок 6 Знак"/>
    <w:basedOn w:val="a1"/>
    <w:link w:val="6"/>
    <w:rsid w:val="006346A7"/>
    <w:rPr>
      <w:rFonts w:ascii="Times New Roman" w:eastAsia="Times New Roman" w:hAnsi="Times New Roman" w:cs="Times New Roman"/>
      <w:b/>
      <w:bCs/>
      <w:lang w:eastAsia="ru-RU"/>
    </w:rPr>
  </w:style>
  <w:style w:type="character" w:customStyle="1" w:styleId="70">
    <w:name w:val="Заголовок 7 Знак"/>
    <w:basedOn w:val="a1"/>
    <w:link w:val="7"/>
    <w:rsid w:val="006346A7"/>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6346A7"/>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6346A7"/>
    <w:rPr>
      <w:rFonts w:ascii="Arial" w:eastAsia="Times New Roman" w:hAnsi="Arial" w:cs="Arial"/>
      <w:lang w:eastAsia="ru-RU"/>
    </w:rPr>
  </w:style>
  <w:style w:type="paragraph" w:customStyle="1" w:styleId="ac">
    <w:name w:val="Знак"/>
    <w:basedOn w:val="a0"/>
    <w:autoRedefine/>
    <w:rsid w:val="006346A7"/>
    <w:pPr>
      <w:spacing w:after="160" w:line="240" w:lineRule="exact"/>
    </w:pPr>
    <w:rPr>
      <w:rFonts w:ascii="Times New Roman" w:eastAsia="Times New Roman" w:hAnsi="Times New Roman" w:cs="Times New Roman"/>
      <w:sz w:val="28"/>
      <w:szCs w:val="20"/>
      <w:lang w:val="en-US"/>
    </w:rPr>
  </w:style>
  <w:style w:type="character" w:customStyle="1" w:styleId="s1">
    <w:name w:val="s1"/>
    <w:rsid w:val="006346A7"/>
    <w:rPr>
      <w:rFonts w:ascii="Times New Roman" w:hAnsi="Times New Roman" w:cs="Times New Roman" w:hint="default"/>
      <w:b/>
      <w:bCs/>
      <w:i w:val="0"/>
      <w:iCs w:val="0"/>
      <w:strike w:val="0"/>
      <w:dstrike w:val="0"/>
      <w:color w:val="000000"/>
      <w:sz w:val="20"/>
      <w:szCs w:val="20"/>
      <w:u w:val="none"/>
      <w:effect w:val="none"/>
    </w:rPr>
  </w:style>
  <w:style w:type="paragraph" w:customStyle="1" w:styleId="11">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d">
    <w:name w:val="Инфляционный обзор_обычный"/>
    <w:basedOn w:val="a0"/>
    <w:rsid w:val="006346A7"/>
    <w:pPr>
      <w:spacing w:after="0" w:line="240" w:lineRule="auto"/>
      <w:ind w:firstLine="720"/>
      <w:jc w:val="both"/>
    </w:pPr>
    <w:rPr>
      <w:rFonts w:ascii="Times New Roman" w:eastAsia="Times New Roman" w:hAnsi="Times New Roman" w:cs="Times New Roman"/>
      <w:sz w:val="24"/>
      <w:szCs w:val="20"/>
      <w:lang w:eastAsia="ru-RU"/>
    </w:rPr>
  </w:style>
  <w:style w:type="paragraph" w:styleId="ae">
    <w:name w:val="Body Text Indent"/>
    <w:basedOn w:val="a0"/>
    <w:link w:val="af"/>
    <w:rsid w:val="006346A7"/>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1"/>
    <w:link w:val="ae"/>
    <w:rsid w:val="006346A7"/>
    <w:rPr>
      <w:rFonts w:ascii="Times New Roman" w:eastAsia="Times New Roman" w:hAnsi="Times New Roman" w:cs="Times New Roman"/>
      <w:sz w:val="24"/>
      <w:szCs w:val="24"/>
      <w:lang w:eastAsia="ru-RU"/>
    </w:rPr>
  </w:style>
  <w:style w:type="paragraph" w:customStyle="1" w:styleId="CharChar1">
    <w:name w:val="Char Char1"/>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f0">
    <w:name w:val="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12">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s0">
    <w:name w:val="s0"/>
    <w:rsid w:val="006346A7"/>
    <w:rPr>
      <w:rFonts w:ascii="Times New Roman" w:hAnsi="Times New Roman" w:cs="Times New Roman" w:hint="default"/>
      <w:b w:val="0"/>
      <w:bCs w:val="0"/>
      <w:i w:val="0"/>
      <w:iCs w:val="0"/>
      <w:strike w:val="0"/>
      <w:dstrike w:val="0"/>
      <w:color w:val="000000"/>
      <w:sz w:val="20"/>
      <w:szCs w:val="20"/>
      <w:u w:val="none"/>
      <w:effect w:val="none"/>
    </w:rPr>
  </w:style>
  <w:style w:type="character" w:styleId="af1">
    <w:name w:val="Hyperlink"/>
    <w:rsid w:val="006346A7"/>
    <w:rPr>
      <w:color w:val="0000FF"/>
      <w:u w:val="single"/>
    </w:rPr>
  </w:style>
  <w:style w:type="paragraph" w:customStyle="1" w:styleId="13">
    <w:name w:val="Стиль1"/>
    <w:basedOn w:val="a0"/>
    <w:rsid w:val="006346A7"/>
    <w:pPr>
      <w:autoSpaceDE w:val="0"/>
      <w:autoSpaceDN w:val="0"/>
      <w:spacing w:after="0" w:line="240" w:lineRule="auto"/>
      <w:jc w:val="both"/>
    </w:pPr>
    <w:rPr>
      <w:rFonts w:ascii="Times New Roman" w:eastAsia="Times New Roman" w:hAnsi="Times New Roman" w:cs="Arial"/>
      <w:color w:val="000000"/>
      <w:sz w:val="28"/>
      <w:szCs w:val="24"/>
      <w:lang w:eastAsia="ru-RU"/>
    </w:rPr>
  </w:style>
  <w:style w:type="paragraph" w:customStyle="1" w:styleId="af2">
    <w:name w:val="Знак Знак Знак Знак Знак Знак Знак 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61">
    <w:name w:val="Стиль6"/>
    <w:basedOn w:val="a0"/>
    <w:rsid w:val="006346A7"/>
    <w:pPr>
      <w:keepNext/>
      <w:spacing w:after="0" w:line="240" w:lineRule="auto"/>
      <w:jc w:val="both"/>
      <w:outlineLvl w:val="1"/>
    </w:pPr>
    <w:rPr>
      <w:rFonts w:ascii="Times New Roman" w:eastAsia="Times New Roman" w:hAnsi="Times New Roman" w:cs="Arial"/>
      <w:bCs/>
      <w:iCs/>
      <w:color w:val="000000"/>
      <w:sz w:val="28"/>
      <w:szCs w:val="28"/>
      <w:lang w:eastAsia="ru-RU"/>
    </w:rPr>
  </w:style>
  <w:style w:type="paragraph" w:styleId="af3">
    <w:name w:val="header"/>
    <w:basedOn w:val="a0"/>
    <w:link w:val="af4"/>
    <w:uiPriority w:val="99"/>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4">
    <w:name w:val="Верхний колонтитул Знак"/>
    <w:basedOn w:val="a1"/>
    <w:link w:val="af3"/>
    <w:uiPriority w:val="99"/>
    <w:rsid w:val="006346A7"/>
    <w:rPr>
      <w:rFonts w:ascii="Calibri" w:eastAsia="Times New Roman" w:hAnsi="Calibri" w:cs="Times New Roman"/>
    </w:rPr>
  </w:style>
  <w:style w:type="character" w:styleId="af5">
    <w:name w:val="page number"/>
    <w:basedOn w:val="a1"/>
    <w:rsid w:val="006346A7"/>
  </w:style>
  <w:style w:type="paragraph" w:styleId="af6">
    <w:name w:val="footer"/>
    <w:basedOn w:val="a0"/>
    <w:link w:val="af7"/>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7">
    <w:name w:val="Нижний колонтитул Знак"/>
    <w:basedOn w:val="a1"/>
    <w:link w:val="af6"/>
    <w:rsid w:val="006346A7"/>
    <w:rPr>
      <w:rFonts w:ascii="Calibri" w:eastAsia="Times New Roman" w:hAnsi="Calibri" w:cs="Times New Roman"/>
    </w:rPr>
  </w:style>
  <w:style w:type="paragraph" w:customStyle="1" w:styleId="14">
    <w:name w:val="Знак Знак Знак1 Знак Знак Знак Знак Знак Знак Знак Знак Знак Знак"/>
    <w:basedOn w:val="a0"/>
    <w:autoRedefine/>
    <w:rsid w:val="006346A7"/>
    <w:pPr>
      <w:spacing w:after="160" w:line="240" w:lineRule="exact"/>
    </w:pPr>
    <w:rPr>
      <w:rFonts w:ascii="Times New Roman" w:eastAsia="SimSun" w:hAnsi="Times New Roman" w:cs="Times New Roman"/>
      <w:b/>
      <w:bCs/>
      <w:sz w:val="28"/>
      <w:szCs w:val="28"/>
      <w:lang w:val="en-US"/>
    </w:rPr>
  </w:style>
  <w:style w:type="paragraph" w:customStyle="1" w:styleId="15">
    <w:name w:val="Знак Знак Знак Знак Знак Знак1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af8">
    <w:name w:val="Знак Знак Знак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16">
    <w:name w:val="Абзац списка1"/>
    <w:basedOn w:val="a0"/>
    <w:rsid w:val="006346A7"/>
    <w:pPr>
      <w:spacing w:after="0" w:line="240" w:lineRule="auto"/>
      <w:ind w:left="720"/>
      <w:contextualSpacing/>
    </w:pPr>
    <w:rPr>
      <w:rFonts w:ascii="Times New Roman" w:eastAsia="Times New Roman" w:hAnsi="Times New Roman" w:cs="Times New Roman"/>
      <w:sz w:val="28"/>
    </w:rPr>
  </w:style>
  <w:style w:type="character" w:customStyle="1" w:styleId="Web1">
    <w:name w:val="Обычный (Web)1 Знак"/>
    <w:aliases w:val="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ocked/>
    <w:rsid w:val="006346A7"/>
    <w:rPr>
      <w:rFonts w:eastAsia="Calibri"/>
      <w:sz w:val="24"/>
      <w:szCs w:val="24"/>
      <w:lang w:val="ru-RU" w:eastAsia="ru-RU" w:bidi="ar-SA"/>
    </w:rPr>
  </w:style>
  <w:style w:type="character" w:customStyle="1" w:styleId="FootnoteTextChar">
    <w:name w:val="Footnote Text Char"/>
    <w:aliases w:val="Текст сноски-FN Char,single space Char,footnote text Char"/>
    <w:locked/>
    <w:rsid w:val="006346A7"/>
    <w:rPr>
      <w:rFonts w:ascii="Calibri" w:hAnsi="Calibri"/>
      <w:lang w:val="ru-RU" w:eastAsia="ru-RU" w:bidi="ar-SA"/>
    </w:rPr>
  </w:style>
  <w:style w:type="paragraph" w:styleId="af9">
    <w:name w:val="Body Text"/>
    <w:aliases w:val="gl,Body3,paragraph 2,paragraph 21,L1 Body Text"/>
    <w:basedOn w:val="a0"/>
    <w:link w:val="afa"/>
    <w:rsid w:val="006346A7"/>
    <w:pPr>
      <w:widowControl w:val="0"/>
      <w:spacing w:after="120" w:line="240" w:lineRule="auto"/>
      <w:jc w:val="both"/>
    </w:pPr>
    <w:rPr>
      <w:rFonts w:ascii="Times New Roman" w:eastAsia="Times New Roman" w:hAnsi="Times New Roman" w:cs="Times New Roman"/>
      <w:sz w:val="28"/>
      <w:szCs w:val="20"/>
      <w:lang w:eastAsia="ru-RU"/>
    </w:rPr>
  </w:style>
  <w:style w:type="character" w:customStyle="1" w:styleId="afa">
    <w:name w:val="Основной текст Знак"/>
    <w:aliases w:val="gl Знак,Body3 Знак,paragraph 2 Знак,paragraph 21 Знак,L1 Body Text Знак"/>
    <w:basedOn w:val="a1"/>
    <w:link w:val="af9"/>
    <w:rsid w:val="006346A7"/>
    <w:rPr>
      <w:rFonts w:ascii="Times New Roman" w:eastAsia="Times New Roman" w:hAnsi="Times New Roman" w:cs="Times New Roman"/>
      <w:sz w:val="28"/>
      <w:szCs w:val="20"/>
      <w:lang w:eastAsia="ru-RU"/>
    </w:rPr>
  </w:style>
  <w:style w:type="character" w:customStyle="1" w:styleId="Web11">
    <w:name w:val="Обычный (Web)1 Знак1"/>
    <w:aliases w:val="Знак Знак3 Знак1,Обычный (Web) Знак1,Обычный (веб) Знак1 Знак1,Обычный (веб) Знак Знак1 Знак1,Знак Знак1 Знак Знак2,Обычный (веб) Знак Знак Знак Знак2,Знак Знак1 Знак Знак Знак1,Обычный (веб) Знак Знак Знак Знак Знак1, Знак4 Знак"/>
    <w:locked/>
    <w:rsid w:val="006346A7"/>
    <w:rPr>
      <w:rFonts w:eastAsia="Calibri"/>
      <w:sz w:val="24"/>
      <w:szCs w:val="24"/>
      <w:lang w:val="ru-RU" w:eastAsia="ru-RU" w:bidi="ar-SA"/>
    </w:rPr>
  </w:style>
  <w:style w:type="paragraph" w:styleId="afb">
    <w:name w:val="Balloon Text"/>
    <w:basedOn w:val="a0"/>
    <w:link w:val="afc"/>
    <w:semiHidden/>
    <w:rsid w:val="006346A7"/>
    <w:pPr>
      <w:spacing w:after="0" w:line="240" w:lineRule="auto"/>
      <w:jc w:val="both"/>
    </w:pPr>
    <w:rPr>
      <w:rFonts w:ascii="Tahoma" w:eastAsia="Calibri" w:hAnsi="Tahoma" w:cs="Tahoma"/>
      <w:sz w:val="16"/>
      <w:szCs w:val="16"/>
    </w:rPr>
  </w:style>
  <w:style w:type="character" w:customStyle="1" w:styleId="afc">
    <w:name w:val="Текст выноски Знак"/>
    <w:basedOn w:val="a1"/>
    <w:link w:val="afb"/>
    <w:semiHidden/>
    <w:rsid w:val="006346A7"/>
    <w:rPr>
      <w:rFonts w:ascii="Tahoma" w:eastAsia="Calibri" w:hAnsi="Tahoma" w:cs="Tahoma"/>
      <w:sz w:val="16"/>
      <w:szCs w:val="16"/>
    </w:rPr>
  </w:style>
  <w:style w:type="character" w:customStyle="1" w:styleId="afd">
    <w:name w:val="Название Знак"/>
    <w:link w:val="afe"/>
    <w:locked/>
    <w:rsid w:val="006346A7"/>
    <w:rPr>
      <w:lang w:eastAsia="ru-RU"/>
    </w:rPr>
  </w:style>
  <w:style w:type="paragraph" w:styleId="aff">
    <w:name w:val="No Spacing"/>
    <w:qFormat/>
    <w:rsid w:val="006346A7"/>
    <w:pPr>
      <w:spacing w:after="0" w:line="240" w:lineRule="auto"/>
    </w:pPr>
    <w:rPr>
      <w:rFonts w:ascii="Calibri" w:eastAsia="Calibri" w:hAnsi="Calibri" w:cs="Times New Roman"/>
    </w:rPr>
  </w:style>
  <w:style w:type="paragraph" w:customStyle="1" w:styleId="aff0">
    <w:name w:val="?????"/>
    <w:basedOn w:val="a0"/>
    <w:rsid w:val="006346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ff1">
    <w:name w:val="endnote text"/>
    <w:basedOn w:val="a0"/>
    <w:link w:val="aff2"/>
    <w:semiHidden/>
    <w:rsid w:val="006346A7"/>
    <w:pPr>
      <w:spacing w:after="0" w:line="240" w:lineRule="auto"/>
      <w:ind w:firstLine="720"/>
      <w:jc w:val="both"/>
    </w:pPr>
    <w:rPr>
      <w:rFonts w:ascii="Calibri" w:eastAsia="Times New Roman" w:hAnsi="Calibri" w:cs="Times New Roman"/>
      <w:sz w:val="20"/>
      <w:szCs w:val="20"/>
    </w:rPr>
  </w:style>
  <w:style w:type="character" w:customStyle="1" w:styleId="aff2">
    <w:name w:val="Текст концевой сноски Знак"/>
    <w:basedOn w:val="a1"/>
    <w:link w:val="aff1"/>
    <w:semiHidden/>
    <w:rsid w:val="006346A7"/>
    <w:rPr>
      <w:rFonts w:ascii="Calibri" w:eastAsia="Times New Roman" w:hAnsi="Calibri" w:cs="Times New Roman"/>
      <w:sz w:val="20"/>
      <w:szCs w:val="20"/>
    </w:rPr>
  </w:style>
  <w:style w:type="character" w:styleId="aff3">
    <w:name w:val="endnote reference"/>
    <w:semiHidden/>
    <w:rsid w:val="006346A7"/>
    <w:rPr>
      <w:vertAlign w:val="superscript"/>
    </w:rPr>
  </w:style>
  <w:style w:type="paragraph" w:styleId="aff4">
    <w:name w:val="Plain Text"/>
    <w:basedOn w:val="a0"/>
    <w:link w:val="aff5"/>
    <w:unhideWhenUsed/>
    <w:rsid w:val="006346A7"/>
    <w:pPr>
      <w:spacing w:after="0" w:line="240" w:lineRule="auto"/>
    </w:pPr>
    <w:rPr>
      <w:rFonts w:ascii="Calibri" w:eastAsia="Calibri" w:hAnsi="Calibri" w:cs="Times New Roman"/>
      <w:szCs w:val="21"/>
    </w:rPr>
  </w:style>
  <w:style w:type="character" w:customStyle="1" w:styleId="aff5">
    <w:name w:val="Текст Знак"/>
    <w:basedOn w:val="a1"/>
    <w:link w:val="aff4"/>
    <w:rsid w:val="006346A7"/>
    <w:rPr>
      <w:rFonts w:ascii="Calibri" w:eastAsia="Calibri" w:hAnsi="Calibri" w:cs="Times New Roman"/>
      <w:szCs w:val="21"/>
    </w:rPr>
  </w:style>
  <w:style w:type="paragraph" w:styleId="21">
    <w:name w:val="Quote"/>
    <w:basedOn w:val="a0"/>
    <w:next w:val="a0"/>
    <w:link w:val="22"/>
    <w:qFormat/>
    <w:rsid w:val="006346A7"/>
    <w:pPr>
      <w:spacing w:after="0" w:line="240" w:lineRule="auto"/>
      <w:ind w:firstLine="720"/>
      <w:jc w:val="both"/>
    </w:pPr>
    <w:rPr>
      <w:rFonts w:ascii="Calibri" w:eastAsia="Times New Roman" w:hAnsi="Calibri" w:cs="Times New Roman"/>
      <w:i/>
      <w:iCs/>
      <w:color w:val="000000"/>
    </w:rPr>
  </w:style>
  <w:style w:type="character" w:customStyle="1" w:styleId="22">
    <w:name w:val="Цитата 2 Знак"/>
    <w:basedOn w:val="a1"/>
    <w:link w:val="21"/>
    <w:rsid w:val="006346A7"/>
    <w:rPr>
      <w:rFonts w:ascii="Calibri" w:eastAsia="Times New Roman" w:hAnsi="Calibri" w:cs="Times New Roman"/>
      <w:i/>
      <w:iCs/>
      <w:color w:val="000000"/>
    </w:rPr>
  </w:style>
  <w:style w:type="character" w:customStyle="1" w:styleId="-FN">
    <w:name w:val="Текст сноски-FN Знак"/>
    <w:aliases w:val="single space Знак,footnote text Знак Знак"/>
    <w:locked/>
    <w:rsid w:val="006346A7"/>
    <w:rPr>
      <w:lang w:val="ru-RU" w:eastAsia="ru-RU" w:bidi="ar-SA"/>
    </w:rPr>
  </w:style>
  <w:style w:type="paragraph" w:styleId="afe">
    <w:name w:val="Title"/>
    <w:basedOn w:val="a0"/>
    <w:link w:val="afd"/>
    <w:qFormat/>
    <w:rsid w:val="006346A7"/>
    <w:pPr>
      <w:spacing w:after="0" w:line="240" w:lineRule="auto"/>
      <w:jc w:val="center"/>
    </w:pPr>
    <w:rPr>
      <w:lang w:eastAsia="ru-RU"/>
    </w:rPr>
  </w:style>
  <w:style w:type="character" w:customStyle="1" w:styleId="17">
    <w:name w:val="Название Знак1"/>
    <w:basedOn w:val="a1"/>
    <w:uiPriority w:val="10"/>
    <w:rsid w:val="006346A7"/>
    <w:rPr>
      <w:rFonts w:asciiTheme="majorHAnsi" w:eastAsiaTheme="majorEastAsia" w:hAnsiTheme="majorHAnsi" w:cstheme="majorBidi"/>
      <w:color w:val="17365D" w:themeColor="text2" w:themeShade="BF"/>
      <w:spacing w:val="5"/>
      <w:kern w:val="28"/>
      <w:sz w:val="52"/>
      <w:szCs w:val="52"/>
    </w:rPr>
  </w:style>
  <w:style w:type="paragraph" w:styleId="23">
    <w:name w:val="Body Text Indent 2"/>
    <w:basedOn w:val="a0"/>
    <w:link w:val="24"/>
    <w:rsid w:val="006346A7"/>
    <w:pPr>
      <w:spacing w:after="120" w:line="480" w:lineRule="auto"/>
      <w:ind w:left="283" w:firstLine="720"/>
      <w:jc w:val="both"/>
    </w:pPr>
    <w:rPr>
      <w:rFonts w:ascii="Calibri" w:eastAsia="Times New Roman" w:hAnsi="Calibri" w:cs="Times New Roman"/>
    </w:rPr>
  </w:style>
  <w:style w:type="character" w:customStyle="1" w:styleId="24">
    <w:name w:val="Основной текст с отступом 2 Знак"/>
    <w:basedOn w:val="a1"/>
    <w:link w:val="23"/>
    <w:rsid w:val="006346A7"/>
    <w:rPr>
      <w:rFonts w:ascii="Calibri" w:eastAsia="Times New Roman" w:hAnsi="Calibri" w:cs="Times New Roman"/>
    </w:rPr>
  </w:style>
  <w:style w:type="paragraph" w:customStyle="1" w:styleId="Default">
    <w:name w:val="Default"/>
    <w:rsid w:val="006346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6">
    <w:name w:val="Strong"/>
    <w:qFormat/>
    <w:rsid w:val="006346A7"/>
    <w:rPr>
      <w:b/>
      <w:bCs/>
    </w:rPr>
  </w:style>
  <w:style w:type="character" w:customStyle="1" w:styleId="aff7">
    <w:name w:val="Информационное письмо"/>
    <w:rsid w:val="006346A7"/>
    <w:rPr>
      <w:sz w:val="24"/>
    </w:rPr>
  </w:style>
  <w:style w:type="character" w:customStyle="1" w:styleId="TitleChar">
    <w:name w:val="Title Char"/>
    <w:locked/>
    <w:rsid w:val="006346A7"/>
    <w:rPr>
      <w:rFonts w:ascii="Times New Roman" w:hAnsi="Times New Roman" w:cs="Times New Roman"/>
      <w:sz w:val="20"/>
      <w:szCs w:val="20"/>
      <w:lang w:val="x-none" w:eastAsia="ru-RU"/>
    </w:rPr>
  </w:style>
  <w:style w:type="paragraph" w:styleId="aff8">
    <w:name w:val="annotation text"/>
    <w:basedOn w:val="a0"/>
    <w:link w:val="aff9"/>
    <w:rsid w:val="006346A7"/>
    <w:pPr>
      <w:spacing w:after="0" w:line="240" w:lineRule="auto"/>
      <w:ind w:firstLine="720"/>
      <w:jc w:val="both"/>
    </w:pPr>
    <w:rPr>
      <w:rFonts w:ascii="Calibri" w:eastAsia="Times New Roman" w:hAnsi="Calibri" w:cs="Times New Roman"/>
      <w:sz w:val="20"/>
      <w:szCs w:val="20"/>
    </w:rPr>
  </w:style>
  <w:style w:type="character" w:customStyle="1" w:styleId="aff9">
    <w:name w:val="Текст примечания Знак"/>
    <w:basedOn w:val="a1"/>
    <w:link w:val="aff8"/>
    <w:rsid w:val="006346A7"/>
    <w:rPr>
      <w:rFonts w:ascii="Calibri" w:eastAsia="Times New Roman" w:hAnsi="Calibri" w:cs="Times New Roman"/>
      <w:sz w:val="20"/>
      <w:szCs w:val="20"/>
    </w:rPr>
  </w:style>
  <w:style w:type="character" w:styleId="affa">
    <w:name w:val="annotation reference"/>
    <w:rsid w:val="006346A7"/>
    <w:rPr>
      <w:sz w:val="16"/>
      <w:szCs w:val="16"/>
    </w:rPr>
  </w:style>
  <w:style w:type="paragraph" w:styleId="a">
    <w:name w:val="List Bullet"/>
    <w:basedOn w:val="a0"/>
    <w:uiPriority w:val="2"/>
    <w:qFormat/>
    <w:rsid w:val="006346A7"/>
    <w:pPr>
      <w:numPr>
        <w:numId w:val="4"/>
      </w:numPr>
      <w:spacing w:after="240" w:line="240" w:lineRule="auto"/>
    </w:pPr>
    <w:rPr>
      <w:rFonts w:ascii="Times New Roman" w:eastAsia="Times New Roman" w:hAnsi="Times New Roman" w:cs="Times New Roman"/>
      <w:sz w:val="24"/>
      <w:szCs w:val="24"/>
      <w:lang w:val="en-US"/>
    </w:rPr>
  </w:style>
  <w:style w:type="character" w:styleId="HTML">
    <w:name w:val="HTML Cite"/>
    <w:uiPriority w:val="99"/>
    <w:unhideWhenUsed/>
    <w:rsid w:val="006346A7"/>
    <w:rPr>
      <w:i/>
      <w:iCs/>
    </w:rPr>
  </w:style>
  <w:style w:type="paragraph" w:styleId="affb">
    <w:name w:val="annotation subject"/>
    <w:basedOn w:val="aff8"/>
    <w:next w:val="aff8"/>
    <w:link w:val="affc"/>
    <w:uiPriority w:val="99"/>
    <w:semiHidden/>
    <w:unhideWhenUsed/>
    <w:rsid w:val="00E9059E"/>
    <w:pPr>
      <w:spacing w:after="200"/>
      <w:ind w:firstLine="0"/>
      <w:jc w:val="left"/>
    </w:pPr>
    <w:rPr>
      <w:rFonts w:asciiTheme="minorHAnsi" w:eastAsiaTheme="minorHAnsi" w:hAnsiTheme="minorHAnsi" w:cstheme="minorBidi"/>
      <w:b/>
      <w:bCs/>
    </w:rPr>
  </w:style>
  <w:style w:type="character" w:customStyle="1" w:styleId="affc">
    <w:name w:val="Тема примечания Знак"/>
    <w:basedOn w:val="aff9"/>
    <w:link w:val="affb"/>
    <w:uiPriority w:val="99"/>
    <w:semiHidden/>
    <w:rsid w:val="00E9059E"/>
    <w:rPr>
      <w:rFonts w:ascii="Calibri" w:eastAsia="Times New Roman" w:hAnsi="Calibri" w:cs="Times New Roman"/>
      <w:b/>
      <w:bCs/>
      <w:sz w:val="20"/>
      <w:szCs w:val="20"/>
    </w:rPr>
  </w:style>
  <w:style w:type="character" w:customStyle="1" w:styleId="a7">
    <w:name w:val="Абзац списка Знак"/>
    <w:aliases w:val="без абзаца Знак,ненум_список Знак,Heading1 Знак,Colorful List - Accent 11 Знак,маркированный Знак,References Знак,NUMBERED PARAGRAPH Знак,List Paragraph 1 Знак,Bullets Знак,List_Paragraph Знак,Multilevel para_II Знак"/>
    <w:link w:val="a6"/>
    <w:uiPriority w:val="34"/>
    <w:locked/>
    <w:rsid w:val="00FC73C6"/>
  </w:style>
  <w:style w:type="character" w:customStyle="1" w:styleId="10">
    <w:name w:val="Заголовок 1 Знак"/>
    <w:basedOn w:val="a1"/>
    <w:link w:val="1"/>
    <w:rsid w:val="00F2659C"/>
    <w:rPr>
      <w:rFonts w:ascii="Arial" w:eastAsia="Calibri" w:hAnsi="Arial" w:cs="Arial"/>
      <w:b/>
      <w:bCs/>
      <w:kern w:val="32"/>
      <w:sz w:val="32"/>
      <w:szCs w:val="32"/>
    </w:rPr>
  </w:style>
  <w:style w:type="paragraph" w:customStyle="1" w:styleId="18">
    <w:name w:val="Знак Знак Знак Знак Знак Знак1 Знак"/>
    <w:basedOn w:val="a0"/>
    <w:autoRedefine/>
    <w:rsid w:val="00F2659C"/>
    <w:pPr>
      <w:spacing w:after="160" w:line="240" w:lineRule="exact"/>
    </w:pPr>
    <w:rPr>
      <w:rFonts w:ascii="Times New Roman" w:eastAsia="SimSun" w:hAnsi="Times New Roman" w:cs="Times New Roman"/>
      <w:b/>
      <w:sz w:val="28"/>
      <w:szCs w:val="24"/>
      <w:lang w:val="en-US"/>
    </w:rPr>
  </w:style>
  <w:style w:type="paragraph" w:customStyle="1" w:styleId="31">
    <w:name w:val="Знак3 Знак Знак Знак Знак Знак Знак Знак Знак Знак Знак Знак Знак Знак Знак Знак Знак Знак Знак"/>
    <w:basedOn w:val="a0"/>
    <w:autoRedefine/>
    <w:rsid w:val="00F2659C"/>
    <w:pPr>
      <w:spacing w:after="160" w:line="240" w:lineRule="exact"/>
    </w:pPr>
    <w:rPr>
      <w:rFonts w:ascii="Times New Roman" w:eastAsia="SimSun" w:hAnsi="Times New Roman" w:cs="Times New Roman"/>
      <w:b/>
      <w:bCs/>
      <w:sz w:val="28"/>
      <w:szCs w:val="28"/>
      <w:lang w:val="en-US"/>
    </w:rPr>
  </w:style>
  <w:style w:type="paragraph" w:customStyle="1" w:styleId="2Char">
    <w:name w:val="Знак2 Знак Знак Знак Знак Знак Знак Знак Знак Знак Знак Знак Знак Знак Знак Знак Знак Знак Знак Знак Знак Знак Знак Знак Знак Знак Знак Char"/>
    <w:basedOn w:val="a0"/>
    <w:rsid w:val="00F2659C"/>
    <w:pPr>
      <w:spacing w:after="160" w:line="240" w:lineRule="exact"/>
      <w:jc w:val="both"/>
    </w:pPr>
    <w:rPr>
      <w:rFonts w:ascii="Times New Roman" w:eastAsia="Times New Roman" w:hAnsi="Times New Roman" w:cs="Times New Roman"/>
      <w:sz w:val="24"/>
      <w:szCs w:val="24"/>
      <w:lang w:val="en-US"/>
    </w:rPr>
  </w:style>
  <w:style w:type="paragraph" w:customStyle="1" w:styleId="affd">
    <w:name w:val="Знак Знак"/>
    <w:basedOn w:val="a0"/>
    <w:autoRedefine/>
    <w:rsid w:val="00F2659C"/>
    <w:pPr>
      <w:spacing w:after="160" w:line="240" w:lineRule="exact"/>
    </w:pPr>
    <w:rPr>
      <w:rFonts w:ascii="Times New Roman" w:eastAsia="SimSun" w:hAnsi="Times New Roman" w:cs="Times New Roman"/>
      <w:b/>
      <w:bCs/>
      <w:sz w:val="28"/>
      <w:szCs w:val="28"/>
      <w:lang w:val="en-US"/>
    </w:rPr>
  </w:style>
  <w:style w:type="paragraph" w:customStyle="1" w:styleId="25">
    <w:name w:val="Абзац списка2"/>
    <w:basedOn w:val="a0"/>
    <w:rsid w:val="00F2659C"/>
    <w:pPr>
      <w:spacing w:after="0" w:line="240" w:lineRule="auto"/>
      <w:ind w:left="720"/>
      <w:contextualSpacing/>
      <w:jc w:val="both"/>
    </w:pPr>
    <w:rPr>
      <w:rFonts w:ascii="Calibri" w:eastAsia="Times New Roman" w:hAnsi="Calibri" w:cs="Times New Roman"/>
    </w:rPr>
  </w:style>
  <w:style w:type="paragraph" w:customStyle="1" w:styleId="19">
    <w:name w:val="Без интервала1"/>
    <w:rsid w:val="00F2659C"/>
    <w:pPr>
      <w:spacing w:after="0" w:line="240" w:lineRule="auto"/>
    </w:pPr>
    <w:rPr>
      <w:rFonts w:ascii="Calibri" w:eastAsia="Calibri" w:hAnsi="Calibri" w:cs="Times New Roman"/>
    </w:rPr>
  </w:style>
  <w:style w:type="paragraph" w:customStyle="1" w:styleId="introduction">
    <w:name w:val="introduction"/>
    <w:basedOn w:val="a0"/>
    <w:rsid w:val="00F265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0"/>
    <w:rsid w:val="00F2659C"/>
    <w:rPr>
      <w:rFonts w:ascii="Calibri" w:eastAsia="Times New Roman" w:hAnsi="Calibri" w:cs="Times New Roman"/>
      <w:szCs w:val="20"/>
      <w:lang w:eastAsia="ru-RU"/>
    </w:rPr>
  </w:style>
  <w:style w:type="paragraph" w:customStyle="1" w:styleId="PlainText">
    <w:name w:val="PlainText"/>
    <w:link w:val="PlainText2"/>
    <w:qFormat/>
    <w:rsid w:val="00F2659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PlainText2">
    <w:name w:val="PlainText Знак2"/>
    <w:link w:val="PlainText"/>
    <w:rsid w:val="00F2659C"/>
    <w:rPr>
      <w:rFonts w:ascii="Times New Roman" w:eastAsia="Times New Roman" w:hAnsi="Times New Roman" w:cs="Times New Roman"/>
      <w:sz w:val="24"/>
      <w:szCs w:val="24"/>
      <w:lang w:eastAsia="ru-RU"/>
    </w:rPr>
  </w:style>
  <w:style w:type="paragraph" w:customStyle="1" w:styleId="1a">
    <w:name w:val="Знак Знак Знак1 Знак Знак Знак Знак Знак Знак"/>
    <w:basedOn w:val="a0"/>
    <w:next w:val="2"/>
    <w:autoRedefine/>
    <w:rsid w:val="00F2659C"/>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ffe">
    <w:name w:val="Знак"/>
    <w:basedOn w:val="a0"/>
    <w:autoRedefine/>
    <w:rsid w:val="00F2659C"/>
    <w:pPr>
      <w:spacing w:after="160" w:line="240" w:lineRule="exact"/>
    </w:pPr>
    <w:rPr>
      <w:rFonts w:ascii="Times New Roman" w:eastAsia="Times New Roman" w:hAnsi="Times New Roman" w:cs="Times New Roman"/>
      <w:sz w:val="28"/>
      <w:szCs w:val="20"/>
      <w:lang w:val="en-US"/>
    </w:rPr>
  </w:style>
  <w:style w:type="paragraph" w:styleId="1b">
    <w:name w:val="toc 1"/>
    <w:basedOn w:val="a0"/>
    <w:next w:val="a0"/>
    <w:autoRedefine/>
    <w:semiHidden/>
    <w:rsid w:val="00F2659C"/>
    <w:pPr>
      <w:tabs>
        <w:tab w:val="left" w:pos="709"/>
        <w:tab w:val="left" w:pos="1200"/>
        <w:tab w:val="right" w:leader="dot" w:pos="9356"/>
      </w:tabs>
      <w:spacing w:after="0" w:line="240" w:lineRule="auto"/>
    </w:pPr>
    <w:rPr>
      <w:rFonts w:ascii="Times New Roman" w:eastAsia="Times New Roman" w:hAnsi="Times New Roman" w:cs="Times New Roman"/>
      <w:b/>
      <w:bCs/>
      <w:noProof/>
      <w:sz w:val="28"/>
      <w:szCs w:val="28"/>
      <w:lang w:eastAsia="ru-RU"/>
    </w:rPr>
  </w:style>
  <w:style w:type="paragraph" w:customStyle="1" w:styleId="1c">
    <w:name w:val="1"/>
    <w:basedOn w:val="a0"/>
    <w:autoRedefine/>
    <w:rsid w:val="00F2659C"/>
    <w:pPr>
      <w:spacing w:after="160" w:line="240" w:lineRule="exact"/>
    </w:pPr>
    <w:rPr>
      <w:rFonts w:ascii="Times New Roman" w:eastAsia="SimSun" w:hAnsi="Times New Roman" w:cs="Times New Roman"/>
      <w:b/>
      <w:sz w:val="28"/>
      <w:szCs w:val="24"/>
      <w:lang w:val="en-US"/>
    </w:rPr>
  </w:style>
  <w:style w:type="paragraph" w:customStyle="1" w:styleId="CharChar">
    <w:name w:val="Char Char"/>
    <w:basedOn w:val="a0"/>
    <w:autoRedefine/>
    <w:rsid w:val="00F2659C"/>
    <w:pPr>
      <w:spacing w:after="160" w:line="240" w:lineRule="exact"/>
    </w:pPr>
    <w:rPr>
      <w:rFonts w:ascii="Times New Roman" w:eastAsia="SimSun" w:hAnsi="Times New Roman" w:cs="Times New Roman"/>
      <w:b/>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w:uiPriority="2"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F2659C"/>
    <w:pPr>
      <w:keepNext/>
      <w:spacing w:before="240" w:after="60" w:line="240" w:lineRule="auto"/>
      <w:jc w:val="both"/>
      <w:outlineLvl w:val="0"/>
    </w:pPr>
    <w:rPr>
      <w:rFonts w:ascii="Arial" w:eastAsia="Calibri" w:hAnsi="Arial" w:cs="Arial"/>
      <w:b/>
      <w:bCs/>
      <w:kern w:val="32"/>
      <w:sz w:val="32"/>
      <w:szCs w:val="32"/>
    </w:rPr>
  </w:style>
  <w:style w:type="paragraph" w:styleId="2">
    <w:name w:val="heading 2"/>
    <w:basedOn w:val="a0"/>
    <w:next w:val="a0"/>
    <w:link w:val="20"/>
    <w:qFormat/>
    <w:rsid w:val="006346A7"/>
    <w:pPr>
      <w:keepNext/>
      <w:spacing w:before="240" w:after="60" w:line="240" w:lineRule="auto"/>
      <w:ind w:firstLine="720"/>
      <w:jc w:val="both"/>
      <w:outlineLvl w:val="1"/>
    </w:pPr>
    <w:rPr>
      <w:rFonts w:ascii="Arial" w:eastAsia="Times New Roman" w:hAnsi="Arial" w:cs="Arial"/>
      <w:b/>
      <w:bCs/>
      <w:i/>
      <w:iCs/>
      <w:sz w:val="28"/>
      <w:szCs w:val="28"/>
    </w:rPr>
  </w:style>
  <w:style w:type="paragraph" w:styleId="3">
    <w:name w:val="heading 3"/>
    <w:basedOn w:val="a0"/>
    <w:next w:val="a0"/>
    <w:link w:val="30"/>
    <w:qFormat/>
    <w:rsid w:val="006346A7"/>
    <w:pPr>
      <w:keepNext/>
      <w:tabs>
        <w:tab w:val="num" w:pos="1800"/>
      </w:tabs>
      <w:spacing w:before="240" w:after="60" w:line="240" w:lineRule="auto"/>
      <w:ind w:left="1440"/>
      <w:outlineLvl w:val="2"/>
    </w:pPr>
    <w:rPr>
      <w:rFonts w:ascii="Arial" w:eastAsia="Times New Roman" w:hAnsi="Arial" w:cs="Arial"/>
      <w:b/>
      <w:bCs/>
      <w:sz w:val="26"/>
      <w:szCs w:val="26"/>
      <w:lang w:eastAsia="ru-RU"/>
    </w:rPr>
  </w:style>
  <w:style w:type="paragraph" w:styleId="4">
    <w:name w:val="heading 4"/>
    <w:basedOn w:val="a0"/>
    <w:next w:val="a0"/>
    <w:link w:val="40"/>
    <w:qFormat/>
    <w:rsid w:val="006346A7"/>
    <w:pPr>
      <w:keepNext/>
      <w:tabs>
        <w:tab w:val="num" w:pos="2520"/>
      </w:tabs>
      <w:spacing w:after="0" w:line="240" w:lineRule="auto"/>
      <w:ind w:left="2160"/>
      <w:jc w:val="right"/>
      <w:outlineLvl w:val="3"/>
    </w:pPr>
    <w:rPr>
      <w:rFonts w:ascii="Times New Roman" w:eastAsia="Times New Roman" w:hAnsi="Times New Roman" w:cs="Times New Roman"/>
      <w:i/>
      <w:iCs/>
      <w:color w:val="000000"/>
      <w:sz w:val="28"/>
      <w:szCs w:val="28"/>
      <w:lang w:eastAsia="ru-RU"/>
    </w:rPr>
  </w:style>
  <w:style w:type="paragraph" w:styleId="5">
    <w:name w:val="heading 5"/>
    <w:basedOn w:val="a0"/>
    <w:next w:val="a0"/>
    <w:link w:val="50"/>
    <w:qFormat/>
    <w:rsid w:val="006346A7"/>
    <w:pPr>
      <w:keepNext/>
      <w:tabs>
        <w:tab w:val="num" w:pos="3240"/>
      </w:tabs>
      <w:spacing w:after="0" w:line="240" w:lineRule="auto"/>
      <w:ind w:left="2880"/>
      <w:jc w:val="center"/>
      <w:outlineLvl w:val="4"/>
    </w:pPr>
    <w:rPr>
      <w:rFonts w:ascii="Times New Roman" w:eastAsia="Times New Roman" w:hAnsi="Times New Roman" w:cs="Times New Roman"/>
      <w:b/>
      <w:bCs/>
      <w:color w:val="000000"/>
      <w:sz w:val="40"/>
      <w:szCs w:val="40"/>
      <w:lang w:eastAsia="ru-RU"/>
    </w:rPr>
  </w:style>
  <w:style w:type="paragraph" w:styleId="6">
    <w:name w:val="heading 6"/>
    <w:basedOn w:val="a0"/>
    <w:next w:val="a0"/>
    <w:link w:val="60"/>
    <w:qFormat/>
    <w:rsid w:val="006346A7"/>
    <w:pPr>
      <w:tabs>
        <w:tab w:val="num" w:pos="3960"/>
      </w:tabs>
      <w:spacing w:before="240" w:after="60" w:line="240" w:lineRule="auto"/>
      <w:ind w:left="3600"/>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6346A7"/>
    <w:pPr>
      <w:tabs>
        <w:tab w:val="num" w:pos="4680"/>
      </w:tabs>
      <w:spacing w:before="240" w:after="60" w:line="240" w:lineRule="auto"/>
      <w:ind w:left="4320"/>
      <w:outlineLvl w:val="6"/>
    </w:pPr>
    <w:rPr>
      <w:rFonts w:ascii="Times New Roman" w:eastAsia="Times New Roman" w:hAnsi="Times New Roman" w:cs="Times New Roman"/>
      <w:sz w:val="24"/>
      <w:szCs w:val="24"/>
      <w:lang w:eastAsia="ru-RU"/>
    </w:rPr>
  </w:style>
  <w:style w:type="paragraph" w:styleId="8">
    <w:name w:val="heading 8"/>
    <w:basedOn w:val="a0"/>
    <w:next w:val="a0"/>
    <w:link w:val="80"/>
    <w:qFormat/>
    <w:rsid w:val="006346A7"/>
    <w:pPr>
      <w:tabs>
        <w:tab w:val="num" w:pos="5400"/>
      </w:tabs>
      <w:spacing w:before="240" w:after="60" w:line="240" w:lineRule="auto"/>
      <w:ind w:left="5040"/>
      <w:outlineLvl w:val="7"/>
    </w:pPr>
    <w:rPr>
      <w:rFonts w:ascii="Times New Roman" w:eastAsia="Times New Roman" w:hAnsi="Times New Roman" w:cs="Times New Roman"/>
      <w:i/>
      <w:iCs/>
      <w:sz w:val="24"/>
      <w:szCs w:val="24"/>
      <w:lang w:eastAsia="ru-RU"/>
    </w:rPr>
  </w:style>
  <w:style w:type="paragraph" w:styleId="9">
    <w:name w:val="heading 9"/>
    <w:basedOn w:val="a0"/>
    <w:next w:val="a0"/>
    <w:link w:val="90"/>
    <w:qFormat/>
    <w:rsid w:val="006346A7"/>
    <w:pPr>
      <w:tabs>
        <w:tab w:val="num" w:pos="6120"/>
      </w:tabs>
      <w:spacing w:before="240" w:after="60" w:line="240" w:lineRule="auto"/>
      <w:ind w:left="5760"/>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
    <w:basedOn w:val="a0"/>
    <w:link w:val="a5"/>
    <w:rsid w:val="00B252FD"/>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5">
    <w:name w:val="Обычный (веб) Знак"/>
    <w:aliases w:val="Обычный (Web)1 Знак2,Знак Знак3 Знак2,Обычный (Web) Знак2,Обычный (веб) Знак1 Знак2,Обычный (веб) Знак Знак1 Знак2,Знак Знак1 Знак Знак3,Обычный (веб) Знак Знак Знак Знак3,Знак Знак1 Знак Знак Знак2,Знак Знак Знак Знак Знак Знак1"/>
    <w:link w:val="a4"/>
    <w:locked/>
    <w:rsid w:val="00B252FD"/>
    <w:rPr>
      <w:rFonts w:ascii="Times New Roman" w:eastAsia="Calibri" w:hAnsi="Times New Roman" w:cs="Times New Roman"/>
      <w:sz w:val="24"/>
      <w:szCs w:val="24"/>
      <w:lang w:eastAsia="ru-RU"/>
    </w:rPr>
  </w:style>
  <w:style w:type="character" w:customStyle="1" w:styleId="apple-converted-space">
    <w:name w:val="apple-converted-space"/>
    <w:basedOn w:val="a1"/>
    <w:rsid w:val="00B252FD"/>
  </w:style>
  <w:style w:type="paragraph" w:styleId="a6">
    <w:name w:val="List Paragraph"/>
    <w:aliases w:val="без абзаца,ненум_список,Heading1,Colorful List - Accent 11,маркированный,References,NUMBERED PARAGRAPH,List Paragraph 1,Bullets,List_Paragraph,Multilevel para_II,List Paragraph1,Akapit z listą BS,List Paragraph (numbered (a))"/>
    <w:basedOn w:val="a0"/>
    <w:link w:val="a7"/>
    <w:uiPriority w:val="34"/>
    <w:qFormat/>
    <w:rsid w:val="00B252FD"/>
    <w:pPr>
      <w:ind w:left="720"/>
      <w:contextualSpacing/>
    </w:pPr>
  </w:style>
  <w:style w:type="table" w:styleId="a8">
    <w:name w:val="Table Grid"/>
    <w:basedOn w:val="a2"/>
    <w:rsid w:val="00D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otnote reference"/>
    <w:aliases w:val="Footnote Reference Number,Footnote Reference_LVL6,Footnote Reference_LVL61,Footnote Reference_LVL62,Footnote Reference_LVL63,Footnote Reference_LVL64,fr,PIC Footnote Reference,Текст сноски Знак2 Знак Знак"/>
    <w:uiPriority w:val="99"/>
    <w:rsid w:val="008D71F9"/>
    <w:rPr>
      <w:vertAlign w:val="superscript"/>
    </w:rPr>
  </w:style>
  <w:style w:type="paragraph" w:styleId="aa">
    <w:name w:val="footnote text"/>
    <w:aliases w:val="Текст сноски-FN,single space,footnote text"/>
    <w:basedOn w:val="a0"/>
    <w:link w:val="ab"/>
    <w:uiPriority w:val="99"/>
    <w:rsid w:val="008D71F9"/>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Текст сноски-FN Знак1,single space Знак1,footnote text Знак"/>
    <w:basedOn w:val="a1"/>
    <w:link w:val="aa"/>
    <w:uiPriority w:val="99"/>
    <w:rsid w:val="008D71F9"/>
    <w:rPr>
      <w:rFonts w:ascii="Times New Roman" w:eastAsia="Times New Roman" w:hAnsi="Times New Roman" w:cs="Times New Roman"/>
      <w:sz w:val="20"/>
      <w:szCs w:val="20"/>
      <w:lang w:eastAsia="ru-RU"/>
    </w:rPr>
  </w:style>
  <w:style w:type="character" w:customStyle="1" w:styleId="20">
    <w:name w:val="Заголовок 2 Знак"/>
    <w:basedOn w:val="a1"/>
    <w:link w:val="2"/>
    <w:rsid w:val="006346A7"/>
    <w:rPr>
      <w:rFonts w:ascii="Arial" w:eastAsia="Times New Roman" w:hAnsi="Arial" w:cs="Arial"/>
      <w:b/>
      <w:bCs/>
      <w:i/>
      <w:iCs/>
      <w:sz w:val="28"/>
      <w:szCs w:val="28"/>
    </w:rPr>
  </w:style>
  <w:style w:type="character" w:customStyle="1" w:styleId="30">
    <w:name w:val="Заголовок 3 Знак"/>
    <w:basedOn w:val="a1"/>
    <w:link w:val="3"/>
    <w:rsid w:val="006346A7"/>
    <w:rPr>
      <w:rFonts w:ascii="Arial" w:eastAsia="Times New Roman" w:hAnsi="Arial" w:cs="Arial"/>
      <w:b/>
      <w:bCs/>
      <w:sz w:val="26"/>
      <w:szCs w:val="26"/>
      <w:lang w:eastAsia="ru-RU"/>
    </w:rPr>
  </w:style>
  <w:style w:type="character" w:customStyle="1" w:styleId="40">
    <w:name w:val="Заголовок 4 Знак"/>
    <w:basedOn w:val="a1"/>
    <w:link w:val="4"/>
    <w:rsid w:val="006346A7"/>
    <w:rPr>
      <w:rFonts w:ascii="Times New Roman" w:eastAsia="Times New Roman" w:hAnsi="Times New Roman" w:cs="Times New Roman"/>
      <w:i/>
      <w:iCs/>
      <w:color w:val="000000"/>
      <w:sz w:val="28"/>
      <w:szCs w:val="28"/>
      <w:lang w:eastAsia="ru-RU"/>
    </w:rPr>
  </w:style>
  <w:style w:type="character" w:customStyle="1" w:styleId="50">
    <w:name w:val="Заголовок 5 Знак"/>
    <w:basedOn w:val="a1"/>
    <w:link w:val="5"/>
    <w:rsid w:val="006346A7"/>
    <w:rPr>
      <w:rFonts w:ascii="Times New Roman" w:eastAsia="Times New Roman" w:hAnsi="Times New Roman" w:cs="Times New Roman"/>
      <w:b/>
      <w:bCs/>
      <w:color w:val="000000"/>
      <w:sz w:val="40"/>
      <w:szCs w:val="40"/>
      <w:lang w:eastAsia="ru-RU"/>
    </w:rPr>
  </w:style>
  <w:style w:type="character" w:customStyle="1" w:styleId="60">
    <w:name w:val="Заголовок 6 Знак"/>
    <w:basedOn w:val="a1"/>
    <w:link w:val="6"/>
    <w:rsid w:val="006346A7"/>
    <w:rPr>
      <w:rFonts w:ascii="Times New Roman" w:eastAsia="Times New Roman" w:hAnsi="Times New Roman" w:cs="Times New Roman"/>
      <w:b/>
      <w:bCs/>
      <w:lang w:eastAsia="ru-RU"/>
    </w:rPr>
  </w:style>
  <w:style w:type="character" w:customStyle="1" w:styleId="70">
    <w:name w:val="Заголовок 7 Знак"/>
    <w:basedOn w:val="a1"/>
    <w:link w:val="7"/>
    <w:rsid w:val="006346A7"/>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6346A7"/>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6346A7"/>
    <w:rPr>
      <w:rFonts w:ascii="Arial" w:eastAsia="Times New Roman" w:hAnsi="Arial" w:cs="Arial"/>
      <w:lang w:eastAsia="ru-RU"/>
    </w:rPr>
  </w:style>
  <w:style w:type="paragraph" w:customStyle="1" w:styleId="ac">
    <w:name w:val="Знак"/>
    <w:basedOn w:val="a0"/>
    <w:autoRedefine/>
    <w:rsid w:val="006346A7"/>
    <w:pPr>
      <w:spacing w:after="160" w:line="240" w:lineRule="exact"/>
    </w:pPr>
    <w:rPr>
      <w:rFonts w:ascii="Times New Roman" w:eastAsia="Times New Roman" w:hAnsi="Times New Roman" w:cs="Times New Roman"/>
      <w:sz w:val="28"/>
      <w:szCs w:val="20"/>
      <w:lang w:val="en-US"/>
    </w:rPr>
  </w:style>
  <w:style w:type="character" w:customStyle="1" w:styleId="s1">
    <w:name w:val="s1"/>
    <w:rsid w:val="006346A7"/>
    <w:rPr>
      <w:rFonts w:ascii="Times New Roman" w:hAnsi="Times New Roman" w:cs="Times New Roman" w:hint="default"/>
      <w:b/>
      <w:bCs/>
      <w:i w:val="0"/>
      <w:iCs w:val="0"/>
      <w:strike w:val="0"/>
      <w:dstrike w:val="0"/>
      <w:color w:val="000000"/>
      <w:sz w:val="20"/>
      <w:szCs w:val="20"/>
      <w:u w:val="none"/>
      <w:effect w:val="none"/>
    </w:rPr>
  </w:style>
  <w:style w:type="paragraph" w:customStyle="1" w:styleId="11">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d">
    <w:name w:val="Инфляционный обзор_обычный"/>
    <w:basedOn w:val="a0"/>
    <w:rsid w:val="006346A7"/>
    <w:pPr>
      <w:spacing w:after="0" w:line="240" w:lineRule="auto"/>
      <w:ind w:firstLine="720"/>
      <w:jc w:val="both"/>
    </w:pPr>
    <w:rPr>
      <w:rFonts w:ascii="Times New Roman" w:eastAsia="Times New Roman" w:hAnsi="Times New Roman" w:cs="Times New Roman"/>
      <w:sz w:val="24"/>
      <w:szCs w:val="20"/>
      <w:lang w:eastAsia="ru-RU"/>
    </w:rPr>
  </w:style>
  <w:style w:type="paragraph" w:styleId="ae">
    <w:name w:val="Body Text Indent"/>
    <w:basedOn w:val="a0"/>
    <w:link w:val="af"/>
    <w:rsid w:val="006346A7"/>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1"/>
    <w:link w:val="ae"/>
    <w:rsid w:val="006346A7"/>
    <w:rPr>
      <w:rFonts w:ascii="Times New Roman" w:eastAsia="Times New Roman" w:hAnsi="Times New Roman" w:cs="Times New Roman"/>
      <w:sz w:val="24"/>
      <w:szCs w:val="24"/>
      <w:lang w:eastAsia="ru-RU"/>
    </w:rPr>
  </w:style>
  <w:style w:type="paragraph" w:customStyle="1" w:styleId="CharChar1">
    <w:name w:val="Char Char1"/>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f0">
    <w:name w:val="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12">
    <w:name w:val="Знак Знак Знак1 Знак Знак Знак Знак Знак Знак"/>
    <w:basedOn w:val="a0"/>
    <w:next w:val="2"/>
    <w:autoRedefine/>
    <w:rsid w:val="006346A7"/>
    <w:pPr>
      <w:spacing w:after="160" w:line="240" w:lineRule="auto"/>
      <w:ind w:firstLine="720"/>
      <w:jc w:val="both"/>
    </w:pPr>
    <w:rPr>
      <w:rFonts w:ascii="Times New Roman" w:eastAsia="Times New Roman" w:hAnsi="Times New Roman" w:cs="Times New Roman"/>
      <w:sz w:val="28"/>
      <w:szCs w:val="28"/>
      <w:lang w:val="en-US"/>
    </w:rPr>
  </w:style>
  <w:style w:type="character" w:customStyle="1" w:styleId="s0">
    <w:name w:val="s0"/>
    <w:rsid w:val="006346A7"/>
    <w:rPr>
      <w:rFonts w:ascii="Times New Roman" w:hAnsi="Times New Roman" w:cs="Times New Roman" w:hint="default"/>
      <w:b w:val="0"/>
      <w:bCs w:val="0"/>
      <w:i w:val="0"/>
      <w:iCs w:val="0"/>
      <w:strike w:val="0"/>
      <w:dstrike w:val="0"/>
      <w:color w:val="000000"/>
      <w:sz w:val="20"/>
      <w:szCs w:val="20"/>
      <w:u w:val="none"/>
      <w:effect w:val="none"/>
    </w:rPr>
  </w:style>
  <w:style w:type="character" w:styleId="af1">
    <w:name w:val="Hyperlink"/>
    <w:rsid w:val="006346A7"/>
    <w:rPr>
      <w:color w:val="0000FF"/>
      <w:u w:val="single"/>
    </w:rPr>
  </w:style>
  <w:style w:type="paragraph" w:customStyle="1" w:styleId="13">
    <w:name w:val="Стиль1"/>
    <w:basedOn w:val="a0"/>
    <w:rsid w:val="006346A7"/>
    <w:pPr>
      <w:autoSpaceDE w:val="0"/>
      <w:autoSpaceDN w:val="0"/>
      <w:spacing w:after="0" w:line="240" w:lineRule="auto"/>
      <w:jc w:val="both"/>
    </w:pPr>
    <w:rPr>
      <w:rFonts w:ascii="Times New Roman" w:eastAsia="Times New Roman" w:hAnsi="Times New Roman" w:cs="Arial"/>
      <w:color w:val="000000"/>
      <w:sz w:val="28"/>
      <w:szCs w:val="24"/>
      <w:lang w:eastAsia="ru-RU"/>
    </w:rPr>
  </w:style>
  <w:style w:type="paragraph" w:customStyle="1" w:styleId="af2">
    <w:name w:val="Знак Знак Знак Знак Знак Знак Знак Знак Знак Знак Знак Знак Знак"/>
    <w:basedOn w:val="a0"/>
    <w:autoRedefine/>
    <w:rsid w:val="006346A7"/>
    <w:pPr>
      <w:spacing w:after="160" w:line="240" w:lineRule="exact"/>
    </w:pPr>
    <w:rPr>
      <w:rFonts w:ascii="Times New Roman" w:eastAsia="Times New Roman" w:hAnsi="Times New Roman" w:cs="Times New Roman"/>
      <w:sz w:val="28"/>
      <w:szCs w:val="20"/>
      <w:lang w:val="en-US"/>
    </w:rPr>
  </w:style>
  <w:style w:type="paragraph" w:customStyle="1" w:styleId="61">
    <w:name w:val="Стиль6"/>
    <w:basedOn w:val="a0"/>
    <w:rsid w:val="006346A7"/>
    <w:pPr>
      <w:keepNext/>
      <w:spacing w:after="0" w:line="240" w:lineRule="auto"/>
      <w:jc w:val="both"/>
      <w:outlineLvl w:val="1"/>
    </w:pPr>
    <w:rPr>
      <w:rFonts w:ascii="Times New Roman" w:eastAsia="Times New Roman" w:hAnsi="Times New Roman" w:cs="Arial"/>
      <w:bCs/>
      <w:iCs/>
      <w:color w:val="000000"/>
      <w:sz w:val="28"/>
      <w:szCs w:val="28"/>
      <w:lang w:eastAsia="ru-RU"/>
    </w:rPr>
  </w:style>
  <w:style w:type="paragraph" w:styleId="af3">
    <w:name w:val="header"/>
    <w:basedOn w:val="a0"/>
    <w:link w:val="af4"/>
    <w:uiPriority w:val="99"/>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4">
    <w:name w:val="Верхний колонтитул Знак"/>
    <w:basedOn w:val="a1"/>
    <w:link w:val="af3"/>
    <w:uiPriority w:val="99"/>
    <w:rsid w:val="006346A7"/>
    <w:rPr>
      <w:rFonts w:ascii="Calibri" w:eastAsia="Times New Roman" w:hAnsi="Calibri" w:cs="Times New Roman"/>
    </w:rPr>
  </w:style>
  <w:style w:type="character" w:styleId="af5">
    <w:name w:val="page number"/>
    <w:basedOn w:val="a1"/>
    <w:rsid w:val="006346A7"/>
  </w:style>
  <w:style w:type="paragraph" w:styleId="af6">
    <w:name w:val="footer"/>
    <w:basedOn w:val="a0"/>
    <w:link w:val="af7"/>
    <w:rsid w:val="006346A7"/>
    <w:pPr>
      <w:tabs>
        <w:tab w:val="center" w:pos="4677"/>
        <w:tab w:val="right" w:pos="9355"/>
      </w:tabs>
      <w:spacing w:after="0" w:line="240" w:lineRule="auto"/>
      <w:ind w:firstLine="720"/>
      <w:jc w:val="both"/>
    </w:pPr>
    <w:rPr>
      <w:rFonts w:ascii="Calibri" w:eastAsia="Times New Roman" w:hAnsi="Calibri" w:cs="Times New Roman"/>
    </w:rPr>
  </w:style>
  <w:style w:type="character" w:customStyle="1" w:styleId="af7">
    <w:name w:val="Нижний колонтитул Знак"/>
    <w:basedOn w:val="a1"/>
    <w:link w:val="af6"/>
    <w:rsid w:val="006346A7"/>
    <w:rPr>
      <w:rFonts w:ascii="Calibri" w:eastAsia="Times New Roman" w:hAnsi="Calibri" w:cs="Times New Roman"/>
    </w:rPr>
  </w:style>
  <w:style w:type="paragraph" w:customStyle="1" w:styleId="14">
    <w:name w:val="Знак Знак Знак1 Знак Знак Знак Знак Знак Знак Знак Знак Знак Знак"/>
    <w:basedOn w:val="a0"/>
    <w:autoRedefine/>
    <w:rsid w:val="006346A7"/>
    <w:pPr>
      <w:spacing w:after="160" w:line="240" w:lineRule="exact"/>
    </w:pPr>
    <w:rPr>
      <w:rFonts w:ascii="Times New Roman" w:eastAsia="SimSun" w:hAnsi="Times New Roman" w:cs="Times New Roman"/>
      <w:b/>
      <w:bCs/>
      <w:sz w:val="28"/>
      <w:szCs w:val="28"/>
      <w:lang w:val="en-US"/>
    </w:rPr>
  </w:style>
  <w:style w:type="paragraph" w:customStyle="1" w:styleId="15">
    <w:name w:val="Знак Знак Знак Знак Знак Знак1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af8">
    <w:name w:val="Знак Знак Знак Знак"/>
    <w:basedOn w:val="a0"/>
    <w:autoRedefine/>
    <w:rsid w:val="006346A7"/>
    <w:pPr>
      <w:spacing w:after="160" w:line="240" w:lineRule="exact"/>
    </w:pPr>
    <w:rPr>
      <w:rFonts w:ascii="Times New Roman" w:eastAsia="SimSun" w:hAnsi="Times New Roman" w:cs="Times New Roman"/>
      <w:b/>
      <w:sz w:val="28"/>
      <w:szCs w:val="24"/>
      <w:lang w:val="en-US"/>
    </w:rPr>
  </w:style>
  <w:style w:type="paragraph" w:customStyle="1" w:styleId="16">
    <w:name w:val="Абзац списка1"/>
    <w:basedOn w:val="a0"/>
    <w:rsid w:val="006346A7"/>
    <w:pPr>
      <w:spacing w:after="0" w:line="240" w:lineRule="auto"/>
      <w:ind w:left="720"/>
      <w:contextualSpacing/>
    </w:pPr>
    <w:rPr>
      <w:rFonts w:ascii="Times New Roman" w:eastAsia="Times New Roman" w:hAnsi="Times New Roman" w:cs="Times New Roman"/>
      <w:sz w:val="28"/>
    </w:rPr>
  </w:style>
  <w:style w:type="character" w:customStyle="1" w:styleId="Web1">
    <w:name w:val="Обычный (Web)1 Знак"/>
    <w:aliases w:val="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ocked/>
    <w:rsid w:val="006346A7"/>
    <w:rPr>
      <w:rFonts w:eastAsia="Calibri"/>
      <w:sz w:val="24"/>
      <w:szCs w:val="24"/>
      <w:lang w:val="ru-RU" w:eastAsia="ru-RU" w:bidi="ar-SA"/>
    </w:rPr>
  </w:style>
  <w:style w:type="character" w:customStyle="1" w:styleId="FootnoteTextChar">
    <w:name w:val="Footnote Text Char"/>
    <w:aliases w:val="Текст сноски-FN Char,single space Char,footnote text Char"/>
    <w:locked/>
    <w:rsid w:val="006346A7"/>
    <w:rPr>
      <w:rFonts w:ascii="Calibri" w:hAnsi="Calibri"/>
      <w:lang w:val="ru-RU" w:eastAsia="ru-RU" w:bidi="ar-SA"/>
    </w:rPr>
  </w:style>
  <w:style w:type="paragraph" w:styleId="af9">
    <w:name w:val="Body Text"/>
    <w:aliases w:val="gl,Body3,paragraph 2,paragraph 21,L1 Body Text"/>
    <w:basedOn w:val="a0"/>
    <w:link w:val="afa"/>
    <w:rsid w:val="006346A7"/>
    <w:pPr>
      <w:widowControl w:val="0"/>
      <w:spacing w:after="120" w:line="240" w:lineRule="auto"/>
      <w:jc w:val="both"/>
    </w:pPr>
    <w:rPr>
      <w:rFonts w:ascii="Times New Roman" w:eastAsia="Times New Roman" w:hAnsi="Times New Roman" w:cs="Times New Roman"/>
      <w:sz w:val="28"/>
      <w:szCs w:val="20"/>
      <w:lang w:eastAsia="ru-RU"/>
    </w:rPr>
  </w:style>
  <w:style w:type="character" w:customStyle="1" w:styleId="afa">
    <w:name w:val="Основной текст Знак"/>
    <w:aliases w:val="gl Знак,Body3 Знак,paragraph 2 Знак,paragraph 21 Знак,L1 Body Text Знак"/>
    <w:basedOn w:val="a1"/>
    <w:link w:val="af9"/>
    <w:rsid w:val="006346A7"/>
    <w:rPr>
      <w:rFonts w:ascii="Times New Roman" w:eastAsia="Times New Roman" w:hAnsi="Times New Roman" w:cs="Times New Roman"/>
      <w:sz w:val="28"/>
      <w:szCs w:val="20"/>
      <w:lang w:eastAsia="ru-RU"/>
    </w:rPr>
  </w:style>
  <w:style w:type="character" w:customStyle="1" w:styleId="Web11">
    <w:name w:val="Обычный (Web)1 Знак1"/>
    <w:aliases w:val="Знак Знак3 Знак1,Обычный (Web) Знак1,Обычный (веб) Знак1 Знак1,Обычный (веб) Знак Знак1 Знак1,Знак Знак1 Знак Знак2,Обычный (веб) Знак Знак Знак Знак2,Знак Знак1 Знак Знак Знак1,Обычный (веб) Знак Знак Знак Знак Знак1, Знак4 Знак"/>
    <w:locked/>
    <w:rsid w:val="006346A7"/>
    <w:rPr>
      <w:rFonts w:eastAsia="Calibri"/>
      <w:sz w:val="24"/>
      <w:szCs w:val="24"/>
      <w:lang w:val="ru-RU" w:eastAsia="ru-RU" w:bidi="ar-SA"/>
    </w:rPr>
  </w:style>
  <w:style w:type="paragraph" w:styleId="afb">
    <w:name w:val="Balloon Text"/>
    <w:basedOn w:val="a0"/>
    <w:link w:val="afc"/>
    <w:semiHidden/>
    <w:rsid w:val="006346A7"/>
    <w:pPr>
      <w:spacing w:after="0" w:line="240" w:lineRule="auto"/>
      <w:jc w:val="both"/>
    </w:pPr>
    <w:rPr>
      <w:rFonts w:ascii="Tahoma" w:eastAsia="Calibri" w:hAnsi="Tahoma" w:cs="Tahoma"/>
      <w:sz w:val="16"/>
      <w:szCs w:val="16"/>
    </w:rPr>
  </w:style>
  <w:style w:type="character" w:customStyle="1" w:styleId="afc">
    <w:name w:val="Текст выноски Знак"/>
    <w:basedOn w:val="a1"/>
    <w:link w:val="afb"/>
    <w:semiHidden/>
    <w:rsid w:val="006346A7"/>
    <w:rPr>
      <w:rFonts w:ascii="Tahoma" w:eastAsia="Calibri" w:hAnsi="Tahoma" w:cs="Tahoma"/>
      <w:sz w:val="16"/>
      <w:szCs w:val="16"/>
    </w:rPr>
  </w:style>
  <w:style w:type="character" w:customStyle="1" w:styleId="afd">
    <w:name w:val="Название Знак"/>
    <w:link w:val="afe"/>
    <w:locked/>
    <w:rsid w:val="006346A7"/>
    <w:rPr>
      <w:lang w:eastAsia="ru-RU"/>
    </w:rPr>
  </w:style>
  <w:style w:type="paragraph" w:styleId="aff">
    <w:name w:val="No Spacing"/>
    <w:qFormat/>
    <w:rsid w:val="006346A7"/>
    <w:pPr>
      <w:spacing w:after="0" w:line="240" w:lineRule="auto"/>
    </w:pPr>
    <w:rPr>
      <w:rFonts w:ascii="Calibri" w:eastAsia="Calibri" w:hAnsi="Calibri" w:cs="Times New Roman"/>
    </w:rPr>
  </w:style>
  <w:style w:type="paragraph" w:customStyle="1" w:styleId="aff0">
    <w:name w:val="?????"/>
    <w:basedOn w:val="a0"/>
    <w:rsid w:val="006346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styleId="aff1">
    <w:name w:val="endnote text"/>
    <w:basedOn w:val="a0"/>
    <w:link w:val="aff2"/>
    <w:semiHidden/>
    <w:rsid w:val="006346A7"/>
    <w:pPr>
      <w:spacing w:after="0" w:line="240" w:lineRule="auto"/>
      <w:ind w:firstLine="720"/>
      <w:jc w:val="both"/>
    </w:pPr>
    <w:rPr>
      <w:rFonts w:ascii="Calibri" w:eastAsia="Times New Roman" w:hAnsi="Calibri" w:cs="Times New Roman"/>
      <w:sz w:val="20"/>
      <w:szCs w:val="20"/>
    </w:rPr>
  </w:style>
  <w:style w:type="character" w:customStyle="1" w:styleId="aff2">
    <w:name w:val="Текст концевой сноски Знак"/>
    <w:basedOn w:val="a1"/>
    <w:link w:val="aff1"/>
    <w:semiHidden/>
    <w:rsid w:val="006346A7"/>
    <w:rPr>
      <w:rFonts w:ascii="Calibri" w:eastAsia="Times New Roman" w:hAnsi="Calibri" w:cs="Times New Roman"/>
      <w:sz w:val="20"/>
      <w:szCs w:val="20"/>
    </w:rPr>
  </w:style>
  <w:style w:type="character" w:styleId="aff3">
    <w:name w:val="endnote reference"/>
    <w:semiHidden/>
    <w:rsid w:val="006346A7"/>
    <w:rPr>
      <w:vertAlign w:val="superscript"/>
    </w:rPr>
  </w:style>
  <w:style w:type="paragraph" w:styleId="aff4">
    <w:name w:val="Plain Text"/>
    <w:basedOn w:val="a0"/>
    <w:link w:val="aff5"/>
    <w:unhideWhenUsed/>
    <w:rsid w:val="006346A7"/>
    <w:pPr>
      <w:spacing w:after="0" w:line="240" w:lineRule="auto"/>
    </w:pPr>
    <w:rPr>
      <w:rFonts w:ascii="Calibri" w:eastAsia="Calibri" w:hAnsi="Calibri" w:cs="Times New Roman"/>
      <w:szCs w:val="21"/>
    </w:rPr>
  </w:style>
  <w:style w:type="character" w:customStyle="1" w:styleId="aff5">
    <w:name w:val="Текст Знак"/>
    <w:basedOn w:val="a1"/>
    <w:link w:val="aff4"/>
    <w:rsid w:val="006346A7"/>
    <w:rPr>
      <w:rFonts w:ascii="Calibri" w:eastAsia="Calibri" w:hAnsi="Calibri" w:cs="Times New Roman"/>
      <w:szCs w:val="21"/>
    </w:rPr>
  </w:style>
  <w:style w:type="paragraph" w:styleId="21">
    <w:name w:val="Quote"/>
    <w:basedOn w:val="a0"/>
    <w:next w:val="a0"/>
    <w:link w:val="22"/>
    <w:qFormat/>
    <w:rsid w:val="006346A7"/>
    <w:pPr>
      <w:spacing w:after="0" w:line="240" w:lineRule="auto"/>
      <w:ind w:firstLine="720"/>
      <w:jc w:val="both"/>
    </w:pPr>
    <w:rPr>
      <w:rFonts w:ascii="Calibri" w:eastAsia="Times New Roman" w:hAnsi="Calibri" w:cs="Times New Roman"/>
      <w:i/>
      <w:iCs/>
      <w:color w:val="000000"/>
    </w:rPr>
  </w:style>
  <w:style w:type="character" w:customStyle="1" w:styleId="22">
    <w:name w:val="Цитата 2 Знак"/>
    <w:basedOn w:val="a1"/>
    <w:link w:val="21"/>
    <w:rsid w:val="006346A7"/>
    <w:rPr>
      <w:rFonts w:ascii="Calibri" w:eastAsia="Times New Roman" w:hAnsi="Calibri" w:cs="Times New Roman"/>
      <w:i/>
      <w:iCs/>
      <w:color w:val="000000"/>
    </w:rPr>
  </w:style>
  <w:style w:type="character" w:customStyle="1" w:styleId="-FN">
    <w:name w:val="Текст сноски-FN Знак"/>
    <w:aliases w:val="single space Знак,footnote text Знак Знак"/>
    <w:locked/>
    <w:rsid w:val="006346A7"/>
    <w:rPr>
      <w:lang w:val="ru-RU" w:eastAsia="ru-RU" w:bidi="ar-SA"/>
    </w:rPr>
  </w:style>
  <w:style w:type="paragraph" w:styleId="afe">
    <w:name w:val="Title"/>
    <w:basedOn w:val="a0"/>
    <w:link w:val="afd"/>
    <w:qFormat/>
    <w:rsid w:val="006346A7"/>
    <w:pPr>
      <w:spacing w:after="0" w:line="240" w:lineRule="auto"/>
      <w:jc w:val="center"/>
    </w:pPr>
    <w:rPr>
      <w:lang w:eastAsia="ru-RU"/>
    </w:rPr>
  </w:style>
  <w:style w:type="character" w:customStyle="1" w:styleId="17">
    <w:name w:val="Название Знак1"/>
    <w:basedOn w:val="a1"/>
    <w:uiPriority w:val="10"/>
    <w:rsid w:val="006346A7"/>
    <w:rPr>
      <w:rFonts w:asciiTheme="majorHAnsi" w:eastAsiaTheme="majorEastAsia" w:hAnsiTheme="majorHAnsi" w:cstheme="majorBidi"/>
      <w:color w:val="17365D" w:themeColor="text2" w:themeShade="BF"/>
      <w:spacing w:val="5"/>
      <w:kern w:val="28"/>
      <w:sz w:val="52"/>
      <w:szCs w:val="52"/>
    </w:rPr>
  </w:style>
  <w:style w:type="paragraph" w:styleId="23">
    <w:name w:val="Body Text Indent 2"/>
    <w:basedOn w:val="a0"/>
    <w:link w:val="24"/>
    <w:rsid w:val="006346A7"/>
    <w:pPr>
      <w:spacing w:after="120" w:line="480" w:lineRule="auto"/>
      <w:ind w:left="283" w:firstLine="720"/>
      <w:jc w:val="both"/>
    </w:pPr>
    <w:rPr>
      <w:rFonts w:ascii="Calibri" w:eastAsia="Times New Roman" w:hAnsi="Calibri" w:cs="Times New Roman"/>
    </w:rPr>
  </w:style>
  <w:style w:type="character" w:customStyle="1" w:styleId="24">
    <w:name w:val="Основной текст с отступом 2 Знак"/>
    <w:basedOn w:val="a1"/>
    <w:link w:val="23"/>
    <w:rsid w:val="006346A7"/>
    <w:rPr>
      <w:rFonts w:ascii="Calibri" w:eastAsia="Times New Roman" w:hAnsi="Calibri" w:cs="Times New Roman"/>
    </w:rPr>
  </w:style>
  <w:style w:type="paragraph" w:customStyle="1" w:styleId="Default">
    <w:name w:val="Default"/>
    <w:rsid w:val="006346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6">
    <w:name w:val="Strong"/>
    <w:qFormat/>
    <w:rsid w:val="006346A7"/>
    <w:rPr>
      <w:b/>
      <w:bCs/>
    </w:rPr>
  </w:style>
  <w:style w:type="character" w:customStyle="1" w:styleId="aff7">
    <w:name w:val="Информационное письмо"/>
    <w:rsid w:val="006346A7"/>
    <w:rPr>
      <w:sz w:val="24"/>
    </w:rPr>
  </w:style>
  <w:style w:type="character" w:customStyle="1" w:styleId="TitleChar">
    <w:name w:val="Title Char"/>
    <w:locked/>
    <w:rsid w:val="006346A7"/>
    <w:rPr>
      <w:rFonts w:ascii="Times New Roman" w:hAnsi="Times New Roman" w:cs="Times New Roman"/>
      <w:sz w:val="20"/>
      <w:szCs w:val="20"/>
      <w:lang w:val="x-none" w:eastAsia="ru-RU"/>
    </w:rPr>
  </w:style>
  <w:style w:type="paragraph" w:styleId="aff8">
    <w:name w:val="annotation text"/>
    <w:basedOn w:val="a0"/>
    <w:link w:val="aff9"/>
    <w:rsid w:val="006346A7"/>
    <w:pPr>
      <w:spacing w:after="0" w:line="240" w:lineRule="auto"/>
      <w:ind w:firstLine="720"/>
      <w:jc w:val="both"/>
    </w:pPr>
    <w:rPr>
      <w:rFonts w:ascii="Calibri" w:eastAsia="Times New Roman" w:hAnsi="Calibri" w:cs="Times New Roman"/>
      <w:sz w:val="20"/>
      <w:szCs w:val="20"/>
    </w:rPr>
  </w:style>
  <w:style w:type="character" w:customStyle="1" w:styleId="aff9">
    <w:name w:val="Текст примечания Знак"/>
    <w:basedOn w:val="a1"/>
    <w:link w:val="aff8"/>
    <w:rsid w:val="006346A7"/>
    <w:rPr>
      <w:rFonts w:ascii="Calibri" w:eastAsia="Times New Roman" w:hAnsi="Calibri" w:cs="Times New Roman"/>
      <w:sz w:val="20"/>
      <w:szCs w:val="20"/>
    </w:rPr>
  </w:style>
  <w:style w:type="character" w:styleId="affa">
    <w:name w:val="annotation reference"/>
    <w:rsid w:val="006346A7"/>
    <w:rPr>
      <w:sz w:val="16"/>
      <w:szCs w:val="16"/>
    </w:rPr>
  </w:style>
  <w:style w:type="paragraph" w:styleId="a">
    <w:name w:val="List Bullet"/>
    <w:basedOn w:val="a0"/>
    <w:uiPriority w:val="2"/>
    <w:qFormat/>
    <w:rsid w:val="006346A7"/>
    <w:pPr>
      <w:numPr>
        <w:numId w:val="4"/>
      </w:numPr>
      <w:spacing w:after="240" w:line="240" w:lineRule="auto"/>
    </w:pPr>
    <w:rPr>
      <w:rFonts w:ascii="Times New Roman" w:eastAsia="Times New Roman" w:hAnsi="Times New Roman" w:cs="Times New Roman"/>
      <w:sz w:val="24"/>
      <w:szCs w:val="24"/>
      <w:lang w:val="en-US"/>
    </w:rPr>
  </w:style>
  <w:style w:type="character" w:styleId="HTML">
    <w:name w:val="HTML Cite"/>
    <w:uiPriority w:val="99"/>
    <w:unhideWhenUsed/>
    <w:rsid w:val="006346A7"/>
    <w:rPr>
      <w:i/>
      <w:iCs/>
    </w:rPr>
  </w:style>
  <w:style w:type="paragraph" w:styleId="affb">
    <w:name w:val="annotation subject"/>
    <w:basedOn w:val="aff8"/>
    <w:next w:val="aff8"/>
    <w:link w:val="affc"/>
    <w:uiPriority w:val="99"/>
    <w:semiHidden/>
    <w:unhideWhenUsed/>
    <w:rsid w:val="00E9059E"/>
    <w:pPr>
      <w:spacing w:after="200"/>
      <w:ind w:firstLine="0"/>
      <w:jc w:val="left"/>
    </w:pPr>
    <w:rPr>
      <w:rFonts w:asciiTheme="minorHAnsi" w:eastAsiaTheme="minorHAnsi" w:hAnsiTheme="minorHAnsi" w:cstheme="minorBidi"/>
      <w:b/>
      <w:bCs/>
    </w:rPr>
  </w:style>
  <w:style w:type="character" w:customStyle="1" w:styleId="affc">
    <w:name w:val="Тема примечания Знак"/>
    <w:basedOn w:val="aff9"/>
    <w:link w:val="affb"/>
    <w:uiPriority w:val="99"/>
    <w:semiHidden/>
    <w:rsid w:val="00E9059E"/>
    <w:rPr>
      <w:rFonts w:ascii="Calibri" w:eastAsia="Times New Roman" w:hAnsi="Calibri" w:cs="Times New Roman"/>
      <w:b/>
      <w:bCs/>
      <w:sz w:val="20"/>
      <w:szCs w:val="20"/>
    </w:rPr>
  </w:style>
  <w:style w:type="character" w:customStyle="1" w:styleId="a7">
    <w:name w:val="Абзац списка Знак"/>
    <w:aliases w:val="без абзаца Знак,ненум_список Знак,Heading1 Знак,Colorful List - Accent 11 Знак,маркированный Знак,References Знак,NUMBERED PARAGRAPH Знак,List Paragraph 1 Знак,Bullets Знак,List_Paragraph Знак,Multilevel para_II Знак"/>
    <w:link w:val="a6"/>
    <w:uiPriority w:val="34"/>
    <w:locked/>
    <w:rsid w:val="00FC73C6"/>
  </w:style>
  <w:style w:type="character" w:customStyle="1" w:styleId="10">
    <w:name w:val="Заголовок 1 Знак"/>
    <w:basedOn w:val="a1"/>
    <w:link w:val="1"/>
    <w:rsid w:val="00F2659C"/>
    <w:rPr>
      <w:rFonts w:ascii="Arial" w:eastAsia="Calibri" w:hAnsi="Arial" w:cs="Arial"/>
      <w:b/>
      <w:bCs/>
      <w:kern w:val="32"/>
      <w:sz w:val="32"/>
      <w:szCs w:val="32"/>
    </w:rPr>
  </w:style>
  <w:style w:type="paragraph" w:customStyle="1" w:styleId="18">
    <w:name w:val="Знак Знак Знак Знак Знак Знак1 Знак"/>
    <w:basedOn w:val="a0"/>
    <w:autoRedefine/>
    <w:rsid w:val="00F2659C"/>
    <w:pPr>
      <w:spacing w:after="160" w:line="240" w:lineRule="exact"/>
    </w:pPr>
    <w:rPr>
      <w:rFonts w:ascii="Times New Roman" w:eastAsia="SimSun" w:hAnsi="Times New Roman" w:cs="Times New Roman"/>
      <w:b/>
      <w:sz w:val="28"/>
      <w:szCs w:val="24"/>
      <w:lang w:val="en-US"/>
    </w:rPr>
  </w:style>
  <w:style w:type="paragraph" w:customStyle="1" w:styleId="31">
    <w:name w:val="Знак3 Знак Знак Знак Знак Знак Знак Знак Знак Знак Знак Знак Знак Знак Знак Знак Знак Знак Знак"/>
    <w:basedOn w:val="a0"/>
    <w:autoRedefine/>
    <w:rsid w:val="00F2659C"/>
    <w:pPr>
      <w:spacing w:after="160" w:line="240" w:lineRule="exact"/>
    </w:pPr>
    <w:rPr>
      <w:rFonts w:ascii="Times New Roman" w:eastAsia="SimSun" w:hAnsi="Times New Roman" w:cs="Times New Roman"/>
      <w:b/>
      <w:bCs/>
      <w:sz w:val="28"/>
      <w:szCs w:val="28"/>
      <w:lang w:val="en-US"/>
    </w:rPr>
  </w:style>
  <w:style w:type="paragraph" w:customStyle="1" w:styleId="2Char">
    <w:name w:val="Знак2 Знак Знак Знак Знак Знак Знак Знак Знак Знак Знак Знак Знак Знак Знак Знак Знак Знак Знак Знак Знак Знак Знак Знак Знак Знак Знак Char"/>
    <w:basedOn w:val="a0"/>
    <w:rsid w:val="00F2659C"/>
    <w:pPr>
      <w:spacing w:after="160" w:line="240" w:lineRule="exact"/>
      <w:jc w:val="both"/>
    </w:pPr>
    <w:rPr>
      <w:rFonts w:ascii="Times New Roman" w:eastAsia="Times New Roman" w:hAnsi="Times New Roman" w:cs="Times New Roman"/>
      <w:sz w:val="24"/>
      <w:szCs w:val="24"/>
      <w:lang w:val="en-US"/>
    </w:rPr>
  </w:style>
  <w:style w:type="paragraph" w:customStyle="1" w:styleId="affd">
    <w:name w:val="Знак Знак"/>
    <w:basedOn w:val="a0"/>
    <w:autoRedefine/>
    <w:rsid w:val="00F2659C"/>
    <w:pPr>
      <w:spacing w:after="160" w:line="240" w:lineRule="exact"/>
    </w:pPr>
    <w:rPr>
      <w:rFonts w:ascii="Times New Roman" w:eastAsia="SimSun" w:hAnsi="Times New Roman" w:cs="Times New Roman"/>
      <w:b/>
      <w:bCs/>
      <w:sz w:val="28"/>
      <w:szCs w:val="28"/>
      <w:lang w:val="en-US"/>
    </w:rPr>
  </w:style>
  <w:style w:type="paragraph" w:customStyle="1" w:styleId="25">
    <w:name w:val="Абзац списка2"/>
    <w:basedOn w:val="a0"/>
    <w:rsid w:val="00F2659C"/>
    <w:pPr>
      <w:spacing w:after="0" w:line="240" w:lineRule="auto"/>
      <w:ind w:left="720"/>
      <w:contextualSpacing/>
      <w:jc w:val="both"/>
    </w:pPr>
    <w:rPr>
      <w:rFonts w:ascii="Calibri" w:eastAsia="Times New Roman" w:hAnsi="Calibri" w:cs="Times New Roman"/>
    </w:rPr>
  </w:style>
  <w:style w:type="paragraph" w:customStyle="1" w:styleId="19">
    <w:name w:val="Без интервала1"/>
    <w:rsid w:val="00F2659C"/>
    <w:pPr>
      <w:spacing w:after="0" w:line="240" w:lineRule="auto"/>
    </w:pPr>
    <w:rPr>
      <w:rFonts w:ascii="Calibri" w:eastAsia="Calibri" w:hAnsi="Calibri" w:cs="Times New Roman"/>
    </w:rPr>
  </w:style>
  <w:style w:type="paragraph" w:customStyle="1" w:styleId="introduction">
    <w:name w:val="introduction"/>
    <w:basedOn w:val="a0"/>
    <w:rsid w:val="00F265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0"/>
    <w:rsid w:val="00F2659C"/>
    <w:rPr>
      <w:rFonts w:ascii="Calibri" w:eastAsia="Times New Roman" w:hAnsi="Calibri" w:cs="Times New Roman"/>
      <w:szCs w:val="20"/>
      <w:lang w:eastAsia="ru-RU"/>
    </w:rPr>
  </w:style>
  <w:style w:type="paragraph" w:customStyle="1" w:styleId="PlainText">
    <w:name w:val="PlainText"/>
    <w:link w:val="PlainText2"/>
    <w:qFormat/>
    <w:rsid w:val="00F2659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PlainText2">
    <w:name w:val="PlainText Знак2"/>
    <w:link w:val="PlainText"/>
    <w:rsid w:val="00F2659C"/>
    <w:rPr>
      <w:rFonts w:ascii="Times New Roman" w:eastAsia="Times New Roman" w:hAnsi="Times New Roman" w:cs="Times New Roman"/>
      <w:sz w:val="24"/>
      <w:szCs w:val="24"/>
      <w:lang w:eastAsia="ru-RU"/>
    </w:rPr>
  </w:style>
  <w:style w:type="paragraph" w:customStyle="1" w:styleId="1a">
    <w:name w:val="Знак Знак Знак1 Знак Знак Знак Знак Знак Знак"/>
    <w:basedOn w:val="a0"/>
    <w:next w:val="2"/>
    <w:autoRedefine/>
    <w:rsid w:val="00F2659C"/>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affe">
    <w:name w:val="Знак"/>
    <w:basedOn w:val="a0"/>
    <w:autoRedefine/>
    <w:rsid w:val="00F2659C"/>
    <w:pPr>
      <w:spacing w:after="160" w:line="240" w:lineRule="exact"/>
    </w:pPr>
    <w:rPr>
      <w:rFonts w:ascii="Times New Roman" w:eastAsia="Times New Roman" w:hAnsi="Times New Roman" w:cs="Times New Roman"/>
      <w:sz w:val="28"/>
      <w:szCs w:val="20"/>
      <w:lang w:val="en-US"/>
    </w:rPr>
  </w:style>
  <w:style w:type="paragraph" w:styleId="1b">
    <w:name w:val="toc 1"/>
    <w:basedOn w:val="a0"/>
    <w:next w:val="a0"/>
    <w:autoRedefine/>
    <w:semiHidden/>
    <w:rsid w:val="00F2659C"/>
    <w:pPr>
      <w:tabs>
        <w:tab w:val="left" w:pos="709"/>
        <w:tab w:val="left" w:pos="1200"/>
        <w:tab w:val="right" w:leader="dot" w:pos="9356"/>
      </w:tabs>
      <w:spacing w:after="0" w:line="240" w:lineRule="auto"/>
    </w:pPr>
    <w:rPr>
      <w:rFonts w:ascii="Times New Roman" w:eastAsia="Times New Roman" w:hAnsi="Times New Roman" w:cs="Times New Roman"/>
      <w:b/>
      <w:bCs/>
      <w:noProof/>
      <w:sz w:val="28"/>
      <w:szCs w:val="28"/>
      <w:lang w:eastAsia="ru-RU"/>
    </w:rPr>
  </w:style>
  <w:style w:type="paragraph" w:customStyle="1" w:styleId="1c">
    <w:name w:val="1"/>
    <w:basedOn w:val="a0"/>
    <w:autoRedefine/>
    <w:rsid w:val="00F2659C"/>
    <w:pPr>
      <w:spacing w:after="160" w:line="240" w:lineRule="exact"/>
    </w:pPr>
    <w:rPr>
      <w:rFonts w:ascii="Times New Roman" w:eastAsia="SimSun" w:hAnsi="Times New Roman" w:cs="Times New Roman"/>
      <w:b/>
      <w:sz w:val="28"/>
      <w:szCs w:val="24"/>
      <w:lang w:val="en-US"/>
    </w:rPr>
  </w:style>
  <w:style w:type="paragraph" w:customStyle="1" w:styleId="CharChar">
    <w:name w:val="Char Char"/>
    <w:basedOn w:val="a0"/>
    <w:autoRedefine/>
    <w:rsid w:val="00F2659C"/>
    <w:pPr>
      <w:spacing w:after="160" w:line="240" w:lineRule="exact"/>
    </w:pPr>
    <w:rPr>
      <w:rFonts w:ascii="Times New Roman" w:eastAsia="SimSun" w:hAnsi="Times New Roman" w:cs="Times New Roman"/>
      <w:b/>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371162">
      <w:bodyDiv w:val="1"/>
      <w:marLeft w:val="0"/>
      <w:marRight w:val="0"/>
      <w:marTop w:val="0"/>
      <w:marBottom w:val="0"/>
      <w:divBdr>
        <w:top w:val="none" w:sz="0" w:space="0" w:color="auto"/>
        <w:left w:val="none" w:sz="0" w:space="0" w:color="auto"/>
        <w:bottom w:val="none" w:sz="0" w:space="0" w:color="auto"/>
        <w:right w:val="none" w:sz="0" w:space="0" w:color="auto"/>
      </w:divBdr>
    </w:div>
    <w:div w:id="134967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ost.kz/departments/l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D5C93-6433-458B-BC34-E7331721E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18204</Words>
  <Characters>103766</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 Мыктыбекова</dc:creator>
  <cp:lastModifiedBy>Gaukhar Karakova</cp:lastModifiedBy>
  <cp:revision>209</cp:revision>
  <cp:lastPrinted>2019-02-13T09:38:00Z</cp:lastPrinted>
  <dcterms:created xsi:type="dcterms:W3CDTF">2018-01-31T12:34:00Z</dcterms:created>
  <dcterms:modified xsi:type="dcterms:W3CDTF">2019-02-14T04:54:00Z</dcterms:modified>
</cp:coreProperties>
</file>