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D2" w:rsidRPr="0084239A" w:rsidRDefault="0086725E" w:rsidP="006A2DCF">
      <w:pPr>
        <w:spacing w:after="0"/>
        <w:jc w:val="center"/>
        <w:rPr>
          <w:rFonts w:ascii="Verdana" w:eastAsia="Times New Roman" w:hAnsi="Verdana"/>
          <w:sz w:val="22"/>
        </w:rPr>
      </w:pPr>
      <w:r>
        <w:rPr>
          <w:noProof/>
          <w:lang w:val="en-US"/>
        </w:rPr>
        <w:drawing>
          <wp:inline distT="0" distB="0" distL="0" distR="0" wp14:anchorId="3815F694" wp14:editId="3DA16F6C">
            <wp:extent cx="4198620" cy="70866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83E" w:rsidRDefault="0084483E" w:rsidP="006A2DCF">
      <w:pPr>
        <w:spacing w:after="0"/>
        <w:jc w:val="center"/>
        <w:rPr>
          <w:rFonts w:ascii="Verdana" w:eastAsia="Times New Roman" w:hAnsi="Verdana" w:cstheme="minorHAnsi"/>
          <w:b/>
          <w:szCs w:val="24"/>
        </w:rPr>
      </w:pPr>
    </w:p>
    <w:p w:rsidR="0086725E" w:rsidRPr="0086725E" w:rsidRDefault="0086725E" w:rsidP="0086725E">
      <w:pPr>
        <w:spacing w:after="0"/>
        <w:jc w:val="center"/>
        <w:rPr>
          <w:rFonts w:ascii="Verdana" w:eastAsia="Times New Roman" w:hAnsi="Verdana" w:cstheme="minorHAnsi"/>
          <w:b/>
          <w:szCs w:val="24"/>
        </w:rPr>
      </w:pPr>
      <w:r w:rsidRPr="0086725E">
        <w:rPr>
          <w:rFonts w:ascii="Verdana" w:eastAsia="Times New Roman" w:hAnsi="Verdana" w:cstheme="minorHAnsi"/>
          <w:b/>
          <w:szCs w:val="24"/>
        </w:rPr>
        <w:t>БАСПАСӨЗ РЕЛИЗІ</w:t>
      </w:r>
    </w:p>
    <w:p w:rsidR="0086725E" w:rsidRPr="009E7A04" w:rsidRDefault="0086725E" w:rsidP="0086725E">
      <w:pPr>
        <w:spacing w:after="0" w:line="240" w:lineRule="auto"/>
        <w:jc w:val="center"/>
        <w:rPr>
          <w:rFonts w:asciiTheme="minorHAnsi" w:eastAsia="Times New Roman" w:hAnsiTheme="minorHAnsi"/>
          <w:szCs w:val="24"/>
        </w:rPr>
      </w:pPr>
    </w:p>
    <w:p w:rsidR="0086725E" w:rsidRPr="009F7959" w:rsidRDefault="0086725E" w:rsidP="0086725E">
      <w:pPr>
        <w:spacing w:after="0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9F7959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«</w:t>
      </w:r>
      <w:r w:rsidRPr="009F7959">
        <w:rPr>
          <w:rFonts w:asciiTheme="minorHAnsi" w:eastAsia="Times New Roman" w:hAnsiTheme="minorHAnsi" w:cs="Calibri"/>
          <w:b/>
          <w:bCs/>
          <w:szCs w:val="24"/>
          <w:lang w:val="kk-KZ"/>
        </w:rPr>
        <w:t>Макропруденциялық нормативтер мен лимиттерді, олардың нормативтік мәндерін және есептеу әдістемесін белгілеу туралы</w:t>
      </w:r>
      <w:r w:rsidRPr="009F7959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» Қазақстан Республикасы Ұл</w:t>
      </w:r>
      <w:r w:rsidR="00E84291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ттық Банкі Басқармасы қаулысын</w:t>
      </w:r>
      <w:r w:rsidRPr="009F7959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 xml:space="preserve"> қабылдау туралы</w:t>
      </w:r>
    </w:p>
    <w:p w:rsidR="00625EF8" w:rsidRPr="00AF1B54" w:rsidRDefault="00625EF8" w:rsidP="006A2DCF">
      <w:pPr>
        <w:spacing w:after="0"/>
        <w:jc w:val="center"/>
        <w:rPr>
          <w:rFonts w:asciiTheme="minorHAnsi" w:hAnsiTheme="minorHAnsi" w:cstheme="minorHAnsi"/>
          <w:szCs w:val="24"/>
        </w:rPr>
      </w:pPr>
    </w:p>
    <w:p w:rsidR="005D01D2" w:rsidRPr="00AF1B54" w:rsidRDefault="0086725E" w:rsidP="005304B9">
      <w:pPr>
        <w:spacing w:after="0"/>
        <w:ind w:firstLine="567"/>
        <w:jc w:val="center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/>
          <w:szCs w:val="24"/>
          <w:lang w:val="kk-KZ"/>
        </w:rPr>
        <w:t xml:space="preserve">2025 жылғы </w:t>
      </w:r>
      <w:r w:rsidR="006E3B58" w:rsidRPr="00AF1B54">
        <w:rPr>
          <w:rFonts w:asciiTheme="minorHAnsi" w:eastAsia="Times New Roman" w:hAnsiTheme="minorHAnsi" w:cstheme="minorHAnsi"/>
          <w:szCs w:val="24"/>
        </w:rPr>
        <w:t>«</w:t>
      </w:r>
      <w:r w:rsidR="005A5F4B" w:rsidRPr="00E84291">
        <w:rPr>
          <w:rFonts w:asciiTheme="minorHAnsi" w:eastAsia="Times New Roman" w:hAnsiTheme="minorHAnsi" w:cstheme="minorHAnsi"/>
          <w:szCs w:val="24"/>
        </w:rPr>
        <w:t>29</w:t>
      </w:r>
      <w:r w:rsidR="006E3B58" w:rsidRPr="00AF1B54">
        <w:rPr>
          <w:rFonts w:asciiTheme="minorHAnsi" w:eastAsia="Times New Roman" w:hAnsiTheme="minorHAnsi" w:cstheme="minorHAnsi"/>
          <w:szCs w:val="24"/>
        </w:rPr>
        <w:t>»</w:t>
      </w:r>
      <w:r w:rsidR="007F1CC1" w:rsidRPr="00AF1B54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  <w:lang w:val="kk-KZ"/>
        </w:rPr>
        <w:t>тамыз</w:t>
      </w:r>
      <w:r w:rsidR="0063401B">
        <w:rPr>
          <w:rFonts w:asciiTheme="minorHAnsi" w:eastAsia="Times New Roman" w:hAnsiTheme="minorHAnsi" w:cstheme="minorHAnsi"/>
          <w:szCs w:val="24"/>
        </w:rPr>
        <w:t xml:space="preserve">                                                                                                   </w:t>
      </w:r>
      <w:r w:rsidRPr="009E7A04">
        <w:rPr>
          <w:rFonts w:asciiTheme="minorHAnsi" w:eastAsia="Times New Roman" w:hAnsiTheme="minorHAnsi"/>
          <w:szCs w:val="24"/>
          <w:lang w:val="kk-KZ"/>
        </w:rPr>
        <w:t>Астана қ.</w:t>
      </w:r>
    </w:p>
    <w:p w:rsidR="000C4794" w:rsidRPr="00AF1B54" w:rsidRDefault="000C4794" w:rsidP="006A2DCF">
      <w:pPr>
        <w:spacing w:after="0"/>
        <w:jc w:val="center"/>
        <w:rPr>
          <w:rFonts w:asciiTheme="minorHAnsi" w:eastAsia="Times New Roman" w:hAnsiTheme="minorHAnsi" w:cstheme="minorHAnsi"/>
          <w:szCs w:val="24"/>
        </w:rPr>
      </w:pPr>
    </w:p>
    <w:p w:rsidR="0086725E" w:rsidRDefault="0086725E" w:rsidP="006A2DCF">
      <w:pPr>
        <w:spacing w:after="0"/>
        <w:ind w:firstLine="708"/>
        <w:jc w:val="both"/>
        <w:rPr>
          <w:rFonts w:asciiTheme="minorHAnsi" w:hAnsiTheme="minorHAnsi" w:cstheme="minorHAnsi"/>
          <w:szCs w:val="24"/>
        </w:rPr>
      </w:pPr>
      <w:r w:rsidRPr="009E7A04">
        <w:rPr>
          <w:rFonts w:asciiTheme="minorHAnsi" w:eastAsia="Times New Roman" w:hAnsiTheme="minorHAnsi"/>
          <w:szCs w:val="24"/>
          <w:lang w:val="kk-KZ"/>
        </w:rPr>
        <w:t xml:space="preserve">Қазақстан Республикасының Ұлттық Банкі (бұдан әрі – Ұлттық Банк) </w:t>
      </w:r>
      <w:r w:rsidRPr="0086725E">
        <w:rPr>
          <w:rFonts w:asciiTheme="minorHAnsi" w:eastAsia="Times New Roman" w:hAnsiTheme="minorHAnsi"/>
          <w:i/>
          <w:szCs w:val="24"/>
          <w:lang w:val="kk-KZ"/>
        </w:rPr>
        <w:t>«Макропруденциялық нормативтер мен лимиттерді, олардың нормативтік мәндерін және есептеу әдістемесін белгілеу туралы»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 Қазақстан Республикасы Ұлттық Банкі </w:t>
      </w:r>
      <w:r w:rsidRPr="0086725E">
        <w:rPr>
          <w:rFonts w:asciiTheme="minorHAnsi" w:hAnsiTheme="minorHAnsi" w:cstheme="minorHAnsi"/>
          <w:szCs w:val="24"/>
          <w:lang w:val="kk-KZ"/>
        </w:rPr>
        <w:t xml:space="preserve">Басқармасының 2025 жылғы 25 тамыздағы </w:t>
      </w:r>
      <w:r w:rsidRPr="005304B9">
        <w:rPr>
          <w:rFonts w:asciiTheme="minorHAnsi" w:hAnsiTheme="minorHAnsi" w:cstheme="minorHAnsi"/>
          <w:szCs w:val="24"/>
          <w:lang w:val="kk-KZ"/>
        </w:rPr>
        <w:t>№</w:t>
      </w:r>
      <w:r w:rsidR="005304B9">
        <w:rPr>
          <w:rFonts w:asciiTheme="minorHAnsi" w:hAnsiTheme="minorHAnsi" w:cstheme="minorHAnsi"/>
          <w:szCs w:val="24"/>
          <w:lang w:val="kk-KZ"/>
        </w:rPr>
        <w:t xml:space="preserve"> 52</w:t>
      </w:r>
      <w:r w:rsidRPr="005304B9">
        <w:rPr>
          <w:rFonts w:asciiTheme="minorHAnsi" w:hAnsiTheme="minorHAnsi" w:cstheme="minorHAnsi"/>
          <w:szCs w:val="24"/>
          <w:lang w:val="kk-KZ"/>
        </w:rPr>
        <w:t xml:space="preserve">  қаулысының бекітілгені туралы хабарлайды</w:t>
      </w:r>
      <w:r w:rsidR="00EC6F41">
        <w:rPr>
          <w:rFonts w:asciiTheme="minorHAnsi" w:hAnsiTheme="minorHAnsi" w:cstheme="minorHAnsi"/>
          <w:szCs w:val="24"/>
          <w:lang w:val="kk-KZ"/>
        </w:rPr>
        <w:t xml:space="preserve"> </w:t>
      </w:r>
      <w:r w:rsidR="00EC6F41" w:rsidRPr="005304B9">
        <w:rPr>
          <w:rFonts w:asciiTheme="minorHAnsi" w:hAnsiTheme="minorHAnsi" w:cstheme="minorHAnsi"/>
          <w:szCs w:val="24"/>
          <w:lang w:val="kk-KZ"/>
        </w:rPr>
        <w:t>(Қазақстан Республикасы Әділет министрлігінде 2025 жылғы 28 тамыз</w:t>
      </w:r>
      <w:r w:rsidR="00EC6F41">
        <w:rPr>
          <w:rFonts w:asciiTheme="minorHAnsi" w:hAnsiTheme="minorHAnsi" w:cstheme="minorHAnsi"/>
          <w:szCs w:val="24"/>
          <w:lang w:val="kk-KZ"/>
        </w:rPr>
        <w:t>да</w:t>
      </w:r>
      <w:r w:rsidR="00EC6F41" w:rsidRPr="005304B9">
        <w:rPr>
          <w:rFonts w:asciiTheme="minorHAnsi" w:hAnsiTheme="minorHAnsi" w:cstheme="minorHAnsi"/>
          <w:szCs w:val="24"/>
          <w:lang w:val="kk-KZ"/>
        </w:rPr>
        <w:t xml:space="preserve"> № </w:t>
      </w:r>
      <w:r w:rsidR="00EC6F41" w:rsidRPr="005304B9">
        <w:rPr>
          <w:rFonts w:ascii="Calibri" w:hAnsi="Calibri" w:cs="Calibri"/>
          <w:szCs w:val="24"/>
        </w:rPr>
        <w:t xml:space="preserve">36722 </w:t>
      </w:r>
      <w:r w:rsidR="00EC6F41" w:rsidRPr="00EC6F41">
        <w:rPr>
          <w:rFonts w:asciiTheme="minorHAnsi" w:hAnsiTheme="minorHAnsi" w:cstheme="minorHAnsi"/>
          <w:szCs w:val="24"/>
          <w:lang w:val="kk-KZ"/>
        </w:rPr>
        <w:t>тіркелді</w:t>
      </w:r>
      <w:r w:rsidR="00EC6F41" w:rsidRPr="005304B9">
        <w:rPr>
          <w:rFonts w:asciiTheme="minorHAnsi" w:hAnsiTheme="minorHAnsi" w:cstheme="minorHAnsi"/>
          <w:szCs w:val="24"/>
          <w:lang w:val="kk-KZ"/>
        </w:rPr>
        <w:t>)</w:t>
      </w:r>
      <w:r w:rsidRPr="005304B9">
        <w:rPr>
          <w:rFonts w:asciiTheme="minorHAnsi" w:hAnsiTheme="minorHAnsi" w:cstheme="minorHAnsi"/>
          <w:szCs w:val="24"/>
          <w:lang w:val="kk-KZ"/>
        </w:rPr>
        <w:t>.</w:t>
      </w:r>
    </w:p>
    <w:p w:rsidR="0086725E" w:rsidRPr="005304B9" w:rsidRDefault="0086725E" w:rsidP="006A2DCF">
      <w:pPr>
        <w:spacing w:after="0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FB1175">
        <w:rPr>
          <w:rFonts w:asciiTheme="minorHAnsi" w:eastAsia="Times New Roman" w:hAnsiTheme="minorHAnsi"/>
          <w:szCs w:val="24"/>
          <w:lang w:val="kk-KZ"/>
        </w:rPr>
        <w:t xml:space="preserve"> «Қазақстан Республикасының кейбір заңнамалық актілеріне қаржы нарығын дамыту, қаржылық көрсетілетін қызметтерді тұтынушылардың құқықтарын қорғау, байланыс және артық заңнамалық регламенттеуді болғызбау мәселелері бойынша өзгерістер мен толықтырулар енгізу туралы»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 2025 жылғы 30 маусымдағы № 205-VII</w:t>
      </w:r>
      <w:r w:rsidRPr="0086725E">
        <w:rPr>
          <w:rFonts w:asciiTheme="minorHAnsi" w:eastAsia="Times New Roman" w:hAnsiTheme="minorHAnsi"/>
          <w:szCs w:val="24"/>
          <w:lang w:val="kk-KZ"/>
        </w:rPr>
        <w:t xml:space="preserve">I </w:t>
      </w:r>
      <w:r w:rsidRPr="0086725E">
        <w:rPr>
          <w:rFonts w:asciiTheme="minorHAnsi" w:hAnsiTheme="minorHAnsi" w:cstheme="minorHAnsi"/>
          <w:szCs w:val="24"/>
          <w:lang w:val="kk-KZ"/>
        </w:rPr>
        <w:t>Заңға сәйкес қаржы жүйесінің тұрақтылығын қамтамасыз етуге жәрдемдесу шеңберінде Ұлттық Банктің макропруденциалдық саясат саласындағы өкілеттіктерін іске асыруға</w:t>
      </w:r>
      <w:r w:rsidRPr="0086725E">
        <w:rPr>
          <w:rFonts w:asciiTheme="minorHAnsi" w:eastAsia="Times New Roman" w:hAnsiTheme="minorHAnsi"/>
          <w:szCs w:val="24"/>
          <w:lang w:val="kk-KZ"/>
        </w:rPr>
        <w:t xml:space="preserve"> </w:t>
      </w:r>
      <w:r w:rsidRPr="009E7A04">
        <w:rPr>
          <w:rFonts w:asciiTheme="minorHAnsi" w:eastAsia="Times New Roman" w:hAnsiTheme="minorHAnsi"/>
          <w:szCs w:val="24"/>
          <w:lang w:val="kk-KZ"/>
        </w:rPr>
        <w:t>әзірленді</w:t>
      </w:r>
      <w:r>
        <w:rPr>
          <w:rFonts w:asciiTheme="minorHAnsi" w:eastAsia="Times New Roman" w:hAnsiTheme="minorHAnsi"/>
          <w:szCs w:val="24"/>
          <w:lang w:val="kk-KZ"/>
        </w:rPr>
        <w:t>.</w:t>
      </w:r>
    </w:p>
    <w:p w:rsidR="0086725E" w:rsidRPr="0007124C" w:rsidRDefault="0086725E" w:rsidP="006A2DCF">
      <w:pPr>
        <w:spacing w:after="0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07124C">
        <w:rPr>
          <w:rFonts w:asciiTheme="minorHAnsi" w:hAnsiTheme="minorHAnsi" w:cstheme="minorHAnsi"/>
          <w:szCs w:val="24"/>
          <w:lang w:val="kk-KZ"/>
        </w:rPr>
        <w:t xml:space="preserve">Қаулымен мынадай </w:t>
      </w:r>
      <w:r w:rsidRPr="0007124C">
        <w:rPr>
          <w:rFonts w:asciiTheme="minorHAnsi" w:eastAsia="Times New Roman" w:hAnsiTheme="minorHAnsi"/>
          <w:szCs w:val="24"/>
          <w:lang w:val="kk-KZ"/>
        </w:rPr>
        <w:t>макропруденциялық</w:t>
      </w:r>
      <w:r w:rsidRPr="0007124C">
        <w:rPr>
          <w:rFonts w:asciiTheme="minorHAnsi" w:hAnsiTheme="minorHAnsi" w:cstheme="minorHAnsi"/>
          <w:szCs w:val="24"/>
          <w:lang w:val="kk-KZ"/>
        </w:rPr>
        <w:t xml:space="preserve"> нормативтер мен лимиттер </w:t>
      </w:r>
      <w:r w:rsidR="00E318D0" w:rsidRPr="0007124C">
        <w:rPr>
          <w:rFonts w:asciiTheme="minorHAnsi" w:hAnsiTheme="minorHAnsi" w:cstheme="minorHAnsi"/>
          <w:szCs w:val="24"/>
          <w:lang w:val="kk-KZ"/>
        </w:rPr>
        <w:t>олардың нормативтік мәндерін және есептеу әдістемесін белгілеу</w:t>
      </w:r>
      <w:r w:rsidRPr="0007124C">
        <w:rPr>
          <w:rFonts w:asciiTheme="minorHAnsi" w:hAnsiTheme="minorHAnsi" w:cstheme="minorHAnsi"/>
          <w:szCs w:val="24"/>
          <w:lang w:val="kk-KZ"/>
        </w:rPr>
        <w:t xml:space="preserve"> </w:t>
      </w:r>
      <w:r w:rsidR="00381F6A" w:rsidRPr="0007124C">
        <w:rPr>
          <w:rFonts w:asciiTheme="minorHAnsi" w:hAnsiTheme="minorHAnsi" w:cstheme="minorHAnsi"/>
          <w:szCs w:val="24"/>
          <w:lang w:val="kk-KZ"/>
        </w:rPr>
        <w:t>б</w:t>
      </w:r>
      <w:r w:rsidR="00381F6A" w:rsidRPr="0007124C">
        <w:rPr>
          <w:rFonts w:asciiTheme="minorHAnsi" w:hAnsiTheme="minorHAnsi" w:cstheme="minorHAnsi"/>
          <w:bCs/>
          <w:szCs w:val="24"/>
          <w:lang w:val="kk-KZ"/>
        </w:rPr>
        <w:t xml:space="preserve">анктер, </w:t>
      </w:r>
      <w:r w:rsidR="00381F6A" w:rsidRPr="0007124C">
        <w:rPr>
          <w:rFonts w:asciiTheme="minorHAnsi" w:hAnsiTheme="minorHAnsi" w:cstheme="minorHAnsi"/>
          <w:szCs w:val="24"/>
          <w:lang w:val="kk-KZ"/>
        </w:rPr>
        <w:t>Қазақстан Республикасының</w:t>
      </w:r>
      <w:r w:rsidR="00381F6A" w:rsidRPr="0007124C">
        <w:rPr>
          <w:rFonts w:asciiTheme="minorHAnsi" w:hAnsiTheme="minorHAnsi" w:cstheme="minorHAnsi"/>
          <w:b/>
          <w:szCs w:val="24"/>
          <w:lang w:val="kk-KZ"/>
        </w:rPr>
        <w:t xml:space="preserve"> </w:t>
      </w:r>
      <w:r w:rsidR="00381F6A" w:rsidRPr="0007124C">
        <w:rPr>
          <w:rFonts w:asciiTheme="minorHAnsi" w:hAnsiTheme="minorHAnsi" w:cstheme="minorHAnsi"/>
          <w:bCs/>
          <w:szCs w:val="24"/>
          <w:lang w:val="kk-KZ"/>
        </w:rPr>
        <w:t>бейрезидент-банктерінің филиалдары</w:t>
      </w:r>
      <w:r w:rsidRPr="0007124C">
        <w:rPr>
          <w:rFonts w:asciiTheme="minorHAnsi" w:hAnsiTheme="minorHAnsi" w:cstheme="minorHAnsi"/>
          <w:szCs w:val="24"/>
          <w:lang w:val="kk-KZ"/>
        </w:rPr>
        <w:t xml:space="preserve"> үшін белгіленген:</w:t>
      </w:r>
    </w:p>
    <w:p w:rsidR="00381F6A" w:rsidRPr="005304B9" w:rsidRDefault="00381F6A" w:rsidP="00381F6A">
      <w:pPr>
        <w:pStyle w:val="a6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kk-KZ"/>
        </w:rPr>
      </w:pPr>
      <w:r w:rsidRPr="005304B9">
        <w:rPr>
          <w:rFonts w:asciiTheme="minorHAnsi" w:hAnsiTheme="minorHAnsi" w:cstheme="minorHAnsi"/>
          <w:sz w:val="24"/>
          <w:szCs w:val="24"/>
          <w:lang w:val="kk-KZ"/>
        </w:rPr>
        <w:t>капиталдың контрциклдік буфері;</w:t>
      </w:r>
    </w:p>
    <w:p w:rsidR="00381F6A" w:rsidRPr="005304B9" w:rsidRDefault="00381F6A" w:rsidP="00381F6A">
      <w:pPr>
        <w:pStyle w:val="a6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kk-KZ"/>
        </w:rPr>
      </w:pPr>
      <w:r w:rsidRPr="005304B9">
        <w:rPr>
          <w:rFonts w:asciiTheme="minorHAnsi" w:hAnsiTheme="minorHAnsi" w:cstheme="minorHAnsi"/>
          <w:sz w:val="24"/>
          <w:szCs w:val="24"/>
          <w:lang w:val="kk-KZ"/>
        </w:rPr>
        <w:t>капиталдың секторлар бойынша контрциклдік буфері;</w:t>
      </w:r>
    </w:p>
    <w:p w:rsidR="00381F6A" w:rsidRPr="005304B9" w:rsidRDefault="00381F6A" w:rsidP="00381F6A">
      <w:pPr>
        <w:pStyle w:val="a6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kk-KZ"/>
        </w:rPr>
      </w:pPr>
      <w:r w:rsidRPr="005304B9">
        <w:rPr>
          <w:rFonts w:asciiTheme="minorHAnsi" w:hAnsiTheme="minorHAnsi" w:cstheme="minorHAnsi"/>
          <w:sz w:val="24"/>
          <w:szCs w:val="24"/>
          <w:lang w:val="kk-KZ"/>
        </w:rPr>
        <w:t>қарыз алушының борыштық жүктемесінің коэффициенті;</w:t>
      </w:r>
    </w:p>
    <w:p w:rsidR="001422F3" w:rsidRPr="005304B9" w:rsidRDefault="00381F6A" w:rsidP="00381F6A">
      <w:pPr>
        <w:pStyle w:val="a6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kk-KZ"/>
        </w:rPr>
      </w:pPr>
      <w:r w:rsidRPr="005304B9">
        <w:rPr>
          <w:rFonts w:asciiTheme="minorHAnsi" w:hAnsiTheme="minorHAnsi" w:cstheme="minorHAnsi"/>
          <w:sz w:val="24"/>
          <w:szCs w:val="24"/>
          <w:lang w:val="kk-KZ"/>
        </w:rPr>
        <w:t>қарыз алушының кірісіне қатысты борыш коэффициенті қамтылады</w:t>
      </w:r>
      <w:r w:rsidR="00394DB7" w:rsidRPr="005304B9">
        <w:rPr>
          <w:rFonts w:asciiTheme="minorHAnsi" w:hAnsiTheme="minorHAnsi" w:cstheme="minorHAnsi"/>
          <w:sz w:val="24"/>
          <w:szCs w:val="24"/>
          <w:lang w:val="kk-KZ"/>
        </w:rPr>
        <w:t>.</w:t>
      </w:r>
    </w:p>
    <w:p w:rsidR="006C73A8" w:rsidRPr="0007124C" w:rsidRDefault="006C73A8" w:rsidP="006A2DCF">
      <w:pPr>
        <w:spacing w:after="0"/>
        <w:ind w:firstLine="708"/>
        <w:jc w:val="both"/>
        <w:rPr>
          <w:rFonts w:ascii="Calibri" w:hAnsi="Calibri" w:cs="Calibri"/>
          <w:szCs w:val="24"/>
          <w:lang w:val="kk-KZ"/>
        </w:rPr>
      </w:pPr>
    </w:p>
    <w:p w:rsidR="00381F6A" w:rsidRPr="0007124C" w:rsidRDefault="00381F6A" w:rsidP="006A2DCF">
      <w:pPr>
        <w:spacing w:after="0"/>
        <w:ind w:firstLine="708"/>
        <w:jc w:val="both"/>
        <w:rPr>
          <w:rFonts w:ascii="Calibri" w:hAnsi="Calibri" w:cs="Calibri"/>
          <w:szCs w:val="24"/>
          <w:lang w:val="kk-KZ"/>
        </w:rPr>
      </w:pPr>
      <w:r w:rsidRPr="0007124C">
        <w:rPr>
          <w:rFonts w:ascii="Calibri" w:hAnsi="Calibri" w:cs="Calibri"/>
          <w:szCs w:val="24"/>
          <w:lang w:val="kk-KZ"/>
        </w:rPr>
        <w:t xml:space="preserve">Қаулының толық мәтінімен Қазақстан Республикасы Ұлттық Банкінің </w:t>
      </w:r>
      <w:hyperlink r:id="rId9" w:history="1">
        <w:r w:rsidRPr="00780D33">
          <w:rPr>
            <w:rStyle w:val="a3"/>
            <w:rFonts w:ascii="Calibri" w:hAnsi="Calibri" w:cs="Calibri"/>
            <w:b/>
            <w:szCs w:val="24"/>
            <w:lang w:val="kk-KZ"/>
          </w:rPr>
          <w:t>ресми интернет-ресурсында</w:t>
        </w:r>
      </w:hyperlink>
      <w:bookmarkStart w:id="0" w:name="_GoBack"/>
      <w:bookmarkEnd w:id="0"/>
      <w:r w:rsidRPr="0007124C">
        <w:rPr>
          <w:rFonts w:ascii="Calibri" w:hAnsi="Calibri" w:cs="Calibri"/>
          <w:szCs w:val="24"/>
          <w:lang w:val="kk-KZ"/>
        </w:rPr>
        <w:t xml:space="preserve"> танысуға болады. </w:t>
      </w:r>
    </w:p>
    <w:p w:rsidR="00B40555" w:rsidRPr="005304B9" w:rsidRDefault="00B40555" w:rsidP="006A2DCF">
      <w:pPr>
        <w:spacing w:after="0"/>
        <w:jc w:val="center"/>
        <w:rPr>
          <w:rFonts w:asciiTheme="minorHAnsi" w:hAnsiTheme="minorHAnsi" w:cstheme="minorHAnsi"/>
          <w:szCs w:val="24"/>
          <w:lang w:val="kk-KZ"/>
        </w:rPr>
      </w:pPr>
    </w:p>
    <w:p w:rsidR="0084483E" w:rsidRPr="005304B9" w:rsidRDefault="0084483E" w:rsidP="006A2DCF">
      <w:pPr>
        <w:spacing w:after="0"/>
        <w:jc w:val="center"/>
        <w:rPr>
          <w:rFonts w:asciiTheme="minorHAnsi" w:hAnsiTheme="minorHAnsi" w:cstheme="minorHAnsi"/>
          <w:szCs w:val="24"/>
          <w:lang w:val="kk-KZ"/>
        </w:rPr>
      </w:pPr>
    </w:p>
    <w:p w:rsidR="00381F6A" w:rsidRPr="009E7A04" w:rsidRDefault="00381F6A" w:rsidP="00381F6A">
      <w:pPr>
        <w:spacing w:after="0" w:line="240" w:lineRule="auto"/>
        <w:ind w:firstLine="709"/>
        <w:jc w:val="center"/>
        <w:rPr>
          <w:rFonts w:asciiTheme="minorHAnsi" w:eastAsia="Times New Roman" w:hAnsiTheme="minorHAnsi" w:cs="Calibri"/>
          <w:b/>
        </w:rPr>
      </w:pPr>
      <w:r w:rsidRPr="009E7A04">
        <w:rPr>
          <w:rFonts w:asciiTheme="minorHAnsi" w:eastAsia="Times New Roman" w:hAnsiTheme="minorHAnsi" w:cs="Calibri"/>
          <w:b/>
          <w:szCs w:val="24"/>
          <w:lang w:val="kk-KZ" w:eastAsia="ru-RU"/>
        </w:rPr>
        <w:t xml:space="preserve">Толығырақ ақпаратты мына телефон </w:t>
      </w:r>
      <w:r w:rsidRPr="009E7A04">
        <w:rPr>
          <w:rFonts w:asciiTheme="minorHAnsi" w:eastAsia="Times New Roman" w:hAnsiTheme="minorHAnsi" w:cs="Calibri"/>
          <w:b/>
          <w:szCs w:val="24"/>
          <w:lang w:val="kk-KZ"/>
        </w:rPr>
        <w:t>арқылы алуға болады</w:t>
      </w:r>
      <w:r w:rsidRPr="009E7A04">
        <w:rPr>
          <w:rFonts w:asciiTheme="minorHAnsi" w:eastAsia="Times New Roman" w:hAnsiTheme="minorHAnsi" w:cs="Calibri"/>
          <w:b/>
        </w:rPr>
        <w:t>:</w:t>
      </w:r>
    </w:p>
    <w:p w:rsidR="006451AA" w:rsidRPr="005304B9" w:rsidRDefault="00381F6A" w:rsidP="00381F6A">
      <w:pPr>
        <w:spacing w:after="0"/>
        <w:jc w:val="center"/>
        <w:rPr>
          <w:rFonts w:asciiTheme="minorHAnsi" w:hAnsiTheme="minorHAnsi" w:cstheme="minorHAnsi"/>
          <w:szCs w:val="24"/>
          <w:lang w:val="en-US"/>
        </w:rPr>
      </w:pPr>
      <w:r w:rsidRPr="009E7A04">
        <w:rPr>
          <w:rFonts w:asciiTheme="minorHAnsi" w:eastAsia="Times New Roman" w:hAnsiTheme="minorHAnsi" w:cs="Calibri"/>
          <w:szCs w:val="24"/>
          <w:lang w:val="it-IT" w:eastAsia="ru-RU"/>
        </w:rPr>
        <w:t>+7 (7</w:t>
      </w:r>
      <w:r w:rsidRPr="009E7A04">
        <w:rPr>
          <w:rFonts w:asciiTheme="minorHAnsi" w:eastAsia="Times New Roman" w:hAnsiTheme="minorHAnsi" w:cs="Calibri"/>
          <w:szCs w:val="24"/>
          <w:lang w:val="kk-KZ" w:eastAsia="ru-RU"/>
        </w:rPr>
        <w:t>1</w:t>
      </w:r>
      <w:r w:rsidRPr="009E7A04">
        <w:rPr>
          <w:rFonts w:asciiTheme="minorHAnsi" w:eastAsia="Times New Roman" w:hAnsiTheme="minorHAnsi" w:cs="Calibri"/>
          <w:szCs w:val="24"/>
          <w:lang w:val="it-IT" w:eastAsia="ru-RU"/>
        </w:rPr>
        <w:t xml:space="preserve">72) </w:t>
      </w:r>
      <w:r w:rsidRPr="009E7A04">
        <w:rPr>
          <w:rFonts w:ascii="Calibri" w:eastAsia="Times New Roman" w:hAnsi="Calibri" w:cs="Arial"/>
          <w:szCs w:val="24"/>
          <w:lang w:val="it-IT" w:eastAsia="ru-RU"/>
        </w:rPr>
        <w:t>77-55-77</w:t>
      </w:r>
      <w:r>
        <w:rPr>
          <w:rFonts w:ascii="Calibri" w:eastAsia="Times New Roman" w:hAnsi="Calibri" w:cs="Arial"/>
          <w:szCs w:val="24"/>
          <w:lang w:val="kk-KZ" w:eastAsia="ru-RU"/>
        </w:rPr>
        <w:t xml:space="preserve"> </w:t>
      </w:r>
      <w:r w:rsidRPr="005304B9">
        <w:rPr>
          <w:rFonts w:ascii="Calibri" w:eastAsia="Times New Roman" w:hAnsi="Calibri" w:cs="Arial"/>
          <w:szCs w:val="24"/>
          <w:lang w:val="en-US" w:eastAsia="ru-RU"/>
        </w:rPr>
        <w:t>(1765)</w:t>
      </w:r>
    </w:p>
    <w:p w:rsidR="006451AA" w:rsidRPr="0084239A" w:rsidRDefault="006451AA" w:rsidP="006A2DCF">
      <w:pPr>
        <w:spacing w:after="0"/>
        <w:jc w:val="center"/>
        <w:rPr>
          <w:rFonts w:asciiTheme="minorHAnsi" w:hAnsiTheme="minorHAnsi" w:cstheme="minorHAnsi"/>
          <w:szCs w:val="24"/>
          <w:lang w:val="en-US"/>
        </w:rPr>
      </w:pPr>
      <w:r w:rsidRPr="0084239A">
        <w:rPr>
          <w:rFonts w:asciiTheme="minorHAnsi" w:hAnsiTheme="minorHAnsi" w:cstheme="minorHAnsi"/>
          <w:szCs w:val="24"/>
          <w:lang w:val="fr-FR"/>
        </w:rPr>
        <w:t xml:space="preserve">e-mail: </w:t>
      </w:r>
      <w:hyperlink r:id="rId10" w:history="1">
        <w:r w:rsidRPr="0084239A">
          <w:rPr>
            <w:rStyle w:val="a3"/>
            <w:rFonts w:asciiTheme="minorHAnsi" w:hAnsiTheme="minorHAnsi" w:cstheme="minorHAnsi"/>
            <w:szCs w:val="24"/>
            <w:lang w:val="fr-FR"/>
          </w:rPr>
          <w:t>press@nationalbank.kz</w:t>
        </w:r>
      </w:hyperlink>
    </w:p>
    <w:p w:rsidR="003046AB" w:rsidRDefault="006451AA" w:rsidP="006A2DCF">
      <w:pPr>
        <w:spacing w:after="0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  <w:r w:rsidRPr="0084239A">
        <w:rPr>
          <w:rFonts w:asciiTheme="minorHAnsi" w:hAnsiTheme="minorHAnsi" w:cstheme="minorHAnsi"/>
          <w:szCs w:val="24"/>
          <w:lang w:val="en-US"/>
        </w:rPr>
        <w:t xml:space="preserve">           </w:t>
      </w:r>
      <w:r w:rsidRPr="0084239A">
        <w:rPr>
          <w:rStyle w:val="a3"/>
          <w:rFonts w:asciiTheme="minorHAnsi" w:hAnsiTheme="minorHAnsi" w:cstheme="minorHAnsi"/>
          <w:lang w:val="en-US"/>
        </w:rPr>
        <w:t>www.nationalbank.kz</w:t>
      </w:r>
    </w:p>
    <w:sectPr w:rsidR="003046AB" w:rsidSect="009E356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F3" w:rsidRDefault="00B869F3" w:rsidP="000F0C42">
      <w:pPr>
        <w:spacing w:after="0" w:line="240" w:lineRule="auto"/>
      </w:pPr>
      <w:r>
        <w:separator/>
      </w:r>
    </w:p>
  </w:endnote>
  <w:endnote w:type="continuationSeparator" w:id="0">
    <w:p w:rsidR="00B869F3" w:rsidRDefault="00B869F3" w:rsidP="000F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F3" w:rsidRDefault="00B869F3" w:rsidP="000F0C42">
      <w:pPr>
        <w:spacing w:after="0" w:line="240" w:lineRule="auto"/>
      </w:pPr>
      <w:r>
        <w:separator/>
      </w:r>
    </w:p>
  </w:footnote>
  <w:footnote w:type="continuationSeparator" w:id="0">
    <w:p w:rsidR="00B869F3" w:rsidRDefault="00B869F3" w:rsidP="000F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1C83"/>
    <w:multiLevelType w:val="hybridMultilevel"/>
    <w:tmpl w:val="26586E1E"/>
    <w:lvl w:ilvl="0" w:tplc="E27A1C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218FA"/>
    <w:rsid w:val="000549E9"/>
    <w:rsid w:val="00070549"/>
    <w:rsid w:val="0007124C"/>
    <w:rsid w:val="00075DA2"/>
    <w:rsid w:val="000A30C3"/>
    <w:rsid w:val="000C4794"/>
    <w:rsid w:val="000C4998"/>
    <w:rsid w:val="000D2026"/>
    <w:rsid w:val="000F0C42"/>
    <w:rsid w:val="000F641D"/>
    <w:rsid w:val="00110A4D"/>
    <w:rsid w:val="00112AD9"/>
    <w:rsid w:val="0011480D"/>
    <w:rsid w:val="00122614"/>
    <w:rsid w:val="001422F3"/>
    <w:rsid w:val="0015285C"/>
    <w:rsid w:val="001558BA"/>
    <w:rsid w:val="0016436F"/>
    <w:rsid w:val="00191AA8"/>
    <w:rsid w:val="001A5F2E"/>
    <w:rsid w:val="001B20D0"/>
    <w:rsid w:val="001C2C65"/>
    <w:rsid w:val="001C4781"/>
    <w:rsid w:val="001E011D"/>
    <w:rsid w:val="001F0C89"/>
    <w:rsid w:val="001F15EB"/>
    <w:rsid w:val="00200734"/>
    <w:rsid w:val="00233A4B"/>
    <w:rsid w:val="00242E9F"/>
    <w:rsid w:val="00243098"/>
    <w:rsid w:val="00265216"/>
    <w:rsid w:val="00273022"/>
    <w:rsid w:val="002B7E00"/>
    <w:rsid w:val="002D33E1"/>
    <w:rsid w:val="002F2ED7"/>
    <w:rsid w:val="003000CD"/>
    <w:rsid w:val="00303787"/>
    <w:rsid w:val="003046AB"/>
    <w:rsid w:val="00307D59"/>
    <w:rsid w:val="00321327"/>
    <w:rsid w:val="00350C65"/>
    <w:rsid w:val="00364A72"/>
    <w:rsid w:val="00364B67"/>
    <w:rsid w:val="003742ED"/>
    <w:rsid w:val="00381F6A"/>
    <w:rsid w:val="00394DB7"/>
    <w:rsid w:val="00397426"/>
    <w:rsid w:val="003A0A71"/>
    <w:rsid w:val="003A3999"/>
    <w:rsid w:val="003B59F4"/>
    <w:rsid w:val="003B764B"/>
    <w:rsid w:val="003C2668"/>
    <w:rsid w:val="003D093C"/>
    <w:rsid w:val="003E475A"/>
    <w:rsid w:val="003F10BF"/>
    <w:rsid w:val="003F14FA"/>
    <w:rsid w:val="00406A1D"/>
    <w:rsid w:val="00424CD3"/>
    <w:rsid w:val="004315CF"/>
    <w:rsid w:val="00434C1F"/>
    <w:rsid w:val="00437B72"/>
    <w:rsid w:val="004427D1"/>
    <w:rsid w:val="00471604"/>
    <w:rsid w:val="00474879"/>
    <w:rsid w:val="00474941"/>
    <w:rsid w:val="004E05A2"/>
    <w:rsid w:val="004E0A64"/>
    <w:rsid w:val="004F4102"/>
    <w:rsid w:val="005037D7"/>
    <w:rsid w:val="005304B9"/>
    <w:rsid w:val="005461D4"/>
    <w:rsid w:val="00567617"/>
    <w:rsid w:val="0057554D"/>
    <w:rsid w:val="00580E61"/>
    <w:rsid w:val="0058674E"/>
    <w:rsid w:val="005A42C8"/>
    <w:rsid w:val="005A5F4B"/>
    <w:rsid w:val="005B4877"/>
    <w:rsid w:val="005C3385"/>
    <w:rsid w:val="005D01D2"/>
    <w:rsid w:val="005D2302"/>
    <w:rsid w:val="005F6CCD"/>
    <w:rsid w:val="00617165"/>
    <w:rsid w:val="006220C9"/>
    <w:rsid w:val="00625EF8"/>
    <w:rsid w:val="0063401B"/>
    <w:rsid w:val="006366C1"/>
    <w:rsid w:val="00636DBC"/>
    <w:rsid w:val="006451AA"/>
    <w:rsid w:val="0066510C"/>
    <w:rsid w:val="0068000B"/>
    <w:rsid w:val="00683C83"/>
    <w:rsid w:val="0068464C"/>
    <w:rsid w:val="0068523A"/>
    <w:rsid w:val="00692EB3"/>
    <w:rsid w:val="006A2DCF"/>
    <w:rsid w:val="006C0567"/>
    <w:rsid w:val="006C137F"/>
    <w:rsid w:val="006C71E4"/>
    <w:rsid w:val="006C73A8"/>
    <w:rsid w:val="006E03CB"/>
    <w:rsid w:val="006E3B58"/>
    <w:rsid w:val="006F338B"/>
    <w:rsid w:val="006F367F"/>
    <w:rsid w:val="007105D4"/>
    <w:rsid w:val="00721AE1"/>
    <w:rsid w:val="00727DAE"/>
    <w:rsid w:val="007342A7"/>
    <w:rsid w:val="007547F6"/>
    <w:rsid w:val="007610BE"/>
    <w:rsid w:val="007752D4"/>
    <w:rsid w:val="00780AF5"/>
    <w:rsid w:val="00780D33"/>
    <w:rsid w:val="00792B56"/>
    <w:rsid w:val="007A2B5B"/>
    <w:rsid w:val="007B3B89"/>
    <w:rsid w:val="007D052B"/>
    <w:rsid w:val="007D2CEA"/>
    <w:rsid w:val="007D4F8E"/>
    <w:rsid w:val="007D7E8B"/>
    <w:rsid w:val="007F1CC1"/>
    <w:rsid w:val="007F293C"/>
    <w:rsid w:val="007F737F"/>
    <w:rsid w:val="00813285"/>
    <w:rsid w:val="00821CBB"/>
    <w:rsid w:val="00825AFC"/>
    <w:rsid w:val="0084239A"/>
    <w:rsid w:val="0084483E"/>
    <w:rsid w:val="0086559E"/>
    <w:rsid w:val="0086725E"/>
    <w:rsid w:val="00874861"/>
    <w:rsid w:val="00880684"/>
    <w:rsid w:val="008A6691"/>
    <w:rsid w:val="008B3A5D"/>
    <w:rsid w:val="008C10D2"/>
    <w:rsid w:val="008E1155"/>
    <w:rsid w:val="00902F40"/>
    <w:rsid w:val="00913608"/>
    <w:rsid w:val="00920487"/>
    <w:rsid w:val="00921515"/>
    <w:rsid w:val="00940A5C"/>
    <w:rsid w:val="009425D6"/>
    <w:rsid w:val="00952AD3"/>
    <w:rsid w:val="00956BDA"/>
    <w:rsid w:val="0096316A"/>
    <w:rsid w:val="00966F5A"/>
    <w:rsid w:val="00974FA1"/>
    <w:rsid w:val="009A3244"/>
    <w:rsid w:val="009A49FF"/>
    <w:rsid w:val="009D7E41"/>
    <w:rsid w:val="009E356B"/>
    <w:rsid w:val="009F0407"/>
    <w:rsid w:val="009F0DCD"/>
    <w:rsid w:val="009F7959"/>
    <w:rsid w:val="00A01060"/>
    <w:rsid w:val="00A31A4C"/>
    <w:rsid w:val="00A325D5"/>
    <w:rsid w:val="00A53D12"/>
    <w:rsid w:val="00A70BCE"/>
    <w:rsid w:val="00A7792A"/>
    <w:rsid w:val="00A7796F"/>
    <w:rsid w:val="00A81033"/>
    <w:rsid w:val="00A93F62"/>
    <w:rsid w:val="00A94AA0"/>
    <w:rsid w:val="00AE7131"/>
    <w:rsid w:val="00AF1B54"/>
    <w:rsid w:val="00B00FBF"/>
    <w:rsid w:val="00B04EB2"/>
    <w:rsid w:val="00B2086E"/>
    <w:rsid w:val="00B31C16"/>
    <w:rsid w:val="00B40555"/>
    <w:rsid w:val="00B44F25"/>
    <w:rsid w:val="00B51BFD"/>
    <w:rsid w:val="00B70BA9"/>
    <w:rsid w:val="00B75454"/>
    <w:rsid w:val="00B869F3"/>
    <w:rsid w:val="00BB4ECC"/>
    <w:rsid w:val="00BB54FB"/>
    <w:rsid w:val="00BC2AA5"/>
    <w:rsid w:val="00BC2AA7"/>
    <w:rsid w:val="00BC78B4"/>
    <w:rsid w:val="00BE5916"/>
    <w:rsid w:val="00C0149C"/>
    <w:rsid w:val="00C03E4A"/>
    <w:rsid w:val="00C07E63"/>
    <w:rsid w:val="00C10E19"/>
    <w:rsid w:val="00C22643"/>
    <w:rsid w:val="00C37A6E"/>
    <w:rsid w:val="00C63C77"/>
    <w:rsid w:val="00C705F6"/>
    <w:rsid w:val="00C76234"/>
    <w:rsid w:val="00C86815"/>
    <w:rsid w:val="00CB798B"/>
    <w:rsid w:val="00CC7CFE"/>
    <w:rsid w:val="00CF23D7"/>
    <w:rsid w:val="00D131C7"/>
    <w:rsid w:val="00D51417"/>
    <w:rsid w:val="00D7478F"/>
    <w:rsid w:val="00D937AD"/>
    <w:rsid w:val="00DA11C7"/>
    <w:rsid w:val="00DB1628"/>
    <w:rsid w:val="00DD2E14"/>
    <w:rsid w:val="00DD3222"/>
    <w:rsid w:val="00DE296E"/>
    <w:rsid w:val="00DE5FE4"/>
    <w:rsid w:val="00DF527D"/>
    <w:rsid w:val="00DF6D9F"/>
    <w:rsid w:val="00E21CE5"/>
    <w:rsid w:val="00E318D0"/>
    <w:rsid w:val="00E335F7"/>
    <w:rsid w:val="00E409DC"/>
    <w:rsid w:val="00E432AD"/>
    <w:rsid w:val="00E43350"/>
    <w:rsid w:val="00E52664"/>
    <w:rsid w:val="00E52714"/>
    <w:rsid w:val="00E75662"/>
    <w:rsid w:val="00E83606"/>
    <w:rsid w:val="00E84291"/>
    <w:rsid w:val="00E84B77"/>
    <w:rsid w:val="00E92C3E"/>
    <w:rsid w:val="00EC6B04"/>
    <w:rsid w:val="00EC6F41"/>
    <w:rsid w:val="00ED5B86"/>
    <w:rsid w:val="00EE658E"/>
    <w:rsid w:val="00EE7B59"/>
    <w:rsid w:val="00F05670"/>
    <w:rsid w:val="00F05CB2"/>
    <w:rsid w:val="00F30089"/>
    <w:rsid w:val="00F32800"/>
    <w:rsid w:val="00F37B9B"/>
    <w:rsid w:val="00F51014"/>
    <w:rsid w:val="00F70C3F"/>
    <w:rsid w:val="00F72A06"/>
    <w:rsid w:val="00F7382B"/>
    <w:rsid w:val="00F75E5D"/>
    <w:rsid w:val="00F832C2"/>
    <w:rsid w:val="00F94E18"/>
    <w:rsid w:val="00FA13A1"/>
    <w:rsid w:val="00FD1A7E"/>
    <w:rsid w:val="00FD5AEE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F0C42"/>
    <w:rPr>
      <w:rFonts w:ascii="Calibri" w:eastAsia="Times New Roman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F0C42"/>
    <w:rPr>
      <w:rFonts w:ascii="Calibri" w:eastAsia="Times New Roman" w:hAnsi="Calibri"/>
      <w:lang w:eastAsia="en-US"/>
    </w:rPr>
  </w:style>
  <w:style w:type="character" w:styleId="a9">
    <w:name w:val="footnote reference"/>
    <w:aliases w:val="Текст сноски Знак2 Знак Знак,Текст сноски Знак Знак Знак1 Знак Знак,Текст сноски Знак Знак Знак Знак Знак Знак,Текст сноски Знак Знак1 Знак Знак1 Знак Знак,Footnote Reference Number,Footnote Reference_LVL6,Footnote Reference_LVL61,fr"/>
    <w:basedOn w:val="a0"/>
    <w:uiPriority w:val="99"/>
    <w:unhideWhenUsed/>
    <w:rsid w:val="000F0C42"/>
    <w:rPr>
      <w:vertAlign w:val="superscript"/>
    </w:rPr>
  </w:style>
  <w:style w:type="paragraph" w:styleId="aa">
    <w:name w:val="No Spacing"/>
    <w:uiPriority w:val="1"/>
    <w:qFormat/>
    <w:rsid w:val="000F0C42"/>
    <w:rPr>
      <w:rFonts w:ascii="Calibri" w:eastAsia="Times New Roman" w:hAnsi="Calibri"/>
      <w:sz w:val="22"/>
      <w:szCs w:val="22"/>
      <w:lang w:eastAsia="en-US"/>
    </w:rPr>
  </w:style>
  <w:style w:type="paragraph" w:customStyle="1" w:styleId="pj">
    <w:name w:val="pj"/>
    <w:basedOn w:val="a"/>
    <w:rsid w:val="00CF23D7"/>
    <w:pPr>
      <w:spacing w:after="0" w:line="240" w:lineRule="auto"/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customStyle="1" w:styleId="s2">
    <w:name w:val="s2"/>
    <w:rsid w:val="00CF23D7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D2302"/>
    <w:rPr>
      <w:rFonts w:ascii="Times New Roman" w:hAnsi="Times New Roman" w:cs="Times New Roman" w:hint="default"/>
      <w:b/>
      <w:bCs/>
      <w:color w:val="000000"/>
    </w:rPr>
  </w:style>
  <w:style w:type="character" w:styleId="ab">
    <w:name w:val="annotation reference"/>
    <w:basedOn w:val="a0"/>
    <w:uiPriority w:val="99"/>
    <w:semiHidden/>
    <w:unhideWhenUsed/>
    <w:rsid w:val="00780D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80D3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80D33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80D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80D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tionalbank.kz/kz/npa/obespechenie-stabilnosti-finansovoy-siste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D7F05-FA07-4600-A94E-61638A4E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1999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Серик Рустанов</cp:lastModifiedBy>
  <cp:revision>12</cp:revision>
  <cp:lastPrinted>2020-03-19T14:44:00Z</cp:lastPrinted>
  <dcterms:created xsi:type="dcterms:W3CDTF">2025-08-28T06:19:00Z</dcterms:created>
  <dcterms:modified xsi:type="dcterms:W3CDTF">2025-08-29T13:08:00Z</dcterms:modified>
</cp:coreProperties>
</file>