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48EE1381" w:rsidR="003F1095" w:rsidRPr="00CF76E2" w:rsidRDefault="00CF76E2" w:rsidP="007F65C5">
            <w:pPr>
              <w:jc w:val="center"/>
              <w:rPr>
                <w:sz w:val="22"/>
                <w:szCs w:val="22"/>
                <w:lang w:val="kk-KZ"/>
              </w:rPr>
            </w:pPr>
            <w:bookmarkStart w:id="0" w:name="_GoBack"/>
            <w:r w:rsidRPr="00CF76E2">
              <w:rPr>
                <w:sz w:val="22"/>
                <w:szCs w:val="22"/>
              </w:rPr>
              <w:t xml:space="preserve">2025 </w:t>
            </w:r>
            <w:r w:rsidRPr="00CF76E2">
              <w:rPr>
                <w:sz w:val="22"/>
                <w:szCs w:val="22"/>
                <w:lang w:val="kk-KZ"/>
              </w:rPr>
              <w:t xml:space="preserve">жылғы </w:t>
            </w:r>
            <w:r w:rsidRPr="00CF76E2">
              <w:rPr>
                <w:sz w:val="22"/>
                <w:szCs w:val="22"/>
              </w:rPr>
              <w:t>28</w:t>
            </w:r>
            <w:r w:rsidRPr="00CF76E2">
              <w:rPr>
                <w:sz w:val="22"/>
                <w:szCs w:val="22"/>
                <w:lang w:val="kk-KZ"/>
              </w:rPr>
              <w:t xml:space="preserve"> тамыз</w:t>
            </w:r>
          </w:p>
          <w:bookmarkEnd w:id="0"/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728E0BD1" w:rsidR="003F1095" w:rsidRPr="00CF76E2" w:rsidRDefault="003F1095" w:rsidP="007F65C5">
            <w:pPr>
              <w:jc w:val="center"/>
              <w:rPr>
                <w:sz w:val="22"/>
                <w:szCs w:val="22"/>
              </w:rPr>
            </w:pPr>
            <w:r w:rsidRPr="00CF76E2">
              <w:rPr>
                <w:sz w:val="22"/>
                <w:szCs w:val="22"/>
              </w:rPr>
              <w:t>№</w:t>
            </w:r>
            <w:r w:rsidR="00CF76E2" w:rsidRPr="00CF76E2">
              <w:rPr>
                <w:sz w:val="22"/>
                <w:szCs w:val="22"/>
              </w:rPr>
              <w:t xml:space="preserve"> 7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345F3B72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B96C58">
        <w:rPr>
          <w:sz w:val="28"/>
          <w:szCs w:val="28"/>
          <w:lang w:val="kk-KZ"/>
        </w:rPr>
        <w:t>5</w:t>
      </w:r>
      <w:r w:rsidR="00F37D5B">
        <w:rPr>
          <w:sz w:val="28"/>
          <w:szCs w:val="28"/>
          <w:lang w:val="kk-KZ"/>
        </w:rPr>
        <w:t xml:space="preserve"> жылғы </w:t>
      </w:r>
      <w:r w:rsidR="00044479">
        <w:rPr>
          <w:sz w:val="28"/>
          <w:szCs w:val="28"/>
          <w:lang w:val="kk-KZ"/>
        </w:rPr>
        <w:t>2</w:t>
      </w:r>
      <w:r w:rsidR="009039DF">
        <w:rPr>
          <w:sz w:val="28"/>
          <w:szCs w:val="28"/>
          <w:lang w:val="kk-KZ"/>
        </w:rPr>
        <w:t xml:space="preserve"> </w:t>
      </w:r>
      <w:r w:rsidR="00044479">
        <w:rPr>
          <w:sz w:val="28"/>
          <w:szCs w:val="28"/>
          <w:lang w:val="kk-KZ"/>
        </w:rPr>
        <w:t>қыркүйектен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3E1360FC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B53DDB">
        <w:rPr>
          <w:sz w:val="28"/>
          <w:szCs w:val="28"/>
        </w:rPr>
        <w:t>16,5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4F71F502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53DDB">
        <w:rPr>
          <w:sz w:val="28"/>
          <w:szCs w:val="28"/>
          <w:lang w:val="kk-KZ"/>
        </w:rPr>
        <w:t>17,5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3B8C7072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53DDB">
        <w:rPr>
          <w:sz w:val="28"/>
          <w:szCs w:val="28"/>
          <w:lang w:val="kk-KZ"/>
        </w:rPr>
        <w:t>15,5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92347" w14:textId="77777777" w:rsidR="00551EFC" w:rsidRDefault="00551EFC">
      <w:r>
        <w:separator/>
      </w:r>
    </w:p>
  </w:endnote>
  <w:endnote w:type="continuationSeparator" w:id="0">
    <w:p w14:paraId="541AD747" w14:textId="77777777" w:rsidR="00551EFC" w:rsidRDefault="0055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B14D5" w14:textId="77777777" w:rsidR="00551EFC" w:rsidRDefault="00551EFC">
      <w:r>
        <w:separator/>
      </w:r>
    </w:p>
  </w:footnote>
  <w:footnote w:type="continuationSeparator" w:id="0">
    <w:p w14:paraId="55DDD649" w14:textId="77777777" w:rsidR="00551EFC" w:rsidRDefault="0055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4479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86170"/>
    <w:rsid w:val="00392957"/>
    <w:rsid w:val="003951E9"/>
    <w:rsid w:val="003A4785"/>
    <w:rsid w:val="003A7CA1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2959"/>
    <w:rsid w:val="00514314"/>
    <w:rsid w:val="005229B9"/>
    <w:rsid w:val="0052469D"/>
    <w:rsid w:val="00534C2F"/>
    <w:rsid w:val="005402BF"/>
    <w:rsid w:val="00550128"/>
    <w:rsid w:val="00551EFC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45A4A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76A13"/>
    <w:rsid w:val="007834DA"/>
    <w:rsid w:val="007A2152"/>
    <w:rsid w:val="007B4F0D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3DDB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6E2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30</cp:revision>
  <cp:lastPrinted>2020-05-29T05:15:00Z</cp:lastPrinted>
  <dcterms:created xsi:type="dcterms:W3CDTF">2022-08-15T04:09:00Z</dcterms:created>
  <dcterms:modified xsi:type="dcterms:W3CDTF">2025-08-29T07:25:00Z</dcterms:modified>
</cp:coreProperties>
</file>