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150EC4" w14:textId="77777777" w:rsidR="001570D5" w:rsidRPr="001570D5" w:rsidRDefault="001570D5" w:rsidP="004A3C2C">
      <w:pPr>
        <w:tabs>
          <w:tab w:val="left" w:pos="317"/>
          <w:tab w:val="left" w:pos="459"/>
        </w:tabs>
        <w:rPr>
          <w:b/>
          <w:sz w:val="28"/>
          <w:szCs w:val="28"/>
          <w:lang w:val="kk-KZ"/>
        </w:rPr>
      </w:pPr>
      <w:bookmarkStart w:id="0" w:name="_GoBack"/>
      <w:bookmarkEnd w:id="0"/>
    </w:p>
    <w:tbl>
      <w:tblPr>
        <w:tblW w:w="49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8"/>
        <w:gridCol w:w="3922"/>
        <w:gridCol w:w="5035"/>
      </w:tblGrid>
      <w:tr w:rsidR="00281B40" w:rsidRPr="00D46CFD" w14:paraId="7EFDA856" w14:textId="77777777" w:rsidTr="00DD219F">
        <w:tc>
          <w:tcPr>
            <w:tcW w:w="318" w:type="pct"/>
          </w:tcPr>
          <w:p w14:paraId="1ADDC4DC" w14:textId="1ADBC372" w:rsidR="00281B40" w:rsidRPr="00D46CFD" w:rsidRDefault="00281B40" w:rsidP="0094292C">
            <w:pPr>
              <w:jc w:val="center"/>
              <w:rPr>
                <w:sz w:val="28"/>
                <w:szCs w:val="28"/>
              </w:rPr>
            </w:pPr>
            <w:r w:rsidRPr="00D46CFD">
              <w:rPr>
                <w:sz w:val="28"/>
                <w:szCs w:val="28"/>
              </w:rPr>
              <w:t>1.</w:t>
            </w:r>
          </w:p>
        </w:tc>
        <w:tc>
          <w:tcPr>
            <w:tcW w:w="2050" w:type="pct"/>
          </w:tcPr>
          <w:p w14:paraId="6F5D77A1" w14:textId="77777777" w:rsidR="00D37277" w:rsidRPr="00D37277" w:rsidRDefault="00D37277" w:rsidP="00D37277">
            <w:pPr>
              <w:jc w:val="both"/>
              <w:rPr>
                <w:sz w:val="28"/>
                <w:szCs w:val="28"/>
              </w:rPr>
            </w:pPr>
            <w:r w:rsidRPr="00D37277">
              <w:rPr>
                <w:sz w:val="28"/>
                <w:szCs w:val="28"/>
              </w:rPr>
              <w:t xml:space="preserve">НҚА жобасының атауы </w:t>
            </w:r>
          </w:p>
          <w:p w14:paraId="48D5E5FE" w14:textId="6FC34D87" w:rsidR="00281B40" w:rsidRPr="00AA23C2" w:rsidRDefault="00D37277" w:rsidP="00D37277">
            <w:pPr>
              <w:jc w:val="both"/>
              <w:rPr>
                <w:i/>
                <w:sz w:val="28"/>
                <w:szCs w:val="28"/>
              </w:rPr>
            </w:pPr>
            <w:r w:rsidRPr="00AA23C2">
              <w:rPr>
                <w:i/>
                <w:sz w:val="28"/>
                <w:szCs w:val="28"/>
              </w:rPr>
              <w:t>(НҚА түрін көрсете отырып)</w:t>
            </w:r>
          </w:p>
        </w:tc>
        <w:tc>
          <w:tcPr>
            <w:tcW w:w="2632" w:type="pct"/>
          </w:tcPr>
          <w:p w14:paraId="50E51258" w14:textId="24EBF07D" w:rsidR="00281B40" w:rsidRPr="00D46CFD" w:rsidRDefault="00D37277" w:rsidP="00746375">
            <w:pPr>
              <w:jc w:val="both"/>
              <w:rPr>
                <w:sz w:val="28"/>
                <w:szCs w:val="28"/>
              </w:rPr>
            </w:pPr>
            <w:r w:rsidRPr="00D37277">
              <w:rPr>
                <w:sz w:val="28"/>
                <w:szCs w:val="28"/>
              </w:rPr>
              <w:t>«Алаяқтық белгілері бар төлем транзакциялары бойынша деректер алмасу орталығының (Қазақстан Республикасы Ұлттық Банкінің антифрод-орталығы) қызметін ұйымдастыру қағидаларын бекіту туралы» Қазақстан Республикасының Ұлттық Банкі Б</w:t>
            </w:r>
            <w:r>
              <w:rPr>
                <w:sz w:val="28"/>
                <w:szCs w:val="28"/>
              </w:rPr>
              <w:t>асқармасының қаулысының жобасы</w:t>
            </w:r>
          </w:p>
        </w:tc>
      </w:tr>
      <w:tr w:rsidR="0094292C" w:rsidRPr="00D46CFD" w14:paraId="2521E287" w14:textId="77777777" w:rsidTr="00DD219F">
        <w:tc>
          <w:tcPr>
            <w:tcW w:w="318" w:type="pct"/>
          </w:tcPr>
          <w:p w14:paraId="238DA00A" w14:textId="117644B4" w:rsidR="0094292C" w:rsidRPr="00D46CFD" w:rsidRDefault="00281B40" w:rsidP="0094292C">
            <w:pPr>
              <w:jc w:val="center"/>
              <w:rPr>
                <w:sz w:val="28"/>
                <w:szCs w:val="28"/>
              </w:rPr>
            </w:pPr>
            <w:r w:rsidRPr="00D46CFD">
              <w:rPr>
                <w:sz w:val="28"/>
                <w:szCs w:val="28"/>
              </w:rPr>
              <w:t>2</w:t>
            </w:r>
            <w:r w:rsidR="0094292C" w:rsidRPr="00D46CFD">
              <w:rPr>
                <w:sz w:val="28"/>
                <w:szCs w:val="28"/>
              </w:rPr>
              <w:t>.</w:t>
            </w:r>
          </w:p>
        </w:tc>
        <w:tc>
          <w:tcPr>
            <w:tcW w:w="2050" w:type="pct"/>
          </w:tcPr>
          <w:p w14:paraId="0B4165D8" w14:textId="387A2C77" w:rsidR="0094292C" w:rsidRPr="00D46CFD" w:rsidRDefault="00D37277" w:rsidP="00281B40">
            <w:pPr>
              <w:jc w:val="both"/>
              <w:rPr>
                <w:sz w:val="28"/>
                <w:szCs w:val="28"/>
              </w:rPr>
            </w:pPr>
            <w:r w:rsidRPr="00D37277">
              <w:rPr>
                <w:sz w:val="28"/>
                <w:szCs w:val="28"/>
              </w:rPr>
              <w:t>Әзірлеуші мемлекеттік орган</w:t>
            </w:r>
          </w:p>
        </w:tc>
        <w:tc>
          <w:tcPr>
            <w:tcW w:w="2632" w:type="pct"/>
          </w:tcPr>
          <w:p w14:paraId="66ECCA83" w14:textId="0E306EA7" w:rsidR="0094292C" w:rsidRPr="00D46CFD" w:rsidRDefault="00D37277" w:rsidP="00281B40">
            <w:pPr>
              <w:jc w:val="both"/>
              <w:rPr>
                <w:sz w:val="28"/>
                <w:szCs w:val="28"/>
              </w:rPr>
            </w:pPr>
            <w:r w:rsidRPr="00D37277">
              <w:rPr>
                <w:sz w:val="28"/>
                <w:szCs w:val="28"/>
              </w:rPr>
              <w:t>Қазақс</w:t>
            </w:r>
            <w:r>
              <w:rPr>
                <w:sz w:val="28"/>
                <w:szCs w:val="28"/>
              </w:rPr>
              <w:t>тан Республикасы Ұлттық Банкі</w:t>
            </w:r>
          </w:p>
        </w:tc>
      </w:tr>
      <w:tr w:rsidR="0094292C" w:rsidRPr="00D46CFD" w14:paraId="088A8C99" w14:textId="77777777" w:rsidTr="00DD219F">
        <w:tc>
          <w:tcPr>
            <w:tcW w:w="318" w:type="pct"/>
          </w:tcPr>
          <w:p w14:paraId="1FFC0DD7" w14:textId="5AF630D4" w:rsidR="0094292C" w:rsidRPr="00D46CFD" w:rsidRDefault="00281B40" w:rsidP="0094292C">
            <w:pPr>
              <w:jc w:val="center"/>
              <w:rPr>
                <w:sz w:val="28"/>
                <w:szCs w:val="28"/>
              </w:rPr>
            </w:pPr>
            <w:r w:rsidRPr="00D46CFD">
              <w:rPr>
                <w:sz w:val="28"/>
                <w:szCs w:val="28"/>
              </w:rPr>
              <w:t>3</w:t>
            </w:r>
            <w:r w:rsidR="0094292C" w:rsidRPr="00D46CFD">
              <w:rPr>
                <w:sz w:val="28"/>
                <w:szCs w:val="28"/>
              </w:rPr>
              <w:t>.</w:t>
            </w:r>
          </w:p>
        </w:tc>
        <w:tc>
          <w:tcPr>
            <w:tcW w:w="2050" w:type="pct"/>
          </w:tcPr>
          <w:p w14:paraId="23ABBECF" w14:textId="74B174C8" w:rsidR="0094292C" w:rsidRPr="00D46CFD" w:rsidRDefault="00D37277" w:rsidP="00AA23C2">
            <w:pPr>
              <w:jc w:val="both"/>
              <w:rPr>
                <w:sz w:val="28"/>
                <w:szCs w:val="28"/>
              </w:rPr>
            </w:pPr>
            <w:r w:rsidRPr="00D37277">
              <w:rPr>
                <w:sz w:val="28"/>
                <w:szCs w:val="28"/>
              </w:rPr>
              <w:t xml:space="preserve">НҚА жобасын әзірлеу үшін негіздер </w:t>
            </w:r>
            <w:r w:rsidRPr="00D37277">
              <w:rPr>
                <w:i/>
                <w:sz w:val="28"/>
                <w:szCs w:val="28"/>
              </w:rPr>
              <w:t>(тиісті НҚА немесе тапсырмаға</w:t>
            </w:r>
            <w:r w:rsidR="00AA23C2">
              <w:rPr>
                <w:i/>
                <w:sz w:val="28"/>
                <w:szCs w:val="28"/>
                <w:lang w:val="kk-KZ"/>
              </w:rPr>
              <w:t xml:space="preserve"> </w:t>
            </w:r>
            <w:r w:rsidR="00AA23C2" w:rsidRPr="00D37277">
              <w:rPr>
                <w:i/>
                <w:sz w:val="28"/>
                <w:szCs w:val="28"/>
              </w:rPr>
              <w:t>(бар болса)</w:t>
            </w:r>
            <w:r w:rsidRPr="00D37277">
              <w:rPr>
                <w:i/>
                <w:sz w:val="28"/>
                <w:szCs w:val="28"/>
              </w:rPr>
              <w:t xml:space="preserve"> сілтеме жасай отырып)</w:t>
            </w:r>
          </w:p>
        </w:tc>
        <w:tc>
          <w:tcPr>
            <w:tcW w:w="2632" w:type="pct"/>
          </w:tcPr>
          <w:p w14:paraId="47886525" w14:textId="536D99F0" w:rsidR="00D37277" w:rsidRPr="00D37277" w:rsidRDefault="00D37277" w:rsidP="00D37277">
            <w:pPr>
              <w:tabs>
                <w:tab w:val="left" w:pos="313"/>
              </w:tabs>
              <w:ind w:right="34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«</w:t>
            </w:r>
            <w:r w:rsidRPr="00D37277">
              <w:rPr>
                <w:sz w:val="28"/>
                <w:szCs w:val="28"/>
                <w:lang w:val="kk-KZ"/>
              </w:rPr>
              <w:t>Қазақстан Республикасының кейбір заңнамалық актілеріне қаржы нарығын дамыту, қаржы қызметтерін тұт</w:t>
            </w:r>
            <w:r>
              <w:rPr>
                <w:sz w:val="28"/>
                <w:szCs w:val="28"/>
                <w:lang w:val="kk-KZ"/>
              </w:rPr>
              <w:t>ынушылардың құқықтарын қорғау, б</w:t>
            </w:r>
            <w:r w:rsidRPr="00D37277">
              <w:rPr>
                <w:sz w:val="28"/>
                <w:szCs w:val="28"/>
                <w:lang w:val="kk-KZ"/>
              </w:rPr>
              <w:t>айланыс және артық заңнамалық регламенттеуді болдырмау мәселелері бойынша өзгерістер</w:t>
            </w:r>
            <w:r>
              <w:rPr>
                <w:sz w:val="28"/>
                <w:szCs w:val="28"/>
                <w:lang w:val="kk-KZ"/>
              </w:rPr>
              <w:t xml:space="preserve"> мен толықтырулар енгізу туралы»</w:t>
            </w:r>
            <w:r w:rsidRPr="00D37277">
              <w:rPr>
                <w:sz w:val="28"/>
                <w:szCs w:val="28"/>
                <w:lang w:val="kk-KZ"/>
              </w:rPr>
              <w:t xml:space="preserve"> Қазақстан </w:t>
            </w:r>
            <w:r>
              <w:rPr>
                <w:sz w:val="28"/>
                <w:szCs w:val="28"/>
                <w:lang w:val="kk-KZ"/>
              </w:rPr>
              <w:t xml:space="preserve">Республикасының Заңын және  </w:t>
            </w:r>
            <w:r w:rsidRPr="00D37277">
              <w:rPr>
                <w:sz w:val="28"/>
                <w:szCs w:val="28"/>
                <w:lang w:val="kk-KZ"/>
              </w:rPr>
              <w:t>Қазақстан Республикасы Премьер-Министр</w:t>
            </w:r>
            <w:r>
              <w:rPr>
                <w:sz w:val="28"/>
                <w:szCs w:val="28"/>
                <w:lang w:val="kk-KZ"/>
              </w:rPr>
              <w:t>інің</w:t>
            </w:r>
            <w:r w:rsidR="00AA23C2">
              <w:rPr>
                <w:sz w:val="28"/>
                <w:szCs w:val="28"/>
                <w:lang w:val="kk-KZ"/>
              </w:rPr>
              <w:t xml:space="preserve"> «</w:t>
            </w:r>
            <w:r w:rsidR="00AA23C2" w:rsidRPr="00D37277">
              <w:rPr>
                <w:sz w:val="28"/>
                <w:szCs w:val="28"/>
                <w:lang w:val="kk-KZ"/>
              </w:rPr>
              <w:t>Қазақстан Республикасының кейбір заңнамалық актілеріне қаржы нарығын дамыту, қаржы қызметтерін тұт</w:t>
            </w:r>
            <w:r w:rsidR="00AA23C2">
              <w:rPr>
                <w:sz w:val="28"/>
                <w:szCs w:val="28"/>
                <w:lang w:val="kk-KZ"/>
              </w:rPr>
              <w:t>ынушылардың құқықтарын қорғау, б</w:t>
            </w:r>
            <w:r w:rsidR="00AA23C2" w:rsidRPr="00D37277">
              <w:rPr>
                <w:sz w:val="28"/>
                <w:szCs w:val="28"/>
                <w:lang w:val="kk-KZ"/>
              </w:rPr>
              <w:t>айланыс және артық заңнамалық регламенттеуді болдырмау мәселелері бойынша өзгерістер</w:t>
            </w:r>
            <w:r w:rsidR="00AA23C2">
              <w:rPr>
                <w:sz w:val="28"/>
                <w:szCs w:val="28"/>
                <w:lang w:val="kk-KZ"/>
              </w:rPr>
              <w:t xml:space="preserve"> мен толықтырулар енгізу туралы» Қазақстан Республикасы </w:t>
            </w:r>
            <w:r w:rsidR="00AA23C2" w:rsidRPr="00AA23C2">
              <w:rPr>
                <w:sz w:val="28"/>
                <w:szCs w:val="28"/>
                <w:lang w:val="kk-KZ"/>
              </w:rPr>
              <w:t>Заңы</w:t>
            </w:r>
            <w:r w:rsidR="00AA23C2">
              <w:rPr>
                <w:sz w:val="28"/>
                <w:szCs w:val="28"/>
                <w:lang w:val="kk-KZ"/>
              </w:rPr>
              <w:t>н</w:t>
            </w:r>
            <w:r w:rsidR="00AA23C2" w:rsidRPr="00AA23C2">
              <w:rPr>
                <w:sz w:val="28"/>
                <w:szCs w:val="28"/>
                <w:lang w:val="kk-KZ"/>
              </w:rPr>
              <w:t xml:space="preserve"> іске асыру жөніндегі</w:t>
            </w:r>
            <w:r w:rsidR="00AA23C2">
              <w:rPr>
                <w:sz w:val="28"/>
                <w:szCs w:val="28"/>
                <w:lang w:val="kk-KZ"/>
              </w:rPr>
              <w:t xml:space="preserve"> шаралар туралы»</w:t>
            </w:r>
            <w:r w:rsidR="00AA23C2" w:rsidRPr="00AA23C2">
              <w:rPr>
                <w:sz w:val="28"/>
                <w:szCs w:val="28"/>
                <w:lang w:val="kk-KZ"/>
              </w:rPr>
              <w:t xml:space="preserve"> </w:t>
            </w:r>
            <w:r w:rsidR="00AA23C2">
              <w:rPr>
                <w:sz w:val="28"/>
                <w:szCs w:val="28"/>
                <w:lang w:val="kk-KZ"/>
              </w:rPr>
              <w:t>өкімдерін іске асыру үшін.</w:t>
            </w:r>
          </w:p>
          <w:p w14:paraId="0EC3CC8A" w14:textId="60CB2F06" w:rsidR="0094292C" w:rsidRPr="00D46CFD" w:rsidRDefault="00D37277" w:rsidP="00D37277">
            <w:pPr>
              <w:pStyle w:val="af6"/>
              <w:tabs>
                <w:tab w:val="left" w:pos="454"/>
              </w:tabs>
              <w:ind w:left="29"/>
              <w:jc w:val="both"/>
              <w:rPr>
                <w:sz w:val="28"/>
                <w:szCs w:val="28"/>
              </w:rPr>
            </w:pPr>
            <w:r w:rsidRPr="00D37277">
              <w:rPr>
                <w:sz w:val="28"/>
                <w:szCs w:val="28"/>
              </w:rPr>
              <w:t>Орындалу мерзімі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 w:rsidRPr="00D37277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 w:rsidRPr="00D37277">
              <w:rPr>
                <w:sz w:val="28"/>
                <w:szCs w:val="28"/>
              </w:rPr>
              <w:t>2025 жылғы тамыз</w:t>
            </w:r>
          </w:p>
        </w:tc>
      </w:tr>
      <w:tr w:rsidR="0094292C" w:rsidRPr="00D46CFD" w14:paraId="2116E0DC" w14:textId="77777777" w:rsidTr="00DD219F">
        <w:tc>
          <w:tcPr>
            <w:tcW w:w="318" w:type="pct"/>
          </w:tcPr>
          <w:p w14:paraId="4640817A" w14:textId="1896B20E" w:rsidR="0094292C" w:rsidRPr="00D46CFD" w:rsidRDefault="00281B40" w:rsidP="0094292C">
            <w:pPr>
              <w:jc w:val="center"/>
              <w:rPr>
                <w:sz w:val="28"/>
                <w:szCs w:val="28"/>
              </w:rPr>
            </w:pPr>
            <w:r w:rsidRPr="00D46CFD">
              <w:rPr>
                <w:sz w:val="28"/>
                <w:szCs w:val="28"/>
              </w:rPr>
              <w:t>4</w:t>
            </w:r>
            <w:r w:rsidR="0094292C" w:rsidRPr="00D46CFD">
              <w:rPr>
                <w:sz w:val="28"/>
                <w:szCs w:val="28"/>
              </w:rPr>
              <w:t>.</w:t>
            </w:r>
          </w:p>
        </w:tc>
        <w:tc>
          <w:tcPr>
            <w:tcW w:w="2050" w:type="pct"/>
          </w:tcPr>
          <w:p w14:paraId="33B4127E" w14:textId="222F801D" w:rsidR="0094292C" w:rsidRPr="00D46CFD" w:rsidRDefault="00D37277" w:rsidP="00281B40">
            <w:pPr>
              <w:jc w:val="both"/>
              <w:rPr>
                <w:sz w:val="28"/>
                <w:szCs w:val="28"/>
              </w:rPr>
            </w:pPr>
            <w:r w:rsidRPr="00D37277">
              <w:rPr>
                <w:sz w:val="28"/>
                <w:szCs w:val="28"/>
              </w:rPr>
              <w:t>НҚА жобасының қысқаша мазмұны, негізгі ережелердің сипаттамасы</w:t>
            </w:r>
          </w:p>
        </w:tc>
        <w:tc>
          <w:tcPr>
            <w:tcW w:w="2632" w:type="pct"/>
          </w:tcPr>
          <w:p w14:paraId="32B81D1E" w14:textId="77777777" w:rsidR="00D37277" w:rsidRPr="00D37277" w:rsidRDefault="00D37277" w:rsidP="00D37277">
            <w:pPr>
              <w:tabs>
                <w:tab w:val="left" w:pos="313"/>
              </w:tabs>
              <w:ind w:right="34"/>
              <w:jc w:val="both"/>
              <w:rPr>
                <w:sz w:val="28"/>
                <w:szCs w:val="28"/>
              </w:rPr>
            </w:pPr>
            <w:r w:rsidRPr="00D37277">
              <w:rPr>
                <w:sz w:val="28"/>
                <w:szCs w:val="28"/>
              </w:rPr>
              <w:t>Жобада алаяқтық белгілері бар төлем транзакциялары бойынша деректер алмасу орталығының (бұдан әрі – Антифрод-Орталық) қызметін жүзеге асыру және оның қызметіне қатысатын тұлғалармен өзара іс-қимыл жасау тәртібін, сондай-ақ антифрод-орталықтың ақпаратын алу кезінде қаржы ұйымдарының, төлем ұйымдарының нұсқауды орындаудан бас тарту және тоқтата тұру тәртібі мен мерзімдерін белгілеу көзделеді.</w:t>
            </w:r>
          </w:p>
          <w:p w14:paraId="5C41E3E9" w14:textId="713E9A12" w:rsidR="00D37277" w:rsidRPr="00D37277" w:rsidRDefault="00D37277" w:rsidP="00D37277">
            <w:pPr>
              <w:tabs>
                <w:tab w:val="left" w:pos="313"/>
              </w:tabs>
              <w:ind w:right="34"/>
              <w:jc w:val="both"/>
              <w:rPr>
                <w:sz w:val="28"/>
                <w:szCs w:val="28"/>
              </w:rPr>
            </w:pPr>
            <w:r w:rsidRPr="00D37277">
              <w:rPr>
                <w:sz w:val="28"/>
                <w:szCs w:val="28"/>
              </w:rPr>
              <w:lastRenderedPageBreak/>
              <w:t>Сондай-ақ, жобада Антифрод орталығының функционалын кеңейту және тиімділігін арттыру мақсатында:</w:t>
            </w:r>
          </w:p>
          <w:p w14:paraId="66D13D94" w14:textId="77777777" w:rsidR="00D37277" w:rsidRPr="00D37277" w:rsidRDefault="00D37277" w:rsidP="00D37277">
            <w:pPr>
              <w:tabs>
                <w:tab w:val="left" w:pos="313"/>
              </w:tabs>
              <w:ind w:right="34"/>
              <w:jc w:val="both"/>
              <w:rPr>
                <w:sz w:val="28"/>
                <w:szCs w:val="28"/>
              </w:rPr>
            </w:pPr>
            <w:r w:rsidRPr="00D37277">
              <w:rPr>
                <w:sz w:val="28"/>
                <w:szCs w:val="28"/>
              </w:rPr>
              <w:t>1) клиент Антифрод-орталықтың дерекқорына енгізілген жағдайда қаржылық немесе төлем қызметтерінің шектеулі тізбесін ұсыну тәртібі мен түрлері, сондай-ақ қаржылық немесе төлем қызметтерінің шектеулі тізбесін алу үшін клиенттің өтініш жасау тәртібі;</w:t>
            </w:r>
          </w:p>
          <w:p w14:paraId="0434521A" w14:textId="40E9979B" w:rsidR="00D37277" w:rsidRPr="00D37277" w:rsidRDefault="00D37277" w:rsidP="00D37277">
            <w:pPr>
              <w:tabs>
                <w:tab w:val="left" w:pos="313"/>
              </w:tabs>
              <w:ind w:right="34"/>
              <w:jc w:val="both"/>
              <w:rPr>
                <w:sz w:val="28"/>
                <w:szCs w:val="28"/>
              </w:rPr>
            </w:pPr>
            <w:r w:rsidRPr="00D37277">
              <w:rPr>
                <w:sz w:val="28"/>
                <w:szCs w:val="28"/>
              </w:rPr>
              <w:t>2) Қазақстан Республикасының заңдарына сәйкес заңсыз деп танылатын және (немесе) тыйым салынған өзге де төлем транзакцияларын анықтау және болғызбау мақсатында қылмыстық қудалау, ұлттық қауіпсіздік пен құқық қорғау органдарының және Антифрод-орталықтың өзге де қатысушыларының өзара іс-қимыл жасау тәртібін;</w:t>
            </w:r>
          </w:p>
          <w:p w14:paraId="1E363834" w14:textId="16976F02" w:rsidR="00A06D2E" w:rsidRPr="00D46CFD" w:rsidRDefault="00D37277" w:rsidP="00D37277">
            <w:pPr>
              <w:ind w:right="34"/>
              <w:jc w:val="both"/>
              <w:rPr>
                <w:sz w:val="28"/>
                <w:szCs w:val="28"/>
              </w:rPr>
            </w:pPr>
            <w:r w:rsidRPr="00D37277">
              <w:rPr>
                <w:sz w:val="28"/>
                <w:szCs w:val="28"/>
              </w:rPr>
              <w:t xml:space="preserve">3) прокурор санкциялаған қылмыстық қудалау органының транзакцияны алаяқтық деп тану туралы хабарламасында көрсетілген клиентке ақшаны қайтару тәртібін </w:t>
            </w:r>
            <w:r w:rsidR="00AA23C2">
              <w:rPr>
                <w:sz w:val="28"/>
                <w:szCs w:val="28"/>
              </w:rPr>
              <w:t>белгілеу көзделеді</w:t>
            </w:r>
            <w:r w:rsidRPr="00D37277">
              <w:rPr>
                <w:sz w:val="28"/>
                <w:szCs w:val="28"/>
              </w:rPr>
              <w:t>.</w:t>
            </w:r>
          </w:p>
        </w:tc>
      </w:tr>
      <w:tr w:rsidR="0094292C" w:rsidRPr="00D46CFD" w14:paraId="3EEEEB1A" w14:textId="77777777" w:rsidTr="00DD219F">
        <w:tc>
          <w:tcPr>
            <w:tcW w:w="318" w:type="pct"/>
          </w:tcPr>
          <w:p w14:paraId="05BD13B8" w14:textId="041B0F39" w:rsidR="0094292C" w:rsidRPr="00D46CFD" w:rsidRDefault="00281B40" w:rsidP="0094292C">
            <w:pPr>
              <w:jc w:val="center"/>
              <w:rPr>
                <w:sz w:val="28"/>
                <w:szCs w:val="28"/>
              </w:rPr>
            </w:pPr>
            <w:r w:rsidRPr="00D46CFD">
              <w:rPr>
                <w:sz w:val="28"/>
                <w:szCs w:val="28"/>
              </w:rPr>
              <w:lastRenderedPageBreak/>
              <w:t>5</w:t>
            </w:r>
            <w:r w:rsidR="0094292C" w:rsidRPr="00D46CFD">
              <w:rPr>
                <w:sz w:val="28"/>
                <w:szCs w:val="28"/>
              </w:rPr>
              <w:t>.</w:t>
            </w:r>
          </w:p>
        </w:tc>
        <w:tc>
          <w:tcPr>
            <w:tcW w:w="2050" w:type="pct"/>
          </w:tcPr>
          <w:p w14:paraId="41AA2B5F" w14:textId="7028B8D7" w:rsidR="0094292C" w:rsidRPr="00D46CFD" w:rsidRDefault="00D37277" w:rsidP="0094292C">
            <w:pPr>
              <w:jc w:val="both"/>
              <w:rPr>
                <w:sz w:val="28"/>
                <w:szCs w:val="28"/>
              </w:rPr>
            </w:pPr>
            <w:r w:rsidRPr="00D37277">
              <w:rPr>
                <w:sz w:val="28"/>
                <w:szCs w:val="28"/>
              </w:rPr>
              <w:t>Күтілетін нәтижелердің нақты мақсаттары мен мерзімдері</w:t>
            </w:r>
          </w:p>
        </w:tc>
        <w:tc>
          <w:tcPr>
            <w:tcW w:w="2632" w:type="pct"/>
          </w:tcPr>
          <w:p w14:paraId="457C8BC9" w14:textId="58F15376" w:rsidR="00D37277" w:rsidRPr="00D37277" w:rsidRDefault="00D37277" w:rsidP="00D37277">
            <w:pPr>
              <w:pStyle w:val="af6"/>
              <w:ind w:left="0"/>
              <w:jc w:val="both"/>
              <w:rPr>
                <w:bCs/>
                <w:sz w:val="28"/>
                <w:szCs w:val="28"/>
              </w:rPr>
            </w:pPr>
            <w:r w:rsidRPr="00D37277">
              <w:rPr>
                <w:bCs/>
                <w:sz w:val="28"/>
                <w:szCs w:val="28"/>
              </w:rPr>
              <w:t>Жоба қаржы нарығындағы алаяқтық операциялардың санын азайтуға бағытталған шаралардың тиімділігін арттыру мақсатында, сондай-ақ құқық қорғау мен ұлттық қауіпсіздік органдарына Қазақстан Республикасының заңдарына сәйкес заңсыз деп танылған немесе тыйым салынған транзакциялардың жолын кесуге жәрдемдесу жөніндегі функцияны қосу жолымен Антифрод-орталықтың функционалын кеңейту мақсатында әзірленді.</w:t>
            </w:r>
          </w:p>
          <w:p w14:paraId="384EB7D3" w14:textId="4BABC797" w:rsidR="00D225C7" w:rsidRPr="00D46CFD" w:rsidRDefault="00D37277" w:rsidP="00763AAA">
            <w:pPr>
              <w:tabs>
                <w:tab w:val="left" w:pos="709"/>
                <w:tab w:val="left" w:pos="993"/>
              </w:tabs>
              <w:jc w:val="both"/>
              <w:rPr>
                <w:sz w:val="28"/>
                <w:szCs w:val="28"/>
              </w:rPr>
            </w:pPr>
            <w:r w:rsidRPr="00D37277">
              <w:rPr>
                <w:bCs/>
                <w:sz w:val="28"/>
                <w:szCs w:val="28"/>
              </w:rPr>
              <w:t>Күтілетін нәтижелер</w:t>
            </w:r>
            <w:r w:rsidR="00763AAA">
              <w:rPr>
                <w:bCs/>
                <w:sz w:val="28"/>
                <w:szCs w:val="28"/>
                <w:lang w:val="kk-KZ"/>
              </w:rPr>
              <w:t xml:space="preserve"> – </w:t>
            </w:r>
            <w:r w:rsidRPr="00D37277">
              <w:rPr>
                <w:bCs/>
                <w:sz w:val="28"/>
                <w:szCs w:val="28"/>
              </w:rPr>
              <w:t>антифрод орталығы жұмыс істеген сайын алаяқтық тәуекелдерінің төмендеуін, сондай-ақ қаржы нарығындағы алаяқтық белгілері бар транзакциялардың төмендеуін күтеміз.</w:t>
            </w:r>
          </w:p>
        </w:tc>
      </w:tr>
      <w:tr w:rsidR="0094292C" w:rsidRPr="00D46CFD" w14:paraId="3DC5711C" w14:textId="77777777" w:rsidTr="00DD219F">
        <w:tc>
          <w:tcPr>
            <w:tcW w:w="318" w:type="pct"/>
          </w:tcPr>
          <w:p w14:paraId="6EBE08ED" w14:textId="7E3CDF23" w:rsidR="0094292C" w:rsidRPr="00D46CFD" w:rsidRDefault="00281B40" w:rsidP="0094292C">
            <w:pPr>
              <w:jc w:val="center"/>
              <w:rPr>
                <w:sz w:val="28"/>
                <w:szCs w:val="28"/>
              </w:rPr>
            </w:pPr>
            <w:r w:rsidRPr="00D46CFD">
              <w:rPr>
                <w:sz w:val="28"/>
                <w:szCs w:val="28"/>
              </w:rPr>
              <w:lastRenderedPageBreak/>
              <w:t>6</w:t>
            </w:r>
            <w:r w:rsidR="0094292C" w:rsidRPr="00D46CFD">
              <w:rPr>
                <w:sz w:val="28"/>
                <w:szCs w:val="28"/>
              </w:rPr>
              <w:t>.</w:t>
            </w:r>
          </w:p>
        </w:tc>
        <w:tc>
          <w:tcPr>
            <w:tcW w:w="2050" w:type="pct"/>
          </w:tcPr>
          <w:p w14:paraId="0B696D0E" w14:textId="685D3BAA" w:rsidR="0094292C" w:rsidRPr="00D46CFD" w:rsidRDefault="00D37277" w:rsidP="0094292C">
            <w:pPr>
              <w:jc w:val="both"/>
              <w:rPr>
                <w:sz w:val="28"/>
                <w:szCs w:val="28"/>
              </w:rPr>
            </w:pPr>
            <w:r w:rsidRPr="00D37277">
              <w:rPr>
                <w:sz w:val="28"/>
                <w:szCs w:val="28"/>
              </w:rPr>
              <w:t>НҚА қабылданған жағдайда болжамды әлеуметтік-экономикалық, құқықтық және (немесе) өзге де салдарлар</w:t>
            </w:r>
          </w:p>
        </w:tc>
        <w:tc>
          <w:tcPr>
            <w:tcW w:w="2632" w:type="pct"/>
          </w:tcPr>
          <w:p w14:paraId="6689566D" w14:textId="221F83BB" w:rsidR="0094292C" w:rsidRPr="00D46CFD" w:rsidRDefault="00D37277" w:rsidP="00ED58D5">
            <w:pPr>
              <w:tabs>
                <w:tab w:val="left" w:pos="709"/>
              </w:tabs>
              <w:ind w:firstLine="29"/>
              <w:jc w:val="both"/>
              <w:rPr>
                <w:sz w:val="28"/>
                <w:szCs w:val="28"/>
              </w:rPr>
            </w:pPr>
            <w:r w:rsidRPr="00D37277">
              <w:rPr>
                <w:color w:val="000000"/>
                <w:sz w:val="28"/>
                <w:szCs w:val="28"/>
              </w:rPr>
              <w:t>Жобаны қабылдау теріс әлеуметтік-экономикалық және (немесе) құқықтық салдарға және (немесе) өзге де салдарға әкеп соқпайды.</w:t>
            </w:r>
          </w:p>
        </w:tc>
      </w:tr>
    </w:tbl>
    <w:p w14:paraId="06CBC4CB" w14:textId="77777777" w:rsidR="00016390" w:rsidRDefault="00016390" w:rsidP="004B221B">
      <w:pPr>
        <w:tabs>
          <w:tab w:val="left" w:pos="2595"/>
        </w:tabs>
        <w:rPr>
          <w:rFonts w:eastAsia="Arial Unicode MS"/>
          <w:b/>
          <w:sz w:val="28"/>
          <w:szCs w:val="28"/>
          <w:lang w:val="kk-KZ"/>
        </w:rPr>
      </w:pPr>
    </w:p>
    <w:p w14:paraId="78CE33E0" w14:textId="77777777" w:rsidR="00244D1A" w:rsidRDefault="00244D1A" w:rsidP="00266BDF">
      <w:pPr>
        <w:tabs>
          <w:tab w:val="left" w:pos="2595"/>
        </w:tabs>
        <w:rPr>
          <w:sz w:val="28"/>
          <w:szCs w:val="28"/>
        </w:rPr>
      </w:pPr>
    </w:p>
    <w:p w14:paraId="19A91A4E" w14:textId="77777777" w:rsidR="004F1076" w:rsidRPr="004B221B" w:rsidRDefault="004F1076" w:rsidP="0062272A">
      <w:pPr>
        <w:tabs>
          <w:tab w:val="left" w:pos="2595"/>
        </w:tabs>
        <w:rPr>
          <w:sz w:val="28"/>
          <w:szCs w:val="28"/>
          <w:lang w:val="kk-KZ"/>
        </w:rPr>
      </w:pPr>
    </w:p>
    <w:sectPr w:rsidR="004F1076" w:rsidRPr="004B221B" w:rsidSect="004B221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35ACF8" w14:textId="77777777" w:rsidR="00771F6C" w:rsidRDefault="00771F6C" w:rsidP="001F4C6E">
      <w:r>
        <w:separator/>
      </w:r>
    </w:p>
  </w:endnote>
  <w:endnote w:type="continuationSeparator" w:id="0">
    <w:p w14:paraId="77B9854A" w14:textId="77777777" w:rsidR="00771F6C" w:rsidRDefault="00771F6C" w:rsidP="001F4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(K)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A1B008" w14:textId="77777777" w:rsidR="00771F6C" w:rsidRDefault="00771F6C" w:rsidP="001F4C6E">
      <w:r>
        <w:separator/>
      </w:r>
    </w:p>
  </w:footnote>
  <w:footnote w:type="continuationSeparator" w:id="0">
    <w:p w14:paraId="070989F0" w14:textId="77777777" w:rsidR="00771F6C" w:rsidRDefault="00771F6C" w:rsidP="001F4C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0F1024F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13402B"/>
    <w:multiLevelType w:val="hybridMultilevel"/>
    <w:tmpl w:val="BC14DC56"/>
    <w:lvl w:ilvl="0" w:tplc="2C38BAEE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9" w:hanging="360"/>
      </w:pPr>
    </w:lvl>
    <w:lvl w:ilvl="2" w:tplc="0419001B" w:tentative="1">
      <w:start w:val="1"/>
      <w:numFmt w:val="lowerRoman"/>
      <w:lvlText w:val="%3."/>
      <w:lvlJc w:val="right"/>
      <w:pPr>
        <w:ind w:left="1829" w:hanging="180"/>
      </w:pPr>
    </w:lvl>
    <w:lvl w:ilvl="3" w:tplc="0419000F" w:tentative="1">
      <w:start w:val="1"/>
      <w:numFmt w:val="decimal"/>
      <w:lvlText w:val="%4."/>
      <w:lvlJc w:val="left"/>
      <w:pPr>
        <w:ind w:left="2549" w:hanging="360"/>
      </w:pPr>
    </w:lvl>
    <w:lvl w:ilvl="4" w:tplc="04190019" w:tentative="1">
      <w:start w:val="1"/>
      <w:numFmt w:val="lowerLetter"/>
      <w:lvlText w:val="%5."/>
      <w:lvlJc w:val="left"/>
      <w:pPr>
        <w:ind w:left="3269" w:hanging="360"/>
      </w:pPr>
    </w:lvl>
    <w:lvl w:ilvl="5" w:tplc="0419001B" w:tentative="1">
      <w:start w:val="1"/>
      <w:numFmt w:val="lowerRoman"/>
      <w:lvlText w:val="%6."/>
      <w:lvlJc w:val="right"/>
      <w:pPr>
        <w:ind w:left="3989" w:hanging="180"/>
      </w:pPr>
    </w:lvl>
    <w:lvl w:ilvl="6" w:tplc="0419000F" w:tentative="1">
      <w:start w:val="1"/>
      <w:numFmt w:val="decimal"/>
      <w:lvlText w:val="%7."/>
      <w:lvlJc w:val="left"/>
      <w:pPr>
        <w:ind w:left="4709" w:hanging="360"/>
      </w:pPr>
    </w:lvl>
    <w:lvl w:ilvl="7" w:tplc="04190019" w:tentative="1">
      <w:start w:val="1"/>
      <w:numFmt w:val="lowerLetter"/>
      <w:lvlText w:val="%8."/>
      <w:lvlJc w:val="left"/>
      <w:pPr>
        <w:ind w:left="5429" w:hanging="360"/>
      </w:pPr>
    </w:lvl>
    <w:lvl w:ilvl="8" w:tplc="0419001B" w:tentative="1">
      <w:start w:val="1"/>
      <w:numFmt w:val="lowerRoman"/>
      <w:lvlText w:val="%9."/>
      <w:lvlJc w:val="right"/>
      <w:pPr>
        <w:ind w:left="614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B0F"/>
    <w:rsid w:val="000031D0"/>
    <w:rsid w:val="0001394E"/>
    <w:rsid w:val="00016390"/>
    <w:rsid w:val="000347D9"/>
    <w:rsid w:val="00036102"/>
    <w:rsid w:val="00041181"/>
    <w:rsid w:val="00044AAB"/>
    <w:rsid w:val="00065C77"/>
    <w:rsid w:val="00074493"/>
    <w:rsid w:val="00087E1A"/>
    <w:rsid w:val="000A6F11"/>
    <w:rsid w:val="000A7782"/>
    <w:rsid w:val="000E5D5E"/>
    <w:rsid w:val="00103309"/>
    <w:rsid w:val="001062B5"/>
    <w:rsid w:val="00107187"/>
    <w:rsid w:val="00111CBD"/>
    <w:rsid w:val="00112671"/>
    <w:rsid w:val="0011797D"/>
    <w:rsid w:val="00130D43"/>
    <w:rsid w:val="00131E9D"/>
    <w:rsid w:val="00143EBF"/>
    <w:rsid w:val="0015057B"/>
    <w:rsid w:val="00155B4A"/>
    <w:rsid w:val="001570D5"/>
    <w:rsid w:val="00177E48"/>
    <w:rsid w:val="00184AF4"/>
    <w:rsid w:val="00185061"/>
    <w:rsid w:val="00191297"/>
    <w:rsid w:val="001B7AF8"/>
    <w:rsid w:val="001C294D"/>
    <w:rsid w:val="001C703A"/>
    <w:rsid w:val="001E2EED"/>
    <w:rsid w:val="001F4C6E"/>
    <w:rsid w:val="002035BB"/>
    <w:rsid w:val="00243C50"/>
    <w:rsid w:val="00244D1A"/>
    <w:rsid w:val="00246818"/>
    <w:rsid w:val="00252384"/>
    <w:rsid w:val="00265179"/>
    <w:rsid w:val="00266BDF"/>
    <w:rsid w:val="0026710C"/>
    <w:rsid w:val="00267113"/>
    <w:rsid w:val="0027274C"/>
    <w:rsid w:val="00281B40"/>
    <w:rsid w:val="00284AFD"/>
    <w:rsid w:val="00297424"/>
    <w:rsid w:val="002A7E6A"/>
    <w:rsid w:val="002B5736"/>
    <w:rsid w:val="002C7016"/>
    <w:rsid w:val="002D64E9"/>
    <w:rsid w:val="002D6AC1"/>
    <w:rsid w:val="002E4E4B"/>
    <w:rsid w:val="002E5E55"/>
    <w:rsid w:val="002F70F9"/>
    <w:rsid w:val="00302AF7"/>
    <w:rsid w:val="003057E2"/>
    <w:rsid w:val="00315B77"/>
    <w:rsid w:val="00326E56"/>
    <w:rsid w:val="00342D78"/>
    <w:rsid w:val="003512A8"/>
    <w:rsid w:val="00351FE8"/>
    <w:rsid w:val="003705EC"/>
    <w:rsid w:val="00383E72"/>
    <w:rsid w:val="00386CAC"/>
    <w:rsid w:val="00396B0F"/>
    <w:rsid w:val="003A2034"/>
    <w:rsid w:val="003A228E"/>
    <w:rsid w:val="003B3B6A"/>
    <w:rsid w:val="003B3D60"/>
    <w:rsid w:val="003D074B"/>
    <w:rsid w:val="003E3F4C"/>
    <w:rsid w:val="00416925"/>
    <w:rsid w:val="00430CF6"/>
    <w:rsid w:val="00442256"/>
    <w:rsid w:val="0044287D"/>
    <w:rsid w:val="004518B2"/>
    <w:rsid w:val="00453210"/>
    <w:rsid w:val="00456F80"/>
    <w:rsid w:val="0046542E"/>
    <w:rsid w:val="00476DC0"/>
    <w:rsid w:val="004A3C2C"/>
    <w:rsid w:val="004B1020"/>
    <w:rsid w:val="004B221B"/>
    <w:rsid w:val="004C21E5"/>
    <w:rsid w:val="004F1076"/>
    <w:rsid w:val="005003B8"/>
    <w:rsid w:val="00500C99"/>
    <w:rsid w:val="00500F6D"/>
    <w:rsid w:val="00522324"/>
    <w:rsid w:val="00527FD0"/>
    <w:rsid w:val="00533C45"/>
    <w:rsid w:val="00535728"/>
    <w:rsid w:val="00535F84"/>
    <w:rsid w:val="00544205"/>
    <w:rsid w:val="005452CC"/>
    <w:rsid w:val="005457E8"/>
    <w:rsid w:val="00546081"/>
    <w:rsid w:val="00547D89"/>
    <w:rsid w:val="005571A2"/>
    <w:rsid w:val="00557791"/>
    <w:rsid w:val="005614A0"/>
    <w:rsid w:val="00565010"/>
    <w:rsid w:val="005662CF"/>
    <w:rsid w:val="005721D0"/>
    <w:rsid w:val="00572A5A"/>
    <w:rsid w:val="005C20A6"/>
    <w:rsid w:val="005C74D2"/>
    <w:rsid w:val="005D0A25"/>
    <w:rsid w:val="005E38E3"/>
    <w:rsid w:val="005F59C8"/>
    <w:rsid w:val="006000CB"/>
    <w:rsid w:val="0061010A"/>
    <w:rsid w:val="0062272A"/>
    <w:rsid w:val="00635A3C"/>
    <w:rsid w:val="00635D47"/>
    <w:rsid w:val="006378E3"/>
    <w:rsid w:val="00666199"/>
    <w:rsid w:val="0067013E"/>
    <w:rsid w:val="006838EE"/>
    <w:rsid w:val="006903CD"/>
    <w:rsid w:val="00695485"/>
    <w:rsid w:val="00695C71"/>
    <w:rsid w:val="006C028B"/>
    <w:rsid w:val="006D48C2"/>
    <w:rsid w:val="006E05B1"/>
    <w:rsid w:val="006E6C9D"/>
    <w:rsid w:val="006F0BD4"/>
    <w:rsid w:val="006F31FD"/>
    <w:rsid w:val="006F782F"/>
    <w:rsid w:val="00720C17"/>
    <w:rsid w:val="0072283C"/>
    <w:rsid w:val="00722F21"/>
    <w:rsid w:val="00723787"/>
    <w:rsid w:val="00730D27"/>
    <w:rsid w:val="00746375"/>
    <w:rsid w:val="007624B4"/>
    <w:rsid w:val="007624F7"/>
    <w:rsid w:val="00763AAA"/>
    <w:rsid w:val="00771F6C"/>
    <w:rsid w:val="00780C64"/>
    <w:rsid w:val="0079567C"/>
    <w:rsid w:val="007B543D"/>
    <w:rsid w:val="007B6720"/>
    <w:rsid w:val="007D1AAD"/>
    <w:rsid w:val="007D3448"/>
    <w:rsid w:val="007D5EFF"/>
    <w:rsid w:val="007D779C"/>
    <w:rsid w:val="007D7DE8"/>
    <w:rsid w:val="007E000C"/>
    <w:rsid w:val="007F56A5"/>
    <w:rsid w:val="007F6D04"/>
    <w:rsid w:val="008104AC"/>
    <w:rsid w:val="008255F0"/>
    <w:rsid w:val="00834679"/>
    <w:rsid w:val="0083739C"/>
    <w:rsid w:val="00854990"/>
    <w:rsid w:val="008551B0"/>
    <w:rsid w:val="00881138"/>
    <w:rsid w:val="00882F77"/>
    <w:rsid w:val="00890A54"/>
    <w:rsid w:val="00890F11"/>
    <w:rsid w:val="0089184C"/>
    <w:rsid w:val="008A206C"/>
    <w:rsid w:val="008A33AB"/>
    <w:rsid w:val="008A6C82"/>
    <w:rsid w:val="008B4BB6"/>
    <w:rsid w:val="008C1348"/>
    <w:rsid w:val="008D1A88"/>
    <w:rsid w:val="008D720E"/>
    <w:rsid w:val="008F74DF"/>
    <w:rsid w:val="009010DB"/>
    <w:rsid w:val="00921275"/>
    <w:rsid w:val="0094292C"/>
    <w:rsid w:val="00944402"/>
    <w:rsid w:val="00947C26"/>
    <w:rsid w:val="0095500A"/>
    <w:rsid w:val="009720D1"/>
    <w:rsid w:val="009738CF"/>
    <w:rsid w:val="00986FAB"/>
    <w:rsid w:val="00990B26"/>
    <w:rsid w:val="009B2290"/>
    <w:rsid w:val="009B24B4"/>
    <w:rsid w:val="009B7D7B"/>
    <w:rsid w:val="009C2361"/>
    <w:rsid w:val="009C735B"/>
    <w:rsid w:val="009D3A4D"/>
    <w:rsid w:val="009D509B"/>
    <w:rsid w:val="009F120F"/>
    <w:rsid w:val="009F6E0B"/>
    <w:rsid w:val="00A06D2E"/>
    <w:rsid w:val="00A075BA"/>
    <w:rsid w:val="00A106CD"/>
    <w:rsid w:val="00A13D82"/>
    <w:rsid w:val="00A15E23"/>
    <w:rsid w:val="00A31EDE"/>
    <w:rsid w:val="00A44522"/>
    <w:rsid w:val="00A50B3B"/>
    <w:rsid w:val="00A52D8F"/>
    <w:rsid w:val="00A66CA0"/>
    <w:rsid w:val="00A70F33"/>
    <w:rsid w:val="00A73161"/>
    <w:rsid w:val="00A821F1"/>
    <w:rsid w:val="00A8628C"/>
    <w:rsid w:val="00A867D8"/>
    <w:rsid w:val="00AA23C2"/>
    <w:rsid w:val="00AC5C91"/>
    <w:rsid w:val="00AC614F"/>
    <w:rsid w:val="00AC6D3D"/>
    <w:rsid w:val="00AC7C12"/>
    <w:rsid w:val="00AF2D8F"/>
    <w:rsid w:val="00AF3142"/>
    <w:rsid w:val="00AF718F"/>
    <w:rsid w:val="00B03F84"/>
    <w:rsid w:val="00B1118B"/>
    <w:rsid w:val="00B1477A"/>
    <w:rsid w:val="00B16012"/>
    <w:rsid w:val="00B1662D"/>
    <w:rsid w:val="00B21F1C"/>
    <w:rsid w:val="00B26300"/>
    <w:rsid w:val="00B34A98"/>
    <w:rsid w:val="00B455CB"/>
    <w:rsid w:val="00B4661E"/>
    <w:rsid w:val="00B52626"/>
    <w:rsid w:val="00B62206"/>
    <w:rsid w:val="00B7682C"/>
    <w:rsid w:val="00B769CF"/>
    <w:rsid w:val="00B95BF9"/>
    <w:rsid w:val="00B95CC5"/>
    <w:rsid w:val="00BA017E"/>
    <w:rsid w:val="00BB449C"/>
    <w:rsid w:val="00BE4992"/>
    <w:rsid w:val="00BF04C3"/>
    <w:rsid w:val="00BF5F76"/>
    <w:rsid w:val="00BF6423"/>
    <w:rsid w:val="00BF6C8E"/>
    <w:rsid w:val="00BF7F5E"/>
    <w:rsid w:val="00C007EF"/>
    <w:rsid w:val="00C16202"/>
    <w:rsid w:val="00C25C9A"/>
    <w:rsid w:val="00C4336F"/>
    <w:rsid w:val="00C533FD"/>
    <w:rsid w:val="00C53C1E"/>
    <w:rsid w:val="00C56BEF"/>
    <w:rsid w:val="00C5786C"/>
    <w:rsid w:val="00C628E7"/>
    <w:rsid w:val="00C868EC"/>
    <w:rsid w:val="00C86DBD"/>
    <w:rsid w:val="00C95097"/>
    <w:rsid w:val="00CA0438"/>
    <w:rsid w:val="00CA327F"/>
    <w:rsid w:val="00CA3B12"/>
    <w:rsid w:val="00CA6CBD"/>
    <w:rsid w:val="00CB328B"/>
    <w:rsid w:val="00CB45B8"/>
    <w:rsid w:val="00CB5C04"/>
    <w:rsid w:val="00CF0AEE"/>
    <w:rsid w:val="00CF6549"/>
    <w:rsid w:val="00D121C2"/>
    <w:rsid w:val="00D12C3C"/>
    <w:rsid w:val="00D14365"/>
    <w:rsid w:val="00D1515A"/>
    <w:rsid w:val="00D225C7"/>
    <w:rsid w:val="00D37277"/>
    <w:rsid w:val="00D41991"/>
    <w:rsid w:val="00D45804"/>
    <w:rsid w:val="00D46CFD"/>
    <w:rsid w:val="00D56164"/>
    <w:rsid w:val="00D62D87"/>
    <w:rsid w:val="00D704AB"/>
    <w:rsid w:val="00D825EC"/>
    <w:rsid w:val="00D84E39"/>
    <w:rsid w:val="00D861FD"/>
    <w:rsid w:val="00D91D27"/>
    <w:rsid w:val="00D93293"/>
    <w:rsid w:val="00DA44E5"/>
    <w:rsid w:val="00DA67D2"/>
    <w:rsid w:val="00DB38E4"/>
    <w:rsid w:val="00DC007F"/>
    <w:rsid w:val="00DC5E05"/>
    <w:rsid w:val="00DD219F"/>
    <w:rsid w:val="00E05896"/>
    <w:rsid w:val="00E10038"/>
    <w:rsid w:val="00E12103"/>
    <w:rsid w:val="00E33AD3"/>
    <w:rsid w:val="00E35712"/>
    <w:rsid w:val="00E4011E"/>
    <w:rsid w:val="00E4380B"/>
    <w:rsid w:val="00E46B38"/>
    <w:rsid w:val="00E47178"/>
    <w:rsid w:val="00E568FD"/>
    <w:rsid w:val="00E6097F"/>
    <w:rsid w:val="00E617BD"/>
    <w:rsid w:val="00E67929"/>
    <w:rsid w:val="00E85313"/>
    <w:rsid w:val="00E910F5"/>
    <w:rsid w:val="00EA69D1"/>
    <w:rsid w:val="00EB0397"/>
    <w:rsid w:val="00EC3C85"/>
    <w:rsid w:val="00EC4DD6"/>
    <w:rsid w:val="00EC5C43"/>
    <w:rsid w:val="00ED4036"/>
    <w:rsid w:val="00ED58D5"/>
    <w:rsid w:val="00ED5D52"/>
    <w:rsid w:val="00EE634A"/>
    <w:rsid w:val="00F02791"/>
    <w:rsid w:val="00F03289"/>
    <w:rsid w:val="00F0765B"/>
    <w:rsid w:val="00F07A0C"/>
    <w:rsid w:val="00F11B08"/>
    <w:rsid w:val="00F232CA"/>
    <w:rsid w:val="00F33DF1"/>
    <w:rsid w:val="00F34936"/>
    <w:rsid w:val="00F4030F"/>
    <w:rsid w:val="00F67EC7"/>
    <w:rsid w:val="00F70FB3"/>
    <w:rsid w:val="00F85E40"/>
    <w:rsid w:val="00F92E3B"/>
    <w:rsid w:val="00FB0A4E"/>
    <w:rsid w:val="00FC6F16"/>
    <w:rsid w:val="00FF2251"/>
    <w:rsid w:val="00FF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92E948"/>
  <w15:chartTrackingRefBased/>
  <w15:docId w15:val="{CACADCDC-791F-434B-8D6A-2D0FC9998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6B0F"/>
    <w:rPr>
      <w:rFonts w:ascii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qFormat/>
    <w:locked/>
    <w:rsid w:val="00B1662D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396B0F"/>
    <w:rPr>
      <w:rFonts w:ascii="Times New Roman(K)" w:hAnsi="Times New Roman(K)" w:cs="Times New Roman"/>
      <w:b/>
      <w:bCs/>
      <w:color w:val="000000"/>
      <w:sz w:val="20"/>
      <w:szCs w:val="20"/>
      <w:u w:val="none"/>
      <w:effect w:val="none"/>
    </w:rPr>
  </w:style>
  <w:style w:type="paragraph" w:styleId="a3">
    <w:name w:val="Body Text"/>
    <w:basedOn w:val="a"/>
    <w:link w:val="a4"/>
    <w:uiPriority w:val="99"/>
    <w:rsid w:val="00396B0F"/>
    <w:pPr>
      <w:spacing w:after="120"/>
    </w:pPr>
  </w:style>
  <w:style w:type="character" w:customStyle="1" w:styleId="a4">
    <w:name w:val="Основной текст Знак"/>
    <w:link w:val="a3"/>
    <w:uiPriority w:val="99"/>
    <w:locked/>
    <w:rsid w:val="00396B0F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">
    <w:name w:val="Стиль1"/>
    <w:basedOn w:val="a"/>
    <w:uiPriority w:val="99"/>
    <w:rsid w:val="00396B0F"/>
    <w:pPr>
      <w:widowControl w:val="0"/>
      <w:jc w:val="both"/>
    </w:pPr>
    <w:rPr>
      <w:rFonts w:eastAsia="Times New Roman"/>
      <w:sz w:val="28"/>
    </w:rPr>
  </w:style>
  <w:style w:type="paragraph" w:customStyle="1" w:styleId="10">
    <w:name w:val="Верхний колонтитул1"/>
    <w:basedOn w:val="a"/>
    <w:rsid w:val="00396B0F"/>
    <w:pPr>
      <w:tabs>
        <w:tab w:val="center" w:pos="4153"/>
        <w:tab w:val="right" w:pos="8306"/>
      </w:tabs>
    </w:pPr>
    <w:rPr>
      <w:rFonts w:eastAsia="Times New Roman"/>
      <w:sz w:val="20"/>
      <w:szCs w:val="20"/>
    </w:rPr>
  </w:style>
  <w:style w:type="paragraph" w:styleId="a5">
    <w:name w:val="Normal (Web)"/>
    <w:basedOn w:val="a"/>
    <w:uiPriority w:val="99"/>
    <w:rsid w:val="00396B0F"/>
    <w:pPr>
      <w:spacing w:before="100" w:beforeAutospacing="1" w:after="100" w:afterAutospacing="1"/>
    </w:pPr>
    <w:rPr>
      <w:rFonts w:eastAsia="Times New Roman"/>
    </w:rPr>
  </w:style>
  <w:style w:type="paragraph" w:styleId="a6">
    <w:name w:val="Balloon Text"/>
    <w:basedOn w:val="a"/>
    <w:link w:val="a7"/>
    <w:uiPriority w:val="99"/>
    <w:semiHidden/>
    <w:rsid w:val="00D1515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D1515A"/>
    <w:rPr>
      <w:rFonts w:ascii="Tahoma" w:hAnsi="Tahoma" w:cs="Tahoma"/>
      <w:sz w:val="16"/>
      <w:szCs w:val="16"/>
      <w:lang w:eastAsia="ru-RU"/>
    </w:rPr>
  </w:style>
  <w:style w:type="character" w:customStyle="1" w:styleId="s0">
    <w:name w:val="s0"/>
    <w:qFormat/>
    <w:rsid w:val="00ED4036"/>
    <w:rPr>
      <w:rFonts w:ascii="Times New Roman" w:hAnsi="Times New Roman" w:cs="Times New Roman"/>
      <w:color w:val="000000"/>
      <w:sz w:val="22"/>
      <w:szCs w:val="22"/>
      <w:u w:val="none"/>
      <w:effect w:val="none"/>
    </w:rPr>
  </w:style>
  <w:style w:type="paragraph" w:styleId="a8">
    <w:name w:val="Body Text Indent"/>
    <w:basedOn w:val="a"/>
    <w:link w:val="a9"/>
    <w:uiPriority w:val="99"/>
    <w:rsid w:val="005457E8"/>
    <w:pPr>
      <w:spacing w:after="120"/>
      <w:ind w:left="283"/>
    </w:pPr>
    <w:rPr>
      <w:sz w:val="28"/>
      <w:szCs w:val="20"/>
    </w:rPr>
  </w:style>
  <w:style w:type="character" w:customStyle="1" w:styleId="a9">
    <w:name w:val="Основной текст с отступом Знак"/>
    <w:link w:val="a8"/>
    <w:uiPriority w:val="99"/>
    <w:locked/>
    <w:rsid w:val="005457E8"/>
    <w:rPr>
      <w:rFonts w:cs="Times New Roman"/>
      <w:sz w:val="28"/>
      <w:lang w:val="ru-RU" w:eastAsia="ru-RU" w:bidi="ar-SA"/>
    </w:rPr>
  </w:style>
  <w:style w:type="paragraph" w:customStyle="1" w:styleId="21">
    <w:name w:val="Обычный2"/>
    <w:rsid w:val="00D84E39"/>
    <w:rPr>
      <w:rFonts w:ascii="Times New Roman" w:eastAsia="Times New Roman" w:hAnsi="Times New Roman"/>
      <w:snapToGrid w:val="0"/>
      <w:sz w:val="24"/>
    </w:rPr>
  </w:style>
  <w:style w:type="paragraph" w:customStyle="1" w:styleId="11">
    <w:name w:val="Обычный1"/>
    <w:uiPriority w:val="99"/>
    <w:rsid w:val="00D84E39"/>
    <w:rPr>
      <w:rFonts w:ascii="Times New Roman" w:eastAsia="Times New Roman" w:hAnsi="Times New Roman"/>
      <w:sz w:val="24"/>
      <w:szCs w:val="24"/>
    </w:rPr>
  </w:style>
  <w:style w:type="character" w:customStyle="1" w:styleId="20">
    <w:name w:val="Заголовок 2 Знак"/>
    <w:link w:val="2"/>
    <w:rsid w:val="00B1662D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a">
    <w:name w:val="header"/>
    <w:basedOn w:val="a"/>
    <w:link w:val="ab"/>
    <w:uiPriority w:val="99"/>
    <w:unhideWhenUsed/>
    <w:rsid w:val="001F4C6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F4C6E"/>
    <w:rPr>
      <w:rFonts w:ascii="Times New Roman" w:hAnsi="Times New Roman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1F4C6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F4C6E"/>
    <w:rPr>
      <w:rFonts w:ascii="Times New Roman" w:hAnsi="Times New Roman"/>
      <w:sz w:val="24"/>
      <w:szCs w:val="24"/>
    </w:rPr>
  </w:style>
  <w:style w:type="paragraph" w:customStyle="1" w:styleId="12">
    <w:name w:val="Знак Знак Знак1 Знак Знак Знак Знак Знак Знак"/>
    <w:basedOn w:val="a"/>
    <w:next w:val="2"/>
    <w:autoRedefine/>
    <w:rsid w:val="0094292C"/>
    <w:pPr>
      <w:spacing w:after="160"/>
      <w:ind w:firstLine="720"/>
      <w:jc w:val="both"/>
    </w:pPr>
    <w:rPr>
      <w:rFonts w:eastAsia="Times New Roman"/>
      <w:sz w:val="28"/>
      <w:szCs w:val="28"/>
      <w:lang w:val="en-US" w:eastAsia="en-US"/>
    </w:rPr>
  </w:style>
  <w:style w:type="character" w:styleId="ae">
    <w:name w:val="footnote reference"/>
    <w:uiPriority w:val="99"/>
    <w:unhideWhenUsed/>
    <w:rsid w:val="009B7D7B"/>
    <w:rPr>
      <w:vertAlign w:val="superscript"/>
    </w:rPr>
  </w:style>
  <w:style w:type="paragraph" w:styleId="af">
    <w:name w:val="footnote text"/>
    <w:basedOn w:val="a"/>
    <w:link w:val="af0"/>
    <w:uiPriority w:val="99"/>
    <w:unhideWhenUsed/>
    <w:rsid w:val="009B7D7B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af0">
    <w:name w:val="Текст сноски Знак"/>
    <w:basedOn w:val="a0"/>
    <w:link w:val="af"/>
    <w:uiPriority w:val="99"/>
    <w:rsid w:val="009B7D7B"/>
    <w:rPr>
      <w:lang w:eastAsia="en-US"/>
    </w:rPr>
  </w:style>
  <w:style w:type="paragraph" w:customStyle="1" w:styleId="13">
    <w:name w:val="Знак1"/>
    <w:basedOn w:val="a"/>
    <w:autoRedefine/>
    <w:rsid w:val="008104AC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character" w:styleId="af1">
    <w:name w:val="annotation reference"/>
    <w:basedOn w:val="a0"/>
    <w:uiPriority w:val="99"/>
    <w:semiHidden/>
    <w:unhideWhenUsed/>
    <w:rsid w:val="00F02791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F02791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F02791"/>
    <w:rPr>
      <w:rFonts w:ascii="Times New Roman" w:hAnsi="Times New Roman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F02791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F02791"/>
    <w:rPr>
      <w:rFonts w:ascii="Times New Roman" w:hAnsi="Times New Roman"/>
      <w:b/>
      <w:bCs/>
    </w:rPr>
  </w:style>
  <w:style w:type="paragraph" w:styleId="af6">
    <w:name w:val="List Paragraph"/>
    <w:basedOn w:val="a"/>
    <w:uiPriority w:val="34"/>
    <w:qFormat/>
    <w:rsid w:val="00302AF7"/>
    <w:pPr>
      <w:ind w:left="720"/>
      <w:contextualSpacing/>
    </w:pPr>
  </w:style>
  <w:style w:type="paragraph" w:customStyle="1" w:styleId="pj">
    <w:name w:val="pj"/>
    <w:basedOn w:val="a"/>
    <w:rsid w:val="00D46CFD"/>
    <w:pPr>
      <w:ind w:firstLine="400"/>
      <w:jc w:val="both"/>
    </w:pPr>
    <w:rPr>
      <w:rFonts w:eastAsia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90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0CD475-DC82-4045-88B5-20A1ED541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афн</Company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FN_Svetlana_An</dc:creator>
  <cp:keywords/>
  <cp:lastModifiedBy>Багдаулет Калдарбек</cp:lastModifiedBy>
  <cp:revision>3</cp:revision>
  <cp:lastPrinted>2025-07-02T07:40:00Z</cp:lastPrinted>
  <dcterms:created xsi:type="dcterms:W3CDTF">2025-07-02T10:05:00Z</dcterms:created>
  <dcterms:modified xsi:type="dcterms:W3CDTF">2025-07-08T10:25:00Z</dcterms:modified>
</cp:coreProperties>
</file>