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5D" w:rsidRPr="00D61936" w:rsidRDefault="00A072F1" w:rsidP="00A072F1">
      <w:pPr>
        <w:spacing w:after="0" w:line="240" w:lineRule="auto"/>
        <w:jc w:val="center"/>
        <w:rPr>
          <w:rFonts w:ascii="Times New Roman" w:hAnsi="Times New Roman" w:cs="Times New Roman"/>
          <w:b/>
          <w:sz w:val="20"/>
          <w:szCs w:val="20"/>
          <w:lang w:val="en-US"/>
        </w:rPr>
      </w:pPr>
      <w:r w:rsidRPr="00D61936">
        <w:rPr>
          <w:rFonts w:ascii="Times New Roman" w:hAnsi="Times New Roman" w:cs="Times New Roman"/>
          <w:b/>
          <w:sz w:val="20"/>
          <w:szCs w:val="20"/>
          <w:lang w:val="en-US"/>
        </w:rPr>
        <w:t>Accounting registration of foreign exchange agreements on capital flows and notification of accounts with foreign banks</w:t>
      </w:r>
      <w:r w:rsidR="0019275D" w:rsidRPr="00D61936">
        <w:rPr>
          <w:rStyle w:val="a8"/>
          <w:rFonts w:ascii="Times New Roman" w:eastAsia="Times New Roman" w:hAnsi="Times New Roman" w:cs="Times New Roman"/>
          <w:b/>
          <w:bCs/>
          <w:sz w:val="20"/>
          <w:szCs w:val="28"/>
          <w:lang w:eastAsia="ru-RU"/>
        </w:rPr>
        <w:endnoteReference w:id="1"/>
      </w:r>
    </w:p>
    <w:p w:rsidR="007632B8" w:rsidRPr="00D61936" w:rsidRDefault="00275CC5" w:rsidP="00C024E3">
      <w:pPr>
        <w:spacing w:after="120" w:line="240" w:lineRule="auto"/>
        <w:jc w:val="center"/>
        <w:rPr>
          <w:rFonts w:ascii="Times New Roman" w:hAnsi="Times New Roman" w:cs="Times New Roman"/>
          <w:b/>
          <w:i/>
          <w:sz w:val="20"/>
          <w:szCs w:val="20"/>
          <w:lang w:val="en-US"/>
        </w:rPr>
      </w:pPr>
      <w:r w:rsidRPr="00D61936">
        <w:rPr>
          <w:rFonts w:ascii="Times New Roman" w:hAnsi="Times New Roman" w:cs="Times New Roman"/>
          <w:b/>
          <w:i/>
          <w:sz w:val="20"/>
          <w:szCs w:val="20"/>
          <w:lang w:val="en-US"/>
        </w:rPr>
        <w:t>(</w:t>
      </w:r>
      <w:r w:rsidR="00635B5D" w:rsidRPr="00D61936">
        <w:rPr>
          <w:rFonts w:ascii="Times New Roman" w:hAnsi="Times New Roman" w:cs="Times New Roman"/>
          <w:b/>
          <w:i/>
          <w:sz w:val="20"/>
          <w:szCs w:val="20"/>
          <w:lang w:val="en-US"/>
        </w:rPr>
        <w:t>with amendments and additions as of 15.09.2024)</w:t>
      </w:r>
    </w:p>
    <w:tbl>
      <w:tblPr>
        <w:tblW w:w="5000" w:type="pct"/>
        <w:tblLook w:val="04A0" w:firstRow="1" w:lastRow="0" w:firstColumn="1" w:lastColumn="0" w:noHBand="0" w:noVBand="1"/>
      </w:tblPr>
      <w:tblGrid>
        <w:gridCol w:w="314"/>
        <w:gridCol w:w="1904"/>
        <w:gridCol w:w="1965"/>
        <w:gridCol w:w="5327"/>
        <w:gridCol w:w="4681"/>
        <w:gridCol w:w="1786"/>
      </w:tblGrid>
      <w:tr w:rsidR="00E218CA" w:rsidRPr="00E9113E" w:rsidTr="00140A49">
        <w:trPr>
          <w:trHeight w:val="945"/>
          <w:tblHeader/>
        </w:trPr>
        <w:tc>
          <w:tcPr>
            <w:tcW w:w="98"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218CA" w:rsidRPr="00A072F1" w:rsidRDefault="00E218CA" w:rsidP="00D2464A">
            <w:pPr>
              <w:spacing w:after="0" w:line="240" w:lineRule="auto"/>
              <w:jc w:val="center"/>
              <w:rPr>
                <w:rFonts w:ascii="Times New Roman" w:eastAsia="Times New Roman" w:hAnsi="Times New Roman" w:cs="Times New Roman"/>
                <w:b/>
                <w:bCs/>
                <w:sz w:val="19"/>
                <w:szCs w:val="19"/>
                <w:lang w:val="en-US" w:eastAsia="ru-RU"/>
              </w:rPr>
            </w:pPr>
          </w:p>
        </w:tc>
        <w:tc>
          <w:tcPr>
            <w:tcW w:w="596" w:type="pct"/>
            <w:tcBorders>
              <w:top w:val="single" w:sz="4" w:space="0" w:color="auto"/>
              <w:left w:val="nil"/>
              <w:bottom w:val="single" w:sz="4" w:space="0" w:color="auto"/>
              <w:right w:val="single" w:sz="4" w:space="0" w:color="auto"/>
            </w:tcBorders>
            <w:shd w:val="clear" w:color="000000" w:fill="92D050"/>
            <w:vAlign w:val="center"/>
            <w:hideMark/>
          </w:tcPr>
          <w:p w:rsidR="00275CC5" w:rsidRPr="003B0855" w:rsidRDefault="00275CC5" w:rsidP="00275CC5">
            <w:pPr>
              <w:spacing w:after="0" w:line="240" w:lineRule="auto"/>
              <w:jc w:val="center"/>
              <w:rPr>
                <w:rFonts w:ascii="Times New Roman" w:eastAsia="Times New Roman" w:hAnsi="Times New Roman" w:cs="Times New Roman"/>
                <w:b/>
                <w:bCs/>
                <w:sz w:val="19"/>
                <w:szCs w:val="19"/>
                <w:lang w:val="en-US" w:eastAsia="ru-RU"/>
              </w:rPr>
            </w:pPr>
            <w:r w:rsidRPr="003B0855">
              <w:rPr>
                <w:rFonts w:ascii="Times New Roman" w:eastAsia="Times New Roman" w:hAnsi="Times New Roman" w:cs="Times New Roman"/>
                <w:b/>
                <w:bCs/>
                <w:sz w:val="19"/>
                <w:szCs w:val="19"/>
                <w:lang w:val="en-US" w:eastAsia="ru-RU"/>
              </w:rPr>
              <w:t xml:space="preserve">Capital flow </w:t>
            </w:r>
            <w:r w:rsidR="0051681E" w:rsidRPr="0051681E">
              <w:rPr>
                <w:rFonts w:ascii="Times New Roman" w:eastAsia="Times New Roman" w:hAnsi="Times New Roman" w:cs="Times New Roman"/>
                <w:b/>
                <w:bCs/>
                <w:sz w:val="19"/>
                <w:szCs w:val="19"/>
                <w:lang w:val="en-US" w:eastAsia="ru-RU"/>
              </w:rPr>
              <w:t>transaction</w:t>
            </w:r>
            <w:r w:rsidR="0051681E">
              <w:rPr>
                <w:rFonts w:ascii="Times New Roman" w:eastAsia="Times New Roman" w:hAnsi="Times New Roman" w:cs="Times New Roman"/>
                <w:b/>
                <w:bCs/>
                <w:sz w:val="19"/>
                <w:szCs w:val="19"/>
                <w:lang w:val="en-US" w:eastAsia="ru-RU"/>
              </w:rPr>
              <w:t>s</w:t>
            </w:r>
            <w:r w:rsidRPr="003B0855">
              <w:rPr>
                <w:rFonts w:ascii="Times New Roman" w:eastAsia="Times New Roman" w:hAnsi="Times New Roman" w:cs="Times New Roman"/>
                <w:b/>
                <w:bCs/>
                <w:sz w:val="19"/>
                <w:szCs w:val="19"/>
                <w:lang w:val="en-US" w:eastAsia="ru-RU"/>
              </w:rPr>
              <w:t>,</w:t>
            </w:r>
          </w:p>
          <w:p w:rsidR="00275CC5" w:rsidRPr="003B0855" w:rsidRDefault="00275CC5" w:rsidP="00275CC5">
            <w:pPr>
              <w:spacing w:after="0" w:line="240" w:lineRule="auto"/>
              <w:jc w:val="center"/>
              <w:rPr>
                <w:rFonts w:ascii="Times New Roman" w:eastAsia="Times New Roman" w:hAnsi="Times New Roman" w:cs="Times New Roman"/>
                <w:b/>
                <w:bCs/>
                <w:sz w:val="19"/>
                <w:szCs w:val="19"/>
                <w:lang w:val="en-US" w:eastAsia="ru-RU"/>
              </w:rPr>
            </w:pPr>
            <w:r w:rsidRPr="003B0855">
              <w:rPr>
                <w:rFonts w:ascii="Times New Roman" w:eastAsia="Times New Roman" w:hAnsi="Times New Roman" w:cs="Times New Roman"/>
                <w:b/>
                <w:bCs/>
                <w:sz w:val="19"/>
                <w:szCs w:val="19"/>
                <w:lang w:val="en-US" w:eastAsia="ru-RU"/>
              </w:rPr>
              <w:t xml:space="preserve">accounts </w:t>
            </w:r>
            <w:r w:rsidR="0051681E">
              <w:rPr>
                <w:rFonts w:ascii="Times New Roman" w:hAnsi="Times New Roman" w:cs="Times New Roman"/>
                <w:b/>
                <w:sz w:val="20"/>
                <w:szCs w:val="20"/>
                <w:lang w:val="en-US"/>
              </w:rPr>
              <w:t>with foreign banks</w:t>
            </w:r>
          </w:p>
        </w:tc>
        <w:tc>
          <w:tcPr>
            <w:tcW w:w="615"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275CC5" w:rsidRPr="00275CC5" w:rsidRDefault="00275CC5" w:rsidP="00854C74">
            <w:pPr>
              <w:spacing w:after="0" w:line="240" w:lineRule="auto"/>
              <w:jc w:val="center"/>
              <w:rPr>
                <w:rFonts w:ascii="Times New Roman" w:eastAsia="Times New Roman" w:hAnsi="Times New Roman" w:cs="Times New Roman"/>
                <w:b/>
                <w:bCs/>
                <w:sz w:val="19"/>
                <w:szCs w:val="19"/>
                <w:lang w:val="en-US" w:eastAsia="ru-RU"/>
              </w:rPr>
            </w:pPr>
            <w:r w:rsidRPr="00275CC5">
              <w:rPr>
                <w:rFonts w:ascii="Times New Roman" w:eastAsia="Times New Roman" w:hAnsi="Times New Roman" w:cs="Times New Roman"/>
                <w:b/>
                <w:bCs/>
                <w:sz w:val="19"/>
                <w:szCs w:val="19"/>
                <w:lang w:val="en-US" w:eastAsia="ru-RU"/>
              </w:rPr>
              <w:t>Banks, branches of foreign banks operating in the territory of the Republic of Kazakhstan (own operations)</w:t>
            </w:r>
          </w:p>
        </w:tc>
        <w:tc>
          <w:tcPr>
            <w:tcW w:w="1667" w:type="pct"/>
            <w:tcBorders>
              <w:top w:val="single" w:sz="4" w:space="0" w:color="auto"/>
              <w:left w:val="nil"/>
              <w:bottom w:val="single" w:sz="4" w:space="0" w:color="auto"/>
              <w:right w:val="single" w:sz="4" w:space="0" w:color="auto"/>
            </w:tcBorders>
            <w:shd w:val="clear" w:color="000000" w:fill="92D050"/>
            <w:vAlign w:val="center"/>
            <w:hideMark/>
          </w:tcPr>
          <w:p w:rsidR="0051681E" w:rsidRDefault="0051681E" w:rsidP="00275CC5">
            <w:pPr>
              <w:spacing w:after="0" w:line="240" w:lineRule="auto"/>
              <w:jc w:val="center"/>
              <w:rPr>
                <w:rFonts w:ascii="Times New Roman" w:eastAsia="Times New Roman" w:hAnsi="Times New Roman" w:cs="Times New Roman"/>
                <w:b/>
                <w:bCs/>
                <w:sz w:val="19"/>
                <w:szCs w:val="19"/>
                <w:lang w:val="en-US" w:eastAsia="ru-RU"/>
              </w:rPr>
            </w:pPr>
            <w:r w:rsidRPr="0051681E">
              <w:rPr>
                <w:rFonts w:ascii="Times New Roman" w:eastAsia="Times New Roman" w:hAnsi="Times New Roman" w:cs="Times New Roman"/>
                <w:b/>
                <w:bCs/>
                <w:sz w:val="19"/>
                <w:szCs w:val="19"/>
                <w:lang w:val="en-US" w:eastAsia="ru-RU"/>
              </w:rPr>
              <w:t>Other financial institutions,</w:t>
            </w:r>
          </w:p>
          <w:p w:rsidR="0051681E" w:rsidRPr="00116A02" w:rsidRDefault="0051681E" w:rsidP="00275CC5">
            <w:pPr>
              <w:spacing w:after="0" w:line="240" w:lineRule="auto"/>
              <w:jc w:val="center"/>
              <w:rPr>
                <w:rFonts w:ascii="Times New Roman" w:eastAsia="Times New Roman" w:hAnsi="Times New Roman" w:cs="Times New Roman"/>
                <w:b/>
                <w:bCs/>
                <w:sz w:val="19"/>
                <w:szCs w:val="19"/>
                <w:lang w:val="en-US" w:eastAsia="ru-RU"/>
              </w:rPr>
            </w:pPr>
            <w:r w:rsidRPr="0051681E">
              <w:rPr>
                <w:rFonts w:ascii="Times New Roman" w:eastAsia="Times New Roman" w:hAnsi="Times New Roman" w:cs="Times New Roman"/>
                <w:b/>
                <w:bCs/>
                <w:sz w:val="19"/>
                <w:szCs w:val="19"/>
                <w:lang w:val="en-US" w:eastAsia="ru-RU"/>
              </w:rPr>
              <w:t>non-financial institutions</w:t>
            </w:r>
          </w:p>
        </w:tc>
        <w:tc>
          <w:tcPr>
            <w:tcW w:w="1465" w:type="pct"/>
            <w:tcBorders>
              <w:top w:val="single" w:sz="4" w:space="0" w:color="auto"/>
              <w:left w:val="nil"/>
              <w:bottom w:val="single" w:sz="4" w:space="0" w:color="auto"/>
              <w:right w:val="single" w:sz="4" w:space="0" w:color="auto"/>
            </w:tcBorders>
            <w:shd w:val="clear" w:color="000000" w:fill="92D050"/>
            <w:vAlign w:val="center"/>
            <w:hideMark/>
          </w:tcPr>
          <w:p w:rsidR="00275CC5" w:rsidRPr="00116A02" w:rsidRDefault="0051681E" w:rsidP="00D2464A">
            <w:pPr>
              <w:spacing w:after="0" w:line="240" w:lineRule="auto"/>
              <w:jc w:val="center"/>
              <w:rPr>
                <w:rFonts w:ascii="Times New Roman" w:eastAsia="Times New Roman" w:hAnsi="Times New Roman" w:cs="Times New Roman"/>
                <w:b/>
                <w:bCs/>
                <w:sz w:val="19"/>
                <w:szCs w:val="19"/>
                <w:lang w:val="en-US" w:eastAsia="ru-RU"/>
              </w:rPr>
            </w:pPr>
            <w:r w:rsidRPr="00116A02">
              <w:rPr>
                <w:rFonts w:ascii="Times New Roman" w:eastAsia="Times New Roman" w:hAnsi="Times New Roman" w:cs="Times New Roman"/>
                <w:b/>
                <w:bCs/>
                <w:sz w:val="19"/>
                <w:szCs w:val="19"/>
                <w:lang w:val="en-US" w:eastAsia="ru-RU"/>
              </w:rPr>
              <w:t>Individuals</w:t>
            </w:r>
            <w:r>
              <w:rPr>
                <w:rFonts w:ascii="Times New Roman" w:eastAsia="Times New Roman" w:hAnsi="Times New Roman" w:cs="Times New Roman"/>
                <w:b/>
                <w:bCs/>
                <w:sz w:val="19"/>
                <w:szCs w:val="19"/>
                <w:lang w:val="en-US" w:eastAsia="ru-RU"/>
              </w:rPr>
              <w:t xml:space="preserve"> </w:t>
            </w:r>
          </w:p>
        </w:tc>
        <w:tc>
          <w:tcPr>
            <w:tcW w:w="559" w:type="pct"/>
            <w:tcBorders>
              <w:top w:val="single" w:sz="4" w:space="0" w:color="auto"/>
              <w:left w:val="nil"/>
              <w:bottom w:val="single" w:sz="4" w:space="0" w:color="auto"/>
              <w:right w:val="single" w:sz="4" w:space="0" w:color="auto"/>
            </w:tcBorders>
            <w:shd w:val="clear" w:color="000000" w:fill="92D050"/>
            <w:vAlign w:val="center"/>
          </w:tcPr>
          <w:p w:rsidR="00275CC5" w:rsidRPr="00E9113E" w:rsidRDefault="00275CC5" w:rsidP="00D2464A">
            <w:pPr>
              <w:spacing w:after="0" w:line="240" w:lineRule="auto"/>
              <w:jc w:val="center"/>
              <w:rPr>
                <w:rFonts w:ascii="Times New Roman" w:eastAsia="Times New Roman" w:hAnsi="Times New Roman" w:cs="Times New Roman"/>
                <w:b/>
                <w:bCs/>
                <w:sz w:val="19"/>
                <w:szCs w:val="19"/>
                <w:lang w:eastAsia="ru-RU"/>
              </w:rPr>
            </w:pPr>
            <w:r w:rsidRPr="00116A02">
              <w:rPr>
                <w:rFonts w:ascii="Times New Roman" w:eastAsia="Times New Roman" w:hAnsi="Times New Roman" w:cs="Times New Roman"/>
                <w:b/>
                <w:bCs/>
                <w:sz w:val="19"/>
                <w:szCs w:val="19"/>
                <w:lang w:val="en-US" w:eastAsia="ru-RU"/>
              </w:rPr>
              <w:t>Authorized</w:t>
            </w:r>
            <w:r w:rsidRPr="00116A02">
              <w:rPr>
                <w:rFonts w:ascii="Times New Roman" w:eastAsia="Times New Roman" w:hAnsi="Times New Roman" w:cs="Times New Roman"/>
                <w:b/>
                <w:bCs/>
                <w:sz w:val="19"/>
                <w:szCs w:val="19"/>
                <w:lang w:val="en-SG" w:eastAsia="ru-RU"/>
              </w:rPr>
              <w:t xml:space="preserve"> banks</w:t>
            </w:r>
          </w:p>
        </w:tc>
      </w:tr>
      <w:tr w:rsidR="00140A49" w:rsidRPr="00635B5D" w:rsidTr="00140A49">
        <w:trPr>
          <w:trHeight w:val="197"/>
        </w:trPr>
        <w:tc>
          <w:tcPr>
            <w:tcW w:w="98" w:type="pct"/>
            <w:vMerge w:val="restart"/>
            <w:tcBorders>
              <w:top w:val="nil"/>
              <w:left w:val="single" w:sz="4" w:space="0" w:color="auto"/>
              <w:right w:val="single" w:sz="4" w:space="0" w:color="auto"/>
            </w:tcBorders>
            <w:shd w:val="clear" w:color="auto" w:fill="auto"/>
            <w:vAlign w:val="center"/>
            <w:hideMark/>
          </w:tcPr>
          <w:p w:rsidR="00140A49" w:rsidRPr="00116A02" w:rsidRDefault="00140A49" w:rsidP="00D2464A">
            <w:pPr>
              <w:spacing w:before="240" w:line="240" w:lineRule="auto"/>
              <w:contextualSpacing/>
              <w:rPr>
                <w:rFonts w:ascii="Times New Roman" w:eastAsia="Times New Roman" w:hAnsi="Times New Roman" w:cs="Times New Roman"/>
                <w:sz w:val="19"/>
                <w:szCs w:val="19"/>
                <w:lang w:val="en-ZA" w:eastAsia="ru-RU"/>
              </w:rPr>
            </w:pPr>
            <w:r w:rsidRPr="00E9113E">
              <w:rPr>
                <w:rFonts w:ascii="Times New Roman" w:eastAsia="Times New Roman" w:hAnsi="Times New Roman" w:cs="Times New Roman"/>
                <w:sz w:val="19"/>
                <w:szCs w:val="19"/>
                <w:lang w:eastAsia="ru-RU"/>
              </w:rPr>
              <w:t>1</w:t>
            </w:r>
          </w:p>
        </w:tc>
        <w:tc>
          <w:tcPr>
            <w:tcW w:w="596" w:type="pct"/>
            <w:vMerge w:val="restart"/>
            <w:tcBorders>
              <w:top w:val="nil"/>
              <w:left w:val="single" w:sz="4" w:space="0" w:color="auto"/>
              <w:right w:val="single" w:sz="4" w:space="0" w:color="auto"/>
            </w:tcBorders>
            <w:shd w:val="clear" w:color="auto" w:fill="auto"/>
            <w:vAlign w:val="center"/>
            <w:hideMark/>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116A02">
              <w:rPr>
                <w:rFonts w:ascii="Times New Roman" w:eastAsia="Times New Roman" w:hAnsi="Times New Roman" w:cs="Times New Roman"/>
                <w:sz w:val="19"/>
                <w:szCs w:val="19"/>
                <w:lang w:val="en-ZA" w:eastAsia="ru-RU"/>
              </w:rPr>
              <w:t>Equity</w:t>
            </w:r>
            <w:r w:rsidRPr="00116A02">
              <w:rPr>
                <w:rFonts w:ascii="Times New Roman" w:eastAsia="Times New Roman" w:hAnsi="Times New Roman" w:cs="Times New Roman"/>
                <w:sz w:val="19"/>
                <w:szCs w:val="19"/>
                <w:lang w:val="en-US" w:eastAsia="ru-RU"/>
              </w:rPr>
              <w:t xml:space="preserve"> participation</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p>
        </w:tc>
        <w:tc>
          <w:tcPr>
            <w:tcW w:w="1667" w:type="pct"/>
            <w:tcBorders>
              <w:top w:val="nil"/>
              <w:left w:val="nil"/>
              <w:bottom w:val="single" w:sz="4" w:space="0" w:color="auto"/>
              <w:right w:val="single" w:sz="4" w:space="0" w:color="auto"/>
            </w:tcBorders>
            <w:shd w:val="clear" w:color="auto" w:fill="auto"/>
            <w:vAlign w:val="center"/>
            <w:hideMark/>
          </w:tcPr>
          <w:p w:rsidR="00140A49" w:rsidRPr="008D5ABF" w:rsidRDefault="00140A49" w:rsidP="00EF1CBA">
            <w:pPr>
              <w:spacing w:before="240" w:line="240" w:lineRule="auto"/>
              <w:contextualSpacing/>
              <w:jc w:val="center"/>
              <w:rPr>
                <w:rFonts w:ascii="Times New Roman" w:eastAsia="Times New Roman" w:hAnsi="Times New Roman" w:cs="Times New Roman"/>
                <w:sz w:val="19"/>
                <w:szCs w:val="19"/>
                <w:lang w:val="en-US" w:eastAsia="ru-RU"/>
              </w:rPr>
            </w:pPr>
          </w:p>
          <w:p w:rsidR="00140A49" w:rsidRPr="00EF1CBA" w:rsidRDefault="00140A49" w:rsidP="00472416">
            <w:pPr>
              <w:spacing w:before="160" w:line="240" w:lineRule="auto"/>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sidRPr="00AA3335">
              <w:rPr>
                <w:rFonts w:ascii="Times New Roman" w:eastAsia="Times New Roman" w:hAnsi="Times New Roman" w:cs="Times New Roman"/>
                <w:sz w:val="19"/>
                <w:szCs w:val="19"/>
                <w:lang w:val="en-US" w:eastAsia="ru-RU"/>
              </w:rPr>
              <w:t>territorial branches of the National Bank</w:t>
            </w:r>
            <w:r>
              <w:rPr>
                <w:rFonts w:ascii="Times New Roman" w:eastAsia="Times New Roman" w:hAnsi="Times New Roman" w:cs="Times New Roman"/>
                <w:sz w:val="19"/>
                <w:szCs w:val="19"/>
                <w:lang w:val="en-US" w:eastAsia="ru-RU"/>
              </w:rPr>
              <w:t xml:space="preserve"> (</w:t>
            </w:r>
            <w:r w:rsidRPr="00AA3335">
              <w:rPr>
                <w:rFonts w:ascii="Times New Roman" w:eastAsia="Times New Roman" w:hAnsi="Times New Roman" w:cs="Times New Roman"/>
                <w:sz w:val="19"/>
                <w:szCs w:val="19"/>
                <w:lang w:val="en-US" w:eastAsia="ru-RU"/>
              </w:rPr>
              <w:t>hereinafter referred to as</w:t>
            </w:r>
            <w:r>
              <w:rPr>
                <w:rFonts w:ascii="Times New Roman" w:eastAsia="Times New Roman" w:hAnsi="Times New Roman" w:cs="Times New Roman"/>
                <w:sz w:val="19"/>
                <w:szCs w:val="19"/>
                <w:lang w:val="en-US" w:eastAsia="ru-RU"/>
              </w:rPr>
              <w:t xml:space="preserve"> </w:t>
            </w:r>
            <w:r w:rsidRPr="00AA3335">
              <w:rPr>
                <w:rFonts w:ascii="Times New Roman" w:eastAsia="Times New Roman" w:hAnsi="Times New Roman" w:cs="Times New Roman"/>
                <w:sz w:val="19"/>
                <w:szCs w:val="19"/>
                <w:lang w:val="en-US" w:eastAsia="ru-RU"/>
              </w:rPr>
              <w:t>TB NBRK</w:t>
            </w:r>
            <w:r>
              <w:rPr>
                <w:rFonts w:ascii="Times New Roman" w:eastAsia="Times New Roman" w:hAnsi="Times New Roman" w:cs="Times New Roman"/>
                <w:sz w:val="19"/>
                <w:szCs w:val="19"/>
                <w:lang w:val="en-US" w:eastAsia="ru-RU"/>
              </w:rPr>
              <w:t>)</w:t>
            </w:r>
            <w:r w:rsidRPr="00E9113E">
              <w:rPr>
                <w:rStyle w:val="a8"/>
                <w:rFonts w:ascii="Times New Roman" w:eastAsia="Times New Roman" w:hAnsi="Times New Roman" w:cs="Times New Roman"/>
                <w:sz w:val="19"/>
                <w:szCs w:val="19"/>
                <w:lang w:eastAsia="ru-RU"/>
              </w:rPr>
              <w:endnoteReference w:id="2"/>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140A49" w:rsidRPr="00507740"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559" w:type="pct"/>
            <w:vMerge w:val="restart"/>
            <w:tcBorders>
              <w:top w:val="single" w:sz="4" w:space="0" w:color="auto"/>
              <w:left w:val="nil"/>
              <w:right w:val="single" w:sz="4" w:space="0" w:color="auto"/>
            </w:tcBorders>
          </w:tcPr>
          <w:p w:rsidR="00140A49" w:rsidRDefault="00140A49" w:rsidP="003F3ACE">
            <w:pPr>
              <w:spacing w:before="240" w:line="240" w:lineRule="auto"/>
              <w:contextualSpacing/>
              <w:jc w:val="center"/>
              <w:rPr>
                <w:rFonts w:ascii="Times New Roman" w:eastAsia="Times New Roman" w:hAnsi="Times New Roman" w:cs="Times New Roman"/>
                <w:sz w:val="19"/>
                <w:szCs w:val="19"/>
                <w:lang w:val="en-US" w:eastAsia="ru-RU"/>
              </w:rPr>
            </w:pPr>
          </w:p>
          <w:p w:rsidR="00140A49" w:rsidRPr="003943B8" w:rsidRDefault="00140A49" w:rsidP="00635B5D">
            <w:pPr>
              <w:spacing w:before="240" w:line="240" w:lineRule="auto"/>
              <w:contextualSpacing/>
              <w:jc w:val="both"/>
              <w:rPr>
                <w:rFonts w:ascii="Times New Roman" w:eastAsia="Times New Roman" w:hAnsi="Times New Roman" w:cs="Times New Roman"/>
                <w:sz w:val="19"/>
                <w:szCs w:val="19"/>
                <w:lang w:val="en-US" w:eastAsia="ru-RU"/>
              </w:rPr>
            </w:pPr>
            <w:r w:rsidRPr="003943B8">
              <w:rPr>
                <w:rFonts w:ascii="Times New Roman" w:eastAsia="Times New Roman" w:hAnsi="Times New Roman" w:cs="Times New Roman"/>
                <w:sz w:val="19"/>
                <w:szCs w:val="19"/>
                <w:lang w:val="en-US" w:eastAsia="ru-RU"/>
              </w:rPr>
              <w:t xml:space="preserve">Notification to the </w:t>
            </w:r>
            <w:r w:rsidRPr="00C000EB">
              <w:rPr>
                <w:rFonts w:ascii="Times New Roman" w:eastAsia="Times New Roman" w:hAnsi="Times New Roman" w:cs="Times New Roman"/>
                <w:sz w:val="19"/>
                <w:szCs w:val="19"/>
                <w:lang w:val="en-US" w:eastAsia="ru-RU"/>
              </w:rPr>
              <w:t xml:space="preserve">headquarter of the National Bank </w:t>
            </w:r>
            <w:r>
              <w:rPr>
                <w:rFonts w:ascii="Times New Roman" w:eastAsia="Times New Roman" w:hAnsi="Times New Roman" w:cs="Times New Roman"/>
                <w:sz w:val="19"/>
                <w:szCs w:val="19"/>
                <w:lang w:val="en-US" w:eastAsia="ru-RU"/>
              </w:rPr>
              <w:t>(</w:t>
            </w:r>
            <w:r w:rsidRPr="00AA3335">
              <w:rPr>
                <w:rFonts w:ascii="Times New Roman" w:eastAsia="Times New Roman" w:hAnsi="Times New Roman" w:cs="Times New Roman"/>
                <w:sz w:val="19"/>
                <w:szCs w:val="19"/>
                <w:lang w:val="en-US" w:eastAsia="ru-RU"/>
              </w:rPr>
              <w:t>hereinafter referred to as</w:t>
            </w:r>
            <w:r>
              <w:rPr>
                <w:rFonts w:ascii="Times New Roman" w:eastAsia="Times New Roman" w:hAnsi="Times New Roman" w:cs="Times New Roman"/>
                <w:sz w:val="19"/>
                <w:szCs w:val="19"/>
                <w:lang w:val="en-US" w:eastAsia="ru-RU"/>
              </w:rPr>
              <w:t xml:space="preserve"> </w:t>
            </w:r>
            <w:r w:rsidRPr="003943B8">
              <w:rPr>
                <w:rFonts w:ascii="Times New Roman" w:eastAsia="Times New Roman" w:hAnsi="Times New Roman" w:cs="Times New Roman"/>
                <w:sz w:val="19"/>
                <w:szCs w:val="19"/>
                <w:lang w:val="en-US" w:eastAsia="ru-RU"/>
              </w:rPr>
              <w:t>HQ NBRK</w:t>
            </w:r>
            <w:r>
              <w:rPr>
                <w:rFonts w:ascii="Times New Roman" w:eastAsia="Times New Roman" w:hAnsi="Times New Roman" w:cs="Times New Roman"/>
                <w:sz w:val="19"/>
                <w:szCs w:val="19"/>
                <w:lang w:val="en-US" w:eastAsia="ru-RU"/>
              </w:rPr>
              <w:t xml:space="preserve">) </w:t>
            </w:r>
            <w:r w:rsidRPr="003943B8">
              <w:rPr>
                <w:rFonts w:ascii="Times New Roman" w:eastAsia="Times New Roman" w:hAnsi="Times New Roman" w:cs="Times New Roman"/>
                <w:sz w:val="19"/>
                <w:szCs w:val="19"/>
                <w:lang w:val="en-US" w:eastAsia="ru-RU"/>
              </w:rPr>
              <w:t>on foreign exchange transactions, including on behalf of clients, in the form of a report in accordance with Appendix 9 to the Rules</w:t>
            </w:r>
            <w:r w:rsidRPr="00E9113E">
              <w:rPr>
                <w:rStyle w:val="a8"/>
                <w:rFonts w:ascii="Times New Roman" w:eastAsia="Times New Roman" w:hAnsi="Times New Roman" w:cs="Times New Roman"/>
                <w:sz w:val="19"/>
                <w:szCs w:val="19"/>
                <w:lang w:eastAsia="ru-RU"/>
              </w:rPr>
              <w:endnoteReference w:id="3"/>
            </w:r>
          </w:p>
          <w:p w:rsidR="00140A49" w:rsidRPr="003943B8" w:rsidRDefault="00140A49" w:rsidP="00635B5D">
            <w:pPr>
              <w:spacing w:before="240" w:line="240" w:lineRule="auto"/>
              <w:contextualSpacing/>
              <w:jc w:val="both"/>
              <w:rPr>
                <w:rFonts w:ascii="Times New Roman" w:eastAsia="Times New Roman" w:hAnsi="Times New Roman" w:cs="Times New Roman"/>
                <w:sz w:val="19"/>
                <w:szCs w:val="19"/>
                <w:lang w:val="en-US" w:eastAsia="ru-RU"/>
              </w:rPr>
            </w:pPr>
          </w:p>
          <w:p w:rsidR="00140A49" w:rsidRPr="003943B8" w:rsidRDefault="00140A49" w:rsidP="00635B5D">
            <w:pPr>
              <w:spacing w:before="240" w:line="240" w:lineRule="auto"/>
              <w:contextualSpacing/>
              <w:jc w:val="both"/>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w:t>
            </w:r>
            <w:r w:rsidRPr="003943B8">
              <w:rPr>
                <w:rFonts w:ascii="Times New Roman" w:eastAsia="Times New Roman" w:hAnsi="Times New Roman" w:cs="Times New Roman"/>
                <w:i/>
                <w:sz w:val="19"/>
                <w:szCs w:val="19"/>
                <w:lang w:val="en-US" w:eastAsia="ru-RU"/>
              </w:rPr>
              <w:t>:</w:t>
            </w:r>
          </w:p>
          <w:p w:rsidR="00140A49" w:rsidRPr="001F5A2A" w:rsidRDefault="00140A49" w:rsidP="00635B5D">
            <w:pPr>
              <w:spacing w:before="240" w:line="240" w:lineRule="auto"/>
              <w:contextualSpacing/>
              <w:jc w:val="both"/>
              <w:rPr>
                <w:rFonts w:ascii="Times New Roman" w:eastAsia="Times New Roman" w:hAnsi="Times New Roman" w:cs="Times New Roman"/>
                <w:sz w:val="19"/>
                <w:szCs w:val="19"/>
                <w:lang w:val="en-US" w:eastAsia="ru-RU"/>
              </w:rPr>
            </w:pPr>
            <w:r w:rsidRPr="00635B5D">
              <w:rPr>
                <w:rFonts w:ascii="Times New Roman" w:eastAsia="Times New Roman" w:hAnsi="Times New Roman" w:cs="Times New Roman"/>
                <w:i/>
                <w:sz w:val="19"/>
                <w:szCs w:val="19"/>
                <w:lang w:val="en-US" w:eastAsia="ru-RU"/>
              </w:rPr>
              <w:t>Not required in cases specified in clauses 17 and 18 of the instructions for completing the report under Appendix 9 to the Rules</w:t>
            </w:r>
          </w:p>
        </w:tc>
      </w:tr>
      <w:tr w:rsidR="00140A49" w:rsidRPr="00635B5D" w:rsidTr="00140A49">
        <w:trPr>
          <w:trHeight w:val="1483"/>
        </w:trPr>
        <w:tc>
          <w:tcPr>
            <w:tcW w:w="98" w:type="pct"/>
            <w:vMerge/>
            <w:tcBorders>
              <w:left w:val="single" w:sz="4" w:space="0" w:color="auto"/>
              <w:bottom w:val="single" w:sz="4" w:space="0" w:color="auto"/>
              <w:right w:val="single" w:sz="4" w:space="0" w:color="auto"/>
            </w:tcBorders>
            <w:shd w:val="clear" w:color="auto" w:fill="auto"/>
            <w:vAlign w:val="center"/>
          </w:tcPr>
          <w:p w:rsidR="00140A49" w:rsidRPr="001F5A2A"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96" w:type="pct"/>
            <w:vMerge/>
            <w:tcBorders>
              <w:left w:val="single" w:sz="4" w:space="0" w:color="auto"/>
              <w:bottom w:val="single" w:sz="4" w:space="0" w:color="auto"/>
              <w:right w:val="single" w:sz="4" w:space="0" w:color="auto"/>
            </w:tcBorders>
            <w:shd w:val="clear" w:color="auto" w:fill="auto"/>
            <w:vAlign w:val="center"/>
          </w:tcPr>
          <w:p w:rsidR="00140A49" w:rsidRPr="001F5A2A"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1F5A2A"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3132" w:type="pct"/>
            <w:gridSpan w:val="2"/>
            <w:tcBorders>
              <w:top w:val="nil"/>
              <w:left w:val="nil"/>
              <w:bottom w:val="single" w:sz="4" w:space="0" w:color="auto"/>
              <w:right w:val="single" w:sz="4" w:space="0" w:color="auto"/>
            </w:tcBorders>
            <w:shd w:val="clear" w:color="auto" w:fill="auto"/>
            <w:vAlign w:val="center"/>
          </w:tcPr>
          <w:p w:rsidR="00140A49" w:rsidRPr="00E06931" w:rsidRDefault="00140A49" w:rsidP="00472416">
            <w:pPr>
              <w:spacing w:before="160" w:after="0" w:line="240" w:lineRule="auto"/>
              <w:jc w:val="both"/>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w:t>
            </w:r>
            <w:r w:rsidRPr="00E06931">
              <w:rPr>
                <w:rFonts w:ascii="Times New Roman" w:eastAsia="Times New Roman" w:hAnsi="Times New Roman" w:cs="Times New Roman"/>
                <w:i/>
                <w:sz w:val="19"/>
                <w:szCs w:val="19"/>
                <w:lang w:val="en-US" w:eastAsia="ru-RU"/>
              </w:rPr>
              <w:t>:</w:t>
            </w:r>
          </w:p>
          <w:p w:rsidR="00140A49" w:rsidRPr="00E06931" w:rsidRDefault="00140A49" w:rsidP="00635B5D">
            <w:pPr>
              <w:spacing w:before="240" w:line="240" w:lineRule="auto"/>
              <w:contextualSpacing/>
              <w:jc w:val="both"/>
              <w:rPr>
                <w:rFonts w:ascii="Times New Roman" w:eastAsia="Times New Roman" w:hAnsi="Times New Roman" w:cs="Times New Roman"/>
                <w:i/>
                <w:sz w:val="19"/>
                <w:szCs w:val="19"/>
                <w:lang w:val="en-US" w:eastAsia="ru-RU"/>
              </w:rPr>
            </w:pPr>
            <w:r w:rsidRPr="00E06931">
              <w:rPr>
                <w:rFonts w:ascii="Times New Roman" w:eastAsia="Times New Roman" w:hAnsi="Times New Roman" w:cs="Times New Roman"/>
                <w:i/>
                <w:sz w:val="19"/>
                <w:szCs w:val="19"/>
                <w:lang w:val="en-US" w:eastAsia="ru-RU"/>
              </w:rPr>
              <w:t xml:space="preserve">1) an agreement for the sale by a resident to a non-resident of shares, stakes in the capital of a non-resident investment object, if the resident previously received </w:t>
            </w:r>
            <w:r>
              <w:rPr>
                <w:rFonts w:ascii="Times New Roman" w:eastAsia="Times New Roman" w:hAnsi="Times New Roman" w:cs="Times New Roman"/>
                <w:i/>
                <w:sz w:val="19"/>
                <w:szCs w:val="19"/>
                <w:lang w:val="en-US" w:eastAsia="ru-RU"/>
              </w:rPr>
              <w:t xml:space="preserve">a </w:t>
            </w:r>
            <w:r w:rsidRPr="009D6DD0">
              <w:rPr>
                <w:rFonts w:ascii="Times New Roman" w:eastAsia="Times New Roman" w:hAnsi="Times New Roman" w:cs="Times New Roman"/>
                <w:i/>
                <w:sz w:val="19"/>
                <w:szCs w:val="19"/>
                <w:lang w:val="en-US" w:eastAsia="ru-RU"/>
              </w:rPr>
              <w:t xml:space="preserve">registration number </w:t>
            </w:r>
            <w:r w:rsidRPr="00E06931">
              <w:rPr>
                <w:rFonts w:ascii="Times New Roman" w:eastAsia="Times New Roman" w:hAnsi="Times New Roman" w:cs="Times New Roman"/>
                <w:i/>
                <w:sz w:val="19"/>
                <w:szCs w:val="19"/>
                <w:lang w:val="en-US" w:eastAsia="ru-RU"/>
              </w:rPr>
              <w:t xml:space="preserve">for a foreign exchange agreement on the </w:t>
            </w:r>
            <w:r w:rsidRPr="0096350B">
              <w:rPr>
                <w:rFonts w:ascii="Times New Roman" w:eastAsia="Times New Roman" w:hAnsi="Times New Roman" w:cs="Times New Roman"/>
                <w:i/>
                <w:sz w:val="19"/>
                <w:szCs w:val="19"/>
                <w:lang w:val="en-US" w:eastAsia="ru-RU"/>
              </w:rPr>
              <w:t xml:space="preserve">capital flow </w:t>
            </w:r>
            <w:r w:rsidRPr="00E06931">
              <w:rPr>
                <w:rFonts w:ascii="Times New Roman" w:eastAsia="Times New Roman" w:hAnsi="Times New Roman" w:cs="Times New Roman"/>
                <w:i/>
                <w:sz w:val="19"/>
                <w:szCs w:val="19"/>
                <w:lang w:val="en-US" w:eastAsia="ru-RU"/>
              </w:rPr>
              <w:t>on the resident's participation in the capital (acquisition by a resident of shares, stakes) of a non-resident investment object;</w:t>
            </w:r>
          </w:p>
          <w:p w:rsidR="00140A49" w:rsidRPr="00D21D27" w:rsidRDefault="00140A49" w:rsidP="00472416">
            <w:pPr>
              <w:spacing w:line="240" w:lineRule="auto"/>
              <w:jc w:val="both"/>
              <w:rPr>
                <w:rFonts w:ascii="Times New Roman" w:eastAsia="Times New Roman" w:hAnsi="Times New Roman" w:cs="Times New Roman"/>
                <w:sz w:val="19"/>
                <w:szCs w:val="19"/>
                <w:lang w:val="en-US" w:eastAsia="ru-RU"/>
              </w:rPr>
            </w:pPr>
            <w:r w:rsidRPr="00E06931">
              <w:rPr>
                <w:rFonts w:ascii="Times New Roman" w:eastAsia="Times New Roman" w:hAnsi="Times New Roman" w:cs="Times New Roman"/>
                <w:i/>
                <w:sz w:val="19"/>
                <w:szCs w:val="19"/>
                <w:lang w:val="en-US" w:eastAsia="ru-RU"/>
              </w:rPr>
              <w:t xml:space="preserve">2) an agreement for the repurchase by a resident investment object from a non-resident of his own shares, stakes in the capital, if the resident has previously received </w:t>
            </w:r>
            <w:r>
              <w:rPr>
                <w:rFonts w:ascii="Times New Roman" w:eastAsia="Times New Roman" w:hAnsi="Times New Roman" w:cs="Times New Roman"/>
                <w:i/>
                <w:sz w:val="19"/>
                <w:szCs w:val="19"/>
                <w:lang w:val="en-US" w:eastAsia="ru-RU"/>
              </w:rPr>
              <w:t xml:space="preserve">a </w:t>
            </w:r>
            <w:r w:rsidRPr="009D6DD0">
              <w:rPr>
                <w:rFonts w:ascii="Times New Roman" w:eastAsia="Times New Roman" w:hAnsi="Times New Roman" w:cs="Times New Roman"/>
                <w:i/>
                <w:sz w:val="19"/>
                <w:szCs w:val="19"/>
                <w:lang w:val="en-US" w:eastAsia="ru-RU"/>
              </w:rPr>
              <w:t xml:space="preserve">registration number </w:t>
            </w:r>
            <w:r w:rsidRPr="00E06931">
              <w:rPr>
                <w:rFonts w:ascii="Times New Roman" w:eastAsia="Times New Roman" w:hAnsi="Times New Roman" w:cs="Times New Roman"/>
                <w:i/>
                <w:sz w:val="19"/>
                <w:szCs w:val="19"/>
                <w:lang w:val="en-US" w:eastAsia="ru-RU"/>
              </w:rPr>
              <w:t xml:space="preserve">for a foreign exchange agreement on the </w:t>
            </w:r>
            <w:r w:rsidRPr="0096350B">
              <w:rPr>
                <w:rFonts w:ascii="Times New Roman" w:eastAsia="Times New Roman" w:hAnsi="Times New Roman" w:cs="Times New Roman"/>
                <w:i/>
                <w:sz w:val="19"/>
                <w:szCs w:val="19"/>
                <w:lang w:val="en-US" w:eastAsia="ru-RU"/>
              </w:rPr>
              <w:t xml:space="preserve">capital flow </w:t>
            </w:r>
            <w:r w:rsidRPr="00E06931">
              <w:rPr>
                <w:rFonts w:ascii="Times New Roman" w:eastAsia="Times New Roman" w:hAnsi="Times New Roman" w:cs="Times New Roman"/>
                <w:i/>
                <w:sz w:val="19"/>
                <w:szCs w:val="19"/>
                <w:lang w:val="en-US" w:eastAsia="ru-RU"/>
              </w:rPr>
              <w:t>on the participation of a non-resident in the capital of the resident investment object</w:t>
            </w:r>
            <w:r>
              <w:rPr>
                <w:rFonts w:ascii="Times New Roman" w:eastAsia="Times New Roman" w:hAnsi="Times New Roman" w:cs="Times New Roman"/>
                <w:i/>
                <w:sz w:val="19"/>
                <w:szCs w:val="19"/>
                <w:lang w:val="en-US" w:eastAsia="ru-RU"/>
              </w:rPr>
              <w:t xml:space="preserve"> </w:t>
            </w:r>
          </w:p>
        </w:tc>
        <w:tc>
          <w:tcPr>
            <w:tcW w:w="559" w:type="pct"/>
            <w:vMerge/>
            <w:tcBorders>
              <w:left w:val="nil"/>
              <w:right w:val="single" w:sz="4" w:space="0" w:color="auto"/>
            </w:tcBorders>
            <w:vAlign w:val="center"/>
          </w:tcPr>
          <w:p w:rsidR="00140A49" w:rsidRPr="00D21D27" w:rsidRDefault="00140A49" w:rsidP="00D2464A">
            <w:pPr>
              <w:spacing w:before="240" w:line="240" w:lineRule="auto"/>
              <w:contextualSpacing/>
              <w:rPr>
                <w:rFonts w:ascii="Times New Roman" w:eastAsia="Times New Roman" w:hAnsi="Times New Roman" w:cs="Times New Roman"/>
                <w:i/>
                <w:sz w:val="19"/>
                <w:szCs w:val="19"/>
                <w:lang w:val="en-US" w:eastAsia="ru-RU"/>
              </w:rPr>
            </w:pPr>
          </w:p>
        </w:tc>
      </w:tr>
      <w:tr w:rsidR="00140A49" w:rsidRPr="00635B5D" w:rsidTr="00140A49">
        <w:trPr>
          <w:trHeight w:val="173"/>
        </w:trPr>
        <w:tc>
          <w:tcPr>
            <w:tcW w:w="98" w:type="pct"/>
            <w:vMerge w:val="restart"/>
            <w:tcBorders>
              <w:top w:val="nil"/>
              <w:left w:val="single" w:sz="4" w:space="0" w:color="auto"/>
              <w:right w:val="single" w:sz="4" w:space="0" w:color="auto"/>
            </w:tcBorders>
            <w:shd w:val="clear" w:color="auto" w:fill="auto"/>
            <w:vAlign w:val="center"/>
            <w:hideMark/>
          </w:tcPr>
          <w:p w:rsidR="00140A49" w:rsidRPr="00116A02" w:rsidRDefault="00140A49" w:rsidP="00D2464A">
            <w:pPr>
              <w:spacing w:before="240" w:line="240" w:lineRule="auto"/>
              <w:contextualSpacing/>
              <w:rPr>
                <w:rFonts w:ascii="Times New Roman" w:eastAsia="Times New Roman" w:hAnsi="Times New Roman" w:cs="Times New Roman"/>
                <w:sz w:val="19"/>
                <w:szCs w:val="19"/>
                <w:lang w:val="en-US" w:eastAsia="ru-RU"/>
              </w:rPr>
            </w:pPr>
            <w:r w:rsidRPr="00E9113E">
              <w:rPr>
                <w:rFonts w:ascii="Times New Roman" w:eastAsia="Times New Roman" w:hAnsi="Times New Roman" w:cs="Times New Roman"/>
                <w:sz w:val="19"/>
                <w:szCs w:val="19"/>
                <w:lang w:eastAsia="ru-RU"/>
              </w:rPr>
              <w:t>2</w:t>
            </w:r>
          </w:p>
        </w:tc>
        <w:tc>
          <w:tcPr>
            <w:tcW w:w="596" w:type="pct"/>
            <w:vMerge w:val="restart"/>
            <w:tcBorders>
              <w:top w:val="nil"/>
              <w:left w:val="single" w:sz="4" w:space="0" w:color="auto"/>
              <w:right w:val="single" w:sz="4" w:space="0" w:color="auto"/>
            </w:tcBorders>
            <w:shd w:val="clear" w:color="auto" w:fill="auto"/>
            <w:vAlign w:val="center"/>
            <w:hideMark/>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116A02">
              <w:rPr>
                <w:rFonts w:ascii="Times New Roman" w:eastAsia="Times New Roman" w:hAnsi="Times New Roman" w:cs="Times New Roman"/>
                <w:sz w:val="19"/>
                <w:szCs w:val="19"/>
                <w:lang w:val="en-US" w:eastAsia="ru-RU"/>
              </w:rPr>
              <w:t>Financial loans</w:t>
            </w:r>
          </w:p>
        </w:tc>
        <w:tc>
          <w:tcPr>
            <w:tcW w:w="615" w:type="pct"/>
            <w:vMerge w:val="restart"/>
            <w:tcBorders>
              <w:top w:val="nil"/>
              <w:left w:val="single" w:sz="4" w:space="0" w:color="auto"/>
              <w:right w:val="single" w:sz="4" w:space="0" w:color="auto"/>
            </w:tcBorders>
            <w:shd w:val="clear" w:color="auto" w:fill="auto"/>
            <w:vAlign w:val="center"/>
          </w:tcPr>
          <w:p w:rsidR="00140A49" w:rsidRPr="00DA4951" w:rsidRDefault="00140A49" w:rsidP="00472416">
            <w:pPr>
              <w:spacing w:before="160" w:line="240" w:lineRule="auto"/>
              <w:jc w:val="both"/>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xml:space="preserve">Notification </w:t>
            </w:r>
            <w:r>
              <w:rPr>
                <w:rFonts w:ascii="Times New Roman" w:eastAsia="Times New Roman" w:hAnsi="Times New Roman" w:cs="Times New Roman"/>
                <w:sz w:val="19"/>
                <w:szCs w:val="19"/>
                <w:lang w:val="en-US" w:eastAsia="ru-RU"/>
              </w:rPr>
              <w:t xml:space="preserve">to </w:t>
            </w:r>
            <w:r w:rsidRPr="00275CC5">
              <w:rPr>
                <w:rFonts w:ascii="Times New Roman" w:eastAsia="Times New Roman" w:hAnsi="Times New Roman" w:cs="Times New Roman"/>
                <w:sz w:val="19"/>
                <w:szCs w:val="19"/>
                <w:lang w:val="en-US" w:eastAsia="ru-RU"/>
              </w:rPr>
              <w:t xml:space="preserve">the </w:t>
            </w:r>
            <w:r w:rsidRPr="00BB24EE">
              <w:rPr>
                <w:rFonts w:ascii="Times New Roman" w:eastAsia="Times New Roman" w:hAnsi="Times New Roman" w:cs="Times New Roman"/>
                <w:sz w:val="19"/>
                <w:szCs w:val="19"/>
                <w:lang w:val="en-US" w:eastAsia="ru-RU"/>
              </w:rPr>
              <w:t xml:space="preserve">HQ NBRK </w:t>
            </w:r>
            <w:r w:rsidRPr="00275CC5">
              <w:rPr>
                <w:rFonts w:ascii="Times New Roman" w:eastAsia="Times New Roman" w:hAnsi="Times New Roman" w:cs="Times New Roman"/>
                <w:sz w:val="19"/>
                <w:szCs w:val="19"/>
                <w:lang w:val="en-US" w:eastAsia="ru-RU"/>
              </w:rPr>
              <w:t>in the form of a report on Appendix 7 to the Rules</w:t>
            </w:r>
            <w:r w:rsidRPr="00BB24EE">
              <w:rPr>
                <w:rStyle w:val="a8"/>
                <w:rFonts w:ascii="Times New Roman" w:eastAsia="Times New Roman" w:hAnsi="Times New Roman" w:cs="Times New Roman"/>
                <w:sz w:val="19"/>
                <w:szCs w:val="19"/>
                <w:lang w:val="en-US" w:eastAsia="ru-RU"/>
              </w:rPr>
              <w:t xml:space="preserve"> </w:t>
            </w:r>
            <w:r w:rsidRPr="00E9113E">
              <w:rPr>
                <w:rStyle w:val="a8"/>
                <w:rFonts w:ascii="Times New Roman" w:eastAsia="Times New Roman" w:hAnsi="Times New Roman" w:cs="Times New Roman"/>
                <w:sz w:val="19"/>
                <w:szCs w:val="19"/>
                <w:lang w:eastAsia="ru-RU"/>
              </w:rPr>
              <w:endnoteReference w:id="4"/>
            </w:r>
            <w:r w:rsidRPr="005111A7">
              <w:rPr>
                <w:lang w:val="en-US"/>
              </w:rPr>
              <w:t xml:space="preserve"> </w:t>
            </w:r>
            <w:r w:rsidRPr="005111A7">
              <w:rPr>
                <w:rFonts w:ascii="Times New Roman" w:eastAsia="Times New Roman" w:hAnsi="Times New Roman" w:cs="Times New Roman"/>
                <w:sz w:val="19"/>
                <w:szCs w:val="19"/>
                <w:lang w:val="en-US" w:eastAsia="ru-RU"/>
              </w:rPr>
              <w:t>on the conditions for attracting financial loans from non-residents</w:t>
            </w:r>
          </w:p>
        </w:tc>
        <w:tc>
          <w:tcPr>
            <w:tcW w:w="1667" w:type="pct"/>
            <w:tcBorders>
              <w:top w:val="nil"/>
              <w:left w:val="nil"/>
              <w:bottom w:val="single" w:sz="4" w:space="0" w:color="auto"/>
              <w:right w:val="single" w:sz="4" w:space="0" w:color="auto"/>
            </w:tcBorders>
            <w:shd w:val="clear" w:color="auto" w:fill="auto"/>
            <w:vAlign w:val="center"/>
            <w:hideMark/>
          </w:tcPr>
          <w:p w:rsidR="00140A49" w:rsidRPr="00507740" w:rsidRDefault="00140A49" w:rsidP="00D2464A">
            <w:pPr>
              <w:spacing w:before="240" w:line="240" w:lineRule="auto"/>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tcBorders>
              <w:top w:val="nil"/>
              <w:left w:val="nil"/>
              <w:bottom w:val="single" w:sz="4" w:space="0" w:color="auto"/>
              <w:right w:val="single" w:sz="4" w:space="0" w:color="auto"/>
            </w:tcBorders>
            <w:shd w:val="clear" w:color="auto" w:fill="auto"/>
            <w:vAlign w:val="center"/>
            <w:hideMark/>
          </w:tcPr>
          <w:p w:rsidR="00140A49" w:rsidRPr="00507740"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140A49">
        <w:trPr>
          <w:trHeight w:val="413"/>
        </w:trPr>
        <w:tc>
          <w:tcPr>
            <w:tcW w:w="98" w:type="pct"/>
            <w:vMerge/>
            <w:tcBorders>
              <w:left w:val="single" w:sz="4" w:space="0" w:color="auto"/>
              <w:bottom w:val="single" w:sz="4" w:space="0" w:color="auto"/>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96" w:type="pct"/>
            <w:vMerge/>
            <w:tcBorders>
              <w:left w:val="single" w:sz="4" w:space="0" w:color="auto"/>
              <w:bottom w:val="single" w:sz="4" w:space="0" w:color="auto"/>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3132" w:type="pct"/>
            <w:gridSpan w:val="2"/>
            <w:tcBorders>
              <w:top w:val="nil"/>
              <w:left w:val="nil"/>
              <w:bottom w:val="single" w:sz="4" w:space="0" w:color="auto"/>
              <w:right w:val="single" w:sz="4" w:space="0" w:color="auto"/>
            </w:tcBorders>
            <w:shd w:val="clear" w:color="auto" w:fill="auto"/>
            <w:vAlign w:val="center"/>
          </w:tcPr>
          <w:p w:rsidR="00140A49" w:rsidRPr="009D6DD0" w:rsidRDefault="00140A49" w:rsidP="00635B5D">
            <w:pPr>
              <w:spacing w:before="240" w:line="240" w:lineRule="auto"/>
              <w:contextualSpacing/>
              <w:jc w:val="both"/>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 agreements on state foreign loans of the Republic of Kazakhstan, non-state foreign loans with state guarantees of the Republic of Kazakhstan</w:t>
            </w:r>
          </w:p>
        </w:tc>
        <w:tc>
          <w:tcPr>
            <w:tcW w:w="559" w:type="pct"/>
            <w:vMerge/>
            <w:tcBorders>
              <w:left w:val="nil"/>
              <w:right w:val="single" w:sz="4" w:space="0" w:color="auto"/>
            </w:tcBorders>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140A49">
        <w:trPr>
          <w:trHeight w:val="297"/>
        </w:trPr>
        <w:tc>
          <w:tcPr>
            <w:tcW w:w="98" w:type="pct"/>
            <w:vMerge w:val="restart"/>
            <w:tcBorders>
              <w:top w:val="nil"/>
              <w:left w:val="single" w:sz="4" w:space="0" w:color="auto"/>
              <w:right w:val="single" w:sz="4" w:space="0" w:color="auto"/>
            </w:tcBorders>
            <w:shd w:val="clear" w:color="auto" w:fill="auto"/>
            <w:vAlign w:val="center"/>
            <w:hideMark/>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3</w:t>
            </w:r>
          </w:p>
        </w:tc>
        <w:tc>
          <w:tcPr>
            <w:tcW w:w="596" w:type="pct"/>
            <w:vMerge w:val="restart"/>
            <w:tcBorders>
              <w:top w:val="nil"/>
              <w:left w:val="single" w:sz="4" w:space="0" w:color="auto"/>
              <w:right w:val="single" w:sz="4" w:space="0" w:color="auto"/>
            </w:tcBorders>
            <w:shd w:val="clear" w:color="auto" w:fill="auto"/>
            <w:vAlign w:val="center"/>
            <w:hideMark/>
          </w:tcPr>
          <w:p w:rsidR="00140A49" w:rsidRPr="00EF1CBA" w:rsidRDefault="00140A49" w:rsidP="00D2464A">
            <w:pPr>
              <w:spacing w:before="240" w:line="240" w:lineRule="auto"/>
              <w:contextualSpacing/>
              <w:rPr>
                <w:rFonts w:ascii="Times New Roman" w:eastAsia="Times New Roman" w:hAnsi="Times New Roman" w:cs="Times New Roman"/>
                <w:sz w:val="19"/>
                <w:szCs w:val="19"/>
                <w:vertAlign w:val="superscript"/>
                <w:lang w:val="en-US" w:eastAsia="ru-RU"/>
              </w:rPr>
            </w:pPr>
            <w:r w:rsidRPr="00275CC5">
              <w:rPr>
                <w:rFonts w:ascii="Times New Roman" w:eastAsia="Times New Roman" w:hAnsi="Times New Roman" w:cs="Times New Roman"/>
                <w:sz w:val="19"/>
                <w:szCs w:val="19"/>
                <w:lang w:val="en-US" w:eastAsia="ru-RU"/>
              </w:rPr>
              <w:t xml:space="preserve">Transactions with securities, </w:t>
            </w:r>
            <w:r w:rsidRPr="009D6DD0">
              <w:rPr>
                <w:rFonts w:ascii="Times New Roman" w:eastAsia="Times New Roman" w:hAnsi="Times New Roman" w:cs="Times New Roman"/>
                <w:sz w:val="19"/>
                <w:szCs w:val="19"/>
                <w:lang w:val="en-US" w:eastAsia="ru-RU"/>
              </w:rPr>
              <w:t>stakes</w:t>
            </w:r>
            <w:r>
              <w:rPr>
                <w:rFonts w:ascii="Times New Roman" w:eastAsia="Times New Roman" w:hAnsi="Times New Roman" w:cs="Times New Roman"/>
                <w:sz w:val="19"/>
                <w:szCs w:val="19"/>
                <w:lang w:val="en-US" w:eastAsia="ru-RU"/>
              </w:rPr>
              <w:t xml:space="preserve"> </w:t>
            </w:r>
            <w:r w:rsidRPr="00275CC5">
              <w:rPr>
                <w:rFonts w:ascii="Times New Roman" w:eastAsia="Times New Roman" w:hAnsi="Times New Roman" w:cs="Times New Roman"/>
                <w:sz w:val="19"/>
                <w:szCs w:val="19"/>
                <w:lang w:val="en-US" w:eastAsia="ru-RU"/>
              </w:rPr>
              <w:t>and financial derivatives</w:t>
            </w:r>
            <w:r w:rsidRPr="00EF1CBA">
              <w:rPr>
                <w:rFonts w:ascii="Times New Roman" w:eastAsia="Times New Roman" w:hAnsi="Times New Roman" w:cs="Times New Roman"/>
                <w:sz w:val="19"/>
                <w:szCs w:val="19"/>
                <w:vertAlign w:val="superscript"/>
                <w:lang w:val="en-US" w:eastAsia="ru-RU"/>
              </w:rPr>
              <w:t>5</w:t>
            </w:r>
          </w:p>
          <w:p w:rsidR="00140A49" w:rsidRPr="00275CC5" w:rsidRDefault="00140A49" w:rsidP="00EF1CBA">
            <w:pPr>
              <w:spacing w:before="240" w:line="240" w:lineRule="auto"/>
              <w:contextualSpacing/>
              <w:rPr>
                <w:rFonts w:ascii="Times New Roman" w:eastAsia="Times New Roman" w:hAnsi="Times New Roman" w:cs="Times New Roman"/>
                <w:sz w:val="19"/>
                <w:szCs w:val="19"/>
                <w:lang w:val="en-US" w:eastAsia="ru-RU"/>
              </w:rPr>
            </w:pPr>
          </w:p>
        </w:tc>
        <w:tc>
          <w:tcPr>
            <w:tcW w:w="6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hideMark/>
          </w:tcPr>
          <w:p w:rsidR="00140A49" w:rsidRPr="00507740" w:rsidRDefault="00140A49" w:rsidP="00140A49">
            <w:pPr>
              <w:spacing w:before="240" w:line="240" w:lineRule="auto"/>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140A49" w:rsidRPr="00507740" w:rsidRDefault="00140A49" w:rsidP="00D2464A">
            <w:pPr>
              <w:spacing w:before="240" w:line="240" w:lineRule="auto"/>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140A49">
        <w:trPr>
          <w:trHeight w:val="367"/>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3132" w:type="pct"/>
            <w:gridSpan w:val="2"/>
            <w:tcBorders>
              <w:top w:val="nil"/>
              <w:left w:val="nil"/>
              <w:bottom w:val="single" w:sz="4" w:space="0" w:color="auto"/>
              <w:right w:val="single" w:sz="4" w:space="0" w:color="auto"/>
            </w:tcBorders>
            <w:shd w:val="clear" w:color="auto" w:fill="auto"/>
            <w:vAlign w:val="center"/>
          </w:tcPr>
          <w:p w:rsidR="00140A49" w:rsidRPr="00D21D27" w:rsidRDefault="00140A49" w:rsidP="00472416">
            <w:pPr>
              <w:spacing w:before="160" w:after="0" w:line="240" w:lineRule="auto"/>
              <w:jc w:val="both"/>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w:t>
            </w:r>
            <w:r w:rsidRPr="00D21D27">
              <w:rPr>
                <w:rFonts w:ascii="Times New Roman" w:eastAsia="Times New Roman" w:hAnsi="Times New Roman" w:cs="Times New Roman"/>
                <w:i/>
                <w:sz w:val="19"/>
                <w:szCs w:val="19"/>
                <w:lang w:val="en-US" w:eastAsia="ru-RU"/>
              </w:rPr>
              <w:t>:</w:t>
            </w:r>
          </w:p>
          <w:p w:rsidR="00140A49" w:rsidRPr="00D21D27" w:rsidRDefault="00140A49" w:rsidP="00140A49">
            <w:pPr>
              <w:spacing w:before="240" w:line="240" w:lineRule="auto"/>
              <w:ind w:firstLine="175"/>
              <w:contextualSpacing/>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1) placement and (or) acquisition:</w:t>
            </w:r>
          </w:p>
          <w:p w:rsidR="00140A49" w:rsidRPr="00D21D27" w:rsidRDefault="00140A49" w:rsidP="00140A49">
            <w:pPr>
              <w:spacing w:before="240" w:line="240" w:lineRule="auto"/>
              <w:ind w:firstLine="175"/>
              <w:contextualSpacing/>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government securities of the Republic of Kazakhstan;</w:t>
            </w:r>
          </w:p>
          <w:p w:rsidR="00140A49" w:rsidRPr="00D21D27" w:rsidRDefault="00140A49" w:rsidP="00140A49">
            <w:pPr>
              <w:spacing w:before="240" w:line="240" w:lineRule="auto"/>
              <w:ind w:firstLine="175"/>
              <w:contextualSpacing/>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securities of a resident issuer issued in accordance with the legislation of another state and on its territory (including depositary receipts, the underlying asset of which is the securities of a resident issuer);</w:t>
            </w:r>
          </w:p>
          <w:p w:rsidR="00140A49" w:rsidRPr="00D21D27" w:rsidRDefault="00140A49" w:rsidP="00140A49">
            <w:pPr>
              <w:spacing w:before="240" w:line="240" w:lineRule="auto"/>
              <w:ind w:firstLine="175"/>
              <w:contextualSpacing/>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securities of a non-resident issuer issued in accordance with the legislation of the Republic of Kazakhstan (including Kazakhstani depositary receipts);</w:t>
            </w:r>
          </w:p>
          <w:p w:rsidR="00140A49" w:rsidRPr="00D21D27" w:rsidRDefault="00140A49" w:rsidP="00140A49">
            <w:pPr>
              <w:spacing w:before="240" w:line="240" w:lineRule="auto"/>
              <w:ind w:firstLine="175"/>
              <w:contextualSpacing/>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2) purchase on the secondary market:</w:t>
            </w:r>
          </w:p>
          <w:p w:rsidR="00140A49" w:rsidRPr="00D21D27" w:rsidRDefault="00140A49" w:rsidP="00140A49">
            <w:pPr>
              <w:spacing w:before="240" w:line="240" w:lineRule="auto"/>
              <w:ind w:firstLine="175"/>
              <w:contextualSpacing/>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xml:space="preserve">- </w:t>
            </w:r>
            <w:r>
              <w:rPr>
                <w:rFonts w:ascii="Times New Roman" w:eastAsia="Times New Roman" w:hAnsi="Times New Roman" w:cs="Times New Roman"/>
                <w:i/>
                <w:sz w:val="19"/>
                <w:szCs w:val="19"/>
                <w:lang w:val="en-US" w:eastAsia="ru-RU"/>
              </w:rPr>
              <w:t xml:space="preserve">by </w:t>
            </w:r>
            <w:r w:rsidRPr="00D21D27">
              <w:rPr>
                <w:rFonts w:ascii="Times New Roman" w:eastAsia="Times New Roman" w:hAnsi="Times New Roman" w:cs="Times New Roman"/>
                <w:i/>
                <w:sz w:val="19"/>
                <w:szCs w:val="19"/>
                <w:lang w:val="en-US" w:eastAsia="ru-RU"/>
              </w:rPr>
              <w:t xml:space="preserve">a resident </w:t>
            </w:r>
            <w:r>
              <w:rPr>
                <w:rFonts w:ascii="Times New Roman" w:eastAsia="Times New Roman" w:hAnsi="Times New Roman" w:cs="Times New Roman"/>
                <w:i/>
                <w:sz w:val="19"/>
                <w:szCs w:val="19"/>
                <w:lang w:val="en-US" w:eastAsia="ru-RU"/>
              </w:rPr>
              <w:t xml:space="preserve">from </w:t>
            </w:r>
            <w:r w:rsidRPr="00D21D27">
              <w:rPr>
                <w:rFonts w:ascii="Times New Roman" w:eastAsia="Times New Roman" w:hAnsi="Times New Roman" w:cs="Times New Roman"/>
                <w:i/>
                <w:sz w:val="19"/>
                <w:szCs w:val="19"/>
                <w:lang w:val="en-US" w:eastAsia="ru-RU"/>
              </w:rPr>
              <w:t xml:space="preserve"> a non-resident of debt securities of a resident issuer, issued in accordance with the legislation of the Republic of Kazakhstan;</w:t>
            </w:r>
          </w:p>
          <w:p w:rsidR="00140A49" w:rsidRDefault="00140A49" w:rsidP="00472416">
            <w:pPr>
              <w:spacing w:line="240" w:lineRule="auto"/>
              <w:ind w:firstLine="176"/>
              <w:jc w:val="both"/>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xml:space="preserve">- by a non-resident </w:t>
            </w:r>
            <w:r>
              <w:rPr>
                <w:rFonts w:ascii="Times New Roman" w:eastAsia="Times New Roman" w:hAnsi="Times New Roman" w:cs="Times New Roman"/>
                <w:i/>
                <w:sz w:val="19"/>
                <w:szCs w:val="19"/>
                <w:lang w:val="en-US" w:eastAsia="ru-RU"/>
              </w:rPr>
              <w:t>from</w:t>
            </w:r>
            <w:r w:rsidRPr="00D21D27">
              <w:rPr>
                <w:rFonts w:ascii="Times New Roman" w:eastAsia="Times New Roman" w:hAnsi="Times New Roman" w:cs="Times New Roman"/>
                <w:i/>
                <w:sz w:val="19"/>
                <w:szCs w:val="19"/>
                <w:lang w:val="en-US" w:eastAsia="ru-RU"/>
              </w:rPr>
              <w:t xml:space="preserve"> a resident of debt securities of a non-resident issuer, issued in accordance with the legislation of ano</w:t>
            </w:r>
            <w:r>
              <w:rPr>
                <w:rFonts w:ascii="Times New Roman" w:eastAsia="Times New Roman" w:hAnsi="Times New Roman" w:cs="Times New Roman"/>
                <w:i/>
                <w:sz w:val="19"/>
                <w:szCs w:val="19"/>
                <w:lang w:val="en-US" w:eastAsia="ru-RU"/>
              </w:rPr>
              <w:t>ther state and on its territory</w:t>
            </w:r>
          </w:p>
          <w:p w:rsidR="00472416" w:rsidRPr="00D21D27" w:rsidRDefault="00472416" w:rsidP="00472416">
            <w:pPr>
              <w:spacing w:line="240" w:lineRule="auto"/>
              <w:ind w:firstLine="176"/>
              <w:jc w:val="both"/>
              <w:rPr>
                <w:rFonts w:ascii="Times New Roman" w:eastAsia="Times New Roman" w:hAnsi="Times New Roman" w:cs="Times New Roman"/>
                <w:i/>
                <w:sz w:val="19"/>
                <w:szCs w:val="19"/>
                <w:lang w:val="en-US" w:eastAsia="ru-RU"/>
              </w:rPr>
            </w:pPr>
          </w:p>
        </w:tc>
        <w:tc>
          <w:tcPr>
            <w:tcW w:w="559" w:type="pct"/>
            <w:vMerge/>
            <w:tcBorders>
              <w:left w:val="nil"/>
              <w:right w:val="single" w:sz="4" w:space="0" w:color="auto"/>
            </w:tcBorders>
            <w:vAlign w:val="center"/>
          </w:tcPr>
          <w:p w:rsidR="00140A49" w:rsidRPr="00D21D27" w:rsidRDefault="00140A49" w:rsidP="00D2464A">
            <w:pPr>
              <w:spacing w:before="240" w:line="240" w:lineRule="auto"/>
              <w:contextualSpacing/>
              <w:rPr>
                <w:rFonts w:ascii="Times New Roman" w:eastAsia="Times New Roman" w:hAnsi="Times New Roman" w:cs="Times New Roman"/>
                <w:i/>
                <w:sz w:val="19"/>
                <w:szCs w:val="19"/>
                <w:lang w:val="en-US" w:eastAsia="ru-RU"/>
              </w:rPr>
            </w:pPr>
          </w:p>
        </w:tc>
      </w:tr>
      <w:tr w:rsidR="00140A49" w:rsidRPr="00635B5D" w:rsidTr="00140A49">
        <w:trPr>
          <w:trHeight w:val="523"/>
        </w:trPr>
        <w:tc>
          <w:tcPr>
            <w:tcW w:w="98" w:type="pct"/>
            <w:vMerge w:val="restart"/>
            <w:tcBorders>
              <w:top w:val="nil"/>
              <w:left w:val="single" w:sz="4" w:space="0" w:color="auto"/>
              <w:right w:val="single" w:sz="4" w:space="0" w:color="auto"/>
            </w:tcBorders>
            <w:shd w:val="clear" w:color="auto" w:fill="auto"/>
            <w:vAlign w:val="center"/>
            <w:hideMark/>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lastRenderedPageBreak/>
              <w:t>4</w:t>
            </w:r>
          </w:p>
        </w:tc>
        <w:tc>
          <w:tcPr>
            <w:tcW w:w="596" w:type="pct"/>
            <w:vMerge w:val="restart"/>
            <w:tcBorders>
              <w:top w:val="nil"/>
              <w:left w:val="single" w:sz="4" w:space="0" w:color="auto"/>
              <w:right w:val="single" w:sz="4" w:space="0" w:color="auto"/>
            </w:tcBorders>
            <w:shd w:val="clear" w:color="auto" w:fill="auto"/>
            <w:vAlign w:val="center"/>
            <w:hideMark/>
          </w:tcPr>
          <w:p w:rsidR="00140A49" w:rsidRPr="00EF1CBA" w:rsidRDefault="00140A49" w:rsidP="00472416">
            <w:pPr>
              <w:spacing w:before="160" w:line="240" w:lineRule="auto"/>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xml:space="preserve">Acquisition </w:t>
            </w:r>
            <w:r w:rsidRPr="00EF1CBA">
              <w:rPr>
                <w:rFonts w:ascii="Times New Roman" w:eastAsia="Times New Roman" w:hAnsi="Times New Roman" w:cs="Times New Roman"/>
                <w:sz w:val="19"/>
                <w:szCs w:val="19"/>
                <w:lang w:val="en-US" w:eastAsia="ru-RU"/>
              </w:rPr>
              <w:t>of property real estate</w:t>
            </w:r>
            <w:r w:rsidRPr="00275CC5">
              <w:rPr>
                <w:rFonts w:ascii="Times New Roman" w:eastAsia="Times New Roman" w:hAnsi="Times New Roman" w:cs="Times New Roman"/>
                <w:sz w:val="19"/>
                <w:szCs w:val="19"/>
                <w:lang w:val="en-US" w:eastAsia="ru-RU"/>
              </w:rPr>
              <w:t>, with the exception of movable things, equated or referred to real estate by the laws of the Republic of Kazakhstan</w:t>
            </w:r>
            <w:r w:rsidRPr="00EF1CBA">
              <w:rPr>
                <w:rFonts w:ascii="Times New Roman" w:eastAsia="Times New Roman" w:hAnsi="Times New Roman" w:cs="Times New Roman"/>
                <w:sz w:val="19"/>
                <w:szCs w:val="19"/>
                <w:lang w:val="en-US" w:eastAsia="ru-RU"/>
              </w:rPr>
              <w:t xml:space="preserve"> </w:t>
            </w:r>
          </w:p>
        </w:tc>
        <w:tc>
          <w:tcPr>
            <w:tcW w:w="615" w:type="pct"/>
            <w:vMerge w:val="restart"/>
            <w:tcBorders>
              <w:top w:val="nil"/>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hideMark/>
          </w:tcPr>
          <w:p w:rsidR="00140A49" w:rsidRPr="00507740" w:rsidRDefault="00140A49" w:rsidP="00234F54">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vMerge w:val="restart"/>
            <w:tcBorders>
              <w:top w:val="nil"/>
              <w:left w:val="nil"/>
              <w:right w:val="single" w:sz="4" w:space="0" w:color="auto"/>
            </w:tcBorders>
            <w:shd w:val="clear" w:color="auto" w:fill="F2F2F2" w:themeFill="background1" w:themeFillShade="F2"/>
            <w:vAlign w:val="center"/>
            <w:hideMark/>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shd w:val="clear" w:color="auto" w:fill="F2F2F2" w:themeFill="background1" w:themeFillShade="F2"/>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140A49">
        <w:trPr>
          <w:trHeight w:val="1224"/>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single" w:sz="4" w:space="0" w:color="auto"/>
              <w:left w:val="nil"/>
              <w:bottom w:val="single" w:sz="4" w:space="0" w:color="auto"/>
              <w:right w:val="single" w:sz="4" w:space="0" w:color="auto"/>
            </w:tcBorders>
            <w:shd w:val="clear" w:color="auto" w:fill="auto"/>
            <w:vAlign w:val="center"/>
          </w:tcPr>
          <w:p w:rsidR="00140A49" w:rsidRPr="00140A49" w:rsidRDefault="00140A49" w:rsidP="00140A49">
            <w:pPr>
              <w:spacing w:before="240" w:line="240" w:lineRule="auto"/>
              <w:contextualSpacing/>
              <w:jc w:val="both"/>
              <w:rPr>
                <w:rFonts w:ascii="Times New Roman" w:hAnsi="Times New Roman" w:cs="Times New Roman"/>
                <w:sz w:val="24"/>
                <w:szCs w:val="24"/>
                <w:lang w:val="en-US" w:eastAsia="ru-RU"/>
              </w:rPr>
            </w:pPr>
            <w:r w:rsidRPr="00140A49">
              <w:rPr>
                <w:rFonts w:ascii="Times New Roman" w:eastAsia="Times New Roman" w:hAnsi="Times New Roman" w:cs="Times New Roman"/>
                <w:i/>
                <w:sz w:val="19"/>
                <w:szCs w:val="19"/>
                <w:lang w:val="en-US" w:eastAsia="ru-RU"/>
              </w:rPr>
              <w:t xml:space="preserve">Exception: an agreement for the sale of real estate abroad by a resident to a non-resident, if the resident has previously obtained a </w:t>
            </w:r>
            <w:r w:rsidRPr="009D6DD0">
              <w:rPr>
                <w:rFonts w:ascii="Times New Roman" w:eastAsia="Times New Roman" w:hAnsi="Times New Roman" w:cs="Times New Roman"/>
                <w:i/>
                <w:sz w:val="19"/>
                <w:szCs w:val="19"/>
                <w:lang w:val="en-US" w:eastAsia="ru-RU"/>
              </w:rPr>
              <w:t xml:space="preserve">registration </w:t>
            </w:r>
            <w:r w:rsidRPr="00140A49">
              <w:rPr>
                <w:rFonts w:ascii="Times New Roman" w:eastAsia="Times New Roman" w:hAnsi="Times New Roman" w:cs="Times New Roman"/>
                <w:i/>
                <w:sz w:val="19"/>
                <w:szCs w:val="19"/>
                <w:lang w:val="en-US" w:eastAsia="ru-RU"/>
              </w:rPr>
              <w:t>number for a currency agreement on capital movement for acquiring real estate abroad into ownership</w:t>
            </w:r>
          </w:p>
        </w:tc>
        <w:tc>
          <w:tcPr>
            <w:tcW w:w="1465" w:type="pct"/>
            <w:vMerge/>
            <w:tcBorders>
              <w:left w:val="nil"/>
              <w:bottom w:val="single" w:sz="4" w:space="0" w:color="auto"/>
              <w:right w:val="single" w:sz="4" w:space="0" w:color="auto"/>
            </w:tcBorders>
            <w:shd w:val="clear" w:color="auto" w:fill="F2F2F2" w:themeFill="background1" w:themeFillShade="F2"/>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shd w:val="clear" w:color="auto" w:fill="F2F2F2" w:themeFill="background1" w:themeFillShade="F2"/>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140A49">
        <w:trPr>
          <w:trHeight w:val="574"/>
        </w:trPr>
        <w:tc>
          <w:tcPr>
            <w:tcW w:w="98" w:type="pct"/>
            <w:vMerge w:val="restart"/>
            <w:tcBorders>
              <w:top w:val="nil"/>
              <w:left w:val="single" w:sz="4" w:space="0" w:color="auto"/>
              <w:right w:val="single" w:sz="4" w:space="0" w:color="auto"/>
            </w:tcBorders>
            <w:shd w:val="clear" w:color="auto" w:fill="auto"/>
            <w:vAlign w:val="center"/>
            <w:hideMark/>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5</w:t>
            </w:r>
          </w:p>
        </w:tc>
        <w:tc>
          <w:tcPr>
            <w:tcW w:w="596" w:type="pct"/>
            <w:vMerge w:val="restart"/>
            <w:tcBorders>
              <w:top w:val="nil"/>
              <w:left w:val="single" w:sz="4" w:space="0" w:color="auto"/>
              <w:right w:val="single" w:sz="4" w:space="0" w:color="auto"/>
            </w:tcBorders>
            <w:shd w:val="clear" w:color="auto" w:fill="auto"/>
            <w:vAlign w:val="center"/>
            <w:hideMark/>
          </w:tcPr>
          <w:p w:rsidR="00140A49" w:rsidRPr="00EF1CBA" w:rsidRDefault="00140A49" w:rsidP="00472416">
            <w:pPr>
              <w:spacing w:before="160" w:line="240" w:lineRule="auto"/>
              <w:rPr>
                <w:rFonts w:ascii="Times New Roman" w:eastAsia="Times New Roman" w:hAnsi="Times New Roman" w:cs="Times New Roman"/>
                <w:sz w:val="19"/>
                <w:szCs w:val="19"/>
                <w:lang w:val="en-US" w:eastAsia="ru-RU"/>
              </w:rPr>
            </w:pPr>
            <w:r w:rsidRPr="00EF1CBA">
              <w:rPr>
                <w:rFonts w:ascii="Times New Roman" w:eastAsia="Times New Roman" w:hAnsi="Times New Roman" w:cs="Times New Roman"/>
                <w:sz w:val="19"/>
                <w:szCs w:val="19"/>
                <w:lang w:val="en-US" w:eastAsia="ru-RU"/>
              </w:rPr>
              <w:t>Acquisition of fully exclusive rights to intellectual property objects</w:t>
            </w:r>
          </w:p>
        </w:tc>
        <w:tc>
          <w:tcPr>
            <w:tcW w:w="615" w:type="pct"/>
            <w:vMerge w:val="restart"/>
            <w:tcBorders>
              <w:top w:val="nil"/>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hideMark/>
          </w:tcPr>
          <w:p w:rsidR="00140A49" w:rsidRPr="00507740" w:rsidRDefault="00140A49" w:rsidP="00234F54">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140A49" w:rsidRPr="00507740" w:rsidRDefault="00140A49" w:rsidP="00234F54">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140A49">
        <w:trPr>
          <w:trHeight w:val="554"/>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3132" w:type="pct"/>
            <w:gridSpan w:val="2"/>
            <w:tcBorders>
              <w:top w:val="nil"/>
              <w:left w:val="nil"/>
              <w:bottom w:val="single" w:sz="4" w:space="0" w:color="auto"/>
              <w:right w:val="single" w:sz="4" w:space="0" w:color="auto"/>
            </w:tcBorders>
            <w:shd w:val="clear" w:color="auto" w:fill="auto"/>
            <w:vAlign w:val="center"/>
          </w:tcPr>
          <w:p w:rsidR="00140A49" w:rsidRPr="002B7654" w:rsidRDefault="00140A49" w:rsidP="00D2464A">
            <w:pPr>
              <w:spacing w:before="240" w:line="240" w:lineRule="auto"/>
              <w:contextualSpacing/>
              <w:rPr>
                <w:rFonts w:ascii="Times New Roman" w:eastAsia="Times New Roman" w:hAnsi="Times New Roman" w:cs="Times New Roman"/>
                <w:i/>
                <w:sz w:val="19"/>
                <w:szCs w:val="19"/>
                <w:lang w:val="en-US" w:eastAsia="ru-RU"/>
              </w:rPr>
            </w:pPr>
            <w:r>
              <w:rPr>
                <w:rFonts w:ascii="Times New Roman" w:eastAsia="Times New Roman" w:hAnsi="Times New Roman" w:cs="Times New Roman"/>
                <w:i/>
                <w:sz w:val="19"/>
                <w:szCs w:val="19"/>
                <w:lang w:val="en-US" w:eastAsia="ru-RU"/>
              </w:rPr>
              <w:t>E</w:t>
            </w:r>
            <w:r w:rsidRPr="002B7654">
              <w:rPr>
                <w:rFonts w:ascii="Times New Roman" w:eastAsia="Times New Roman" w:hAnsi="Times New Roman" w:cs="Times New Roman"/>
                <w:i/>
                <w:sz w:val="19"/>
                <w:szCs w:val="19"/>
                <w:lang w:val="en-US" w:eastAsia="ru-RU"/>
              </w:rPr>
              <w:t>xception: the acquisition of a fully exclusive right to the result of intellectual creative activity</w:t>
            </w:r>
          </w:p>
        </w:tc>
        <w:tc>
          <w:tcPr>
            <w:tcW w:w="559" w:type="pct"/>
            <w:vMerge/>
            <w:tcBorders>
              <w:left w:val="nil"/>
              <w:right w:val="single" w:sz="4" w:space="0" w:color="auto"/>
            </w:tcBorders>
            <w:vAlign w:val="center"/>
          </w:tcPr>
          <w:p w:rsidR="00140A49" w:rsidRPr="00D21D27" w:rsidRDefault="00140A49" w:rsidP="00D2464A">
            <w:pPr>
              <w:spacing w:before="240" w:line="240" w:lineRule="auto"/>
              <w:contextualSpacing/>
              <w:rPr>
                <w:rFonts w:ascii="Times New Roman" w:eastAsia="Times New Roman" w:hAnsi="Times New Roman" w:cs="Times New Roman"/>
                <w:i/>
                <w:sz w:val="19"/>
                <w:szCs w:val="19"/>
                <w:lang w:val="en-US" w:eastAsia="ru-RU"/>
              </w:rPr>
            </w:pPr>
          </w:p>
        </w:tc>
      </w:tr>
      <w:tr w:rsidR="00140A49" w:rsidRPr="00635B5D" w:rsidTr="00140A49">
        <w:trPr>
          <w:trHeight w:val="486"/>
        </w:trPr>
        <w:tc>
          <w:tcPr>
            <w:tcW w:w="98" w:type="pct"/>
            <w:vMerge w:val="restart"/>
            <w:tcBorders>
              <w:top w:val="nil"/>
              <w:left w:val="single" w:sz="4" w:space="0" w:color="auto"/>
              <w:right w:val="single" w:sz="4" w:space="0" w:color="auto"/>
            </w:tcBorders>
            <w:shd w:val="clear" w:color="auto" w:fill="auto"/>
            <w:vAlign w:val="center"/>
            <w:hideMark/>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6</w:t>
            </w:r>
          </w:p>
        </w:tc>
        <w:tc>
          <w:tcPr>
            <w:tcW w:w="596" w:type="pct"/>
            <w:vMerge w:val="restart"/>
            <w:tcBorders>
              <w:top w:val="nil"/>
              <w:left w:val="single" w:sz="4" w:space="0" w:color="auto"/>
              <w:right w:val="single" w:sz="4" w:space="0" w:color="auto"/>
            </w:tcBorders>
            <w:shd w:val="clear" w:color="auto" w:fill="auto"/>
            <w:vAlign w:val="center"/>
            <w:hideMark/>
          </w:tcPr>
          <w:p w:rsidR="00140A49" w:rsidRPr="00EF1CBA" w:rsidRDefault="00140A49" w:rsidP="00472416">
            <w:pPr>
              <w:spacing w:before="160" w:line="240" w:lineRule="auto"/>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Transfer of money and other property in fulfillment of the obligations of a participant in a joint</w:t>
            </w:r>
            <w:r>
              <w:rPr>
                <w:rFonts w:ascii="Times New Roman" w:eastAsia="Times New Roman" w:hAnsi="Times New Roman" w:cs="Times New Roman"/>
                <w:sz w:val="19"/>
                <w:szCs w:val="19"/>
                <w:lang w:val="en-US" w:eastAsia="ru-RU"/>
              </w:rPr>
              <w:t xml:space="preserve"> activity, as well as in trust</w:t>
            </w:r>
          </w:p>
        </w:tc>
        <w:tc>
          <w:tcPr>
            <w:tcW w:w="615" w:type="pct"/>
            <w:vMerge w:val="restart"/>
            <w:tcBorders>
              <w:top w:val="nil"/>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hideMark/>
          </w:tcPr>
          <w:p w:rsidR="00140A49" w:rsidRPr="00507740"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rsidR="00140A49" w:rsidRPr="00507740"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0979CC">
        <w:trPr>
          <w:trHeight w:val="1029"/>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275CC5" w:rsidRDefault="00140A49" w:rsidP="00EF1CB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single" w:sz="4" w:space="0" w:color="auto"/>
              <w:left w:val="nil"/>
              <w:bottom w:val="single" w:sz="4" w:space="0" w:color="auto"/>
              <w:right w:val="single" w:sz="4" w:space="0" w:color="auto"/>
            </w:tcBorders>
            <w:shd w:val="clear" w:color="auto" w:fill="auto"/>
            <w:vAlign w:val="center"/>
          </w:tcPr>
          <w:p w:rsidR="00140A49" w:rsidRPr="00D21D27" w:rsidRDefault="0092011B" w:rsidP="00C87EBC">
            <w:pPr>
              <w:spacing w:before="240" w:line="240" w:lineRule="auto"/>
              <w:contextualSpacing/>
              <w:jc w:val="both"/>
              <w:rPr>
                <w:rFonts w:ascii="Times New Roman" w:eastAsia="Times New Roman" w:hAnsi="Times New Roman" w:cs="Times New Roman"/>
                <w:sz w:val="19"/>
                <w:szCs w:val="19"/>
                <w:lang w:val="en-US" w:eastAsia="ru-RU"/>
              </w:rPr>
            </w:pPr>
            <w:r w:rsidRPr="0092011B">
              <w:rPr>
                <w:rFonts w:ascii="Times New Roman" w:eastAsia="Times New Roman" w:hAnsi="Times New Roman" w:cs="Times New Roman"/>
                <w:i/>
                <w:sz w:val="19"/>
                <w:szCs w:val="19"/>
                <w:lang w:val="en-US" w:eastAsia="ru-RU"/>
              </w:rPr>
              <w:t>Exception: operations of residents conducted based on a portfolio management agreement concluded with a portfolio manager-resident</w:t>
            </w:r>
          </w:p>
        </w:tc>
        <w:tc>
          <w:tcPr>
            <w:tcW w:w="1465" w:type="pct"/>
            <w:tcBorders>
              <w:top w:val="single" w:sz="4" w:space="0" w:color="auto"/>
              <w:left w:val="nil"/>
              <w:bottom w:val="single" w:sz="4" w:space="0" w:color="auto"/>
              <w:right w:val="single" w:sz="4" w:space="0" w:color="auto"/>
            </w:tcBorders>
            <w:shd w:val="clear" w:color="auto" w:fill="auto"/>
            <w:vAlign w:val="center"/>
          </w:tcPr>
          <w:p w:rsidR="0092011B" w:rsidRPr="0092011B" w:rsidRDefault="0092011B" w:rsidP="00C87EBC">
            <w:pPr>
              <w:spacing w:before="240" w:line="240" w:lineRule="auto"/>
              <w:contextualSpacing/>
              <w:jc w:val="both"/>
              <w:rPr>
                <w:rFonts w:ascii="Times New Roman" w:eastAsia="Times New Roman" w:hAnsi="Times New Roman" w:cs="Times New Roman"/>
                <w:i/>
                <w:sz w:val="19"/>
                <w:szCs w:val="19"/>
                <w:lang w:val="en-US" w:eastAsia="ru-RU"/>
              </w:rPr>
            </w:pPr>
            <w:r w:rsidRPr="0092011B">
              <w:rPr>
                <w:rFonts w:ascii="Times New Roman" w:eastAsia="Times New Roman" w:hAnsi="Times New Roman" w:cs="Times New Roman"/>
                <w:i/>
                <w:sz w:val="19"/>
                <w:szCs w:val="19"/>
                <w:lang w:val="en-US" w:eastAsia="ru-RU"/>
              </w:rPr>
              <w:t>Exception: operations of individual residents conducted based on a portfolio management agreement</w:t>
            </w:r>
          </w:p>
          <w:p w:rsidR="00140A49" w:rsidRPr="00D21D27" w:rsidRDefault="00140A49" w:rsidP="00C87EBC">
            <w:pPr>
              <w:spacing w:before="240" w:line="240" w:lineRule="auto"/>
              <w:contextualSpacing/>
              <w:jc w:val="both"/>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0979CC">
        <w:trPr>
          <w:trHeight w:val="467"/>
        </w:trPr>
        <w:tc>
          <w:tcPr>
            <w:tcW w:w="98" w:type="pct"/>
            <w:vMerge w:val="restart"/>
            <w:tcBorders>
              <w:top w:val="nil"/>
              <w:left w:val="single" w:sz="4" w:space="0" w:color="auto"/>
              <w:right w:val="single" w:sz="4" w:space="0" w:color="auto"/>
            </w:tcBorders>
            <w:shd w:val="clear" w:color="auto" w:fill="auto"/>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7</w:t>
            </w:r>
          </w:p>
        </w:tc>
        <w:tc>
          <w:tcPr>
            <w:tcW w:w="596" w:type="pct"/>
            <w:vMerge w:val="restart"/>
            <w:tcBorders>
              <w:top w:val="nil"/>
              <w:left w:val="single" w:sz="4" w:space="0" w:color="auto"/>
              <w:right w:val="single" w:sz="4" w:space="0" w:color="auto"/>
            </w:tcBorders>
            <w:shd w:val="clear" w:color="auto" w:fill="auto"/>
            <w:vAlign w:val="center"/>
          </w:tcPr>
          <w:p w:rsidR="00140A49" w:rsidRPr="00275CC5" w:rsidRDefault="00140A49" w:rsidP="00472416">
            <w:pPr>
              <w:spacing w:before="160" w:line="240" w:lineRule="auto"/>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xml:space="preserve">Transfer of money and financial instruments to professional securities market participants who carry out foreign exchange operations on behalf of clients </w:t>
            </w:r>
          </w:p>
        </w:tc>
        <w:tc>
          <w:tcPr>
            <w:tcW w:w="615" w:type="pct"/>
            <w:vMerge w:val="restart"/>
            <w:tcBorders>
              <w:top w:val="nil"/>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tcPr>
          <w:p w:rsidR="00140A49" w:rsidRPr="00507740"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vMerge w:val="restart"/>
            <w:tcBorders>
              <w:top w:val="single" w:sz="4" w:space="0" w:color="auto"/>
              <w:left w:val="nil"/>
              <w:right w:val="single" w:sz="4" w:space="0" w:color="auto"/>
            </w:tcBorders>
            <w:shd w:val="pct5" w:color="auto" w:fill="auto"/>
            <w:vAlign w:val="center"/>
          </w:tcPr>
          <w:p w:rsidR="00140A49" w:rsidRPr="00507740"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0979CC">
        <w:trPr>
          <w:trHeight w:val="1480"/>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275CC5" w:rsidRDefault="00140A49" w:rsidP="00EF1CB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single" w:sz="4" w:space="0" w:color="auto"/>
              <w:left w:val="nil"/>
              <w:bottom w:val="single" w:sz="4" w:space="0" w:color="auto"/>
              <w:right w:val="single" w:sz="4" w:space="0" w:color="auto"/>
            </w:tcBorders>
            <w:shd w:val="clear" w:color="auto" w:fill="auto"/>
            <w:vAlign w:val="center"/>
          </w:tcPr>
          <w:p w:rsidR="00140A49" w:rsidRDefault="0092011B" w:rsidP="001D5B5D">
            <w:pPr>
              <w:spacing w:before="240" w:line="240" w:lineRule="auto"/>
              <w:contextualSpacing/>
              <w:jc w:val="both"/>
              <w:rPr>
                <w:rFonts w:ascii="Times New Roman" w:eastAsia="Times New Roman" w:hAnsi="Times New Roman" w:cs="Times New Roman"/>
                <w:i/>
                <w:sz w:val="19"/>
                <w:szCs w:val="19"/>
                <w:lang w:val="en-US" w:eastAsia="ru-RU"/>
              </w:rPr>
            </w:pPr>
            <w:r w:rsidRPr="0092011B">
              <w:rPr>
                <w:rFonts w:ascii="Times New Roman" w:eastAsia="Times New Roman" w:hAnsi="Times New Roman" w:cs="Times New Roman"/>
                <w:i/>
                <w:sz w:val="19"/>
                <w:szCs w:val="19"/>
                <w:lang w:val="en-US" w:eastAsia="ru-RU"/>
              </w:rPr>
              <w:t>Exception: operations of residents conducted based on a brokerage services agreement concluded with a resident broker</w:t>
            </w:r>
          </w:p>
          <w:p w:rsidR="001D5B5D" w:rsidRPr="0092011B" w:rsidRDefault="001D5B5D" w:rsidP="001D5B5D">
            <w:pPr>
              <w:spacing w:before="240" w:line="240" w:lineRule="auto"/>
              <w:contextualSpacing/>
              <w:jc w:val="both"/>
              <w:rPr>
                <w:rFonts w:ascii="Times New Roman" w:eastAsia="Times New Roman" w:hAnsi="Times New Roman" w:cs="Times New Roman"/>
                <w:i/>
                <w:sz w:val="19"/>
                <w:szCs w:val="19"/>
                <w:lang w:val="en-US" w:eastAsia="ru-RU"/>
              </w:rPr>
            </w:pPr>
          </w:p>
        </w:tc>
        <w:tc>
          <w:tcPr>
            <w:tcW w:w="1465" w:type="pct"/>
            <w:vMerge/>
            <w:tcBorders>
              <w:left w:val="nil"/>
              <w:right w:val="single" w:sz="4" w:space="0" w:color="auto"/>
            </w:tcBorders>
            <w:shd w:val="pct5" w:color="auto" w:fill="auto"/>
            <w:vAlign w:val="center"/>
          </w:tcPr>
          <w:p w:rsidR="00140A49" w:rsidRPr="00D21D27" w:rsidRDefault="00140A49" w:rsidP="00D2464A">
            <w:pPr>
              <w:spacing w:before="240" w:line="240" w:lineRule="auto"/>
              <w:contextualSpacing/>
              <w:jc w:val="center"/>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vAlign w:val="center"/>
          </w:tcPr>
          <w:p w:rsidR="00140A49" w:rsidRPr="00507740"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0979CC">
        <w:trPr>
          <w:trHeight w:val="320"/>
        </w:trPr>
        <w:tc>
          <w:tcPr>
            <w:tcW w:w="98" w:type="pct"/>
            <w:vMerge w:val="restart"/>
            <w:tcBorders>
              <w:top w:val="nil"/>
              <w:left w:val="single" w:sz="4" w:space="0" w:color="auto"/>
              <w:right w:val="single" w:sz="4" w:space="0" w:color="auto"/>
            </w:tcBorders>
            <w:shd w:val="clear" w:color="auto" w:fill="auto"/>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8</w:t>
            </w:r>
          </w:p>
        </w:tc>
        <w:tc>
          <w:tcPr>
            <w:tcW w:w="596" w:type="pct"/>
            <w:vMerge w:val="restart"/>
            <w:tcBorders>
              <w:top w:val="nil"/>
              <w:left w:val="single" w:sz="4" w:space="0" w:color="auto"/>
              <w:right w:val="single" w:sz="4" w:space="0" w:color="auto"/>
            </w:tcBorders>
            <w:shd w:val="clear" w:color="auto" w:fill="auto"/>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Free transfer of money and other currency values</w:t>
            </w:r>
          </w:p>
        </w:tc>
        <w:tc>
          <w:tcPr>
            <w:tcW w:w="615" w:type="pct"/>
            <w:vMerge w:val="restart"/>
            <w:tcBorders>
              <w:top w:val="nil"/>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tcPr>
          <w:p w:rsidR="00140A49" w:rsidRPr="002B7654" w:rsidRDefault="00C87EBC" w:rsidP="00C87EBC">
            <w:pPr>
              <w:spacing w:before="240" w:line="240" w:lineRule="auto"/>
              <w:jc w:val="center"/>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2</w:t>
            </w:r>
          </w:p>
        </w:tc>
        <w:tc>
          <w:tcPr>
            <w:tcW w:w="1465" w:type="pct"/>
            <w:vMerge w:val="restart"/>
            <w:tcBorders>
              <w:top w:val="single" w:sz="4" w:space="0" w:color="auto"/>
              <w:left w:val="nil"/>
              <w:right w:val="single" w:sz="4" w:space="0" w:color="auto"/>
            </w:tcBorders>
            <w:shd w:val="pct5" w:color="auto" w:fill="auto"/>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w:t>
            </w:r>
          </w:p>
        </w:tc>
        <w:tc>
          <w:tcPr>
            <w:tcW w:w="559" w:type="pct"/>
            <w:vMerge/>
            <w:tcBorders>
              <w:left w:val="nil"/>
              <w:right w:val="single" w:sz="4" w:space="0" w:color="auto"/>
            </w:tcBorders>
            <w:shd w:val="clear" w:color="auto" w:fill="F2F2F2" w:themeFill="background1" w:themeFillShade="F2"/>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0979CC">
        <w:trPr>
          <w:trHeight w:val="1627"/>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C87EBC"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single" w:sz="4" w:space="0" w:color="auto"/>
              <w:left w:val="nil"/>
              <w:bottom w:val="single" w:sz="4" w:space="0" w:color="auto"/>
              <w:right w:val="single" w:sz="4" w:space="0" w:color="auto"/>
            </w:tcBorders>
            <w:shd w:val="clear" w:color="auto" w:fill="auto"/>
            <w:vAlign w:val="center"/>
          </w:tcPr>
          <w:p w:rsidR="00140A49" w:rsidRDefault="00140A49" w:rsidP="00C87EBC">
            <w:pPr>
              <w:spacing w:before="240" w:line="240" w:lineRule="auto"/>
              <w:contextualSpacing/>
              <w:jc w:val="both"/>
              <w:rPr>
                <w:rFonts w:ascii="Times New Roman" w:eastAsia="Times New Roman" w:hAnsi="Times New Roman" w:cs="Times New Roman"/>
                <w:sz w:val="19"/>
                <w:szCs w:val="19"/>
                <w:lang w:val="en-US" w:eastAsia="ru-RU"/>
              </w:rPr>
            </w:pPr>
            <w:r w:rsidRPr="002B7654">
              <w:rPr>
                <w:rFonts w:ascii="Times New Roman" w:eastAsia="Times New Roman" w:hAnsi="Times New Roman" w:cs="Times New Roman"/>
                <w:i/>
                <w:sz w:val="19"/>
                <w:szCs w:val="19"/>
                <w:lang w:val="en-US" w:eastAsia="ru-RU"/>
              </w:rPr>
              <w:t xml:space="preserve">Exception: an agreement on the free transfer by a resident to a non-resident (non-resident to a resident) of money or other currency values, if as a result of such a transfer, obligations are fulfilled or terminated or the ownership of currency values is alienated, under a currency agreement on </w:t>
            </w:r>
            <w:r w:rsidRPr="00E06931">
              <w:rPr>
                <w:rFonts w:ascii="Times New Roman" w:eastAsia="Times New Roman" w:hAnsi="Times New Roman" w:cs="Times New Roman"/>
                <w:i/>
                <w:sz w:val="19"/>
                <w:szCs w:val="19"/>
                <w:lang w:val="en-US" w:eastAsia="ru-RU"/>
              </w:rPr>
              <w:t xml:space="preserve">the </w:t>
            </w:r>
            <w:r w:rsidRPr="0096350B">
              <w:rPr>
                <w:rFonts w:ascii="Times New Roman" w:eastAsia="Times New Roman" w:hAnsi="Times New Roman" w:cs="Times New Roman"/>
                <w:i/>
                <w:sz w:val="19"/>
                <w:szCs w:val="19"/>
                <w:lang w:val="en-US" w:eastAsia="ru-RU"/>
              </w:rPr>
              <w:t>capital flow</w:t>
            </w:r>
            <w:r w:rsidRPr="002B7654">
              <w:rPr>
                <w:rFonts w:ascii="Times New Roman" w:eastAsia="Times New Roman" w:hAnsi="Times New Roman" w:cs="Times New Roman"/>
                <w:i/>
                <w:sz w:val="19"/>
                <w:szCs w:val="19"/>
                <w:lang w:val="en-US" w:eastAsia="ru-RU"/>
              </w:rPr>
              <w:t xml:space="preserve">, for which the resident previously received a </w:t>
            </w:r>
            <w:r w:rsidRPr="00DA4951">
              <w:rPr>
                <w:rFonts w:ascii="Times New Roman" w:eastAsia="Times New Roman" w:hAnsi="Times New Roman" w:cs="Times New Roman"/>
                <w:i/>
                <w:sz w:val="19"/>
                <w:szCs w:val="19"/>
                <w:lang w:val="en-US" w:eastAsia="ru-RU"/>
              </w:rPr>
              <w:t>registration number</w:t>
            </w:r>
          </w:p>
        </w:tc>
        <w:tc>
          <w:tcPr>
            <w:tcW w:w="1465" w:type="pct"/>
            <w:vMerge/>
            <w:tcBorders>
              <w:left w:val="nil"/>
              <w:bottom w:val="single" w:sz="4" w:space="0" w:color="auto"/>
              <w:right w:val="single" w:sz="4" w:space="0" w:color="auto"/>
            </w:tcBorders>
            <w:shd w:val="pct5" w:color="auto" w:fill="auto"/>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shd w:val="clear" w:color="auto" w:fill="F2F2F2" w:themeFill="background1" w:themeFillShade="F2"/>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0979CC">
        <w:trPr>
          <w:trHeight w:val="542"/>
        </w:trPr>
        <w:tc>
          <w:tcPr>
            <w:tcW w:w="98" w:type="pct"/>
            <w:vMerge w:val="restart"/>
            <w:tcBorders>
              <w:top w:val="nil"/>
              <w:left w:val="single" w:sz="4" w:space="0" w:color="auto"/>
              <w:right w:val="single" w:sz="4" w:space="0" w:color="auto"/>
            </w:tcBorders>
            <w:shd w:val="clear" w:color="auto" w:fill="auto"/>
            <w:vAlign w:val="center"/>
          </w:tcPr>
          <w:p w:rsidR="00140A49" w:rsidRPr="00E9113E" w:rsidRDefault="00140A49"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lastRenderedPageBreak/>
              <w:t>9</w:t>
            </w:r>
          </w:p>
        </w:tc>
        <w:tc>
          <w:tcPr>
            <w:tcW w:w="596" w:type="pct"/>
            <w:vMerge w:val="restart"/>
            <w:tcBorders>
              <w:top w:val="nil"/>
              <w:left w:val="single" w:sz="4" w:space="0" w:color="auto"/>
              <w:right w:val="single" w:sz="4" w:space="0" w:color="auto"/>
            </w:tcBorders>
            <w:shd w:val="clear" w:color="auto" w:fill="auto"/>
            <w:vAlign w:val="center"/>
          </w:tcPr>
          <w:p w:rsidR="00140A49" w:rsidRPr="00275CC5" w:rsidRDefault="00140A49" w:rsidP="00BB24EE">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O</w:t>
            </w:r>
            <w:r>
              <w:rPr>
                <w:rFonts w:ascii="Times New Roman" w:eastAsia="Times New Roman" w:hAnsi="Times New Roman" w:cs="Times New Roman"/>
                <w:sz w:val="19"/>
                <w:szCs w:val="19"/>
                <w:lang w:val="en-US" w:eastAsia="ru-RU"/>
              </w:rPr>
              <w:t>pening a bank</w:t>
            </w:r>
            <w:r w:rsidRPr="00275CC5">
              <w:rPr>
                <w:rFonts w:ascii="Times New Roman" w:eastAsia="Times New Roman" w:hAnsi="Times New Roman" w:cs="Times New Roman"/>
                <w:sz w:val="19"/>
                <w:szCs w:val="19"/>
                <w:lang w:val="en-US" w:eastAsia="ru-RU"/>
              </w:rPr>
              <w:t xml:space="preserve"> unallocated metal account </w:t>
            </w:r>
            <w:r w:rsidRPr="00BB24EE">
              <w:rPr>
                <w:rFonts w:ascii="Times New Roman" w:eastAsia="Times New Roman" w:hAnsi="Times New Roman" w:cs="Times New Roman"/>
                <w:sz w:val="19"/>
                <w:szCs w:val="19"/>
                <w:lang w:val="en-US" w:eastAsia="ru-RU"/>
              </w:rPr>
              <w:t xml:space="preserve">with </w:t>
            </w:r>
            <w:r>
              <w:rPr>
                <w:rFonts w:ascii="Times New Roman" w:eastAsia="Times New Roman" w:hAnsi="Times New Roman" w:cs="Times New Roman"/>
                <w:sz w:val="19"/>
                <w:szCs w:val="19"/>
                <w:lang w:val="en-US" w:eastAsia="ru-RU"/>
              </w:rPr>
              <w:t>a</w:t>
            </w:r>
            <w:r w:rsidRPr="00BB24EE">
              <w:rPr>
                <w:rFonts w:ascii="Times New Roman" w:eastAsia="Times New Roman" w:hAnsi="Times New Roman" w:cs="Times New Roman"/>
                <w:sz w:val="19"/>
                <w:szCs w:val="19"/>
                <w:lang w:val="en-US" w:eastAsia="ru-RU"/>
              </w:rPr>
              <w:t xml:space="preserve"> </w:t>
            </w:r>
            <w:r>
              <w:rPr>
                <w:rFonts w:ascii="Times New Roman" w:eastAsia="Times New Roman" w:hAnsi="Times New Roman" w:cs="Times New Roman"/>
                <w:sz w:val="19"/>
                <w:szCs w:val="19"/>
                <w:lang w:val="en-US" w:eastAsia="ru-RU"/>
              </w:rPr>
              <w:t>foreign bank</w:t>
            </w:r>
          </w:p>
        </w:tc>
        <w:tc>
          <w:tcPr>
            <w:tcW w:w="615" w:type="pct"/>
            <w:vMerge w:val="restart"/>
            <w:tcBorders>
              <w:top w:val="nil"/>
              <w:left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nil"/>
              <w:left w:val="nil"/>
              <w:bottom w:val="single" w:sz="4" w:space="0" w:color="auto"/>
              <w:right w:val="single" w:sz="4" w:space="0" w:color="auto"/>
            </w:tcBorders>
            <w:shd w:val="clear" w:color="auto" w:fill="auto"/>
            <w:vAlign w:val="center"/>
          </w:tcPr>
          <w:p w:rsidR="00140A49" w:rsidRPr="00724462" w:rsidRDefault="00140A49" w:rsidP="004D4D14">
            <w:pPr>
              <w:spacing w:before="160" w:line="240" w:lineRule="auto"/>
              <w:jc w:val="center"/>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sz w:val="19"/>
                <w:szCs w:val="19"/>
                <w:lang w:val="en-US" w:eastAsia="ru-RU"/>
              </w:rPr>
              <w:t xml:space="preserve">Notification to the </w:t>
            </w:r>
            <w:r>
              <w:rPr>
                <w:rFonts w:ascii="Times New Roman" w:eastAsia="Times New Roman" w:hAnsi="Times New Roman" w:cs="Times New Roman"/>
                <w:sz w:val="19"/>
                <w:szCs w:val="19"/>
                <w:lang w:val="en-US" w:eastAsia="ru-RU"/>
              </w:rPr>
              <w:t>TB NBRK</w:t>
            </w:r>
            <w:r w:rsidRPr="00D21D27">
              <w:rPr>
                <w:rFonts w:ascii="Times New Roman" w:eastAsia="Times New Roman" w:hAnsi="Times New Roman" w:cs="Times New Roman"/>
                <w:sz w:val="19"/>
                <w:szCs w:val="19"/>
                <w:lang w:val="en-US" w:eastAsia="ru-RU"/>
              </w:rPr>
              <w:t xml:space="preserve"> (</w:t>
            </w:r>
            <w:r w:rsidRPr="00724462">
              <w:rPr>
                <w:rFonts w:ascii="Times New Roman" w:eastAsia="Times New Roman" w:hAnsi="Times New Roman" w:cs="Times New Roman"/>
                <w:sz w:val="19"/>
                <w:szCs w:val="19"/>
                <w:lang w:val="en-US" w:eastAsia="ru-RU"/>
              </w:rPr>
              <w:t xml:space="preserve">with obtaining </w:t>
            </w:r>
            <w:r w:rsidRPr="00D21D27">
              <w:rPr>
                <w:rFonts w:ascii="Times New Roman" w:eastAsia="Times New Roman" w:hAnsi="Times New Roman" w:cs="Times New Roman"/>
                <w:sz w:val="19"/>
                <w:szCs w:val="19"/>
                <w:lang w:val="en-US" w:eastAsia="ru-RU"/>
              </w:rPr>
              <w:t>a</w:t>
            </w:r>
            <w:r>
              <w:rPr>
                <w:rFonts w:ascii="Times New Roman" w:eastAsia="Times New Roman" w:hAnsi="Times New Roman" w:cs="Times New Roman"/>
                <w:sz w:val="19"/>
                <w:szCs w:val="19"/>
                <w:lang w:val="en-US" w:eastAsia="ru-RU"/>
              </w:rPr>
              <w:t xml:space="preserve"> </w:t>
            </w:r>
            <w:r w:rsidRPr="00724462">
              <w:rPr>
                <w:rFonts w:ascii="Times New Roman" w:eastAsia="Times New Roman" w:hAnsi="Times New Roman" w:cs="Times New Roman"/>
                <w:sz w:val="19"/>
                <w:szCs w:val="19"/>
                <w:lang w:val="en-US" w:eastAsia="ru-RU"/>
              </w:rPr>
              <w:t xml:space="preserve">registration number </w:t>
            </w:r>
            <w:r w:rsidRPr="00D21D27">
              <w:rPr>
                <w:rFonts w:ascii="Times New Roman" w:eastAsia="Times New Roman" w:hAnsi="Times New Roman" w:cs="Times New Roman"/>
                <w:sz w:val="19"/>
                <w:szCs w:val="19"/>
                <w:lang w:val="en-US" w:eastAsia="ru-RU"/>
              </w:rPr>
              <w:t>for the account)</w:t>
            </w:r>
          </w:p>
        </w:tc>
        <w:tc>
          <w:tcPr>
            <w:tcW w:w="1465" w:type="pct"/>
            <w:vMerge w:val="restart"/>
            <w:tcBorders>
              <w:top w:val="single" w:sz="4" w:space="0" w:color="auto"/>
              <w:left w:val="nil"/>
              <w:right w:val="single" w:sz="4" w:space="0" w:color="auto"/>
            </w:tcBorders>
            <w:shd w:val="clear" w:color="auto" w:fill="F2F2F2" w:themeFill="background1" w:themeFillShade="F2"/>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59" w:type="pct"/>
            <w:vMerge/>
            <w:tcBorders>
              <w:left w:val="nil"/>
              <w:right w:val="single" w:sz="4" w:space="0" w:color="auto"/>
            </w:tcBorders>
            <w:shd w:val="clear" w:color="auto" w:fill="F2F2F2" w:themeFill="background1" w:themeFillShade="F2"/>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r w:rsidR="00140A49" w:rsidRPr="00635B5D" w:rsidTr="00D4156F">
        <w:trPr>
          <w:trHeight w:val="750"/>
        </w:trPr>
        <w:tc>
          <w:tcPr>
            <w:tcW w:w="98" w:type="pct"/>
            <w:vMerge/>
            <w:tcBorders>
              <w:left w:val="single" w:sz="4" w:space="0" w:color="auto"/>
              <w:bottom w:val="single" w:sz="4" w:space="0" w:color="000000"/>
              <w:right w:val="single" w:sz="4" w:space="0" w:color="auto"/>
            </w:tcBorders>
            <w:shd w:val="clear" w:color="auto" w:fill="auto"/>
            <w:vAlign w:val="center"/>
          </w:tcPr>
          <w:p w:rsidR="00140A49" w:rsidRPr="00C87EBC"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96" w:type="pct"/>
            <w:vMerge/>
            <w:tcBorders>
              <w:left w:val="single" w:sz="4" w:space="0" w:color="auto"/>
              <w:bottom w:val="single" w:sz="4" w:space="0" w:color="000000"/>
              <w:right w:val="single" w:sz="4" w:space="0" w:color="auto"/>
            </w:tcBorders>
            <w:shd w:val="clear" w:color="auto" w:fill="auto"/>
            <w:vAlign w:val="center"/>
          </w:tcPr>
          <w:p w:rsidR="00140A49" w:rsidRPr="00275CC5" w:rsidRDefault="00140A49" w:rsidP="00BB24EE">
            <w:pPr>
              <w:spacing w:before="240" w:line="240" w:lineRule="auto"/>
              <w:contextualSpacing/>
              <w:rPr>
                <w:rFonts w:ascii="Times New Roman" w:eastAsia="Times New Roman" w:hAnsi="Times New Roman" w:cs="Times New Roman"/>
                <w:sz w:val="19"/>
                <w:szCs w:val="19"/>
                <w:lang w:val="en-US" w:eastAsia="ru-RU"/>
              </w:rPr>
            </w:pPr>
          </w:p>
        </w:tc>
        <w:tc>
          <w:tcPr>
            <w:tcW w:w="61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40A49" w:rsidRPr="00275CC5"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1667" w:type="pct"/>
            <w:tcBorders>
              <w:top w:val="single" w:sz="4" w:space="0" w:color="auto"/>
              <w:left w:val="nil"/>
              <w:bottom w:val="single" w:sz="4" w:space="0" w:color="auto"/>
              <w:right w:val="single" w:sz="4" w:space="0" w:color="auto"/>
            </w:tcBorders>
            <w:shd w:val="clear" w:color="auto" w:fill="auto"/>
            <w:vAlign w:val="center"/>
          </w:tcPr>
          <w:p w:rsidR="00140A49" w:rsidRPr="00275CC5" w:rsidRDefault="00140A49" w:rsidP="00C87EBC">
            <w:pPr>
              <w:spacing w:before="240" w:line="240" w:lineRule="auto"/>
              <w:contextualSpacing/>
              <w:jc w:val="both"/>
              <w:rPr>
                <w:rFonts w:ascii="Times New Roman" w:eastAsia="Times New Roman" w:hAnsi="Times New Roman" w:cs="Times New Roman"/>
                <w:sz w:val="19"/>
                <w:szCs w:val="19"/>
                <w:lang w:val="en-US" w:eastAsia="ru-RU"/>
              </w:rPr>
            </w:pPr>
            <w:r w:rsidRPr="00724462">
              <w:rPr>
                <w:rFonts w:ascii="Times New Roman" w:eastAsia="Times New Roman" w:hAnsi="Times New Roman" w:cs="Times New Roman"/>
                <w:i/>
                <w:sz w:val="19"/>
                <w:szCs w:val="19"/>
                <w:lang w:val="en-US" w:eastAsia="ru-RU"/>
              </w:rPr>
              <w:t xml:space="preserve">Exception: </w:t>
            </w:r>
            <w:r>
              <w:rPr>
                <w:rFonts w:ascii="Times New Roman" w:eastAsia="Times New Roman" w:hAnsi="Times New Roman" w:cs="Times New Roman"/>
                <w:i/>
                <w:sz w:val="19"/>
                <w:szCs w:val="19"/>
                <w:lang w:val="en-US" w:eastAsia="ru-RU"/>
              </w:rPr>
              <w:t>an</w:t>
            </w:r>
            <w:r w:rsidRPr="003943B8">
              <w:rPr>
                <w:rFonts w:ascii="Times New Roman" w:eastAsia="Times New Roman" w:hAnsi="Times New Roman" w:cs="Times New Roman"/>
                <w:i/>
                <w:sz w:val="19"/>
                <w:szCs w:val="19"/>
                <w:lang w:val="en-US" w:eastAsia="ru-RU"/>
              </w:rPr>
              <w:t xml:space="preserve"> </w:t>
            </w:r>
            <w:r w:rsidRPr="00724462">
              <w:rPr>
                <w:rFonts w:ascii="Times New Roman" w:eastAsia="Times New Roman" w:hAnsi="Times New Roman" w:cs="Times New Roman"/>
                <w:i/>
                <w:sz w:val="19"/>
                <w:szCs w:val="19"/>
                <w:lang w:val="en-US" w:eastAsia="ru-RU"/>
              </w:rPr>
              <w:t>account of a foreign organization</w:t>
            </w:r>
            <w:r>
              <w:rPr>
                <w:rFonts w:ascii="Times New Roman" w:eastAsia="Times New Roman" w:hAnsi="Times New Roman" w:cs="Times New Roman"/>
                <w:i/>
                <w:sz w:val="19"/>
                <w:szCs w:val="19"/>
                <w:lang w:val="en-US" w:eastAsia="ru-RU"/>
              </w:rPr>
              <w:t>’s</w:t>
            </w:r>
            <w:r w:rsidRPr="00724462">
              <w:rPr>
                <w:rFonts w:ascii="Times New Roman" w:eastAsia="Times New Roman" w:hAnsi="Times New Roman" w:cs="Times New Roman"/>
                <w:i/>
                <w:sz w:val="19"/>
                <w:szCs w:val="19"/>
                <w:lang w:val="en-US" w:eastAsia="ru-RU"/>
              </w:rPr>
              <w:t xml:space="preserve"> branch</w:t>
            </w:r>
            <w:r>
              <w:rPr>
                <w:rFonts w:ascii="Times New Roman" w:eastAsia="Times New Roman" w:hAnsi="Times New Roman" w:cs="Times New Roman"/>
                <w:i/>
                <w:sz w:val="19"/>
                <w:szCs w:val="19"/>
                <w:lang w:val="en-US" w:eastAsia="ru-RU"/>
              </w:rPr>
              <w:t xml:space="preserve"> </w:t>
            </w:r>
            <w:r w:rsidRPr="00724462">
              <w:rPr>
                <w:rFonts w:ascii="Times New Roman" w:eastAsia="Times New Roman" w:hAnsi="Times New Roman" w:cs="Times New Roman"/>
                <w:i/>
                <w:sz w:val="19"/>
                <w:szCs w:val="19"/>
                <w:lang w:val="en-US" w:eastAsia="ru-RU"/>
              </w:rPr>
              <w:t>(representative office)</w:t>
            </w:r>
            <w:r>
              <w:rPr>
                <w:rFonts w:ascii="Times New Roman" w:eastAsia="Times New Roman" w:hAnsi="Times New Roman" w:cs="Times New Roman"/>
                <w:i/>
                <w:sz w:val="19"/>
                <w:szCs w:val="19"/>
                <w:lang w:val="en-US" w:eastAsia="ru-RU"/>
              </w:rPr>
              <w:t xml:space="preserve"> and a </w:t>
            </w:r>
            <w:r w:rsidRPr="00724462">
              <w:rPr>
                <w:rFonts w:ascii="Times New Roman" w:eastAsia="Times New Roman" w:hAnsi="Times New Roman" w:cs="Times New Roman"/>
                <w:i/>
                <w:sz w:val="19"/>
                <w:szCs w:val="19"/>
                <w:lang w:val="en-US" w:eastAsia="ru-RU"/>
              </w:rPr>
              <w:t xml:space="preserve"> participant of the AIFC</w:t>
            </w:r>
          </w:p>
        </w:tc>
        <w:tc>
          <w:tcPr>
            <w:tcW w:w="1465" w:type="pct"/>
            <w:vMerge/>
            <w:tcBorders>
              <w:left w:val="nil"/>
              <w:bottom w:val="single" w:sz="4" w:space="0" w:color="auto"/>
              <w:right w:val="single" w:sz="4" w:space="0" w:color="auto"/>
            </w:tcBorders>
            <w:shd w:val="clear" w:color="auto" w:fill="F2F2F2" w:themeFill="background1" w:themeFillShade="F2"/>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c>
          <w:tcPr>
            <w:tcW w:w="559" w:type="pct"/>
            <w:vMerge/>
            <w:tcBorders>
              <w:left w:val="nil"/>
              <w:bottom w:val="single" w:sz="4" w:space="0" w:color="auto"/>
              <w:right w:val="single" w:sz="4" w:space="0" w:color="auto"/>
            </w:tcBorders>
            <w:shd w:val="clear" w:color="auto" w:fill="F2F2F2" w:themeFill="background1" w:themeFillShade="F2"/>
            <w:vAlign w:val="center"/>
          </w:tcPr>
          <w:p w:rsidR="00140A49" w:rsidRPr="00D21D27" w:rsidRDefault="00140A49" w:rsidP="00D2464A">
            <w:pPr>
              <w:spacing w:before="240" w:line="240" w:lineRule="auto"/>
              <w:contextualSpacing/>
              <w:rPr>
                <w:rFonts w:ascii="Times New Roman" w:eastAsia="Times New Roman" w:hAnsi="Times New Roman" w:cs="Times New Roman"/>
                <w:sz w:val="19"/>
                <w:szCs w:val="19"/>
                <w:lang w:val="en-US" w:eastAsia="ru-RU"/>
              </w:rPr>
            </w:pPr>
          </w:p>
        </w:tc>
      </w:tr>
    </w:tbl>
    <w:p w:rsidR="00A06D83" w:rsidRPr="00D21D27" w:rsidRDefault="00A06D83">
      <w:pPr>
        <w:rPr>
          <w:lang w:val="en-US"/>
        </w:rPr>
      </w:pPr>
    </w:p>
    <w:sectPr w:rsidR="00A06D83" w:rsidRPr="00D21D27" w:rsidSect="000979CC">
      <w:footnotePr>
        <w:pos w:val="beneathText"/>
      </w:footnotePr>
      <w:endnotePr>
        <w:numFmt w:val="decimal"/>
      </w:endnotePr>
      <w:pgSz w:w="16838" w:h="11906" w:orient="landscape"/>
      <w:pgMar w:top="284" w:right="284"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969" w:rsidRDefault="00670969" w:rsidP="0019275D">
      <w:pPr>
        <w:spacing w:after="0" w:line="240" w:lineRule="auto"/>
      </w:pPr>
      <w:r>
        <w:separator/>
      </w:r>
    </w:p>
  </w:endnote>
  <w:endnote w:type="continuationSeparator" w:id="0">
    <w:p w:rsidR="00670969" w:rsidRDefault="00670969" w:rsidP="0019275D">
      <w:pPr>
        <w:spacing w:after="0" w:line="240" w:lineRule="auto"/>
      </w:pPr>
      <w:r>
        <w:continuationSeparator/>
      </w:r>
    </w:p>
  </w:endnote>
  <w:endnote w:id="1">
    <w:p w:rsidR="00D21D27" w:rsidRPr="007D46FA" w:rsidRDefault="0019275D" w:rsidP="007D46FA">
      <w:pPr>
        <w:pStyle w:val="a6"/>
        <w:ind w:firstLine="425"/>
        <w:jc w:val="both"/>
        <w:rPr>
          <w:rFonts w:ascii="Times New Roman" w:hAnsi="Times New Roman" w:cs="Times New Roman"/>
          <w:lang w:val="en-US"/>
        </w:rPr>
      </w:pPr>
      <w:r w:rsidRPr="007D46FA">
        <w:rPr>
          <w:rStyle w:val="a8"/>
          <w:rFonts w:ascii="Times New Roman" w:hAnsi="Times New Roman" w:cs="Times New Roman"/>
        </w:rPr>
        <w:endnoteRef/>
      </w:r>
      <w:r w:rsidR="000979CC" w:rsidRPr="007D46FA">
        <w:rPr>
          <w:rFonts w:ascii="Times New Roman" w:hAnsi="Times New Roman" w:cs="Times New Roman"/>
          <w:lang w:val="en-US"/>
        </w:rPr>
        <w:t> </w:t>
      </w:r>
      <w:r w:rsidR="00D21D27" w:rsidRPr="007D46FA">
        <w:rPr>
          <w:rFonts w:ascii="Times New Roman" w:hAnsi="Times New Roman" w:cs="Times New Roman"/>
          <w:lang w:val="en-US"/>
        </w:rPr>
        <w:t xml:space="preserve">According to the Law of the Republic of Kazakhstan "On foreign exchange regulation and foreign exchange control" No. 167-VI dated 02.07.2018 and the Rules for monitoring foreign exchange transactions in the Republic of Kazakhstan, approved by the Resolution </w:t>
      </w:r>
      <w:r w:rsidR="00AA3335" w:rsidRPr="007D46FA">
        <w:rPr>
          <w:rFonts w:ascii="Times New Roman" w:hAnsi="Times New Roman" w:cs="Times New Roman"/>
          <w:lang w:val="en-US"/>
        </w:rPr>
        <w:t xml:space="preserve">of the Board </w:t>
      </w:r>
      <w:r w:rsidR="00D21D27" w:rsidRPr="007D46FA">
        <w:rPr>
          <w:rFonts w:ascii="Times New Roman" w:hAnsi="Times New Roman" w:cs="Times New Roman"/>
          <w:lang w:val="en-US"/>
        </w:rPr>
        <w:t xml:space="preserve">of the National Bank of the Republic of </w:t>
      </w:r>
      <w:r w:rsidR="00116A02" w:rsidRPr="007D46FA">
        <w:rPr>
          <w:rFonts w:ascii="Times New Roman" w:hAnsi="Times New Roman" w:cs="Times New Roman"/>
          <w:lang w:val="en-US"/>
        </w:rPr>
        <w:t>Kazakhstan No</w:t>
      </w:r>
      <w:r w:rsidR="00D21D27" w:rsidRPr="007D46FA">
        <w:rPr>
          <w:rFonts w:ascii="Times New Roman" w:hAnsi="Times New Roman" w:cs="Times New Roman"/>
          <w:lang w:val="en-US"/>
        </w:rPr>
        <w:t xml:space="preserve">. 64 dated </w:t>
      </w:r>
      <w:r w:rsidR="00AA3335" w:rsidRPr="007D46FA">
        <w:rPr>
          <w:rFonts w:ascii="Times New Roman" w:hAnsi="Times New Roman" w:cs="Times New Roman"/>
          <w:lang w:val="en-US"/>
        </w:rPr>
        <w:t xml:space="preserve">10.04.2019 </w:t>
      </w:r>
      <w:r w:rsidR="00D21D27" w:rsidRPr="007D46FA">
        <w:rPr>
          <w:rFonts w:ascii="Times New Roman" w:hAnsi="Times New Roman" w:cs="Times New Roman"/>
          <w:lang w:val="en-US"/>
        </w:rPr>
        <w:t>(hereinafter referred to as the Rules).</w:t>
      </w:r>
    </w:p>
    <w:p w:rsidR="006D685A" w:rsidRPr="007D46FA" w:rsidRDefault="006D685A" w:rsidP="007D46FA">
      <w:pPr>
        <w:pStyle w:val="a6"/>
        <w:ind w:firstLine="425"/>
        <w:jc w:val="both"/>
        <w:rPr>
          <w:rFonts w:ascii="Times New Roman" w:hAnsi="Times New Roman" w:cs="Times New Roman"/>
          <w:lang w:val="en-US"/>
        </w:rPr>
      </w:pPr>
    </w:p>
  </w:endnote>
  <w:endnote w:id="2">
    <w:p w:rsidR="00140A49" w:rsidRPr="007D46FA" w:rsidRDefault="00140A49" w:rsidP="007D46FA">
      <w:pPr>
        <w:pStyle w:val="a6"/>
        <w:ind w:firstLine="425"/>
        <w:jc w:val="both"/>
        <w:rPr>
          <w:rFonts w:ascii="Times New Roman" w:hAnsi="Times New Roman" w:cs="Times New Roman"/>
          <w:lang w:val="en-US"/>
        </w:rPr>
      </w:pPr>
      <w:r w:rsidRPr="007D46FA">
        <w:rPr>
          <w:rStyle w:val="a8"/>
          <w:rFonts w:ascii="Times New Roman" w:hAnsi="Times New Roman" w:cs="Times New Roman"/>
        </w:rPr>
        <w:endnoteRef/>
      </w:r>
      <w:r w:rsidR="000979CC" w:rsidRPr="007D46FA">
        <w:rPr>
          <w:rFonts w:ascii="Times New Roman" w:hAnsi="Times New Roman" w:cs="Times New Roman"/>
          <w:lang w:val="en-US"/>
        </w:rPr>
        <w:t> </w:t>
      </w:r>
      <w:r w:rsidRPr="007D46FA">
        <w:rPr>
          <w:rFonts w:ascii="Times New Roman" w:hAnsi="Times New Roman" w:cs="Times New Roman"/>
          <w:lang w:val="en-US"/>
        </w:rPr>
        <w:t>Accounting registration is required for foreign exchange agreements on the capital flow in the amount exceeding 500,000 US dollars in equivalent, and also if the amount of the contract is not indicated in the foreign exchange agreement on the capital flow on the date of its signing (if it is absent - on the date of entry into force) (clauses 9 and 10 of the Rules).</w:t>
      </w:r>
    </w:p>
    <w:p w:rsidR="006462AE" w:rsidRPr="007D46FA" w:rsidRDefault="006462AE" w:rsidP="007D46FA">
      <w:pPr>
        <w:pStyle w:val="a6"/>
        <w:ind w:firstLine="425"/>
        <w:jc w:val="both"/>
        <w:rPr>
          <w:rFonts w:ascii="Times New Roman" w:hAnsi="Times New Roman" w:cs="Times New Roman"/>
          <w:lang w:val="en-US"/>
        </w:rPr>
      </w:pP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The accounting registration shall not apply to the following currency agreements on capital flow:</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1) currency agreements on capital flow, whose parties are the National Bank and (or) the Ministry of Finance of the Republic of Kazakhstan;</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2) foreign exchange contracts on capital movement, the only resident participant(s) of which is (are) (a) participant(s) of the Astana International Financial Centre;</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3) agreements on state external loans of the Republic of Kazakhstan, non-state external loans with state guarantees of the Republic of Kazakhstan.</w:t>
      </w:r>
    </w:p>
    <w:p w:rsidR="006462AE" w:rsidRPr="007D46FA" w:rsidRDefault="006462AE" w:rsidP="007D46FA">
      <w:pPr>
        <w:pStyle w:val="a6"/>
        <w:ind w:firstLine="425"/>
        <w:jc w:val="both"/>
        <w:rPr>
          <w:rFonts w:ascii="Times New Roman" w:hAnsi="Times New Roman" w:cs="Times New Roman"/>
          <w:lang w:val="en-US"/>
        </w:rPr>
      </w:pP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The accounting registration shall not apply to currency agreements that provide for the following capital flow transactions:</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1) carried out by foreign institutions of the Republic of Kazakhstan, branches (representative offices) of foreign organizations operating in the territory of the Republic of Kazakhstan;</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2) own capital flow transactions of banks, insurance (reinsurance) organizations, brokers and (or) dealers, management companies, branches of non-resident banks of the Republic of Kazakhstan and branches of non-resident insurance (reinsurance) organizations- of the Republic of Kazakhstan, operating in the territory of the Republic of Kazakhstan;</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3) transactions related to the investment of own and (or) pension assets of the unified accumulative pension fund and voluntary accumulative pension funds;</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4) placement and (or) acquisition of:</w:t>
      </w:r>
    </w:p>
    <w:p w:rsidR="006462AE" w:rsidRPr="007D46FA" w:rsidRDefault="006462AE" w:rsidP="007D46FA">
      <w:pPr>
        <w:pStyle w:val="a6"/>
        <w:numPr>
          <w:ilvl w:val="0"/>
          <w:numId w:val="5"/>
        </w:numPr>
        <w:jc w:val="both"/>
        <w:rPr>
          <w:rFonts w:ascii="Times New Roman" w:hAnsi="Times New Roman" w:cs="Times New Roman"/>
          <w:lang w:val="en-US"/>
        </w:rPr>
      </w:pPr>
      <w:r w:rsidRPr="007D46FA">
        <w:rPr>
          <w:rFonts w:ascii="Times New Roman" w:hAnsi="Times New Roman" w:cs="Times New Roman"/>
          <w:lang w:val="en-US"/>
        </w:rPr>
        <w:t>state securities of the Republic of Kazakhstan;</w:t>
      </w:r>
    </w:p>
    <w:p w:rsidR="006462AE" w:rsidRPr="007D46FA" w:rsidRDefault="006462AE" w:rsidP="007D46FA">
      <w:pPr>
        <w:pStyle w:val="a6"/>
        <w:numPr>
          <w:ilvl w:val="0"/>
          <w:numId w:val="5"/>
        </w:numPr>
        <w:jc w:val="both"/>
        <w:rPr>
          <w:rFonts w:ascii="Times New Roman" w:hAnsi="Times New Roman" w:cs="Times New Roman"/>
          <w:lang w:val="en-US"/>
        </w:rPr>
      </w:pPr>
      <w:r w:rsidRPr="007D46FA">
        <w:rPr>
          <w:rFonts w:ascii="Times New Roman" w:hAnsi="Times New Roman" w:cs="Times New Roman"/>
          <w:lang w:val="en-US"/>
        </w:rPr>
        <w:t>securities of a resident issuer, issued under the laws of another state and on its territory (including depositary receipts, the underlying asset of which are securities of the resident issuer);</w:t>
      </w:r>
    </w:p>
    <w:p w:rsidR="006462AE" w:rsidRPr="007D46FA" w:rsidRDefault="006462AE" w:rsidP="007D46FA">
      <w:pPr>
        <w:pStyle w:val="a6"/>
        <w:numPr>
          <w:ilvl w:val="0"/>
          <w:numId w:val="5"/>
        </w:numPr>
        <w:jc w:val="both"/>
        <w:rPr>
          <w:rFonts w:ascii="Times New Roman" w:hAnsi="Times New Roman" w:cs="Times New Roman"/>
          <w:lang w:val="en-US"/>
        </w:rPr>
      </w:pPr>
      <w:r w:rsidRPr="007D46FA">
        <w:rPr>
          <w:rFonts w:ascii="Times New Roman" w:hAnsi="Times New Roman" w:cs="Times New Roman"/>
          <w:lang w:val="en-US"/>
        </w:rPr>
        <w:t>securities of a non-resident issuer issued under the legislation of the Republic of Kazakhstan (including Kazakhstan depositary receipts);</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5) acquisition in the secondary market:</w:t>
      </w:r>
    </w:p>
    <w:p w:rsidR="006462AE" w:rsidRPr="007D46FA" w:rsidRDefault="006462AE" w:rsidP="007D46FA">
      <w:pPr>
        <w:pStyle w:val="a6"/>
        <w:numPr>
          <w:ilvl w:val="0"/>
          <w:numId w:val="6"/>
        </w:numPr>
        <w:jc w:val="both"/>
        <w:rPr>
          <w:rFonts w:ascii="Times New Roman" w:hAnsi="Times New Roman" w:cs="Times New Roman"/>
          <w:lang w:val="en-US"/>
        </w:rPr>
      </w:pPr>
      <w:r w:rsidRPr="007D46FA">
        <w:rPr>
          <w:rFonts w:ascii="Times New Roman" w:hAnsi="Times New Roman" w:cs="Times New Roman"/>
          <w:lang w:val="en-US"/>
        </w:rPr>
        <w:t>by a resident from a non-resident of debt securities of a resident issuer issued under the legislation of the Republic of Kazakhstan;</w:t>
      </w:r>
    </w:p>
    <w:p w:rsidR="006462AE" w:rsidRPr="007D46FA" w:rsidRDefault="006462AE" w:rsidP="007D46FA">
      <w:pPr>
        <w:pStyle w:val="a6"/>
        <w:numPr>
          <w:ilvl w:val="0"/>
          <w:numId w:val="6"/>
        </w:numPr>
        <w:jc w:val="both"/>
        <w:rPr>
          <w:rFonts w:ascii="Times New Roman" w:hAnsi="Times New Roman" w:cs="Times New Roman"/>
          <w:lang w:val="en-US"/>
        </w:rPr>
      </w:pPr>
      <w:r w:rsidRPr="007D46FA">
        <w:rPr>
          <w:rFonts w:ascii="Times New Roman" w:hAnsi="Times New Roman" w:cs="Times New Roman"/>
          <w:lang w:val="en-US"/>
        </w:rPr>
        <w:t>by a resident from a non-resident of debt securities of a non-resident issuer issued under the laws of another state and on its territory;</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6) transactions of residents carried out on a brokerage contract concluded with a resident broker, or on an investment portfolio management agreement concluded with a resident investment portfolio manager;</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7) acquisition of fully exclusive right to the intellectual creative activity result;</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8) operations of resident individuals:</w:t>
      </w:r>
    </w:p>
    <w:p w:rsidR="006462AE" w:rsidRPr="007D46FA" w:rsidRDefault="006462AE" w:rsidP="007D46FA">
      <w:pPr>
        <w:pStyle w:val="a6"/>
        <w:numPr>
          <w:ilvl w:val="0"/>
          <w:numId w:val="7"/>
        </w:numPr>
        <w:jc w:val="both"/>
        <w:rPr>
          <w:rFonts w:ascii="Times New Roman" w:hAnsi="Times New Roman" w:cs="Times New Roman"/>
          <w:lang w:val="en-US"/>
        </w:rPr>
      </w:pPr>
      <w:r w:rsidRPr="007D46FA">
        <w:rPr>
          <w:rFonts w:ascii="Times New Roman" w:hAnsi="Times New Roman" w:cs="Times New Roman"/>
          <w:lang w:val="en-US"/>
        </w:rPr>
        <w:t>carried out based on an agreement on the provision of brokerage services concluded with a non-resident broker;</w:t>
      </w:r>
    </w:p>
    <w:p w:rsidR="006462AE" w:rsidRPr="007D46FA" w:rsidRDefault="006462AE" w:rsidP="007D46FA">
      <w:pPr>
        <w:pStyle w:val="a6"/>
        <w:numPr>
          <w:ilvl w:val="0"/>
          <w:numId w:val="7"/>
        </w:numPr>
        <w:jc w:val="both"/>
        <w:rPr>
          <w:rFonts w:ascii="Times New Roman" w:hAnsi="Times New Roman" w:cs="Times New Roman"/>
          <w:lang w:val="en-US"/>
        </w:rPr>
      </w:pPr>
      <w:r w:rsidRPr="007D46FA">
        <w:rPr>
          <w:rFonts w:ascii="Times New Roman" w:hAnsi="Times New Roman" w:cs="Times New Roman"/>
          <w:lang w:val="en-US"/>
        </w:rPr>
        <w:t>carried out based on an agreement on investment portfolio management concluded with a non-resident investment portfolio manager;</w:t>
      </w:r>
    </w:p>
    <w:p w:rsidR="006462AE" w:rsidRPr="007D46FA" w:rsidRDefault="006462AE" w:rsidP="007D46FA">
      <w:pPr>
        <w:pStyle w:val="a6"/>
        <w:numPr>
          <w:ilvl w:val="0"/>
          <w:numId w:val="7"/>
        </w:numPr>
        <w:jc w:val="both"/>
        <w:rPr>
          <w:rFonts w:ascii="Times New Roman" w:hAnsi="Times New Roman" w:cs="Times New Roman"/>
          <w:lang w:val="en-US"/>
        </w:rPr>
      </w:pPr>
      <w:r w:rsidRPr="007D46FA">
        <w:rPr>
          <w:rFonts w:ascii="Times New Roman" w:hAnsi="Times New Roman" w:cs="Times New Roman"/>
          <w:lang w:val="en-US"/>
        </w:rPr>
        <w:t>related to the acquisition of ownership of real estate;</w:t>
      </w:r>
    </w:p>
    <w:p w:rsidR="006462AE" w:rsidRPr="007D46FA" w:rsidRDefault="006462AE" w:rsidP="007D46FA">
      <w:pPr>
        <w:pStyle w:val="a6"/>
        <w:numPr>
          <w:ilvl w:val="0"/>
          <w:numId w:val="7"/>
        </w:numPr>
        <w:jc w:val="both"/>
        <w:rPr>
          <w:rFonts w:ascii="Times New Roman" w:hAnsi="Times New Roman" w:cs="Times New Roman"/>
          <w:lang w:val="en-US"/>
        </w:rPr>
      </w:pPr>
      <w:r w:rsidRPr="007D46FA">
        <w:rPr>
          <w:rFonts w:ascii="Times New Roman" w:hAnsi="Times New Roman" w:cs="Times New Roman"/>
          <w:lang w:val="en-US"/>
        </w:rPr>
        <w:t>related to the gratuitous transfer of money and other currency assets.</w:t>
      </w:r>
    </w:p>
    <w:p w:rsidR="006462AE" w:rsidRPr="007D46FA" w:rsidRDefault="006462AE" w:rsidP="007D46FA">
      <w:pPr>
        <w:pStyle w:val="a6"/>
        <w:ind w:firstLine="425"/>
        <w:jc w:val="both"/>
        <w:rPr>
          <w:rFonts w:ascii="Times New Roman" w:hAnsi="Times New Roman" w:cs="Times New Roman"/>
          <w:lang w:val="en-US"/>
        </w:rPr>
      </w:pP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An account number shall not be assigned to:</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1) an agreement for gratuitous transfer by a resident to a non-resident (non-resident to a resident) of money or other currency values or the right of ownership of real estate abroad, if as a result of such transfer the fulfillment or termination of obligations or alienation of the right of ownership of currency values, real estate abroad under a currency agreement on capital flow for which the resident previously received an account number;</w:t>
      </w:r>
    </w:p>
    <w:p w:rsidR="006462AE" w:rsidRPr="007D46FA" w:rsidRDefault="006462AE" w:rsidP="007D46FA">
      <w:pPr>
        <w:pStyle w:val="a6"/>
        <w:ind w:firstLine="425"/>
        <w:jc w:val="both"/>
        <w:rPr>
          <w:rFonts w:ascii="Times New Roman" w:hAnsi="Times New Roman" w:cs="Times New Roman"/>
          <w:lang w:val="en-US"/>
        </w:rPr>
      </w:pPr>
      <w:bookmarkStart w:id="0" w:name="_GoBack"/>
      <w:bookmarkEnd w:id="0"/>
      <w:r w:rsidRPr="007D46FA">
        <w:rPr>
          <w:rFonts w:ascii="Times New Roman" w:hAnsi="Times New Roman" w:cs="Times New Roman"/>
          <w:lang w:val="en-US"/>
        </w:rPr>
        <w:t>2) an agreement for the sale by a resident to a non-resident of shares, equity interests in the capital of a non-resident investment object, real estate abroad, if the resident has previously received a registration number for a currency agreement on the capital flow for the resident's participation in the capital (acquisition by a resident of shares, equity interests) of a non-resident investment object, for the acquisition of real estate abroad in ownership;</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3) an agreement for the repurchase by a resident investment object from a non-resident of its own shares, interests in the capital, if the resident has previously received an accounting number for a currency agreement on the capital flow on the non-resident’s participation in the capital of a resident investment object;</w:t>
      </w:r>
    </w:p>
    <w:p w:rsidR="006462AE" w:rsidRPr="007D46FA" w:rsidRDefault="006462AE" w:rsidP="007D46FA">
      <w:pPr>
        <w:pStyle w:val="a6"/>
        <w:ind w:firstLine="425"/>
        <w:jc w:val="both"/>
        <w:rPr>
          <w:rFonts w:ascii="Times New Roman" w:hAnsi="Times New Roman" w:cs="Times New Roman"/>
          <w:lang w:val="en-US"/>
        </w:rPr>
      </w:pPr>
      <w:r w:rsidRPr="007D46FA">
        <w:rPr>
          <w:rFonts w:ascii="Times New Roman" w:hAnsi="Times New Roman" w:cs="Times New Roman"/>
          <w:lang w:val="en-US"/>
        </w:rPr>
        <w:t>4) advances for participation in trading on collateral – securities, equity instruments, real estate.</w:t>
      </w:r>
    </w:p>
    <w:p w:rsidR="006462AE" w:rsidRPr="007D46FA" w:rsidRDefault="006462AE" w:rsidP="007D46FA">
      <w:pPr>
        <w:pStyle w:val="a6"/>
        <w:ind w:firstLine="425"/>
        <w:jc w:val="both"/>
        <w:rPr>
          <w:rFonts w:ascii="Times New Roman" w:hAnsi="Times New Roman" w:cs="Times New Roman"/>
          <w:lang w:val="en-US"/>
        </w:rPr>
      </w:pPr>
    </w:p>
    <w:p w:rsidR="006462AE" w:rsidRPr="007D46FA" w:rsidRDefault="006462AE" w:rsidP="007D46FA">
      <w:pPr>
        <w:pStyle w:val="a6"/>
        <w:ind w:firstLine="425"/>
        <w:jc w:val="both"/>
        <w:rPr>
          <w:rFonts w:ascii="Times New Roman" w:hAnsi="Times New Roman" w:cs="Times New Roman"/>
          <w:lang w:val="en-US"/>
        </w:rPr>
      </w:pPr>
    </w:p>
  </w:endnote>
  <w:endnote w:id="3">
    <w:p w:rsidR="00140A49" w:rsidRPr="007D46FA" w:rsidRDefault="00140A49" w:rsidP="007D46FA">
      <w:pPr>
        <w:pStyle w:val="a6"/>
        <w:ind w:firstLine="425"/>
        <w:jc w:val="both"/>
        <w:rPr>
          <w:rFonts w:ascii="Times New Roman" w:hAnsi="Times New Roman" w:cs="Times New Roman"/>
          <w:lang w:val="en-US"/>
        </w:rPr>
      </w:pPr>
      <w:r w:rsidRPr="007D46FA">
        <w:rPr>
          <w:rStyle w:val="a8"/>
          <w:rFonts w:ascii="Times New Roman" w:hAnsi="Times New Roman" w:cs="Times New Roman"/>
        </w:rPr>
        <w:endnoteRef/>
      </w:r>
      <w:r w:rsidR="00A44446" w:rsidRPr="007D46FA">
        <w:rPr>
          <w:rFonts w:ascii="Times New Roman" w:hAnsi="Times New Roman" w:cs="Times New Roman"/>
          <w:lang w:val="en-US"/>
        </w:rPr>
        <w:t> </w:t>
      </w:r>
      <w:r w:rsidRPr="007D46FA">
        <w:rPr>
          <w:rFonts w:ascii="Times New Roman" w:hAnsi="Times New Roman" w:cs="Times New Roman"/>
          <w:lang w:val="en-US"/>
        </w:rPr>
        <w:t xml:space="preserve">For foreign exchange transactions in the amount equal to or exceeding 50,000 US dollars in equivalent. </w:t>
      </w:r>
      <w:r w:rsidR="00D354D5" w:rsidRPr="007D46FA">
        <w:rPr>
          <w:rFonts w:ascii="Times New Roman" w:hAnsi="Times New Roman" w:cs="Times New Roman"/>
          <w:lang w:val="en-US"/>
        </w:rPr>
        <w:t>From January 1, 2025, the threshold for currency transactions of individuals will be reduced from 50,000 USD to 10,000 USD.</w:t>
      </w:r>
    </w:p>
    <w:p w:rsidR="00140A49" w:rsidRPr="007D46FA" w:rsidRDefault="00140A49" w:rsidP="007D46FA">
      <w:pPr>
        <w:pStyle w:val="a6"/>
        <w:ind w:firstLine="425"/>
        <w:jc w:val="both"/>
        <w:rPr>
          <w:rFonts w:ascii="Times New Roman" w:hAnsi="Times New Roman" w:cs="Times New Roman"/>
          <w:lang w:val="en-US"/>
        </w:rPr>
      </w:pPr>
    </w:p>
  </w:endnote>
  <w:endnote w:id="4">
    <w:p w:rsidR="00140A49" w:rsidRPr="007D46FA" w:rsidRDefault="00140A49" w:rsidP="007D46FA">
      <w:pPr>
        <w:pStyle w:val="a6"/>
        <w:ind w:firstLine="425"/>
        <w:jc w:val="both"/>
        <w:rPr>
          <w:rFonts w:ascii="Times New Roman" w:hAnsi="Times New Roman" w:cs="Times New Roman"/>
          <w:lang w:val="en-US"/>
        </w:rPr>
      </w:pPr>
      <w:r w:rsidRPr="007D46FA">
        <w:rPr>
          <w:rStyle w:val="a8"/>
          <w:rFonts w:ascii="Times New Roman" w:hAnsi="Times New Roman" w:cs="Times New Roman"/>
        </w:rPr>
        <w:endnoteRef/>
      </w:r>
      <w:r w:rsidR="00A44446" w:rsidRPr="007D46FA">
        <w:rPr>
          <w:rFonts w:ascii="Times New Roman" w:hAnsi="Times New Roman" w:cs="Times New Roman"/>
          <w:lang w:val="en-US"/>
        </w:rPr>
        <w:t> </w:t>
      </w:r>
      <w:r w:rsidRPr="007D46FA">
        <w:rPr>
          <w:rFonts w:ascii="Times New Roman" w:hAnsi="Times New Roman" w:cs="Times New Roman"/>
          <w:lang w:val="en-US"/>
        </w:rPr>
        <w:t>Appendix 7 is completed for loans exceeding 500,000 US dollars in equivalent and for a period of more than 180 days.</w:t>
      </w:r>
    </w:p>
    <w:p w:rsidR="00140A49" w:rsidRPr="007D46FA" w:rsidRDefault="00140A49" w:rsidP="007D46FA">
      <w:pPr>
        <w:pStyle w:val="a6"/>
        <w:ind w:firstLine="425"/>
        <w:jc w:val="both"/>
        <w:rPr>
          <w:rFonts w:ascii="Times New Roman" w:hAnsi="Times New Roman" w:cs="Times New Roman"/>
          <w:lang w:val="en-US"/>
        </w:rPr>
      </w:pPr>
    </w:p>
    <w:p w:rsidR="00140A49" w:rsidRPr="007C0DB7" w:rsidRDefault="00140A49" w:rsidP="007D46FA">
      <w:pPr>
        <w:pStyle w:val="a6"/>
        <w:ind w:firstLine="425"/>
        <w:jc w:val="both"/>
        <w:rPr>
          <w:rFonts w:ascii="Times New Roman" w:hAnsi="Times New Roman" w:cs="Times New Roman"/>
          <w:lang w:val="en-US"/>
        </w:rPr>
      </w:pPr>
      <w:r w:rsidRPr="007D46FA">
        <w:rPr>
          <w:rFonts w:ascii="Times New Roman" w:hAnsi="Times New Roman" w:cs="Times New Roman"/>
          <w:vertAlign w:val="superscript"/>
          <w:lang w:val="en-US"/>
        </w:rPr>
        <w:t>5</w:t>
      </w:r>
      <w:r w:rsidR="00A44446" w:rsidRPr="007D46FA">
        <w:rPr>
          <w:rFonts w:ascii="Times New Roman" w:hAnsi="Times New Roman" w:cs="Times New Roman"/>
          <w:lang w:val="en-US"/>
        </w:rPr>
        <w:t> </w:t>
      </w:r>
      <w:r w:rsidRPr="007D46FA">
        <w:rPr>
          <w:rFonts w:ascii="Times New Roman" w:hAnsi="Times New Roman" w:cs="Times New Roman"/>
          <w:lang w:val="en-US"/>
        </w:rPr>
        <w:t>Transactions involving a financial derivative that is acquired for the purpose of using or selling the underlying asset and cannot be transferred (sold) regardless of the underlying asset are treated as foreign exchange transactions with the underlying asset.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969" w:rsidRDefault="00670969" w:rsidP="0019275D">
      <w:pPr>
        <w:spacing w:after="0" w:line="240" w:lineRule="auto"/>
      </w:pPr>
      <w:r>
        <w:separator/>
      </w:r>
    </w:p>
  </w:footnote>
  <w:footnote w:type="continuationSeparator" w:id="0">
    <w:p w:rsidR="00670969" w:rsidRDefault="00670969" w:rsidP="0019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A4C22"/>
    <w:multiLevelType w:val="hybridMultilevel"/>
    <w:tmpl w:val="09B24BC0"/>
    <w:lvl w:ilvl="0" w:tplc="43CC45B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43391D79"/>
    <w:multiLevelType w:val="hybridMultilevel"/>
    <w:tmpl w:val="AB7C4F58"/>
    <w:lvl w:ilvl="0" w:tplc="43CC45B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4F4C56AB"/>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51464064"/>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6AD24E94"/>
    <w:multiLevelType w:val="hybridMultilevel"/>
    <w:tmpl w:val="B4D848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73705417"/>
    <w:multiLevelType w:val="hybridMultilevel"/>
    <w:tmpl w:val="6B82D0DE"/>
    <w:lvl w:ilvl="0" w:tplc="43CC45B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79A44AFB"/>
    <w:multiLevelType w:val="hybridMultilevel"/>
    <w:tmpl w:val="A3E2C28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0B"/>
    <w:rsid w:val="000326B4"/>
    <w:rsid w:val="00035590"/>
    <w:rsid w:val="00042CD2"/>
    <w:rsid w:val="00050D32"/>
    <w:rsid w:val="000867FF"/>
    <w:rsid w:val="000979CC"/>
    <w:rsid w:val="000B638C"/>
    <w:rsid w:val="000C1507"/>
    <w:rsid w:val="000D72D5"/>
    <w:rsid w:val="000E185E"/>
    <w:rsid w:val="00101CA5"/>
    <w:rsid w:val="00116A02"/>
    <w:rsid w:val="00133A3A"/>
    <w:rsid w:val="00140A49"/>
    <w:rsid w:val="00147E9B"/>
    <w:rsid w:val="00155BFA"/>
    <w:rsid w:val="00192314"/>
    <w:rsid w:val="0019275D"/>
    <w:rsid w:val="001A7949"/>
    <w:rsid w:val="001D5B5D"/>
    <w:rsid w:val="001E265B"/>
    <w:rsid w:val="001E5FFA"/>
    <w:rsid w:val="001E6B7F"/>
    <w:rsid w:val="001E750B"/>
    <w:rsid w:val="001F5A2A"/>
    <w:rsid w:val="001F78A3"/>
    <w:rsid w:val="002055FE"/>
    <w:rsid w:val="00234F54"/>
    <w:rsid w:val="00275CC5"/>
    <w:rsid w:val="002A1DE9"/>
    <w:rsid w:val="002B107A"/>
    <w:rsid w:val="002B7654"/>
    <w:rsid w:val="002C5259"/>
    <w:rsid w:val="002F790A"/>
    <w:rsid w:val="0030153F"/>
    <w:rsid w:val="0037423A"/>
    <w:rsid w:val="00385278"/>
    <w:rsid w:val="003943B8"/>
    <w:rsid w:val="003B0855"/>
    <w:rsid w:val="003B2C02"/>
    <w:rsid w:val="003D48E5"/>
    <w:rsid w:val="003E1340"/>
    <w:rsid w:val="003F3ACE"/>
    <w:rsid w:val="00405410"/>
    <w:rsid w:val="00422580"/>
    <w:rsid w:val="00467101"/>
    <w:rsid w:val="00472416"/>
    <w:rsid w:val="004D293A"/>
    <w:rsid w:val="004D4D14"/>
    <w:rsid w:val="004E0F61"/>
    <w:rsid w:val="00507740"/>
    <w:rsid w:val="005111A7"/>
    <w:rsid w:val="0051681E"/>
    <w:rsid w:val="0056033C"/>
    <w:rsid w:val="00560445"/>
    <w:rsid w:val="005641F2"/>
    <w:rsid w:val="005D10D9"/>
    <w:rsid w:val="005D34A0"/>
    <w:rsid w:val="005F43CB"/>
    <w:rsid w:val="005F7F53"/>
    <w:rsid w:val="00635B5D"/>
    <w:rsid w:val="006462AE"/>
    <w:rsid w:val="00651A3F"/>
    <w:rsid w:val="0066678C"/>
    <w:rsid w:val="00670969"/>
    <w:rsid w:val="006A0B7E"/>
    <w:rsid w:val="006A4651"/>
    <w:rsid w:val="006D685A"/>
    <w:rsid w:val="00724462"/>
    <w:rsid w:val="00740842"/>
    <w:rsid w:val="007632B8"/>
    <w:rsid w:val="007B0061"/>
    <w:rsid w:val="007C0661"/>
    <w:rsid w:val="007C0DB7"/>
    <w:rsid w:val="007D46FA"/>
    <w:rsid w:val="00826C85"/>
    <w:rsid w:val="008332DC"/>
    <w:rsid w:val="0084324A"/>
    <w:rsid w:val="00854C74"/>
    <w:rsid w:val="008D5ABF"/>
    <w:rsid w:val="00905547"/>
    <w:rsid w:val="0092011B"/>
    <w:rsid w:val="00921EB4"/>
    <w:rsid w:val="00955E3D"/>
    <w:rsid w:val="0096350B"/>
    <w:rsid w:val="009677A8"/>
    <w:rsid w:val="00986586"/>
    <w:rsid w:val="009B3C1E"/>
    <w:rsid w:val="009D423C"/>
    <w:rsid w:val="009D6DD0"/>
    <w:rsid w:val="009E34B3"/>
    <w:rsid w:val="00A06D83"/>
    <w:rsid w:val="00A072F1"/>
    <w:rsid w:val="00A13F1D"/>
    <w:rsid w:val="00A44446"/>
    <w:rsid w:val="00AA3335"/>
    <w:rsid w:val="00AC08CD"/>
    <w:rsid w:val="00AC6936"/>
    <w:rsid w:val="00B5059F"/>
    <w:rsid w:val="00BB24EE"/>
    <w:rsid w:val="00BE1F89"/>
    <w:rsid w:val="00BF4E1B"/>
    <w:rsid w:val="00C000EB"/>
    <w:rsid w:val="00C00654"/>
    <w:rsid w:val="00C0226E"/>
    <w:rsid w:val="00C024E3"/>
    <w:rsid w:val="00C32511"/>
    <w:rsid w:val="00C6613C"/>
    <w:rsid w:val="00C87EBC"/>
    <w:rsid w:val="00CE0F66"/>
    <w:rsid w:val="00D21D27"/>
    <w:rsid w:val="00D2464A"/>
    <w:rsid w:val="00D25784"/>
    <w:rsid w:val="00D354D5"/>
    <w:rsid w:val="00D5306C"/>
    <w:rsid w:val="00D53456"/>
    <w:rsid w:val="00D61936"/>
    <w:rsid w:val="00D637A4"/>
    <w:rsid w:val="00DA0C5E"/>
    <w:rsid w:val="00DA4951"/>
    <w:rsid w:val="00DF0299"/>
    <w:rsid w:val="00E06931"/>
    <w:rsid w:val="00E07B5C"/>
    <w:rsid w:val="00E12E55"/>
    <w:rsid w:val="00E2071E"/>
    <w:rsid w:val="00E218CA"/>
    <w:rsid w:val="00E32C84"/>
    <w:rsid w:val="00E44E1C"/>
    <w:rsid w:val="00E4554B"/>
    <w:rsid w:val="00E73C2F"/>
    <w:rsid w:val="00E73D73"/>
    <w:rsid w:val="00E9113E"/>
    <w:rsid w:val="00E914BC"/>
    <w:rsid w:val="00EB2F03"/>
    <w:rsid w:val="00ED1E02"/>
    <w:rsid w:val="00ED32F1"/>
    <w:rsid w:val="00EF1CBA"/>
    <w:rsid w:val="00F04D22"/>
    <w:rsid w:val="00F0778B"/>
    <w:rsid w:val="00F57DF5"/>
    <w:rsid w:val="00F72529"/>
    <w:rsid w:val="00FA1651"/>
    <w:rsid w:val="00FD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B3D4"/>
  <w15:docId w15:val="{B4C16A5E-96AE-47FA-830E-7AB882E6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275D"/>
    <w:pPr>
      <w:spacing w:after="0" w:line="240" w:lineRule="auto"/>
    </w:pPr>
    <w:rPr>
      <w:sz w:val="20"/>
      <w:szCs w:val="20"/>
    </w:rPr>
  </w:style>
  <w:style w:type="character" w:customStyle="1" w:styleId="a4">
    <w:name w:val="Текст сноски Знак"/>
    <w:basedOn w:val="a0"/>
    <w:link w:val="a3"/>
    <w:uiPriority w:val="99"/>
    <w:semiHidden/>
    <w:rsid w:val="0019275D"/>
    <w:rPr>
      <w:sz w:val="20"/>
      <w:szCs w:val="20"/>
    </w:rPr>
  </w:style>
  <w:style w:type="character" w:styleId="a5">
    <w:name w:val="footnote reference"/>
    <w:basedOn w:val="a0"/>
    <w:uiPriority w:val="99"/>
    <w:semiHidden/>
    <w:unhideWhenUsed/>
    <w:rsid w:val="0019275D"/>
    <w:rPr>
      <w:vertAlign w:val="superscript"/>
    </w:rPr>
  </w:style>
  <w:style w:type="paragraph" w:styleId="a6">
    <w:name w:val="endnote text"/>
    <w:basedOn w:val="a"/>
    <w:link w:val="a7"/>
    <w:uiPriority w:val="99"/>
    <w:unhideWhenUsed/>
    <w:rsid w:val="0019275D"/>
    <w:pPr>
      <w:spacing w:after="0" w:line="240" w:lineRule="auto"/>
    </w:pPr>
    <w:rPr>
      <w:sz w:val="20"/>
      <w:szCs w:val="20"/>
    </w:rPr>
  </w:style>
  <w:style w:type="character" w:customStyle="1" w:styleId="a7">
    <w:name w:val="Текст концевой сноски Знак"/>
    <w:basedOn w:val="a0"/>
    <w:link w:val="a6"/>
    <w:uiPriority w:val="99"/>
    <w:rsid w:val="0019275D"/>
    <w:rPr>
      <w:sz w:val="20"/>
      <w:szCs w:val="20"/>
    </w:rPr>
  </w:style>
  <w:style w:type="character" w:styleId="a8">
    <w:name w:val="endnote reference"/>
    <w:basedOn w:val="a0"/>
    <w:uiPriority w:val="99"/>
    <w:semiHidden/>
    <w:unhideWhenUsed/>
    <w:rsid w:val="0019275D"/>
    <w:rPr>
      <w:vertAlign w:val="superscript"/>
    </w:rPr>
  </w:style>
  <w:style w:type="paragraph" w:styleId="a9">
    <w:name w:val="List Paragraph"/>
    <w:basedOn w:val="a"/>
    <w:uiPriority w:val="34"/>
    <w:qFormat/>
    <w:rsid w:val="00D637A4"/>
    <w:pPr>
      <w:ind w:left="720"/>
      <w:contextualSpacing/>
    </w:pPr>
  </w:style>
  <w:style w:type="paragraph" w:styleId="aa">
    <w:name w:val="Normal (Web)"/>
    <w:basedOn w:val="a"/>
    <w:uiPriority w:val="99"/>
    <w:unhideWhenUsed/>
    <w:rsid w:val="00140A49"/>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55800">
      <w:bodyDiv w:val="1"/>
      <w:marLeft w:val="0"/>
      <w:marRight w:val="0"/>
      <w:marTop w:val="0"/>
      <w:marBottom w:val="0"/>
      <w:divBdr>
        <w:top w:val="none" w:sz="0" w:space="0" w:color="auto"/>
        <w:left w:val="none" w:sz="0" w:space="0" w:color="auto"/>
        <w:bottom w:val="none" w:sz="0" w:space="0" w:color="auto"/>
        <w:right w:val="none" w:sz="0" w:space="0" w:color="auto"/>
      </w:divBdr>
    </w:div>
    <w:div w:id="19282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1DE6D-3ACC-4148-99BF-CA47A7C5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dc:creator>
  <cp:lastModifiedBy>Мадина Ергалиева</cp:lastModifiedBy>
  <cp:revision>2</cp:revision>
  <dcterms:created xsi:type="dcterms:W3CDTF">2024-12-05T10:29:00Z</dcterms:created>
  <dcterms:modified xsi:type="dcterms:W3CDTF">2024-12-05T10:29:00Z</dcterms:modified>
</cp:coreProperties>
</file>