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2DE" w:rsidRPr="00D047B8" w:rsidRDefault="008F3C6D" w:rsidP="00323CA3">
      <w:pPr>
        <w:spacing w:after="0" w:line="240" w:lineRule="auto"/>
        <w:jc w:val="center"/>
        <w:rPr>
          <w:rFonts w:ascii="Times New Roman CYR" w:eastAsia="Times New Roman" w:hAnsi="Times New Roman CYR" w:cs="Times New Roman CYR"/>
          <w:b/>
          <w:bCs/>
          <w:sz w:val="20"/>
          <w:szCs w:val="28"/>
          <w:vertAlign w:val="superscript"/>
          <w:lang w:val="kk-KZ" w:eastAsia="ru-RU"/>
        </w:rPr>
      </w:pPr>
      <w:r w:rsidRPr="008F3C6D">
        <w:rPr>
          <w:rFonts w:ascii="Times New Roman CYR" w:eastAsia="Times New Roman" w:hAnsi="Times New Roman CYR" w:cs="Times New Roman CYR"/>
          <w:b/>
          <w:bCs/>
          <w:sz w:val="20"/>
          <w:szCs w:val="28"/>
          <w:lang w:val="kk-KZ" w:eastAsia="ru-RU"/>
        </w:rPr>
        <w:t>Капитал қозғалысы бойынша валюталық шарттарды есептік тіркеу және шетелдік банктердегі шоттар туралы хабарлама</w:t>
      </w:r>
      <w:r w:rsidR="00B072DE">
        <w:rPr>
          <w:rStyle w:val="a8"/>
          <w:rFonts w:ascii="Times New Roman CYR" w:eastAsia="Times New Roman" w:hAnsi="Times New Roman CYR" w:cs="Times New Roman CYR"/>
          <w:b/>
          <w:bCs/>
          <w:sz w:val="20"/>
          <w:szCs w:val="28"/>
          <w:lang w:val="kk-KZ" w:eastAsia="ru-RU"/>
        </w:rPr>
        <w:endnoteReference w:id="1"/>
      </w:r>
    </w:p>
    <w:p w:rsidR="00B072DE" w:rsidRPr="00FF6704" w:rsidRDefault="00B072DE" w:rsidP="00155BFA">
      <w:pPr>
        <w:spacing w:after="0" w:line="240" w:lineRule="auto"/>
        <w:jc w:val="center"/>
        <w:rPr>
          <w:rFonts w:ascii="Times New Roman CYR" w:eastAsia="Times New Roman" w:hAnsi="Times New Roman CYR" w:cs="Times New Roman CYR"/>
          <w:b/>
          <w:bCs/>
          <w:i/>
          <w:iCs/>
          <w:sz w:val="20"/>
          <w:szCs w:val="28"/>
          <w:lang w:val="kk-KZ" w:eastAsia="ru-RU"/>
        </w:rPr>
      </w:pPr>
      <w:r w:rsidRPr="00FF6704">
        <w:rPr>
          <w:rFonts w:ascii="Times New Roman CYR" w:eastAsia="Times New Roman" w:hAnsi="Times New Roman CYR" w:cs="Times New Roman CYR"/>
          <w:b/>
          <w:bCs/>
          <w:i/>
          <w:sz w:val="20"/>
          <w:szCs w:val="28"/>
          <w:lang w:val="kk-KZ" w:eastAsia="ru-RU"/>
        </w:rPr>
        <w:t>(2024 жылғы 15 қыркүйектегі жағдай бойынша өзгерістер мен толықтырулар енгізілген)</w:t>
      </w:r>
    </w:p>
    <w:p w:rsidR="00B072DE" w:rsidRPr="00D047B8" w:rsidRDefault="00B072DE" w:rsidP="00155BFA">
      <w:pPr>
        <w:spacing w:after="0" w:line="240" w:lineRule="auto"/>
        <w:jc w:val="center"/>
        <w:rPr>
          <w:sz w:val="18"/>
          <w:szCs w:val="18"/>
          <w:lang w:val="kk-KZ"/>
        </w:rPr>
      </w:pPr>
    </w:p>
    <w:tbl>
      <w:tblPr>
        <w:tblW w:w="5000" w:type="pct"/>
        <w:tblLook w:val="04A0" w:firstRow="1" w:lastRow="0" w:firstColumn="1" w:lastColumn="0" w:noHBand="0" w:noVBand="1"/>
      </w:tblPr>
      <w:tblGrid>
        <w:gridCol w:w="311"/>
        <w:gridCol w:w="2642"/>
        <w:gridCol w:w="2814"/>
        <w:gridCol w:w="4799"/>
        <w:gridCol w:w="3543"/>
        <w:gridCol w:w="1868"/>
      </w:tblGrid>
      <w:tr w:rsidR="00B072DE" w:rsidRPr="00D047B8" w:rsidTr="003474AC">
        <w:trPr>
          <w:trHeight w:val="945"/>
          <w:tblHeader/>
        </w:trPr>
        <w:tc>
          <w:tcPr>
            <w:tcW w:w="97"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B072DE" w:rsidRPr="00D047B8" w:rsidRDefault="00B072DE" w:rsidP="00D2464A">
            <w:pPr>
              <w:spacing w:after="0" w:line="240" w:lineRule="auto"/>
              <w:jc w:val="center"/>
              <w:rPr>
                <w:rFonts w:ascii="Times New Roman" w:eastAsia="Times New Roman" w:hAnsi="Times New Roman"/>
                <w:b/>
                <w:bCs/>
                <w:sz w:val="19"/>
                <w:szCs w:val="19"/>
                <w:lang w:val="kk-KZ" w:eastAsia="ru-RU"/>
              </w:rPr>
            </w:pPr>
          </w:p>
        </w:tc>
        <w:tc>
          <w:tcPr>
            <w:tcW w:w="833" w:type="pct"/>
            <w:tcBorders>
              <w:top w:val="single" w:sz="4" w:space="0" w:color="auto"/>
              <w:left w:val="nil"/>
              <w:bottom w:val="single" w:sz="4" w:space="0" w:color="auto"/>
              <w:right w:val="single" w:sz="4" w:space="0" w:color="auto"/>
            </w:tcBorders>
            <w:shd w:val="clear" w:color="000000" w:fill="92D050"/>
            <w:vAlign w:val="center"/>
            <w:hideMark/>
          </w:tcPr>
          <w:p w:rsidR="00B072DE" w:rsidRPr="00D047B8" w:rsidRDefault="00B072DE" w:rsidP="00D2464A">
            <w:pPr>
              <w:spacing w:after="0" w:line="240" w:lineRule="auto"/>
              <w:jc w:val="center"/>
              <w:rPr>
                <w:rFonts w:ascii="Times New Roman" w:eastAsia="Times New Roman" w:hAnsi="Times New Roman"/>
                <w:b/>
                <w:bCs/>
                <w:sz w:val="19"/>
                <w:szCs w:val="19"/>
                <w:lang w:val="kk-KZ" w:eastAsia="ru-RU"/>
              </w:rPr>
            </w:pPr>
            <w:r w:rsidRPr="00D047B8">
              <w:rPr>
                <w:rFonts w:ascii="Times New Roman" w:eastAsia="Times New Roman" w:hAnsi="Times New Roman"/>
                <w:b/>
                <w:bCs/>
                <w:sz w:val="19"/>
                <w:szCs w:val="19"/>
                <w:lang w:val="kk-KZ" w:eastAsia="ru-RU"/>
              </w:rPr>
              <w:t>Капитал қозғалысы операциялары, шетелдік банктердегі шоттар</w:t>
            </w:r>
          </w:p>
        </w:tc>
        <w:tc>
          <w:tcPr>
            <w:tcW w:w="887"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B072DE" w:rsidRPr="00D047B8" w:rsidRDefault="00B072DE" w:rsidP="00854C74">
            <w:pPr>
              <w:spacing w:after="0" w:line="240" w:lineRule="auto"/>
              <w:jc w:val="center"/>
              <w:rPr>
                <w:rFonts w:ascii="Times New Roman" w:eastAsia="Times New Roman" w:hAnsi="Times New Roman"/>
                <w:b/>
                <w:bCs/>
                <w:sz w:val="19"/>
                <w:szCs w:val="19"/>
                <w:lang w:val="kk-KZ" w:eastAsia="ru-RU"/>
              </w:rPr>
            </w:pPr>
            <w:r w:rsidRPr="00D047B8">
              <w:rPr>
                <w:rFonts w:ascii="Times New Roman" w:eastAsia="Times New Roman" w:hAnsi="Times New Roman"/>
                <w:b/>
                <w:bCs/>
                <w:sz w:val="19"/>
                <w:szCs w:val="19"/>
                <w:lang w:val="kk-KZ" w:eastAsia="ru-RU"/>
              </w:rPr>
              <w:t>ҚР аумағында қызметін жүзеге асыратын банктер, шетелдік банктердің филиалдары (өз операциялары)</w:t>
            </w:r>
          </w:p>
        </w:tc>
        <w:tc>
          <w:tcPr>
            <w:tcW w:w="1508" w:type="pct"/>
            <w:tcBorders>
              <w:top w:val="single" w:sz="4" w:space="0" w:color="auto"/>
              <w:left w:val="nil"/>
              <w:bottom w:val="single" w:sz="4" w:space="0" w:color="auto"/>
              <w:right w:val="single" w:sz="4" w:space="0" w:color="auto"/>
            </w:tcBorders>
            <w:shd w:val="clear" w:color="000000" w:fill="92D050"/>
            <w:vAlign w:val="center"/>
            <w:hideMark/>
          </w:tcPr>
          <w:p w:rsidR="00B072DE" w:rsidRPr="00D047B8" w:rsidRDefault="00B072DE" w:rsidP="00D2464A">
            <w:pPr>
              <w:spacing w:after="0" w:line="240" w:lineRule="auto"/>
              <w:jc w:val="center"/>
              <w:rPr>
                <w:rFonts w:ascii="Times New Roman" w:eastAsia="Times New Roman" w:hAnsi="Times New Roman"/>
                <w:b/>
                <w:bCs/>
                <w:sz w:val="19"/>
                <w:szCs w:val="19"/>
                <w:lang w:val="kk-KZ" w:eastAsia="ru-RU"/>
              </w:rPr>
            </w:pPr>
            <w:r w:rsidRPr="00D047B8">
              <w:rPr>
                <w:rFonts w:ascii="Times New Roman" w:hAnsi="Times New Roman"/>
                <w:b/>
                <w:color w:val="000000"/>
                <w:sz w:val="19"/>
                <w:szCs w:val="19"/>
                <w:lang w:val="kk-KZ"/>
              </w:rPr>
              <w:t>Басқа қаржы ұйымдары, қаржылық емес ұйымдар</w:t>
            </w:r>
          </w:p>
        </w:tc>
        <w:tc>
          <w:tcPr>
            <w:tcW w:w="1115" w:type="pct"/>
            <w:tcBorders>
              <w:top w:val="single" w:sz="4" w:space="0" w:color="auto"/>
              <w:left w:val="nil"/>
              <w:bottom w:val="single" w:sz="4" w:space="0" w:color="auto"/>
              <w:right w:val="single" w:sz="4" w:space="0" w:color="auto"/>
            </w:tcBorders>
            <w:shd w:val="clear" w:color="000000" w:fill="92D050"/>
            <w:vAlign w:val="center"/>
            <w:hideMark/>
          </w:tcPr>
          <w:p w:rsidR="00B072DE" w:rsidRPr="00D047B8" w:rsidRDefault="00B072DE" w:rsidP="00D2464A">
            <w:pPr>
              <w:spacing w:after="0" w:line="240" w:lineRule="auto"/>
              <w:jc w:val="center"/>
              <w:rPr>
                <w:rFonts w:ascii="Times New Roman" w:eastAsia="Times New Roman" w:hAnsi="Times New Roman"/>
                <w:b/>
                <w:bCs/>
                <w:sz w:val="19"/>
                <w:szCs w:val="19"/>
                <w:lang w:val="kk-KZ" w:eastAsia="ru-RU"/>
              </w:rPr>
            </w:pPr>
            <w:r w:rsidRPr="00D047B8">
              <w:rPr>
                <w:rFonts w:ascii="Times New Roman" w:hAnsi="Times New Roman"/>
                <w:b/>
                <w:color w:val="000000"/>
                <w:sz w:val="19"/>
                <w:szCs w:val="19"/>
                <w:lang w:val="kk-KZ"/>
              </w:rPr>
              <w:t>Жеке тұлғалар</w:t>
            </w:r>
          </w:p>
        </w:tc>
        <w:tc>
          <w:tcPr>
            <w:tcW w:w="560" w:type="pct"/>
            <w:tcBorders>
              <w:top w:val="single" w:sz="4" w:space="0" w:color="auto"/>
              <w:left w:val="nil"/>
              <w:bottom w:val="single" w:sz="4" w:space="0" w:color="auto"/>
              <w:right w:val="single" w:sz="4" w:space="0" w:color="auto"/>
            </w:tcBorders>
            <w:shd w:val="clear" w:color="000000" w:fill="92D050"/>
            <w:vAlign w:val="center"/>
          </w:tcPr>
          <w:p w:rsidR="00B072DE" w:rsidRPr="00D047B8" w:rsidRDefault="00B072DE" w:rsidP="00D2464A">
            <w:pPr>
              <w:spacing w:after="0" w:line="240" w:lineRule="auto"/>
              <w:jc w:val="center"/>
              <w:rPr>
                <w:rFonts w:ascii="Times New Roman" w:eastAsia="Times New Roman" w:hAnsi="Times New Roman"/>
                <w:b/>
                <w:bCs/>
                <w:sz w:val="19"/>
                <w:szCs w:val="19"/>
                <w:lang w:val="kk-KZ" w:eastAsia="ru-RU"/>
              </w:rPr>
            </w:pPr>
            <w:r w:rsidRPr="00D047B8">
              <w:rPr>
                <w:rFonts w:ascii="Times New Roman" w:hAnsi="Times New Roman"/>
                <w:b/>
                <w:color w:val="000000"/>
                <w:sz w:val="19"/>
                <w:szCs w:val="19"/>
                <w:lang w:val="kk-KZ"/>
              </w:rPr>
              <w:t>Уәкілетті банктер</w:t>
            </w:r>
          </w:p>
        </w:tc>
      </w:tr>
      <w:tr w:rsidR="00B072DE" w:rsidRPr="00323CA3" w:rsidTr="003474AC">
        <w:trPr>
          <w:trHeight w:val="197"/>
        </w:trPr>
        <w:tc>
          <w:tcPr>
            <w:tcW w:w="97" w:type="pct"/>
            <w:vMerge w:val="restart"/>
            <w:tcBorders>
              <w:top w:val="nil"/>
              <w:left w:val="single" w:sz="4" w:space="0" w:color="auto"/>
              <w:right w:val="single" w:sz="4" w:space="0" w:color="auto"/>
            </w:tcBorders>
            <w:shd w:val="clear" w:color="auto" w:fill="auto"/>
            <w:vAlign w:val="center"/>
            <w:hideMark/>
          </w:tcPr>
          <w:p w:rsidR="00B072DE" w:rsidRPr="00D047B8" w:rsidRDefault="00B072DE" w:rsidP="00D2464A">
            <w:pPr>
              <w:spacing w:before="240" w:line="240" w:lineRule="auto"/>
              <w:contextualSpacing/>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1</w:t>
            </w:r>
          </w:p>
        </w:tc>
        <w:tc>
          <w:tcPr>
            <w:tcW w:w="833" w:type="pct"/>
            <w:vMerge w:val="restart"/>
            <w:tcBorders>
              <w:top w:val="nil"/>
              <w:left w:val="single" w:sz="4" w:space="0" w:color="auto"/>
              <w:right w:val="single" w:sz="4" w:space="0" w:color="auto"/>
            </w:tcBorders>
            <w:shd w:val="clear" w:color="auto" w:fill="auto"/>
            <w:vAlign w:val="center"/>
            <w:hideMark/>
          </w:tcPr>
          <w:p w:rsidR="00B072DE" w:rsidRPr="00D047B8" w:rsidRDefault="00B072DE" w:rsidP="00300A45">
            <w:pPr>
              <w:spacing w:before="240" w:line="240" w:lineRule="auto"/>
              <w:contextualSpacing/>
              <w:jc w:val="both"/>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Капиталға қатысу</w:t>
            </w:r>
          </w:p>
        </w:tc>
        <w:tc>
          <w:tcPr>
            <w:tcW w:w="887"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B072DE" w:rsidRPr="00D047B8" w:rsidRDefault="00B072DE" w:rsidP="00D2464A">
            <w:pPr>
              <w:spacing w:before="240" w:line="240" w:lineRule="auto"/>
              <w:contextualSpacing/>
              <w:rPr>
                <w:rFonts w:ascii="Times New Roman" w:eastAsia="Times New Roman" w:hAnsi="Times New Roman"/>
                <w:sz w:val="19"/>
                <w:szCs w:val="19"/>
                <w:lang w:val="kk-KZ" w:eastAsia="ru-RU"/>
              </w:rPr>
            </w:pPr>
          </w:p>
        </w:tc>
        <w:tc>
          <w:tcPr>
            <w:tcW w:w="1508" w:type="pct"/>
            <w:tcBorders>
              <w:top w:val="nil"/>
              <w:left w:val="nil"/>
              <w:bottom w:val="single" w:sz="4" w:space="0" w:color="auto"/>
              <w:right w:val="single" w:sz="4" w:space="0" w:color="auto"/>
            </w:tcBorders>
            <w:shd w:val="clear" w:color="auto" w:fill="auto"/>
            <w:vAlign w:val="center"/>
            <w:hideMark/>
          </w:tcPr>
          <w:p w:rsidR="00B072DE" w:rsidRPr="00B072DE" w:rsidRDefault="00B072DE" w:rsidP="00B93F18">
            <w:pPr>
              <w:spacing w:before="160" w:line="240" w:lineRule="auto"/>
              <w:jc w:val="center"/>
              <w:rPr>
                <w:rFonts w:ascii="Times New Roman" w:eastAsia="Times New Roman" w:hAnsi="Times New Roman"/>
                <w:sz w:val="19"/>
                <w:szCs w:val="19"/>
                <w:lang w:eastAsia="ru-RU"/>
              </w:rPr>
            </w:pPr>
            <w:r w:rsidRPr="00B072DE">
              <w:rPr>
                <w:rFonts w:ascii="Times New Roman" w:eastAsia="Times New Roman" w:hAnsi="Times New Roman"/>
                <w:sz w:val="19"/>
                <w:szCs w:val="19"/>
                <w:lang w:eastAsia="ru-RU"/>
              </w:rPr>
              <w:t>ҚРҰБ АФ есептік тіркеу</w:t>
            </w:r>
            <w:r>
              <w:rPr>
                <w:rStyle w:val="a8"/>
                <w:rFonts w:ascii="Times New Roman" w:eastAsia="Times New Roman" w:hAnsi="Times New Roman"/>
                <w:sz w:val="19"/>
                <w:szCs w:val="19"/>
                <w:lang w:eastAsia="ru-RU"/>
              </w:rPr>
              <w:endnoteReference w:id="2"/>
            </w:r>
          </w:p>
        </w:tc>
        <w:tc>
          <w:tcPr>
            <w:tcW w:w="1115" w:type="pct"/>
            <w:tcBorders>
              <w:top w:val="single" w:sz="4" w:space="0" w:color="auto"/>
              <w:left w:val="nil"/>
              <w:bottom w:val="single" w:sz="4" w:space="0" w:color="auto"/>
              <w:right w:val="single" w:sz="4" w:space="0" w:color="auto"/>
            </w:tcBorders>
            <w:shd w:val="clear" w:color="auto" w:fill="auto"/>
            <w:vAlign w:val="center"/>
            <w:hideMark/>
          </w:tcPr>
          <w:p w:rsidR="00B072DE" w:rsidRPr="00D047B8" w:rsidRDefault="00B072DE" w:rsidP="00B93F18">
            <w:pPr>
              <w:spacing w:before="160" w:line="240" w:lineRule="auto"/>
              <w:jc w:val="center"/>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ҚРҰБ АФ есептік тіркеу</w:t>
            </w:r>
            <w:r w:rsidRPr="00D047B8">
              <w:rPr>
                <w:rFonts w:ascii="Times New Roman" w:eastAsia="Times New Roman" w:hAnsi="Times New Roman"/>
                <w:sz w:val="19"/>
                <w:szCs w:val="19"/>
                <w:vertAlign w:val="superscript"/>
                <w:lang w:val="kk-KZ" w:eastAsia="ru-RU"/>
              </w:rPr>
              <w:t>2</w:t>
            </w:r>
          </w:p>
        </w:tc>
        <w:tc>
          <w:tcPr>
            <w:tcW w:w="560" w:type="pct"/>
            <w:vMerge w:val="restart"/>
            <w:tcBorders>
              <w:top w:val="single" w:sz="4" w:space="0" w:color="auto"/>
              <w:left w:val="nil"/>
              <w:right w:val="single" w:sz="4" w:space="0" w:color="auto"/>
            </w:tcBorders>
          </w:tcPr>
          <w:p w:rsidR="00B072DE" w:rsidRPr="00D047B8" w:rsidRDefault="00B072DE" w:rsidP="00035D9A">
            <w:pPr>
              <w:spacing w:before="160" w:line="240" w:lineRule="auto"/>
              <w:ind w:left="57" w:right="57"/>
              <w:rPr>
                <w:rFonts w:ascii="Times New Roman" w:hAnsi="Times New Roman"/>
                <w:color w:val="000000"/>
                <w:sz w:val="19"/>
                <w:szCs w:val="19"/>
                <w:lang w:val="kk-KZ"/>
              </w:rPr>
            </w:pPr>
            <w:r w:rsidRPr="00D047B8">
              <w:rPr>
                <w:rFonts w:ascii="Times New Roman" w:hAnsi="Times New Roman"/>
                <w:color w:val="000000"/>
                <w:sz w:val="19"/>
                <w:szCs w:val="19"/>
                <w:lang w:val="kk-KZ"/>
              </w:rPr>
              <w:t>Жүргізілген валюталық операциялар туралы, оның ішінде клиенттердің тапсырмасы бойынша жүргізілген валюталық операциялар туралы Қағидалардың 9-қосымшасы</w:t>
            </w:r>
            <w:r>
              <w:rPr>
                <w:rStyle w:val="a8"/>
                <w:rFonts w:ascii="Times New Roman" w:hAnsi="Times New Roman"/>
                <w:color w:val="000000"/>
                <w:sz w:val="19"/>
                <w:szCs w:val="19"/>
                <w:lang w:val="kk-KZ"/>
              </w:rPr>
              <w:endnoteReference w:id="3"/>
            </w:r>
            <w:r w:rsidRPr="00D047B8">
              <w:rPr>
                <w:rFonts w:ascii="Times New Roman" w:hAnsi="Times New Roman"/>
                <w:color w:val="000000"/>
                <w:sz w:val="19"/>
                <w:szCs w:val="19"/>
                <w:lang w:val="kk-KZ"/>
              </w:rPr>
              <w:t xml:space="preserve"> бойынша </w:t>
            </w:r>
            <w:r>
              <w:rPr>
                <w:rFonts w:ascii="Times New Roman" w:hAnsi="Times New Roman"/>
                <w:color w:val="000000"/>
                <w:sz w:val="19"/>
                <w:szCs w:val="19"/>
                <w:lang w:val="kk-KZ"/>
              </w:rPr>
              <w:t>есеп нысанында ҚРҰБ ОА-ын</w:t>
            </w:r>
            <w:r w:rsidRPr="00D047B8">
              <w:rPr>
                <w:rFonts w:ascii="Times New Roman" w:hAnsi="Times New Roman"/>
                <w:color w:val="000000"/>
                <w:sz w:val="19"/>
                <w:szCs w:val="19"/>
                <w:lang w:val="kk-KZ"/>
              </w:rPr>
              <w:t xml:space="preserve"> хабардар ету</w:t>
            </w:r>
          </w:p>
          <w:p w:rsidR="00035D9A" w:rsidRPr="00035D9A" w:rsidRDefault="00035D9A" w:rsidP="00035D9A">
            <w:pPr>
              <w:spacing w:after="0" w:line="240" w:lineRule="auto"/>
              <w:ind w:left="57" w:right="57"/>
              <w:rPr>
                <w:rFonts w:ascii="Times New Roman" w:hAnsi="Times New Roman"/>
                <w:i/>
                <w:color w:val="000000"/>
                <w:sz w:val="19"/>
                <w:szCs w:val="19"/>
                <w:lang w:val="kk-KZ"/>
              </w:rPr>
            </w:pPr>
            <w:r w:rsidRPr="00035D9A">
              <w:rPr>
                <w:rFonts w:ascii="Times New Roman" w:hAnsi="Times New Roman"/>
                <w:i/>
                <w:color w:val="000000"/>
                <w:sz w:val="19"/>
                <w:szCs w:val="19"/>
                <w:lang w:val="kk-KZ"/>
              </w:rPr>
              <w:t>Ерекшелік:</w:t>
            </w:r>
          </w:p>
          <w:p w:rsidR="00B072DE" w:rsidRPr="00035D9A" w:rsidRDefault="002269CA" w:rsidP="00035D9A">
            <w:pPr>
              <w:spacing w:after="0" w:line="240" w:lineRule="auto"/>
              <w:ind w:left="57" w:right="57"/>
              <w:rPr>
                <w:rFonts w:ascii="Times New Roman" w:hAnsi="Times New Roman"/>
                <w:i/>
                <w:color w:val="000000"/>
                <w:sz w:val="19"/>
                <w:szCs w:val="19"/>
                <w:lang w:val="kk-KZ"/>
              </w:rPr>
            </w:pPr>
            <w:r w:rsidRPr="002269CA">
              <w:rPr>
                <w:rFonts w:ascii="Times New Roman" w:hAnsi="Times New Roman"/>
                <w:i/>
                <w:color w:val="000000"/>
                <w:sz w:val="19"/>
                <w:szCs w:val="19"/>
                <w:lang w:val="kk-KZ"/>
              </w:rPr>
              <w:t>Қағидалардың</w:t>
            </w:r>
            <w:r w:rsidRPr="00D047B8">
              <w:rPr>
                <w:rFonts w:ascii="Times New Roman" w:hAnsi="Times New Roman"/>
                <w:color w:val="000000"/>
                <w:sz w:val="19"/>
                <w:szCs w:val="19"/>
                <w:lang w:val="kk-KZ"/>
              </w:rPr>
              <w:t xml:space="preserve"> </w:t>
            </w:r>
            <w:r w:rsidR="00B072DE" w:rsidRPr="00035D9A">
              <w:rPr>
                <w:rFonts w:ascii="Times New Roman" w:hAnsi="Times New Roman"/>
                <w:i/>
                <w:color w:val="000000"/>
                <w:sz w:val="19"/>
                <w:szCs w:val="19"/>
                <w:lang w:val="kk-KZ"/>
              </w:rPr>
              <w:t>9-қосымшасына сәйкес есепті толтыру жөніндегі түсініктемелердің 17 және 18-тармақтарында көрсетілген жағдайларда талап етілмейді</w:t>
            </w:r>
          </w:p>
          <w:p w:rsidR="00B072DE" w:rsidRPr="00D047B8" w:rsidRDefault="00B072DE" w:rsidP="00300A45">
            <w:pPr>
              <w:spacing w:before="240" w:line="240" w:lineRule="auto"/>
              <w:ind w:left="142" w:right="142"/>
              <w:jc w:val="both"/>
              <w:rPr>
                <w:rFonts w:ascii="Times New Roman" w:hAnsi="Times New Roman"/>
                <w:i/>
                <w:color w:val="000000"/>
                <w:sz w:val="19"/>
                <w:szCs w:val="19"/>
                <w:lang w:val="kk-KZ"/>
              </w:rPr>
            </w:pPr>
          </w:p>
        </w:tc>
      </w:tr>
      <w:tr w:rsidR="00B072DE" w:rsidRPr="00323CA3" w:rsidTr="003474AC">
        <w:trPr>
          <w:trHeight w:val="1483"/>
        </w:trPr>
        <w:tc>
          <w:tcPr>
            <w:tcW w:w="97" w:type="pct"/>
            <w:vMerge/>
            <w:tcBorders>
              <w:left w:val="single" w:sz="4" w:space="0" w:color="auto"/>
              <w:bottom w:val="single" w:sz="4" w:space="0" w:color="auto"/>
              <w:right w:val="single" w:sz="4" w:space="0" w:color="auto"/>
            </w:tcBorders>
            <w:shd w:val="clear" w:color="auto" w:fill="auto"/>
            <w:vAlign w:val="center"/>
          </w:tcPr>
          <w:p w:rsidR="00B072DE" w:rsidRPr="00D047B8" w:rsidRDefault="00B072DE" w:rsidP="00D2464A">
            <w:pPr>
              <w:spacing w:before="240" w:line="240" w:lineRule="auto"/>
              <w:contextualSpacing/>
              <w:rPr>
                <w:rFonts w:ascii="Times New Roman" w:eastAsia="Times New Roman" w:hAnsi="Times New Roman"/>
                <w:sz w:val="19"/>
                <w:szCs w:val="19"/>
                <w:lang w:val="kk-KZ" w:eastAsia="ru-RU"/>
              </w:rPr>
            </w:pPr>
          </w:p>
        </w:tc>
        <w:tc>
          <w:tcPr>
            <w:tcW w:w="833" w:type="pct"/>
            <w:vMerge/>
            <w:tcBorders>
              <w:left w:val="single" w:sz="4" w:space="0" w:color="auto"/>
              <w:bottom w:val="single" w:sz="4" w:space="0" w:color="auto"/>
              <w:right w:val="single" w:sz="4" w:space="0" w:color="auto"/>
            </w:tcBorders>
            <w:shd w:val="clear" w:color="auto" w:fill="auto"/>
            <w:vAlign w:val="center"/>
          </w:tcPr>
          <w:p w:rsidR="00B072DE" w:rsidRPr="00D047B8" w:rsidRDefault="00B072DE" w:rsidP="00300A45">
            <w:pPr>
              <w:spacing w:before="240" w:line="240" w:lineRule="auto"/>
              <w:contextualSpacing/>
              <w:jc w:val="both"/>
              <w:rPr>
                <w:rFonts w:ascii="Times New Roman" w:eastAsia="Times New Roman" w:hAnsi="Times New Roman"/>
                <w:sz w:val="19"/>
                <w:szCs w:val="19"/>
                <w:lang w:val="kk-KZ" w:eastAsia="ru-RU"/>
              </w:rPr>
            </w:pPr>
          </w:p>
        </w:tc>
        <w:tc>
          <w:tcPr>
            <w:tcW w:w="887" w:type="pct"/>
            <w:vMerge/>
            <w:tcBorders>
              <w:left w:val="single" w:sz="4" w:space="0" w:color="auto"/>
              <w:bottom w:val="single" w:sz="4" w:space="0" w:color="auto"/>
              <w:right w:val="single" w:sz="4" w:space="0" w:color="auto"/>
            </w:tcBorders>
            <w:shd w:val="clear" w:color="auto" w:fill="F2F2F2"/>
            <w:vAlign w:val="center"/>
          </w:tcPr>
          <w:p w:rsidR="00B072DE" w:rsidRPr="00D047B8" w:rsidRDefault="00B072DE" w:rsidP="00D2464A">
            <w:pPr>
              <w:spacing w:before="240" w:line="240" w:lineRule="auto"/>
              <w:contextualSpacing/>
              <w:rPr>
                <w:rFonts w:ascii="Times New Roman" w:eastAsia="Times New Roman" w:hAnsi="Times New Roman"/>
                <w:sz w:val="19"/>
                <w:szCs w:val="19"/>
                <w:lang w:val="kk-KZ" w:eastAsia="ru-RU"/>
              </w:rPr>
            </w:pPr>
          </w:p>
        </w:tc>
        <w:tc>
          <w:tcPr>
            <w:tcW w:w="2623" w:type="pct"/>
            <w:gridSpan w:val="2"/>
            <w:tcBorders>
              <w:top w:val="nil"/>
              <w:left w:val="nil"/>
              <w:bottom w:val="single" w:sz="4" w:space="0" w:color="auto"/>
              <w:right w:val="single" w:sz="4" w:space="0" w:color="auto"/>
            </w:tcBorders>
            <w:shd w:val="clear" w:color="auto" w:fill="auto"/>
            <w:vAlign w:val="center"/>
          </w:tcPr>
          <w:p w:rsidR="00B072DE" w:rsidRPr="00D047B8" w:rsidRDefault="00B072DE" w:rsidP="00361645">
            <w:pPr>
              <w:spacing w:before="160" w:after="0" w:line="240" w:lineRule="auto"/>
              <w:jc w:val="both"/>
              <w:rPr>
                <w:rFonts w:ascii="Times New Roman" w:hAnsi="Times New Roman"/>
                <w:i/>
                <w:color w:val="000000"/>
                <w:sz w:val="19"/>
                <w:szCs w:val="19"/>
                <w:lang w:val="kk-KZ"/>
              </w:rPr>
            </w:pPr>
            <w:r w:rsidRPr="00D047B8">
              <w:rPr>
                <w:rFonts w:ascii="Times New Roman" w:hAnsi="Times New Roman"/>
                <w:i/>
                <w:color w:val="000000"/>
                <w:sz w:val="19"/>
                <w:szCs w:val="19"/>
                <w:lang w:val="kk-KZ"/>
              </w:rPr>
              <w:t>Ерекшелік:</w:t>
            </w:r>
          </w:p>
          <w:p w:rsidR="00865107" w:rsidRPr="00865107" w:rsidRDefault="00865107" w:rsidP="00865107">
            <w:pPr>
              <w:spacing w:after="0" w:line="240" w:lineRule="auto"/>
              <w:jc w:val="both"/>
              <w:rPr>
                <w:rFonts w:ascii="Times New Roman" w:eastAsia="Times New Roman" w:hAnsi="Times New Roman"/>
                <w:i/>
                <w:sz w:val="19"/>
                <w:szCs w:val="19"/>
                <w:lang w:val="kk-KZ" w:eastAsia="ru-RU"/>
              </w:rPr>
            </w:pPr>
            <w:r>
              <w:rPr>
                <w:rFonts w:ascii="Times New Roman" w:eastAsia="Times New Roman" w:hAnsi="Times New Roman"/>
                <w:i/>
                <w:sz w:val="19"/>
                <w:szCs w:val="19"/>
                <w:lang w:val="kk-KZ" w:eastAsia="ru-RU"/>
              </w:rPr>
              <w:t>1)</w:t>
            </w:r>
            <w:r>
              <w:rPr>
                <w:lang w:val="kk-KZ"/>
              </w:rPr>
              <w:t> </w:t>
            </w:r>
            <w:r w:rsidRPr="00865107">
              <w:rPr>
                <w:rFonts w:ascii="Times New Roman" w:eastAsia="Times New Roman" w:hAnsi="Times New Roman"/>
                <w:i/>
                <w:sz w:val="19"/>
                <w:szCs w:val="19"/>
                <w:lang w:val="kk-KZ" w:eastAsia="ru-RU"/>
              </w:rPr>
              <w:t>егер резидент бейрезиденттің инвестициялау объектісі капиталына резиденттің қатысуы (резиденттің акцияларды, қатысу</w:t>
            </w:r>
            <w:r>
              <w:rPr>
                <w:rFonts w:ascii="Times New Roman" w:eastAsia="Times New Roman" w:hAnsi="Times New Roman"/>
                <w:i/>
                <w:sz w:val="19"/>
                <w:szCs w:val="19"/>
                <w:lang w:val="kk-KZ" w:eastAsia="ru-RU"/>
              </w:rPr>
              <w:t xml:space="preserve"> үлестерін сатып алуы) бойынша </w:t>
            </w:r>
            <w:r w:rsidRPr="00865107">
              <w:rPr>
                <w:rFonts w:ascii="Times New Roman" w:eastAsia="Times New Roman" w:hAnsi="Times New Roman"/>
                <w:i/>
                <w:sz w:val="19"/>
                <w:szCs w:val="19"/>
                <w:lang w:val="kk-KZ" w:eastAsia="ru-RU"/>
              </w:rPr>
              <w:t>капитал қозғалысы жөніндегі валюталық шарт үшін бұрын есептік нөмір алса, резиденттің акцияларды, бейрезиденттің инвестициялау объекті</w:t>
            </w:r>
            <w:r>
              <w:rPr>
                <w:rFonts w:ascii="Times New Roman" w:eastAsia="Times New Roman" w:hAnsi="Times New Roman"/>
                <w:i/>
                <w:sz w:val="19"/>
                <w:szCs w:val="19"/>
                <w:lang w:val="kk-KZ" w:eastAsia="ru-RU"/>
              </w:rPr>
              <w:t xml:space="preserve">сі капиталына қатысу үлестерін </w:t>
            </w:r>
            <w:r w:rsidRPr="00865107">
              <w:rPr>
                <w:rFonts w:ascii="Times New Roman" w:eastAsia="Times New Roman" w:hAnsi="Times New Roman"/>
                <w:i/>
                <w:sz w:val="19"/>
                <w:szCs w:val="19"/>
                <w:lang w:val="kk-KZ" w:eastAsia="ru-RU"/>
              </w:rPr>
              <w:t>бейрезидентке сатуы бойынша шартқа</w:t>
            </w:r>
            <w:r>
              <w:rPr>
                <w:rFonts w:ascii="Times New Roman" w:eastAsia="Times New Roman" w:hAnsi="Times New Roman"/>
                <w:i/>
                <w:sz w:val="19"/>
                <w:szCs w:val="19"/>
                <w:lang w:val="kk-KZ" w:eastAsia="ru-RU"/>
              </w:rPr>
              <w:t xml:space="preserve"> </w:t>
            </w:r>
            <w:r w:rsidR="002309BF">
              <w:rPr>
                <w:rFonts w:ascii="Times New Roman" w:hAnsi="Times New Roman"/>
                <w:sz w:val="20"/>
                <w:szCs w:val="20"/>
                <w:lang w:val="kk-KZ"/>
              </w:rPr>
              <w:t>е</w:t>
            </w:r>
            <w:r w:rsidR="002309BF" w:rsidRPr="002309BF">
              <w:rPr>
                <w:rFonts w:ascii="Times New Roman" w:hAnsi="Times New Roman"/>
                <w:sz w:val="20"/>
                <w:szCs w:val="20"/>
                <w:lang w:val="kk-KZ"/>
              </w:rPr>
              <w:t>септік нөмір</w:t>
            </w:r>
            <w:r w:rsidR="002309BF" w:rsidRPr="00865107">
              <w:rPr>
                <w:rFonts w:ascii="Times New Roman" w:hAnsi="Times New Roman"/>
                <w:i/>
                <w:sz w:val="20"/>
                <w:szCs w:val="20"/>
                <w:lang w:val="kk-KZ"/>
              </w:rPr>
              <w:t xml:space="preserve"> </w:t>
            </w:r>
            <w:r w:rsidRPr="00865107">
              <w:rPr>
                <w:rFonts w:ascii="Times New Roman" w:hAnsi="Times New Roman"/>
                <w:i/>
                <w:sz w:val="20"/>
                <w:szCs w:val="20"/>
                <w:lang w:val="kk-KZ"/>
              </w:rPr>
              <w:t>берілмейді</w:t>
            </w:r>
            <w:r w:rsidRPr="00865107">
              <w:rPr>
                <w:rFonts w:ascii="Times New Roman" w:eastAsia="Times New Roman" w:hAnsi="Times New Roman"/>
                <w:i/>
                <w:sz w:val="19"/>
                <w:szCs w:val="19"/>
                <w:lang w:val="kk-KZ" w:eastAsia="ru-RU"/>
              </w:rPr>
              <w:t>;</w:t>
            </w:r>
          </w:p>
          <w:p w:rsidR="00865107" w:rsidRPr="003474AC" w:rsidRDefault="00F71112" w:rsidP="00865107">
            <w:pPr>
              <w:spacing w:after="0" w:line="240" w:lineRule="auto"/>
              <w:jc w:val="both"/>
              <w:rPr>
                <w:rFonts w:ascii="Times New Roman" w:hAnsi="Times New Roman"/>
                <w:i/>
                <w:color w:val="000000"/>
                <w:sz w:val="19"/>
                <w:szCs w:val="19"/>
                <w:lang w:val="kk-KZ"/>
              </w:rPr>
            </w:pPr>
            <w:r>
              <w:rPr>
                <w:rFonts w:ascii="Times New Roman" w:eastAsia="Times New Roman" w:hAnsi="Times New Roman"/>
                <w:i/>
                <w:sz w:val="19"/>
                <w:szCs w:val="19"/>
                <w:lang w:val="kk-KZ" w:eastAsia="ru-RU"/>
              </w:rPr>
              <w:t>2) </w:t>
            </w:r>
            <w:r w:rsidR="00865107" w:rsidRPr="00865107">
              <w:rPr>
                <w:rFonts w:ascii="Times New Roman" w:eastAsia="Times New Roman" w:hAnsi="Times New Roman"/>
                <w:i/>
                <w:sz w:val="19"/>
                <w:szCs w:val="19"/>
                <w:lang w:val="kk-KZ" w:eastAsia="ru-RU"/>
              </w:rPr>
              <w:t>егер резидент-инвестициялау объектісінің капиталына бейрезиденттің қатысуы бойынша капитал қозғалысы жөніндегі валюталық шарт үшін бұрын есептік нөмір алса, резидент-инвестициялау объектісінің бейрезиденттен меншікті акцияларды, капиталға қатысу үлестерін сатып алу шартына</w:t>
            </w:r>
            <w:r w:rsidR="00865107">
              <w:rPr>
                <w:rFonts w:ascii="Times New Roman" w:eastAsia="Times New Roman" w:hAnsi="Times New Roman"/>
                <w:i/>
                <w:sz w:val="19"/>
                <w:szCs w:val="19"/>
                <w:lang w:val="kk-KZ" w:eastAsia="ru-RU"/>
              </w:rPr>
              <w:t xml:space="preserve"> </w:t>
            </w:r>
            <w:r w:rsidR="002309BF">
              <w:rPr>
                <w:rFonts w:ascii="Times New Roman" w:hAnsi="Times New Roman"/>
                <w:sz w:val="20"/>
                <w:szCs w:val="20"/>
                <w:lang w:val="kk-KZ"/>
              </w:rPr>
              <w:t>е</w:t>
            </w:r>
            <w:r w:rsidR="002309BF" w:rsidRPr="002309BF">
              <w:rPr>
                <w:rFonts w:ascii="Times New Roman" w:hAnsi="Times New Roman"/>
                <w:sz w:val="20"/>
                <w:szCs w:val="20"/>
                <w:lang w:val="kk-KZ"/>
              </w:rPr>
              <w:t>септік нөмір</w:t>
            </w:r>
            <w:r w:rsidR="002309BF" w:rsidRPr="00865107">
              <w:rPr>
                <w:rFonts w:ascii="Times New Roman" w:hAnsi="Times New Roman"/>
                <w:i/>
                <w:sz w:val="20"/>
                <w:szCs w:val="20"/>
                <w:lang w:val="kk-KZ"/>
              </w:rPr>
              <w:t xml:space="preserve"> берілмейді</w:t>
            </w:r>
            <w:r w:rsidR="002309BF" w:rsidRPr="00865107">
              <w:rPr>
                <w:rFonts w:ascii="Times New Roman" w:hAnsi="Times New Roman"/>
                <w:i/>
                <w:sz w:val="20"/>
                <w:szCs w:val="20"/>
                <w:lang w:val="kk-KZ"/>
              </w:rPr>
              <w:t xml:space="preserve"> </w:t>
            </w:r>
          </w:p>
          <w:p w:rsidR="003474AC" w:rsidRPr="003474AC" w:rsidRDefault="003474AC" w:rsidP="003474AC">
            <w:pPr>
              <w:spacing w:line="240" w:lineRule="auto"/>
              <w:jc w:val="both"/>
              <w:rPr>
                <w:rFonts w:ascii="Times New Roman" w:hAnsi="Times New Roman"/>
                <w:i/>
                <w:color w:val="000000"/>
                <w:sz w:val="19"/>
                <w:szCs w:val="19"/>
                <w:lang w:val="kk-KZ"/>
              </w:rPr>
            </w:pPr>
          </w:p>
        </w:tc>
        <w:tc>
          <w:tcPr>
            <w:tcW w:w="560" w:type="pct"/>
            <w:vMerge/>
            <w:tcBorders>
              <w:left w:val="nil"/>
              <w:right w:val="single" w:sz="4" w:space="0" w:color="auto"/>
            </w:tcBorders>
            <w:vAlign w:val="center"/>
          </w:tcPr>
          <w:p w:rsidR="00B072DE" w:rsidRPr="00D047B8" w:rsidRDefault="00B072DE" w:rsidP="00D2464A">
            <w:pPr>
              <w:spacing w:before="240" w:line="240" w:lineRule="auto"/>
              <w:contextualSpacing/>
              <w:rPr>
                <w:rFonts w:ascii="Times New Roman" w:eastAsia="Times New Roman" w:hAnsi="Times New Roman"/>
                <w:i/>
                <w:sz w:val="19"/>
                <w:szCs w:val="19"/>
                <w:lang w:val="kk-KZ" w:eastAsia="ru-RU"/>
              </w:rPr>
            </w:pPr>
          </w:p>
        </w:tc>
      </w:tr>
      <w:tr w:rsidR="00B072DE" w:rsidRPr="00D047B8" w:rsidTr="003474AC">
        <w:trPr>
          <w:trHeight w:val="173"/>
        </w:trPr>
        <w:tc>
          <w:tcPr>
            <w:tcW w:w="97" w:type="pct"/>
            <w:vMerge w:val="restart"/>
            <w:tcBorders>
              <w:top w:val="nil"/>
              <w:left w:val="single" w:sz="4" w:space="0" w:color="auto"/>
              <w:right w:val="single" w:sz="4" w:space="0" w:color="auto"/>
            </w:tcBorders>
            <w:shd w:val="clear" w:color="auto" w:fill="auto"/>
            <w:vAlign w:val="center"/>
            <w:hideMark/>
          </w:tcPr>
          <w:p w:rsidR="00B072DE" w:rsidRPr="00D047B8" w:rsidRDefault="00B072DE" w:rsidP="00D2464A">
            <w:pPr>
              <w:spacing w:before="240" w:line="240" w:lineRule="auto"/>
              <w:contextualSpacing/>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2</w:t>
            </w:r>
          </w:p>
        </w:tc>
        <w:tc>
          <w:tcPr>
            <w:tcW w:w="833" w:type="pct"/>
            <w:vMerge w:val="restart"/>
            <w:tcBorders>
              <w:top w:val="nil"/>
              <w:left w:val="single" w:sz="4" w:space="0" w:color="auto"/>
              <w:right w:val="single" w:sz="4" w:space="0" w:color="auto"/>
            </w:tcBorders>
            <w:shd w:val="clear" w:color="auto" w:fill="auto"/>
            <w:vAlign w:val="center"/>
            <w:hideMark/>
          </w:tcPr>
          <w:p w:rsidR="00B072DE" w:rsidRPr="00D047B8" w:rsidRDefault="00B072DE" w:rsidP="00300A45">
            <w:pPr>
              <w:spacing w:before="240" w:line="240" w:lineRule="auto"/>
              <w:contextualSpacing/>
              <w:jc w:val="both"/>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Қаржылай қарыздар</w:t>
            </w:r>
          </w:p>
        </w:tc>
        <w:tc>
          <w:tcPr>
            <w:tcW w:w="887" w:type="pct"/>
            <w:vMerge w:val="restart"/>
            <w:tcBorders>
              <w:top w:val="nil"/>
              <w:left w:val="single" w:sz="4" w:space="0" w:color="auto"/>
              <w:right w:val="single" w:sz="4" w:space="0" w:color="auto"/>
            </w:tcBorders>
            <w:shd w:val="clear" w:color="auto" w:fill="auto"/>
            <w:vAlign w:val="center"/>
          </w:tcPr>
          <w:p w:rsidR="003474AC" w:rsidRPr="003474AC" w:rsidRDefault="002309BF" w:rsidP="003474AC">
            <w:pPr>
              <w:spacing w:before="160" w:line="240" w:lineRule="auto"/>
              <w:jc w:val="both"/>
              <w:rPr>
                <w:rFonts w:ascii="Times New Roman" w:hAnsi="Times New Roman"/>
                <w:color w:val="000000"/>
                <w:sz w:val="20"/>
                <w:szCs w:val="20"/>
                <w:lang w:val="kk-KZ"/>
              </w:rPr>
            </w:pPr>
            <w:r w:rsidRPr="002309BF">
              <w:rPr>
                <w:rFonts w:ascii="Times New Roman" w:hAnsi="Times New Roman"/>
                <w:color w:val="000000"/>
                <w:sz w:val="20"/>
                <w:szCs w:val="20"/>
                <w:lang w:val="kk-KZ"/>
              </w:rPr>
              <w:t xml:space="preserve">Бейрезиденттерден </w:t>
            </w:r>
            <w:r w:rsidR="00B072DE" w:rsidRPr="00D047B8">
              <w:rPr>
                <w:rFonts w:ascii="Times New Roman" w:hAnsi="Times New Roman"/>
                <w:color w:val="000000"/>
                <w:sz w:val="20"/>
                <w:szCs w:val="20"/>
                <w:lang w:val="kk-KZ"/>
              </w:rPr>
              <w:t>қаржылық қарыздарды тарту шарттары туралы Қағидалардың</w:t>
            </w:r>
            <w:r w:rsidR="00B072DE">
              <w:rPr>
                <w:rStyle w:val="a8"/>
                <w:rFonts w:ascii="Times New Roman" w:hAnsi="Times New Roman"/>
                <w:color w:val="000000"/>
                <w:sz w:val="20"/>
                <w:szCs w:val="20"/>
                <w:lang w:val="kk-KZ"/>
              </w:rPr>
              <w:endnoteReference w:id="4"/>
            </w:r>
            <w:r w:rsidR="00B072DE" w:rsidRPr="00D047B8">
              <w:rPr>
                <w:rFonts w:ascii="Times New Roman" w:hAnsi="Times New Roman"/>
                <w:color w:val="000000"/>
                <w:sz w:val="20"/>
                <w:szCs w:val="20"/>
                <w:lang w:val="kk-KZ"/>
              </w:rPr>
              <w:t xml:space="preserve"> 7-қосымшасы бойынша есеп нысанында ҚРҰБ ОА хабарламасы</w:t>
            </w:r>
          </w:p>
        </w:tc>
        <w:tc>
          <w:tcPr>
            <w:tcW w:w="1508" w:type="pct"/>
            <w:tcBorders>
              <w:top w:val="nil"/>
              <w:left w:val="nil"/>
              <w:bottom w:val="single" w:sz="4" w:space="0" w:color="auto"/>
              <w:right w:val="single" w:sz="4" w:space="0" w:color="auto"/>
            </w:tcBorders>
            <w:shd w:val="clear" w:color="auto" w:fill="auto"/>
            <w:vAlign w:val="center"/>
            <w:hideMark/>
          </w:tcPr>
          <w:p w:rsidR="00B072DE" w:rsidRPr="00D047B8" w:rsidRDefault="00B93F18" w:rsidP="00B93F18">
            <w:pPr>
              <w:spacing w:before="160" w:line="240" w:lineRule="auto"/>
              <w:jc w:val="center"/>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ҚРҰБ АФ есептік тіркеу</w:t>
            </w:r>
            <w:r w:rsidRPr="00D047B8">
              <w:rPr>
                <w:rFonts w:ascii="Times New Roman" w:eastAsia="Times New Roman" w:hAnsi="Times New Roman"/>
                <w:sz w:val="19"/>
                <w:szCs w:val="19"/>
                <w:vertAlign w:val="superscript"/>
                <w:lang w:val="kk-KZ" w:eastAsia="ru-RU"/>
              </w:rPr>
              <w:t>2</w:t>
            </w:r>
          </w:p>
        </w:tc>
        <w:tc>
          <w:tcPr>
            <w:tcW w:w="1115" w:type="pct"/>
            <w:tcBorders>
              <w:top w:val="nil"/>
              <w:left w:val="nil"/>
              <w:bottom w:val="single" w:sz="4" w:space="0" w:color="auto"/>
              <w:right w:val="single" w:sz="4" w:space="0" w:color="auto"/>
            </w:tcBorders>
            <w:shd w:val="clear" w:color="auto" w:fill="auto"/>
            <w:vAlign w:val="center"/>
            <w:hideMark/>
          </w:tcPr>
          <w:p w:rsidR="00B072DE" w:rsidRPr="00D047B8" w:rsidRDefault="00B072DE" w:rsidP="00B93F18">
            <w:pPr>
              <w:spacing w:before="160" w:line="240" w:lineRule="auto"/>
              <w:jc w:val="center"/>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ҚРҰБ АФ есептік тіркеу</w:t>
            </w:r>
            <w:r w:rsidRPr="00D047B8">
              <w:rPr>
                <w:rFonts w:ascii="Times New Roman" w:eastAsia="Times New Roman" w:hAnsi="Times New Roman"/>
                <w:sz w:val="19"/>
                <w:szCs w:val="19"/>
                <w:vertAlign w:val="superscript"/>
                <w:lang w:val="kk-KZ" w:eastAsia="ru-RU"/>
              </w:rPr>
              <w:t>2</w:t>
            </w:r>
          </w:p>
        </w:tc>
        <w:tc>
          <w:tcPr>
            <w:tcW w:w="560" w:type="pct"/>
            <w:vMerge/>
            <w:tcBorders>
              <w:left w:val="nil"/>
              <w:right w:val="single" w:sz="4" w:space="0" w:color="auto"/>
            </w:tcBorders>
            <w:vAlign w:val="center"/>
          </w:tcPr>
          <w:p w:rsidR="00B072DE" w:rsidRPr="00D047B8" w:rsidRDefault="00B072DE" w:rsidP="00D2464A">
            <w:pPr>
              <w:spacing w:before="240" w:line="240" w:lineRule="auto"/>
              <w:contextualSpacing/>
              <w:rPr>
                <w:rFonts w:ascii="Times New Roman" w:eastAsia="Times New Roman" w:hAnsi="Times New Roman"/>
                <w:sz w:val="19"/>
                <w:szCs w:val="19"/>
                <w:lang w:val="kk-KZ" w:eastAsia="ru-RU"/>
              </w:rPr>
            </w:pPr>
          </w:p>
        </w:tc>
      </w:tr>
      <w:tr w:rsidR="00B072DE" w:rsidRPr="00323CA3" w:rsidTr="003474AC">
        <w:trPr>
          <w:trHeight w:val="413"/>
        </w:trPr>
        <w:tc>
          <w:tcPr>
            <w:tcW w:w="97" w:type="pct"/>
            <w:vMerge/>
            <w:tcBorders>
              <w:left w:val="single" w:sz="4" w:space="0" w:color="auto"/>
              <w:bottom w:val="single" w:sz="4" w:space="0" w:color="auto"/>
              <w:right w:val="single" w:sz="4" w:space="0" w:color="auto"/>
            </w:tcBorders>
            <w:shd w:val="clear" w:color="auto" w:fill="auto"/>
            <w:vAlign w:val="center"/>
          </w:tcPr>
          <w:p w:rsidR="00B072DE" w:rsidRPr="00D047B8" w:rsidRDefault="00B072DE" w:rsidP="00D2464A">
            <w:pPr>
              <w:spacing w:before="240" w:line="240" w:lineRule="auto"/>
              <w:contextualSpacing/>
              <w:rPr>
                <w:rFonts w:ascii="Times New Roman" w:eastAsia="Times New Roman" w:hAnsi="Times New Roman"/>
                <w:sz w:val="19"/>
                <w:szCs w:val="19"/>
                <w:lang w:val="kk-KZ" w:eastAsia="ru-RU"/>
              </w:rPr>
            </w:pPr>
          </w:p>
        </w:tc>
        <w:tc>
          <w:tcPr>
            <w:tcW w:w="833" w:type="pct"/>
            <w:vMerge/>
            <w:tcBorders>
              <w:left w:val="single" w:sz="4" w:space="0" w:color="auto"/>
              <w:bottom w:val="single" w:sz="4" w:space="0" w:color="auto"/>
              <w:right w:val="single" w:sz="4" w:space="0" w:color="auto"/>
            </w:tcBorders>
            <w:shd w:val="clear" w:color="auto" w:fill="auto"/>
            <w:vAlign w:val="center"/>
          </w:tcPr>
          <w:p w:rsidR="00B072DE" w:rsidRPr="00D047B8" w:rsidRDefault="00B072DE" w:rsidP="00300A45">
            <w:pPr>
              <w:spacing w:before="240" w:line="240" w:lineRule="auto"/>
              <w:contextualSpacing/>
              <w:jc w:val="both"/>
              <w:rPr>
                <w:rFonts w:ascii="Times New Roman" w:eastAsia="Times New Roman" w:hAnsi="Times New Roman"/>
                <w:sz w:val="19"/>
                <w:szCs w:val="19"/>
                <w:lang w:val="kk-KZ" w:eastAsia="ru-RU"/>
              </w:rPr>
            </w:pPr>
          </w:p>
        </w:tc>
        <w:tc>
          <w:tcPr>
            <w:tcW w:w="887" w:type="pct"/>
            <w:vMerge/>
            <w:tcBorders>
              <w:left w:val="single" w:sz="4" w:space="0" w:color="auto"/>
              <w:bottom w:val="single" w:sz="4" w:space="0" w:color="auto"/>
              <w:right w:val="single" w:sz="4" w:space="0" w:color="auto"/>
            </w:tcBorders>
            <w:shd w:val="clear" w:color="auto" w:fill="auto"/>
            <w:vAlign w:val="center"/>
          </w:tcPr>
          <w:p w:rsidR="00B072DE" w:rsidRPr="00D047B8" w:rsidRDefault="00B072DE" w:rsidP="00300A45">
            <w:pPr>
              <w:spacing w:before="240" w:line="240" w:lineRule="auto"/>
              <w:contextualSpacing/>
              <w:jc w:val="both"/>
              <w:rPr>
                <w:rFonts w:ascii="Times New Roman" w:eastAsia="Times New Roman" w:hAnsi="Times New Roman"/>
                <w:sz w:val="19"/>
                <w:szCs w:val="19"/>
                <w:lang w:val="kk-KZ" w:eastAsia="ru-RU"/>
              </w:rPr>
            </w:pPr>
          </w:p>
        </w:tc>
        <w:tc>
          <w:tcPr>
            <w:tcW w:w="2623" w:type="pct"/>
            <w:gridSpan w:val="2"/>
            <w:tcBorders>
              <w:top w:val="nil"/>
              <w:left w:val="nil"/>
              <w:bottom w:val="single" w:sz="4" w:space="0" w:color="auto"/>
              <w:right w:val="single" w:sz="4" w:space="0" w:color="auto"/>
            </w:tcBorders>
            <w:shd w:val="clear" w:color="auto" w:fill="auto"/>
            <w:vAlign w:val="center"/>
          </w:tcPr>
          <w:p w:rsidR="00B072DE" w:rsidRPr="00D047B8" w:rsidRDefault="00B072DE" w:rsidP="00537DCF">
            <w:pPr>
              <w:spacing w:before="240" w:line="240" w:lineRule="auto"/>
              <w:contextualSpacing/>
              <w:rPr>
                <w:rFonts w:ascii="Times New Roman" w:eastAsia="Times New Roman" w:hAnsi="Times New Roman"/>
                <w:sz w:val="19"/>
                <w:szCs w:val="19"/>
                <w:lang w:val="kk-KZ" w:eastAsia="ru-RU"/>
              </w:rPr>
            </w:pPr>
            <w:r w:rsidRPr="00D047B8">
              <w:rPr>
                <w:rFonts w:ascii="Times New Roman" w:hAnsi="Times New Roman"/>
                <w:i/>
                <w:color w:val="000000"/>
                <w:sz w:val="19"/>
                <w:szCs w:val="19"/>
                <w:lang w:val="kk-KZ"/>
              </w:rPr>
              <w:t>Ерекшелік:</w:t>
            </w:r>
            <w:r w:rsidRPr="00D047B8">
              <w:rPr>
                <w:rFonts w:ascii="Times New Roman" w:eastAsia="Times New Roman" w:hAnsi="Times New Roman"/>
                <w:i/>
                <w:sz w:val="19"/>
                <w:szCs w:val="19"/>
                <w:lang w:val="kk-KZ" w:eastAsia="ru-RU"/>
              </w:rPr>
              <w:t xml:space="preserve"> </w:t>
            </w:r>
            <w:r w:rsidRPr="00D047B8">
              <w:rPr>
                <w:rFonts w:ascii="Times New Roman" w:hAnsi="Times New Roman"/>
                <w:i/>
                <w:color w:val="000000"/>
                <w:sz w:val="19"/>
                <w:szCs w:val="19"/>
                <w:lang w:val="kk-KZ"/>
              </w:rPr>
              <w:t>ҚР Мемлекеттік сыртқы қарыздары, ҚР мемлекеттік кепілдіктері бар мемлекеттік емес сыртқы қарыздар туралы келісімдер</w:t>
            </w:r>
          </w:p>
        </w:tc>
        <w:tc>
          <w:tcPr>
            <w:tcW w:w="560" w:type="pct"/>
            <w:vMerge/>
            <w:tcBorders>
              <w:left w:val="nil"/>
              <w:right w:val="single" w:sz="4" w:space="0" w:color="auto"/>
            </w:tcBorders>
            <w:vAlign w:val="center"/>
          </w:tcPr>
          <w:p w:rsidR="00B072DE" w:rsidRPr="00D047B8" w:rsidRDefault="00B072DE" w:rsidP="00D2464A">
            <w:pPr>
              <w:spacing w:before="240" w:line="240" w:lineRule="auto"/>
              <w:contextualSpacing/>
              <w:rPr>
                <w:rFonts w:ascii="Times New Roman" w:eastAsia="Times New Roman" w:hAnsi="Times New Roman"/>
                <w:sz w:val="19"/>
                <w:szCs w:val="19"/>
                <w:lang w:val="kk-KZ" w:eastAsia="ru-RU"/>
              </w:rPr>
            </w:pPr>
          </w:p>
        </w:tc>
      </w:tr>
      <w:tr w:rsidR="00300A45" w:rsidRPr="00D047B8" w:rsidTr="003474AC">
        <w:trPr>
          <w:trHeight w:val="297"/>
        </w:trPr>
        <w:tc>
          <w:tcPr>
            <w:tcW w:w="97" w:type="pct"/>
            <w:vMerge w:val="restart"/>
            <w:tcBorders>
              <w:top w:val="nil"/>
              <w:left w:val="single" w:sz="4" w:space="0" w:color="auto"/>
              <w:right w:val="single" w:sz="4" w:space="0" w:color="auto"/>
            </w:tcBorders>
            <w:shd w:val="clear" w:color="auto" w:fill="auto"/>
            <w:vAlign w:val="center"/>
            <w:hideMark/>
          </w:tcPr>
          <w:p w:rsidR="00B072DE" w:rsidRPr="00D047B8" w:rsidRDefault="00B072DE" w:rsidP="00D2464A">
            <w:pPr>
              <w:spacing w:before="240" w:line="240" w:lineRule="auto"/>
              <w:contextualSpacing/>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3</w:t>
            </w:r>
          </w:p>
        </w:tc>
        <w:tc>
          <w:tcPr>
            <w:tcW w:w="833" w:type="pct"/>
            <w:vMerge w:val="restart"/>
            <w:tcBorders>
              <w:top w:val="nil"/>
              <w:left w:val="single" w:sz="4" w:space="0" w:color="auto"/>
              <w:right w:val="single" w:sz="4" w:space="0" w:color="auto"/>
            </w:tcBorders>
            <w:shd w:val="clear" w:color="auto" w:fill="auto"/>
            <w:vAlign w:val="center"/>
            <w:hideMark/>
          </w:tcPr>
          <w:p w:rsidR="00B072DE" w:rsidRPr="00D047B8" w:rsidRDefault="00B072DE" w:rsidP="00300A45">
            <w:pPr>
              <w:spacing w:before="240" w:line="240" w:lineRule="auto"/>
              <w:contextualSpacing/>
              <w:jc w:val="both"/>
              <w:rPr>
                <w:rFonts w:ascii="Times New Roman" w:eastAsia="Times New Roman" w:hAnsi="Times New Roman"/>
                <w:sz w:val="19"/>
                <w:szCs w:val="19"/>
                <w:vertAlign w:val="superscript"/>
                <w:lang w:val="kk-KZ" w:eastAsia="ru-RU"/>
              </w:rPr>
            </w:pPr>
            <w:r w:rsidRPr="00D047B8">
              <w:rPr>
                <w:rFonts w:ascii="Times New Roman" w:eastAsia="Times New Roman" w:hAnsi="Times New Roman"/>
                <w:sz w:val="19"/>
                <w:szCs w:val="19"/>
                <w:lang w:val="kk-KZ" w:eastAsia="ru-RU"/>
              </w:rPr>
              <w:t>Бағалы қағаздармен, қатысу үлестерімен және туынды қаржы құралдарымен операциялар</w:t>
            </w:r>
            <w:r>
              <w:rPr>
                <w:rStyle w:val="a8"/>
                <w:rFonts w:ascii="Times New Roman" w:eastAsia="Times New Roman" w:hAnsi="Times New Roman"/>
                <w:sz w:val="19"/>
                <w:szCs w:val="19"/>
                <w:lang w:val="kk-KZ" w:eastAsia="ru-RU"/>
              </w:rPr>
              <w:endnoteReference w:id="5"/>
            </w:r>
          </w:p>
          <w:p w:rsidR="00300A45" w:rsidRPr="00D047B8" w:rsidRDefault="00300A45" w:rsidP="00300A45">
            <w:pPr>
              <w:spacing w:before="240" w:line="240" w:lineRule="auto"/>
              <w:contextualSpacing/>
              <w:jc w:val="both"/>
              <w:rPr>
                <w:rFonts w:ascii="Times New Roman" w:eastAsia="Times New Roman" w:hAnsi="Times New Roman"/>
                <w:sz w:val="19"/>
                <w:szCs w:val="19"/>
                <w:lang w:val="kk-KZ" w:eastAsia="ru-RU"/>
              </w:rPr>
            </w:pPr>
          </w:p>
        </w:tc>
        <w:tc>
          <w:tcPr>
            <w:tcW w:w="887" w:type="pct"/>
            <w:vMerge w:val="restart"/>
            <w:tcBorders>
              <w:top w:val="single" w:sz="4" w:space="0" w:color="auto"/>
              <w:left w:val="single" w:sz="4" w:space="0" w:color="auto"/>
              <w:right w:val="single" w:sz="4" w:space="0" w:color="auto"/>
            </w:tcBorders>
            <w:shd w:val="clear" w:color="auto" w:fill="F2F2F2"/>
            <w:vAlign w:val="center"/>
          </w:tcPr>
          <w:p w:rsidR="00300A45" w:rsidRPr="00D047B8" w:rsidRDefault="00300A45" w:rsidP="00300A45">
            <w:pPr>
              <w:spacing w:before="240" w:line="240" w:lineRule="auto"/>
              <w:contextualSpacing/>
              <w:jc w:val="both"/>
              <w:rPr>
                <w:rFonts w:ascii="Times New Roman" w:eastAsia="Times New Roman" w:hAnsi="Times New Roman"/>
                <w:sz w:val="19"/>
                <w:szCs w:val="19"/>
                <w:lang w:val="kk-KZ" w:eastAsia="ru-RU"/>
              </w:rPr>
            </w:pPr>
          </w:p>
        </w:tc>
        <w:tc>
          <w:tcPr>
            <w:tcW w:w="1508" w:type="pct"/>
            <w:tcBorders>
              <w:top w:val="nil"/>
              <w:left w:val="nil"/>
              <w:bottom w:val="single" w:sz="4" w:space="0" w:color="auto"/>
              <w:right w:val="single" w:sz="4" w:space="0" w:color="auto"/>
            </w:tcBorders>
            <w:shd w:val="clear" w:color="auto" w:fill="auto"/>
            <w:vAlign w:val="center"/>
            <w:hideMark/>
          </w:tcPr>
          <w:p w:rsidR="00300A45" w:rsidRPr="00D047B8" w:rsidRDefault="00B93F18" w:rsidP="00B93F18">
            <w:pPr>
              <w:spacing w:before="160" w:line="240" w:lineRule="auto"/>
              <w:jc w:val="center"/>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ҚРҰБ АФ есептік тіркеу</w:t>
            </w:r>
            <w:r w:rsidRPr="00D047B8">
              <w:rPr>
                <w:rFonts w:ascii="Times New Roman" w:eastAsia="Times New Roman" w:hAnsi="Times New Roman"/>
                <w:sz w:val="19"/>
                <w:szCs w:val="19"/>
                <w:vertAlign w:val="superscript"/>
                <w:lang w:val="kk-KZ" w:eastAsia="ru-RU"/>
              </w:rPr>
              <w:t>2</w:t>
            </w:r>
          </w:p>
        </w:tc>
        <w:tc>
          <w:tcPr>
            <w:tcW w:w="1115" w:type="pct"/>
            <w:tcBorders>
              <w:top w:val="single" w:sz="4" w:space="0" w:color="auto"/>
              <w:left w:val="nil"/>
              <w:bottom w:val="single" w:sz="4" w:space="0" w:color="auto"/>
              <w:right w:val="single" w:sz="4" w:space="0" w:color="auto"/>
            </w:tcBorders>
            <w:shd w:val="clear" w:color="auto" w:fill="auto"/>
            <w:vAlign w:val="center"/>
            <w:hideMark/>
          </w:tcPr>
          <w:p w:rsidR="00300A45" w:rsidRPr="00D047B8" w:rsidRDefault="00300A45" w:rsidP="00B93F18">
            <w:pPr>
              <w:spacing w:before="160" w:line="240" w:lineRule="auto"/>
              <w:jc w:val="center"/>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ҚРҰБ АФ есептік тіркеу</w:t>
            </w:r>
            <w:r w:rsidRPr="00D047B8">
              <w:rPr>
                <w:rFonts w:ascii="Times New Roman" w:eastAsia="Times New Roman" w:hAnsi="Times New Roman"/>
                <w:sz w:val="19"/>
                <w:szCs w:val="19"/>
                <w:vertAlign w:val="superscript"/>
                <w:lang w:val="kk-KZ" w:eastAsia="ru-RU"/>
              </w:rPr>
              <w:t>2</w:t>
            </w:r>
          </w:p>
        </w:tc>
        <w:tc>
          <w:tcPr>
            <w:tcW w:w="560" w:type="pct"/>
            <w:vMerge/>
            <w:tcBorders>
              <w:left w:val="nil"/>
              <w:right w:val="single" w:sz="4" w:space="0" w:color="auto"/>
            </w:tcBorders>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r>
      <w:tr w:rsidR="00300A45" w:rsidRPr="00323CA3" w:rsidTr="003474AC">
        <w:trPr>
          <w:trHeight w:val="367"/>
        </w:trPr>
        <w:tc>
          <w:tcPr>
            <w:tcW w:w="97"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833"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300A45">
            <w:pPr>
              <w:spacing w:before="240" w:line="240" w:lineRule="auto"/>
              <w:contextualSpacing/>
              <w:jc w:val="both"/>
              <w:rPr>
                <w:rFonts w:ascii="Times New Roman" w:eastAsia="Times New Roman" w:hAnsi="Times New Roman"/>
                <w:sz w:val="19"/>
                <w:szCs w:val="19"/>
                <w:lang w:val="kk-KZ" w:eastAsia="ru-RU"/>
              </w:rPr>
            </w:pPr>
          </w:p>
        </w:tc>
        <w:tc>
          <w:tcPr>
            <w:tcW w:w="887" w:type="pct"/>
            <w:vMerge/>
            <w:tcBorders>
              <w:left w:val="single" w:sz="4" w:space="0" w:color="auto"/>
              <w:bottom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2623" w:type="pct"/>
            <w:gridSpan w:val="2"/>
            <w:tcBorders>
              <w:top w:val="nil"/>
              <w:left w:val="nil"/>
              <w:bottom w:val="single" w:sz="4" w:space="0" w:color="auto"/>
              <w:right w:val="single" w:sz="4" w:space="0" w:color="auto"/>
            </w:tcBorders>
            <w:shd w:val="clear" w:color="auto" w:fill="auto"/>
            <w:vAlign w:val="center"/>
          </w:tcPr>
          <w:p w:rsidR="003474AC" w:rsidRDefault="003474AC" w:rsidP="003474AC">
            <w:pPr>
              <w:spacing w:before="120" w:after="0" w:line="240" w:lineRule="auto"/>
              <w:jc w:val="both"/>
              <w:rPr>
                <w:rFonts w:ascii="Times New Roman" w:hAnsi="Times New Roman"/>
                <w:i/>
                <w:color w:val="000000"/>
                <w:sz w:val="19"/>
                <w:szCs w:val="19"/>
                <w:lang w:val="kk-KZ"/>
              </w:rPr>
            </w:pPr>
          </w:p>
          <w:p w:rsidR="00300A45" w:rsidRPr="00D047B8" w:rsidRDefault="00300A45" w:rsidP="003474AC">
            <w:pPr>
              <w:spacing w:before="120" w:after="0" w:line="240" w:lineRule="auto"/>
              <w:jc w:val="both"/>
              <w:rPr>
                <w:rFonts w:ascii="Times New Roman" w:hAnsi="Times New Roman"/>
                <w:i/>
                <w:color w:val="000000"/>
                <w:sz w:val="19"/>
                <w:szCs w:val="19"/>
                <w:lang w:val="kk-KZ"/>
              </w:rPr>
            </w:pPr>
            <w:r w:rsidRPr="00D047B8">
              <w:rPr>
                <w:rFonts w:ascii="Times New Roman" w:hAnsi="Times New Roman"/>
                <w:i/>
                <w:color w:val="000000"/>
                <w:sz w:val="19"/>
                <w:szCs w:val="19"/>
                <w:lang w:val="kk-KZ"/>
              </w:rPr>
              <w:t>Ерекшелік:</w:t>
            </w:r>
          </w:p>
          <w:p w:rsidR="00300A45" w:rsidRPr="00D047B8" w:rsidRDefault="003474AC" w:rsidP="00300A45">
            <w:pPr>
              <w:spacing w:after="0" w:line="240" w:lineRule="auto"/>
              <w:contextualSpacing/>
              <w:jc w:val="both"/>
              <w:rPr>
                <w:rFonts w:ascii="Times New Roman" w:hAnsi="Times New Roman"/>
                <w:i/>
                <w:color w:val="000000"/>
                <w:sz w:val="19"/>
                <w:szCs w:val="19"/>
                <w:lang w:val="kk-KZ"/>
              </w:rPr>
            </w:pPr>
            <w:r>
              <w:rPr>
                <w:rFonts w:ascii="Times New Roman" w:hAnsi="Times New Roman"/>
                <w:i/>
                <w:color w:val="000000"/>
                <w:sz w:val="19"/>
                <w:szCs w:val="19"/>
                <w:lang w:val="kk-KZ"/>
              </w:rPr>
              <w:t>1) </w:t>
            </w:r>
            <w:r w:rsidR="00300A45" w:rsidRPr="00D047B8">
              <w:rPr>
                <w:rFonts w:ascii="Times New Roman" w:hAnsi="Times New Roman"/>
                <w:i/>
                <w:color w:val="000000"/>
                <w:sz w:val="19"/>
                <w:szCs w:val="19"/>
                <w:lang w:val="kk-KZ"/>
              </w:rPr>
              <w:t>орналастыру және (немесе) сатып алу:</w:t>
            </w:r>
          </w:p>
          <w:p w:rsidR="00300A45" w:rsidRPr="00D047B8" w:rsidRDefault="00300A45" w:rsidP="00300A45">
            <w:pPr>
              <w:spacing w:after="0" w:line="240" w:lineRule="auto"/>
              <w:ind w:firstLine="142"/>
              <w:contextualSpacing/>
              <w:jc w:val="both"/>
              <w:rPr>
                <w:rFonts w:ascii="Times New Roman" w:hAnsi="Times New Roman"/>
                <w:i/>
                <w:color w:val="000000"/>
                <w:sz w:val="19"/>
                <w:szCs w:val="19"/>
                <w:lang w:val="kk-KZ"/>
              </w:rPr>
            </w:pPr>
            <w:r>
              <w:rPr>
                <w:rFonts w:ascii="Times New Roman" w:hAnsi="Times New Roman"/>
                <w:i/>
                <w:color w:val="000000"/>
                <w:sz w:val="19"/>
                <w:szCs w:val="19"/>
                <w:lang w:val="kk-KZ"/>
              </w:rPr>
              <w:t>- </w:t>
            </w:r>
            <w:r w:rsidRPr="00D047B8">
              <w:rPr>
                <w:rFonts w:ascii="Times New Roman" w:hAnsi="Times New Roman"/>
                <w:i/>
                <w:color w:val="000000"/>
                <w:sz w:val="19"/>
                <w:szCs w:val="19"/>
                <w:lang w:val="kk-KZ"/>
              </w:rPr>
              <w:t xml:space="preserve">ҚР </w:t>
            </w:r>
            <w:r w:rsidR="00FF1CE2">
              <w:rPr>
                <w:rFonts w:ascii="Times New Roman" w:hAnsi="Times New Roman"/>
                <w:i/>
                <w:color w:val="000000"/>
                <w:sz w:val="19"/>
                <w:szCs w:val="19"/>
                <w:lang w:val="kk-KZ"/>
              </w:rPr>
              <w:t>м</w:t>
            </w:r>
            <w:r w:rsidRPr="00D047B8">
              <w:rPr>
                <w:rFonts w:ascii="Times New Roman" w:hAnsi="Times New Roman"/>
                <w:i/>
                <w:color w:val="000000"/>
                <w:sz w:val="19"/>
                <w:szCs w:val="19"/>
                <w:lang w:val="kk-KZ"/>
              </w:rPr>
              <w:t>емлекеттік бағалы қағаздарын;</w:t>
            </w:r>
          </w:p>
          <w:p w:rsidR="00300A45" w:rsidRPr="00D047B8" w:rsidRDefault="00300A45" w:rsidP="00300A45">
            <w:pPr>
              <w:pStyle w:val="a9"/>
              <w:widowControl w:val="0"/>
              <w:spacing w:after="0" w:line="240" w:lineRule="auto"/>
              <w:ind w:left="0" w:firstLine="142"/>
              <w:jc w:val="both"/>
              <w:rPr>
                <w:rFonts w:ascii="Times New Roman" w:hAnsi="Times New Roman"/>
                <w:i/>
                <w:color w:val="000000"/>
                <w:sz w:val="19"/>
                <w:szCs w:val="19"/>
                <w:lang w:val="kk-KZ"/>
              </w:rPr>
            </w:pPr>
            <w:r>
              <w:rPr>
                <w:rFonts w:ascii="Times New Roman" w:hAnsi="Times New Roman"/>
                <w:i/>
                <w:color w:val="000000"/>
                <w:sz w:val="19"/>
                <w:szCs w:val="19"/>
                <w:lang w:val="kk-KZ"/>
              </w:rPr>
              <w:t>- </w:t>
            </w:r>
            <w:r w:rsidRPr="00D047B8">
              <w:rPr>
                <w:rFonts w:ascii="Times New Roman" w:hAnsi="Times New Roman"/>
                <w:i/>
                <w:color w:val="000000"/>
                <w:sz w:val="19"/>
                <w:szCs w:val="19"/>
                <w:lang w:val="kk-KZ"/>
              </w:rPr>
              <w:t>резидент-эмитенттің басқа мемлекеттің заңнамасына сәйкес және оның аумағында шығарылған бағалы қағаздарын (базалық активі резидент-эмитенттің бағалы қағаздары болып табылатын депозитарлық қолхаттарды қоса алғанда);</w:t>
            </w:r>
          </w:p>
          <w:p w:rsidR="00300A45" w:rsidRPr="00D047B8" w:rsidRDefault="00300A45" w:rsidP="00300A45">
            <w:pPr>
              <w:pStyle w:val="a9"/>
              <w:widowControl w:val="0"/>
              <w:spacing w:after="0" w:line="240" w:lineRule="auto"/>
              <w:ind w:left="0" w:firstLine="142"/>
              <w:jc w:val="both"/>
              <w:rPr>
                <w:rFonts w:ascii="Times New Roman" w:hAnsi="Times New Roman"/>
                <w:i/>
                <w:color w:val="000000"/>
                <w:sz w:val="19"/>
                <w:szCs w:val="19"/>
                <w:lang w:val="kk-KZ"/>
              </w:rPr>
            </w:pPr>
            <w:r>
              <w:rPr>
                <w:rFonts w:ascii="Times New Roman" w:hAnsi="Times New Roman"/>
                <w:i/>
                <w:color w:val="000000"/>
                <w:sz w:val="19"/>
                <w:szCs w:val="19"/>
                <w:lang w:val="kk-KZ"/>
              </w:rPr>
              <w:t>- </w:t>
            </w:r>
            <w:r w:rsidRPr="00D047B8">
              <w:rPr>
                <w:rFonts w:ascii="Times New Roman" w:hAnsi="Times New Roman"/>
                <w:i/>
                <w:color w:val="000000"/>
                <w:sz w:val="19"/>
                <w:szCs w:val="19"/>
                <w:lang w:val="kk-KZ"/>
              </w:rPr>
              <w:t>бейрезидент-эмитенттің ҚР заңнамасына сәйкес шығарылған бағалы қағаздарын (Қазақстанның депозитарлық қолхаттарын қоса алғанда) орналастыру және (немесе) сатып алу;</w:t>
            </w:r>
          </w:p>
          <w:p w:rsidR="00300A45" w:rsidRPr="00D047B8" w:rsidRDefault="003474AC" w:rsidP="00300A45">
            <w:pPr>
              <w:spacing w:after="0" w:line="240" w:lineRule="auto"/>
              <w:contextualSpacing/>
              <w:jc w:val="both"/>
              <w:rPr>
                <w:rFonts w:ascii="Times New Roman" w:hAnsi="Times New Roman"/>
                <w:i/>
                <w:color w:val="000000"/>
                <w:sz w:val="19"/>
                <w:szCs w:val="19"/>
                <w:lang w:val="kk-KZ"/>
              </w:rPr>
            </w:pPr>
            <w:r>
              <w:rPr>
                <w:rFonts w:ascii="Times New Roman" w:hAnsi="Times New Roman"/>
                <w:i/>
                <w:color w:val="000000"/>
                <w:sz w:val="19"/>
                <w:szCs w:val="19"/>
                <w:lang w:val="kk-KZ"/>
              </w:rPr>
              <w:t>2) </w:t>
            </w:r>
            <w:r w:rsidR="00300A45" w:rsidRPr="00D047B8">
              <w:rPr>
                <w:rFonts w:ascii="Times New Roman" w:hAnsi="Times New Roman"/>
                <w:i/>
                <w:color w:val="000000"/>
                <w:sz w:val="19"/>
                <w:szCs w:val="19"/>
                <w:lang w:val="kk-KZ"/>
              </w:rPr>
              <w:t>қайталама нарықта сатып алу:</w:t>
            </w:r>
          </w:p>
          <w:p w:rsidR="00300A45" w:rsidRPr="00D047B8" w:rsidRDefault="00300A45" w:rsidP="00300A45">
            <w:pPr>
              <w:pStyle w:val="a9"/>
              <w:widowControl w:val="0"/>
              <w:spacing w:after="0" w:line="240" w:lineRule="auto"/>
              <w:ind w:left="0" w:firstLine="142"/>
              <w:jc w:val="both"/>
              <w:rPr>
                <w:rFonts w:ascii="Times New Roman" w:hAnsi="Times New Roman"/>
                <w:i/>
                <w:color w:val="000000"/>
                <w:sz w:val="19"/>
                <w:szCs w:val="19"/>
                <w:lang w:val="kk-KZ"/>
              </w:rPr>
            </w:pPr>
            <w:r>
              <w:rPr>
                <w:rFonts w:ascii="Times New Roman" w:hAnsi="Times New Roman"/>
                <w:i/>
                <w:color w:val="000000"/>
                <w:sz w:val="19"/>
                <w:szCs w:val="19"/>
                <w:lang w:val="kk-KZ"/>
              </w:rPr>
              <w:t>- </w:t>
            </w:r>
            <w:r w:rsidRPr="00D047B8">
              <w:rPr>
                <w:rFonts w:ascii="Times New Roman" w:hAnsi="Times New Roman"/>
                <w:i/>
                <w:color w:val="000000"/>
                <w:sz w:val="19"/>
                <w:szCs w:val="19"/>
                <w:lang w:val="kk-KZ"/>
              </w:rPr>
              <w:t>резиденттің бейрезиденттен резидент-эмитенттің ҚР заңнамасына сәйкес шығарылған борыштық бағалы қағаздарын;</w:t>
            </w:r>
          </w:p>
          <w:p w:rsidR="00300A45" w:rsidRDefault="00300A45" w:rsidP="003474AC">
            <w:pPr>
              <w:pStyle w:val="a9"/>
              <w:widowControl w:val="0"/>
              <w:spacing w:after="120" w:line="240" w:lineRule="auto"/>
              <w:ind w:left="0" w:firstLine="142"/>
              <w:jc w:val="both"/>
              <w:rPr>
                <w:rFonts w:ascii="Times New Roman" w:hAnsi="Times New Roman"/>
                <w:i/>
                <w:color w:val="000000"/>
                <w:sz w:val="19"/>
                <w:szCs w:val="19"/>
                <w:lang w:val="kk-KZ"/>
              </w:rPr>
            </w:pPr>
            <w:r>
              <w:rPr>
                <w:rFonts w:ascii="Times New Roman" w:hAnsi="Times New Roman"/>
                <w:i/>
                <w:color w:val="000000"/>
                <w:sz w:val="19"/>
                <w:szCs w:val="19"/>
                <w:lang w:val="kk-KZ"/>
              </w:rPr>
              <w:t>- </w:t>
            </w:r>
            <w:r w:rsidRPr="00D047B8">
              <w:rPr>
                <w:rFonts w:ascii="Times New Roman" w:hAnsi="Times New Roman"/>
                <w:i/>
                <w:color w:val="000000"/>
                <w:sz w:val="19"/>
                <w:szCs w:val="19"/>
                <w:lang w:val="kk-KZ"/>
              </w:rPr>
              <w:t>бейрезиденттің резиденттен бейрезидент-эмитенттің басқа мемлекеттің заңнамасына сәйкес және оның аумағында шығарылған</w:t>
            </w:r>
            <w:r w:rsidR="003474AC">
              <w:rPr>
                <w:rFonts w:ascii="Times New Roman" w:hAnsi="Times New Roman"/>
                <w:i/>
                <w:color w:val="000000"/>
                <w:sz w:val="19"/>
                <w:szCs w:val="19"/>
                <w:lang w:val="kk-KZ"/>
              </w:rPr>
              <w:t xml:space="preserve"> бағалы қағаздарын сатып алу</w:t>
            </w:r>
          </w:p>
          <w:p w:rsidR="003474AC" w:rsidRPr="00D047B8" w:rsidRDefault="003474AC" w:rsidP="003474AC">
            <w:pPr>
              <w:pStyle w:val="a9"/>
              <w:widowControl w:val="0"/>
              <w:spacing w:after="120" w:line="240" w:lineRule="auto"/>
              <w:ind w:left="0" w:firstLine="142"/>
              <w:jc w:val="both"/>
              <w:rPr>
                <w:rFonts w:ascii="Times New Roman" w:hAnsi="Times New Roman"/>
                <w:i/>
                <w:color w:val="000000"/>
                <w:sz w:val="19"/>
                <w:szCs w:val="19"/>
                <w:lang w:val="kk-KZ"/>
              </w:rPr>
            </w:pPr>
          </w:p>
        </w:tc>
        <w:tc>
          <w:tcPr>
            <w:tcW w:w="560" w:type="pct"/>
            <w:vMerge/>
            <w:tcBorders>
              <w:left w:val="nil"/>
              <w:right w:val="single" w:sz="4" w:space="0" w:color="auto"/>
            </w:tcBorders>
            <w:vAlign w:val="center"/>
          </w:tcPr>
          <w:p w:rsidR="00300A45" w:rsidRPr="00D047B8" w:rsidRDefault="00300A45" w:rsidP="00D2464A">
            <w:pPr>
              <w:spacing w:before="240" w:line="240" w:lineRule="auto"/>
              <w:contextualSpacing/>
              <w:rPr>
                <w:rFonts w:ascii="Times New Roman" w:eastAsia="Times New Roman" w:hAnsi="Times New Roman"/>
                <w:i/>
                <w:sz w:val="19"/>
                <w:szCs w:val="19"/>
                <w:lang w:val="kk-KZ" w:eastAsia="ru-RU"/>
              </w:rPr>
            </w:pPr>
          </w:p>
        </w:tc>
      </w:tr>
      <w:tr w:rsidR="00300A45" w:rsidRPr="00D047B8" w:rsidTr="003474AC">
        <w:trPr>
          <w:trHeight w:val="710"/>
        </w:trPr>
        <w:tc>
          <w:tcPr>
            <w:tcW w:w="97" w:type="pct"/>
            <w:vMerge w:val="restart"/>
            <w:tcBorders>
              <w:top w:val="nil"/>
              <w:left w:val="single" w:sz="4" w:space="0" w:color="auto"/>
              <w:right w:val="single" w:sz="4" w:space="0" w:color="auto"/>
            </w:tcBorders>
            <w:shd w:val="clear" w:color="auto" w:fill="auto"/>
            <w:vAlign w:val="center"/>
            <w:hideMark/>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lastRenderedPageBreak/>
              <w:t>4</w:t>
            </w:r>
          </w:p>
        </w:tc>
        <w:tc>
          <w:tcPr>
            <w:tcW w:w="833" w:type="pct"/>
            <w:vMerge w:val="restart"/>
            <w:tcBorders>
              <w:top w:val="nil"/>
              <w:left w:val="single" w:sz="4" w:space="0" w:color="auto"/>
              <w:right w:val="single" w:sz="4" w:space="0" w:color="auto"/>
            </w:tcBorders>
            <w:shd w:val="clear" w:color="auto" w:fill="auto"/>
            <w:vAlign w:val="center"/>
            <w:hideMark/>
          </w:tcPr>
          <w:p w:rsidR="00300A45" w:rsidRPr="00D047B8" w:rsidRDefault="00300A45" w:rsidP="003474AC">
            <w:pPr>
              <w:spacing w:before="120" w:after="120" w:line="240" w:lineRule="auto"/>
              <w:jc w:val="both"/>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Қазақстан Республикасының заңдарымен жылжымайтын мүлікке теңестірілген не жатқызылған жылжымалы заттарды қоспағанда, жылжымайтын мүлікке меншік құқығын сатып алу</w:t>
            </w:r>
          </w:p>
        </w:tc>
        <w:tc>
          <w:tcPr>
            <w:tcW w:w="887" w:type="pct"/>
            <w:vMerge w:val="restart"/>
            <w:tcBorders>
              <w:top w:val="nil"/>
              <w:left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1508" w:type="pct"/>
            <w:tcBorders>
              <w:top w:val="nil"/>
              <w:left w:val="nil"/>
              <w:bottom w:val="single" w:sz="4" w:space="0" w:color="auto"/>
              <w:right w:val="single" w:sz="4" w:space="0" w:color="auto"/>
            </w:tcBorders>
            <w:shd w:val="clear" w:color="auto" w:fill="auto"/>
            <w:vAlign w:val="center"/>
            <w:hideMark/>
          </w:tcPr>
          <w:p w:rsidR="00300A45" w:rsidRPr="00D047B8" w:rsidRDefault="00B93F18" w:rsidP="00B93F18">
            <w:pPr>
              <w:spacing w:before="160" w:line="240" w:lineRule="auto"/>
              <w:jc w:val="center"/>
              <w:rPr>
                <w:rFonts w:ascii="Times New Roman" w:hAnsi="Times New Roman"/>
                <w:i/>
                <w:color w:val="000000"/>
                <w:sz w:val="19"/>
                <w:szCs w:val="19"/>
                <w:vertAlign w:val="superscript"/>
                <w:lang w:val="kk-KZ"/>
              </w:rPr>
            </w:pPr>
            <w:r w:rsidRPr="00D047B8">
              <w:rPr>
                <w:rFonts w:ascii="Times New Roman" w:eastAsia="Times New Roman" w:hAnsi="Times New Roman"/>
                <w:sz w:val="19"/>
                <w:szCs w:val="19"/>
                <w:lang w:val="kk-KZ" w:eastAsia="ru-RU"/>
              </w:rPr>
              <w:t>ҚРҰБ АФ есептік тіркеу</w:t>
            </w:r>
            <w:r w:rsidRPr="00D047B8">
              <w:rPr>
                <w:rFonts w:ascii="Times New Roman" w:eastAsia="Times New Roman" w:hAnsi="Times New Roman"/>
                <w:sz w:val="19"/>
                <w:szCs w:val="19"/>
                <w:vertAlign w:val="superscript"/>
                <w:lang w:val="kk-KZ" w:eastAsia="ru-RU"/>
              </w:rPr>
              <w:t>2</w:t>
            </w:r>
          </w:p>
        </w:tc>
        <w:tc>
          <w:tcPr>
            <w:tcW w:w="1115" w:type="pct"/>
            <w:vMerge w:val="restart"/>
            <w:tcBorders>
              <w:top w:val="nil"/>
              <w:left w:val="nil"/>
              <w:right w:val="single" w:sz="4" w:space="0" w:color="auto"/>
            </w:tcBorders>
            <w:shd w:val="clear" w:color="auto" w:fill="F2F2F2"/>
            <w:vAlign w:val="center"/>
            <w:hideMark/>
          </w:tcPr>
          <w:p w:rsidR="00300A45" w:rsidRPr="00D047B8" w:rsidRDefault="00300A45" w:rsidP="00D2464A">
            <w:pPr>
              <w:spacing w:before="240" w:line="240" w:lineRule="auto"/>
              <w:contextualSpacing/>
              <w:rPr>
                <w:rFonts w:ascii="Times New Roman" w:hAnsi="Times New Roman"/>
                <w:i/>
                <w:color w:val="000000"/>
                <w:sz w:val="19"/>
                <w:szCs w:val="19"/>
                <w:lang w:val="kk-KZ"/>
              </w:rPr>
            </w:pPr>
          </w:p>
        </w:tc>
        <w:tc>
          <w:tcPr>
            <w:tcW w:w="560" w:type="pct"/>
            <w:vMerge/>
            <w:tcBorders>
              <w:left w:val="nil"/>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r>
      <w:tr w:rsidR="00300A45" w:rsidRPr="00323CA3" w:rsidTr="003474AC">
        <w:trPr>
          <w:trHeight w:val="1870"/>
        </w:trPr>
        <w:tc>
          <w:tcPr>
            <w:tcW w:w="97"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833"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300A45">
            <w:pPr>
              <w:spacing w:before="240" w:line="240" w:lineRule="auto"/>
              <w:contextualSpacing/>
              <w:jc w:val="both"/>
              <w:rPr>
                <w:rFonts w:ascii="Times New Roman" w:eastAsia="Times New Roman" w:hAnsi="Times New Roman"/>
                <w:sz w:val="19"/>
                <w:szCs w:val="19"/>
                <w:lang w:val="kk-KZ" w:eastAsia="ru-RU"/>
              </w:rPr>
            </w:pPr>
          </w:p>
        </w:tc>
        <w:tc>
          <w:tcPr>
            <w:tcW w:w="887" w:type="pct"/>
            <w:vMerge/>
            <w:tcBorders>
              <w:left w:val="single" w:sz="4" w:space="0" w:color="auto"/>
              <w:bottom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1508" w:type="pct"/>
            <w:tcBorders>
              <w:top w:val="single" w:sz="4" w:space="0" w:color="auto"/>
              <w:left w:val="nil"/>
              <w:bottom w:val="single" w:sz="4" w:space="0" w:color="auto"/>
              <w:right w:val="single" w:sz="4" w:space="0" w:color="auto"/>
            </w:tcBorders>
            <w:shd w:val="clear" w:color="auto" w:fill="auto"/>
            <w:vAlign w:val="center"/>
          </w:tcPr>
          <w:p w:rsidR="00C1242A" w:rsidRPr="00C1242A" w:rsidRDefault="00C1242A" w:rsidP="00C1242A">
            <w:pPr>
              <w:spacing w:before="240" w:line="240" w:lineRule="auto"/>
              <w:contextualSpacing/>
              <w:jc w:val="both"/>
              <w:rPr>
                <w:rFonts w:ascii="Times New Roman" w:hAnsi="Times New Roman"/>
                <w:i/>
                <w:color w:val="000000"/>
                <w:sz w:val="19"/>
                <w:szCs w:val="19"/>
                <w:lang w:val="kk-KZ"/>
              </w:rPr>
            </w:pPr>
            <w:r w:rsidRPr="00C1242A">
              <w:rPr>
                <w:rFonts w:ascii="Times New Roman" w:hAnsi="Times New Roman"/>
                <w:i/>
                <w:color w:val="000000"/>
                <w:sz w:val="19"/>
                <w:szCs w:val="19"/>
                <w:lang w:val="kk-KZ"/>
              </w:rPr>
              <w:t>Ерекшелік: резиденттің шетелдегі жылжымайтын мүлікті бейрезидентке сату шарты, егер резидент шетелде жылжымайтын мүлікті меншікке сатып алуға арналған капитал қозғалысының валюталық шарты үшін есептік нөмірді бұрын алған болса</w:t>
            </w:r>
          </w:p>
          <w:p w:rsidR="00300A45" w:rsidRPr="00C1242A" w:rsidRDefault="00300A45" w:rsidP="004A0505">
            <w:pPr>
              <w:spacing w:before="240" w:line="240" w:lineRule="auto"/>
              <w:contextualSpacing/>
              <w:jc w:val="center"/>
              <w:rPr>
                <w:rFonts w:ascii="Times New Roman" w:hAnsi="Times New Roman"/>
                <w:i/>
                <w:color w:val="000000"/>
                <w:sz w:val="19"/>
                <w:szCs w:val="19"/>
                <w:lang w:val="kk-KZ"/>
              </w:rPr>
            </w:pPr>
          </w:p>
        </w:tc>
        <w:tc>
          <w:tcPr>
            <w:tcW w:w="1115" w:type="pct"/>
            <w:vMerge/>
            <w:tcBorders>
              <w:left w:val="nil"/>
              <w:bottom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hAnsi="Times New Roman"/>
                <w:i/>
                <w:color w:val="000000"/>
                <w:sz w:val="19"/>
                <w:szCs w:val="19"/>
                <w:lang w:val="kk-KZ"/>
              </w:rPr>
            </w:pPr>
          </w:p>
        </w:tc>
        <w:tc>
          <w:tcPr>
            <w:tcW w:w="560" w:type="pct"/>
            <w:vMerge/>
            <w:tcBorders>
              <w:left w:val="nil"/>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r>
      <w:tr w:rsidR="00300A45" w:rsidRPr="00D047B8" w:rsidTr="003474AC">
        <w:trPr>
          <w:trHeight w:val="574"/>
        </w:trPr>
        <w:tc>
          <w:tcPr>
            <w:tcW w:w="97" w:type="pct"/>
            <w:vMerge w:val="restart"/>
            <w:tcBorders>
              <w:top w:val="nil"/>
              <w:left w:val="single" w:sz="4" w:space="0" w:color="auto"/>
              <w:right w:val="single" w:sz="4" w:space="0" w:color="auto"/>
            </w:tcBorders>
            <w:shd w:val="clear" w:color="auto" w:fill="auto"/>
            <w:vAlign w:val="center"/>
            <w:hideMark/>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5</w:t>
            </w:r>
          </w:p>
        </w:tc>
        <w:tc>
          <w:tcPr>
            <w:tcW w:w="833" w:type="pct"/>
            <w:vMerge w:val="restart"/>
            <w:tcBorders>
              <w:top w:val="nil"/>
              <w:left w:val="single" w:sz="4" w:space="0" w:color="auto"/>
              <w:right w:val="single" w:sz="4" w:space="0" w:color="auto"/>
            </w:tcBorders>
            <w:shd w:val="clear" w:color="auto" w:fill="auto"/>
            <w:vAlign w:val="center"/>
            <w:hideMark/>
          </w:tcPr>
          <w:p w:rsidR="00300A45" w:rsidRPr="00D047B8" w:rsidRDefault="00300A45" w:rsidP="003474AC">
            <w:pPr>
              <w:spacing w:before="120" w:after="120" w:line="240" w:lineRule="auto"/>
              <w:jc w:val="both"/>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Зияткерлік меншік объектілеріне айрықша құқықтарды толығымен сатып алу</w:t>
            </w:r>
          </w:p>
        </w:tc>
        <w:tc>
          <w:tcPr>
            <w:tcW w:w="887" w:type="pct"/>
            <w:vMerge w:val="restart"/>
            <w:tcBorders>
              <w:top w:val="nil"/>
              <w:left w:val="single" w:sz="4" w:space="0" w:color="auto"/>
              <w:right w:val="single" w:sz="4" w:space="0" w:color="auto"/>
            </w:tcBorders>
            <w:shd w:val="clear" w:color="auto" w:fill="F2F2F2"/>
            <w:vAlign w:val="center"/>
          </w:tcPr>
          <w:p w:rsidR="00300A45" w:rsidRPr="00D047B8" w:rsidRDefault="00300A45" w:rsidP="00D017BC">
            <w:pPr>
              <w:spacing w:before="240" w:line="240" w:lineRule="auto"/>
              <w:contextualSpacing/>
              <w:jc w:val="center"/>
              <w:rPr>
                <w:rFonts w:ascii="Times New Roman" w:eastAsia="Times New Roman" w:hAnsi="Times New Roman"/>
                <w:sz w:val="19"/>
                <w:szCs w:val="19"/>
                <w:lang w:val="kk-KZ" w:eastAsia="ru-RU"/>
              </w:rPr>
            </w:pPr>
          </w:p>
        </w:tc>
        <w:tc>
          <w:tcPr>
            <w:tcW w:w="1508" w:type="pct"/>
            <w:tcBorders>
              <w:top w:val="nil"/>
              <w:left w:val="nil"/>
              <w:bottom w:val="single" w:sz="4" w:space="0" w:color="auto"/>
              <w:right w:val="single" w:sz="4" w:space="0" w:color="auto"/>
            </w:tcBorders>
            <w:shd w:val="clear" w:color="auto" w:fill="auto"/>
            <w:vAlign w:val="center"/>
            <w:hideMark/>
          </w:tcPr>
          <w:p w:rsidR="00300A45" w:rsidRPr="00D047B8" w:rsidRDefault="00300A45" w:rsidP="00234F54">
            <w:pPr>
              <w:spacing w:before="240" w:line="240" w:lineRule="auto"/>
              <w:contextualSpacing/>
              <w:jc w:val="center"/>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ҚРҰБ АФ есептік тіркеу</w:t>
            </w:r>
            <w:r w:rsidRPr="00D047B8">
              <w:rPr>
                <w:rFonts w:ascii="Times New Roman" w:eastAsia="Times New Roman" w:hAnsi="Times New Roman"/>
                <w:sz w:val="19"/>
                <w:szCs w:val="19"/>
                <w:vertAlign w:val="superscript"/>
                <w:lang w:val="kk-KZ" w:eastAsia="ru-RU"/>
              </w:rPr>
              <w:t>2</w:t>
            </w:r>
          </w:p>
        </w:tc>
        <w:tc>
          <w:tcPr>
            <w:tcW w:w="1115" w:type="pct"/>
            <w:tcBorders>
              <w:top w:val="single" w:sz="4" w:space="0" w:color="auto"/>
              <w:left w:val="nil"/>
              <w:bottom w:val="single" w:sz="4" w:space="0" w:color="auto"/>
              <w:right w:val="single" w:sz="4" w:space="0" w:color="auto"/>
            </w:tcBorders>
            <w:shd w:val="clear" w:color="auto" w:fill="auto"/>
            <w:vAlign w:val="center"/>
            <w:hideMark/>
          </w:tcPr>
          <w:p w:rsidR="00300A45" w:rsidRPr="00D047B8" w:rsidRDefault="00300A45" w:rsidP="00234F54">
            <w:pPr>
              <w:spacing w:before="240" w:line="240" w:lineRule="auto"/>
              <w:contextualSpacing/>
              <w:jc w:val="center"/>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ҚРҰБ АФ есептік тіркеу</w:t>
            </w:r>
            <w:r w:rsidRPr="00D047B8">
              <w:rPr>
                <w:rFonts w:ascii="Times New Roman" w:eastAsia="Times New Roman" w:hAnsi="Times New Roman"/>
                <w:sz w:val="19"/>
                <w:szCs w:val="19"/>
                <w:vertAlign w:val="superscript"/>
                <w:lang w:val="kk-KZ" w:eastAsia="ru-RU"/>
              </w:rPr>
              <w:t>2</w:t>
            </w:r>
          </w:p>
        </w:tc>
        <w:tc>
          <w:tcPr>
            <w:tcW w:w="560" w:type="pct"/>
            <w:vMerge/>
            <w:tcBorders>
              <w:left w:val="nil"/>
              <w:right w:val="single" w:sz="4" w:space="0" w:color="auto"/>
            </w:tcBorders>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r>
      <w:tr w:rsidR="00300A45" w:rsidRPr="00323CA3" w:rsidTr="003474AC">
        <w:trPr>
          <w:trHeight w:val="554"/>
        </w:trPr>
        <w:tc>
          <w:tcPr>
            <w:tcW w:w="97"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833"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300A45">
            <w:pPr>
              <w:spacing w:before="240" w:line="240" w:lineRule="auto"/>
              <w:contextualSpacing/>
              <w:jc w:val="both"/>
              <w:rPr>
                <w:rFonts w:ascii="Times New Roman" w:eastAsia="Times New Roman" w:hAnsi="Times New Roman"/>
                <w:sz w:val="19"/>
                <w:szCs w:val="19"/>
                <w:lang w:val="kk-KZ" w:eastAsia="ru-RU"/>
              </w:rPr>
            </w:pPr>
          </w:p>
        </w:tc>
        <w:tc>
          <w:tcPr>
            <w:tcW w:w="887" w:type="pct"/>
            <w:vMerge/>
            <w:tcBorders>
              <w:left w:val="single" w:sz="4" w:space="0" w:color="auto"/>
              <w:bottom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2623" w:type="pct"/>
            <w:gridSpan w:val="2"/>
            <w:tcBorders>
              <w:top w:val="nil"/>
              <w:left w:val="nil"/>
              <w:bottom w:val="single" w:sz="4" w:space="0" w:color="auto"/>
              <w:right w:val="single" w:sz="4" w:space="0" w:color="auto"/>
            </w:tcBorders>
            <w:shd w:val="clear" w:color="auto" w:fill="auto"/>
            <w:vAlign w:val="center"/>
          </w:tcPr>
          <w:p w:rsidR="00300A45" w:rsidRPr="00300A45" w:rsidRDefault="00300A45" w:rsidP="00300A45">
            <w:pPr>
              <w:widowControl w:val="0"/>
              <w:spacing w:before="160"/>
              <w:jc w:val="both"/>
              <w:rPr>
                <w:rFonts w:ascii="Times New Roman" w:hAnsi="Times New Roman"/>
                <w:i/>
                <w:color w:val="000000"/>
                <w:sz w:val="19"/>
                <w:szCs w:val="19"/>
                <w:lang w:val="kk-KZ"/>
              </w:rPr>
            </w:pPr>
            <w:r w:rsidRPr="00300A45">
              <w:rPr>
                <w:rFonts w:ascii="Times New Roman" w:hAnsi="Times New Roman"/>
                <w:i/>
                <w:color w:val="000000"/>
                <w:sz w:val="19"/>
                <w:szCs w:val="19"/>
                <w:lang w:val="kk-KZ"/>
              </w:rPr>
              <w:t>Ерекшелік:</w:t>
            </w:r>
            <w:r w:rsidRPr="00300A45">
              <w:rPr>
                <w:rFonts w:ascii="Times New Roman" w:eastAsia="Times New Roman" w:hAnsi="Times New Roman"/>
                <w:i/>
                <w:sz w:val="19"/>
                <w:szCs w:val="19"/>
                <w:lang w:val="kk-KZ" w:eastAsia="ru-RU"/>
              </w:rPr>
              <w:t xml:space="preserve"> </w:t>
            </w:r>
            <w:r w:rsidR="002269CA" w:rsidRPr="002269CA">
              <w:rPr>
                <w:rFonts w:ascii="Times New Roman" w:eastAsia="Times New Roman" w:hAnsi="Times New Roman"/>
                <w:i/>
                <w:sz w:val="19"/>
                <w:szCs w:val="19"/>
                <w:lang w:val="kk-KZ" w:eastAsia="ru-RU"/>
              </w:rPr>
              <w:t>зияткерлік шығармашылық қызмет нәтижесіне толық ерекше құқықты сатып алу</w:t>
            </w:r>
          </w:p>
        </w:tc>
        <w:tc>
          <w:tcPr>
            <w:tcW w:w="560" w:type="pct"/>
            <w:vMerge/>
            <w:tcBorders>
              <w:left w:val="nil"/>
              <w:right w:val="single" w:sz="4" w:space="0" w:color="auto"/>
            </w:tcBorders>
            <w:vAlign w:val="center"/>
          </w:tcPr>
          <w:p w:rsidR="00300A45" w:rsidRPr="00D047B8" w:rsidRDefault="00300A45" w:rsidP="00D2464A">
            <w:pPr>
              <w:spacing w:before="240" w:line="240" w:lineRule="auto"/>
              <w:contextualSpacing/>
              <w:rPr>
                <w:rFonts w:ascii="Times New Roman" w:eastAsia="Times New Roman" w:hAnsi="Times New Roman"/>
                <w:i/>
                <w:sz w:val="19"/>
                <w:szCs w:val="19"/>
                <w:lang w:val="kk-KZ" w:eastAsia="ru-RU"/>
              </w:rPr>
            </w:pPr>
          </w:p>
        </w:tc>
      </w:tr>
      <w:tr w:rsidR="00300A45" w:rsidRPr="00D047B8" w:rsidTr="003474AC">
        <w:trPr>
          <w:trHeight w:val="896"/>
        </w:trPr>
        <w:tc>
          <w:tcPr>
            <w:tcW w:w="97" w:type="pct"/>
            <w:vMerge w:val="restart"/>
            <w:tcBorders>
              <w:top w:val="nil"/>
              <w:left w:val="single" w:sz="4" w:space="0" w:color="auto"/>
              <w:right w:val="single" w:sz="4" w:space="0" w:color="auto"/>
            </w:tcBorders>
            <w:shd w:val="clear" w:color="auto" w:fill="auto"/>
            <w:vAlign w:val="center"/>
            <w:hideMark/>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6</w:t>
            </w:r>
          </w:p>
        </w:tc>
        <w:tc>
          <w:tcPr>
            <w:tcW w:w="833" w:type="pct"/>
            <w:vMerge w:val="restart"/>
            <w:tcBorders>
              <w:top w:val="nil"/>
              <w:left w:val="single" w:sz="4" w:space="0" w:color="auto"/>
              <w:right w:val="single" w:sz="4" w:space="0" w:color="auto"/>
            </w:tcBorders>
            <w:shd w:val="clear" w:color="auto" w:fill="auto"/>
            <w:vAlign w:val="center"/>
            <w:hideMark/>
          </w:tcPr>
          <w:p w:rsidR="00300A45" w:rsidRPr="00D047B8" w:rsidRDefault="00300A45" w:rsidP="003474AC">
            <w:pPr>
              <w:spacing w:before="120" w:after="120" w:line="240" w:lineRule="auto"/>
              <w:jc w:val="both"/>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Ақшаны және өзге де мүлікті бірлескен қызметке қатысушының міндеттемелерін орындау үшін, сондай-ақ сенімгерлік басқаруға, трастқа беру</w:t>
            </w:r>
          </w:p>
        </w:tc>
        <w:tc>
          <w:tcPr>
            <w:tcW w:w="887" w:type="pct"/>
            <w:vMerge w:val="restart"/>
            <w:tcBorders>
              <w:top w:val="nil"/>
              <w:left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1508" w:type="pct"/>
            <w:tcBorders>
              <w:top w:val="nil"/>
              <w:left w:val="nil"/>
              <w:bottom w:val="single" w:sz="4" w:space="0" w:color="auto"/>
              <w:right w:val="single" w:sz="4" w:space="0" w:color="auto"/>
            </w:tcBorders>
            <w:shd w:val="clear" w:color="auto" w:fill="auto"/>
            <w:vAlign w:val="center"/>
            <w:hideMark/>
          </w:tcPr>
          <w:p w:rsidR="00300A45" w:rsidRPr="00D047B8" w:rsidRDefault="00300A45" w:rsidP="00D2464A">
            <w:pPr>
              <w:spacing w:before="240" w:line="240" w:lineRule="auto"/>
              <w:contextualSpacing/>
              <w:jc w:val="center"/>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ҚРҰБ АФ есептік тіркеу</w:t>
            </w:r>
            <w:r w:rsidRPr="00D047B8">
              <w:rPr>
                <w:rFonts w:ascii="Times New Roman" w:eastAsia="Times New Roman" w:hAnsi="Times New Roman"/>
                <w:sz w:val="19"/>
                <w:szCs w:val="19"/>
                <w:vertAlign w:val="superscript"/>
                <w:lang w:val="kk-KZ" w:eastAsia="ru-RU"/>
              </w:rPr>
              <w:t>2</w:t>
            </w:r>
          </w:p>
        </w:tc>
        <w:tc>
          <w:tcPr>
            <w:tcW w:w="1115" w:type="pct"/>
            <w:tcBorders>
              <w:top w:val="single" w:sz="4" w:space="0" w:color="auto"/>
              <w:left w:val="nil"/>
              <w:bottom w:val="single" w:sz="4" w:space="0" w:color="auto"/>
              <w:right w:val="single" w:sz="4" w:space="0" w:color="auto"/>
            </w:tcBorders>
            <w:shd w:val="clear" w:color="auto" w:fill="auto"/>
            <w:vAlign w:val="center"/>
            <w:hideMark/>
          </w:tcPr>
          <w:p w:rsidR="00300A45" w:rsidRPr="00D047B8" w:rsidRDefault="00300A45" w:rsidP="00D2464A">
            <w:pPr>
              <w:spacing w:before="240" w:line="240" w:lineRule="auto"/>
              <w:contextualSpacing/>
              <w:jc w:val="center"/>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ҚРҰБ АФ есептік тіркеу</w:t>
            </w:r>
            <w:r w:rsidRPr="00D047B8">
              <w:rPr>
                <w:rFonts w:ascii="Times New Roman" w:eastAsia="Times New Roman" w:hAnsi="Times New Roman"/>
                <w:sz w:val="19"/>
                <w:szCs w:val="19"/>
                <w:vertAlign w:val="superscript"/>
                <w:lang w:val="kk-KZ" w:eastAsia="ru-RU"/>
              </w:rPr>
              <w:t>2</w:t>
            </w:r>
          </w:p>
        </w:tc>
        <w:tc>
          <w:tcPr>
            <w:tcW w:w="560" w:type="pct"/>
            <w:vMerge/>
            <w:tcBorders>
              <w:left w:val="nil"/>
              <w:right w:val="single" w:sz="4" w:space="0" w:color="auto"/>
            </w:tcBorders>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r>
      <w:tr w:rsidR="00300A45" w:rsidRPr="00FF1CE2" w:rsidTr="003474AC">
        <w:trPr>
          <w:trHeight w:val="1268"/>
        </w:trPr>
        <w:tc>
          <w:tcPr>
            <w:tcW w:w="97"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833"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300A45">
            <w:pPr>
              <w:spacing w:before="240" w:line="240" w:lineRule="auto"/>
              <w:contextualSpacing/>
              <w:jc w:val="both"/>
              <w:rPr>
                <w:rFonts w:ascii="Times New Roman" w:eastAsia="Times New Roman" w:hAnsi="Times New Roman"/>
                <w:sz w:val="19"/>
                <w:szCs w:val="19"/>
                <w:lang w:val="kk-KZ" w:eastAsia="ru-RU"/>
              </w:rPr>
            </w:pPr>
          </w:p>
        </w:tc>
        <w:tc>
          <w:tcPr>
            <w:tcW w:w="887" w:type="pct"/>
            <w:vMerge/>
            <w:tcBorders>
              <w:left w:val="single" w:sz="4" w:space="0" w:color="auto"/>
              <w:bottom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1508" w:type="pct"/>
            <w:tcBorders>
              <w:top w:val="single" w:sz="4" w:space="0" w:color="auto"/>
              <w:left w:val="nil"/>
              <w:bottom w:val="single" w:sz="4" w:space="0" w:color="auto"/>
              <w:right w:val="single" w:sz="4" w:space="0" w:color="auto"/>
            </w:tcBorders>
            <w:shd w:val="clear" w:color="auto" w:fill="auto"/>
            <w:vAlign w:val="center"/>
          </w:tcPr>
          <w:p w:rsidR="00300A45" w:rsidRPr="00FF1CE2" w:rsidRDefault="00FF1CE2" w:rsidP="003474AC">
            <w:pPr>
              <w:spacing w:before="240" w:after="240" w:line="240" w:lineRule="auto"/>
              <w:jc w:val="both"/>
              <w:rPr>
                <w:rFonts w:ascii="Times New Roman" w:eastAsia="Times New Roman" w:hAnsi="Times New Roman"/>
                <w:sz w:val="19"/>
                <w:szCs w:val="19"/>
                <w:lang w:val="kk-KZ" w:eastAsia="ru-RU"/>
              </w:rPr>
            </w:pPr>
            <w:r w:rsidRPr="00FF1CE2">
              <w:rPr>
                <w:rFonts w:ascii="Times New Roman" w:eastAsia="Times New Roman" w:hAnsi="Times New Roman"/>
                <w:i/>
                <w:sz w:val="19"/>
                <w:szCs w:val="19"/>
                <w:lang w:val="kk-KZ" w:eastAsia="ru-RU"/>
              </w:rPr>
              <w:t>Ерекшелік: инвестициялық портфельді басқару туралы резиденттің инвестициялық портфельді басқарушы резидентпен жасалған келісімшарты негізінде жүргізілетін операциялар</w:t>
            </w:r>
          </w:p>
        </w:tc>
        <w:tc>
          <w:tcPr>
            <w:tcW w:w="1115" w:type="pct"/>
            <w:tcBorders>
              <w:top w:val="single" w:sz="4" w:space="0" w:color="auto"/>
              <w:left w:val="nil"/>
              <w:bottom w:val="single" w:sz="4" w:space="0" w:color="auto"/>
              <w:right w:val="single" w:sz="4" w:space="0" w:color="auto"/>
            </w:tcBorders>
            <w:shd w:val="clear" w:color="auto" w:fill="auto"/>
            <w:vAlign w:val="center"/>
          </w:tcPr>
          <w:p w:rsidR="00300A45" w:rsidRPr="00300A45" w:rsidRDefault="00FF1CE2" w:rsidP="003474AC">
            <w:pPr>
              <w:spacing w:before="240" w:after="240" w:line="240" w:lineRule="auto"/>
              <w:jc w:val="both"/>
              <w:rPr>
                <w:rFonts w:ascii="Times New Roman" w:eastAsia="Times New Roman" w:hAnsi="Times New Roman"/>
                <w:i/>
                <w:sz w:val="19"/>
                <w:szCs w:val="19"/>
                <w:lang w:val="kk-KZ" w:eastAsia="ru-RU"/>
              </w:rPr>
            </w:pPr>
            <w:r w:rsidRPr="00FF1CE2">
              <w:rPr>
                <w:rFonts w:ascii="Times New Roman" w:eastAsia="Times New Roman" w:hAnsi="Times New Roman"/>
                <w:i/>
                <w:sz w:val="19"/>
                <w:szCs w:val="19"/>
                <w:lang w:val="kk-KZ" w:eastAsia="ru-RU"/>
              </w:rPr>
              <w:t xml:space="preserve">Ерекшелік: </w:t>
            </w:r>
            <w:r w:rsidR="0094250A" w:rsidRPr="0094250A">
              <w:rPr>
                <w:rFonts w:ascii="Times New Roman" w:eastAsia="Times New Roman" w:hAnsi="Times New Roman"/>
                <w:i/>
                <w:sz w:val="19"/>
                <w:szCs w:val="19"/>
                <w:lang w:val="kk-KZ" w:eastAsia="ru-RU"/>
              </w:rPr>
              <w:t xml:space="preserve">резидент-жеке тұлғалардың </w:t>
            </w:r>
            <w:r w:rsidRPr="00FF1CE2">
              <w:rPr>
                <w:rFonts w:ascii="Times New Roman" w:eastAsia="Times New Roman" w:hAnsi="Times New Roman"/>
                <w:i/>
                <w:sz w:val="19"/>
                <w:szCs w:val="19"/>
                <w:lang w:val="kk-KZ" w:eastAsia="ru-RU"/>
              </w:rPr>
              <w:t>инвестициялық портфельді басқару туралы келісімшарт негізінде жүргізілетін операциялары</w:t>
            </w:r>
          </w:p>
        </w:tc>
        <w:tc>
          <w:tcPr>
            <w:tcW w:w="560" w:type="pct"/>
            <w:vMerge/>
            <w:tcBorders>
              <w:left w:val="nil"/>
              <w:right w:val="single" w:sz="4" w:space="0" w:color="auto"/>
            </w:tcBorders>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r>
      <w:tr w:rsidR="00300A45" w:rsidRPr="00D047B8" w:rsidTr="003474AC">
        <w:trPr>
          <w:trHeight w:val="996"/>
        </w:trPr>
        <w:tc>
          <w:tcPr>
            <w:tcW w:w="97" w:type="pct"/>
            <w:vMerge w:val="restart"/>
            <w:tcBorders>
              <w:top w:val="nil"/>
              <w:left w:val="single" w:sz="4" w:space="0" w:color="auto"/>
              <w:right w:val="single" w:sz="4" w:space="0" w:color="auto"/>
            </w:tcBorders>
            <w:shd w:val="clear" w:color="auto" w:fill="auto"/>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7</w:t>
            </w:r>
          </w:p>
        </w:tc>
        <w:tc>
          <w:tcPr>
            <w:tcW w:w="833" w:type="pct"/>
            <w:vMerge w:val="restart"/>
            <w:tcBorders>
              <w:top w:val="nil"/>
              <w:left w:val="single" w:sz="4" w:space="0" w:color="auto"/>
              <w:right w:val="single" w:sz="4" w:space="0" w:color="auto"/>
            </w:tcBorders>
            <w:shd w:val="clear" w:color="auto" w:fill="auto"/>
            <w:vAlign w:val="center"/>
          </w:tcPr>
          <w:p w:rsidR="00300A45" w:rsidRDefault="00300A45" w:rsidP="003474AC">
            <w:pPr>
              <w:spacing w:before="240" w:after="240" w:line="240" w:lineRule="auto"/>
              <w:jc w:val="both"/>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Клиенттердің тапсырмалары бойынша валюталық операцияларды жүзеге асыратын бағалы қағаздар нарығының кәсіби қатысушыларына клиенттерге тиесілі ақшаны есепке алу және сақтау үшін шоттарға ақша мен қаржы құралдарын беру</w:t>
            </w:r>
          </w:p>
          <w:p w:rsidR="003474AC" w:rsidRDefault="003474AC" w:rsidP="003474AC">
            <w:pPr>
              <w:spacing w:before="240" w:after="240" w:line="240" w:lineRule="auto"/>
              <w:jc w:val="both"/>
              <w:rPr>
                <w:rFonts w:ascii="Times New Roman" w:eastAsia="Times New Roman" w:hAnsi="Times New Roman"/>
                <w:sz w:val="19"/>
                <w:szCs w:val="19"/>
                <w:lang w:val="kk-KZ" w:eastAsia="ru-RU"/>
              </w:rPr>
            </w:pPr>
          </w:p>
          <w:p w:rsidR="003474AC" w:rsidRPr="00D047B8" w:rsidRDefault="003474AC" w:rsidP="003474AC">
            <w:pPr>
              <w:spacing w:before="240" w:after="240" w:line="240" w:lineRule="auto"/>
              <w:jc w:val="both"/>
              <w:rPr>
                <w:rFonts w:ascii="Times New Roman" w:eastAsia="Times New Roman" w:hAnsi="Times New Roman"/>
                <w:sz w:val="19"/>
                <w:szCs w:val="19"/>
                <w:lang w:val="kk-KZ" w:eastAsia="ru-RU"/>
              </w:rPr>
            </w:pPr>
          </w:p>
        </w:tc>
        <w:tc>
          <w:tcPr>
            <w:tcW w:w="887" w:type="pct"/>
            <w:vMerge w:val="restart"/>
            <w:tcBorders>
              <w:top w:val="nil"/>
              <w:left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1508" w:type="pct"/>
            <w:tcBorders>
              <w:top w:val="nil"/>
              <w:left w:val="nil"/>
              <w:bottom w:val="single" w:sz="4" w:space="0" w:color="auto"/>
              <w:right w:val="single" w:sz="4" w:space="0" w:color="auto"/>
            </w:tcBorders>
            <w:shd w:val="clear" w:color="auto" w:fill="auto"/>
            <w:vAlign w:val="center"/>
          </w:tcPr>
          <w:p w:rsidR="00300A45" w:rsidRPr="00D047B8" w:rsidRDefault="00300A45" w:rsidP="00D2464A">
            <w:pPr>
              <w:spacing w:before="240" w:line="240" w:lineRule="auto"/>
              <w:contextualSpacing/>
              <w:jc w:val="center"/>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ҚРҰБ АФ есептік тіркеу</w:t>
            </w:r>
            <w:r w:rsidRPr="00D047B8">
              <w:rPr>
                <w:rFonts w:ascii="Times New Roman" w:eastAsia="Times New Roman" w:hAnsi="Times New Roman"/>
                <w:sz w:val="19"/>
                <w:szCs w:val="19"/>
                <w:vertAlign w:val="superscript"/>
                <w:lang w:val="kk-KZ" w:eastAsia="ru-RU"/>
              </w:rPr>
              <w:t>2</w:t>
            </w:r>
          </w:p>
        </w:tc>
        <w:tc>
          <w:tcPr>
            <w:tcW w:w="1115" w:type="pct"/>
            <w:vMerge w:val="restart"/>
            <w:tcBorders>
              <w:top w:val="single" w:sz="4" w:space="0" w:color="auto"/>
              <w:left w:val="nil"/>
              <w:right w:val="single" w:sz="4" w:space="0" w:color="auto"/>
            </w:tcBorders>
            <w:shd w:val="pct5" w:color="auto" w:fill="auto"/>
            <w:vAlign w:val="center"/>
          </w:tcPr>
          <w:p w:rsidR="00300A45" w:rsidRDefault="00300A45"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Default="003474AC" w:rsidP="00300A45">
            <w:pPr>
              <w:spacing w:before="240" w:line="240" w:lineRule="auto"/>
              <w:contextualSpacing/>
              <w:rPr>
                <w:rFonts w:ascii="Times New Roman" w:eastAsia="Times New Roman" w:hAnsi="Times New Roman"/>
                <w:sz w:val="19"/>
                <w:szCs w:val="19"/>
                <w:lang w:val="kk-KZ" w:eastAsia="ru-RU"/>
              </w:rPr>
            </w:pPr>
          </w:p>
          <w:p w:rsidR="003474AC" w:rsidRPr="00D047B8" w:rsidRDefault="003474AC" w:rsidP="00300A45">
            <w:pPr>
              <w:spacing w:before="240" w:line="240" w:lineRule="auto"/>
              <w:contextualSpacing/>
              <w:rPr>
                <w:rFonts w:ascii="Times New Roman" w:eastAsia="Times New Roman" w:hAnsi="Times New Roman"/>
                <w:sz w:val="19"/>
                <w:szCs w:val="19"/>
                <w:lang w:val="kk-KZ" w:eastAsia="ru-RU"/>
              </w:rPr>
            </w:pPr>
          </w:p>
        </w:tc>
        <w:tc>
          <w:tcPr>
            <w:tcW w:w="560" w:type="pct"/>
            <w:vMerge/>
            <w:tcBorders>
              <w:left w:val="nil"/>
              <w:right w:val="single" w:sz="4" w:space="0" w:color="auto"/>
            </w:tcBorders>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r>
      <w:tr w:rsidR="00300A45" w:rsidRPr="00A43C4D" w:rsidTr="003474AC">
        <w:trPr>
          <w:trHeight w:val="2042"/>
        </w:trPr>
        <w:tc>
          <w:tcPr>
            <w:tcW w:w="97"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833"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300A45">
            <w:pPr>
              <w:spacing w:before="240" w:line="240" w:lineRule="auto"/>
              <w:contextualSpacing/>
              <w:jc w:val="both"/>
              <w:rPr>
                <w:rFonts w:ascii="Times New Roman" w:eastAsia="Times New Roman" w:hAnsi="Times New Roman"/>
                <w:sz w:val="19"/>
                <w:szCs w:val="19"/>
                <w:lang w:val="kk-KZ" w:eastAsia="ru-RU"/>
              </w:rPr>
            </w:pPr>
          </w:p>
        </w:tc>
        <w:tc>
          <w:tcPr>
            <w:tcW w:w="887" w:type="pct"/>
            <w:vMerge/>
            <w:tcBorders>
              <w:left w:val="single" w:sz="4" w:space="0" w:color="auto"/>
              <w:bottom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1508" w:type="pct"/>
            <w:tcBorders>
              <w:top w:val="single" w:sz="4" w:space="0" w:color="auto"/>
              <w:left w:val="nil"/>
              <w:bottom w:val="single" w:sz="4" w:space="0" w:color="auto"/>
              <w:right w:val="single" w:sz="4" w:space="0" w:color="auto"/>
            </w:tcBorders>
            <w:shd w:val="clear" w:color="auto" w:fill="auto"/>
            <w:vAlign w:val="center"/>
          </w:tcPr>
          <w:p w:rsidR="00300A45" w:rsidRPr="00A43C4D" w:rsidRDefault="00A43C4D" w:rsidP="00300A45">
            <w:pPr>
              <w:spacing w:before="120" w:after="120" w:line="240" w:lineRule="auto"/>
              <w:contextualSpacing/>
              <w:jc w:val="both"/>
              <w:rPr>
                <w:rFonts w:ascii="Times New Roman" w:eastAsia="Times New Roman" w:hAnsi="Times New Roman"/>
                <w:sz w:val="19"/>
                <w:szCs w:val="19"/>
                <w:lang w:val="kk-KZ" w:eastAsia="ru-RU"/>
              </w:rPr>
            </w:pPr>
            <w:r w:rsidRPr="00A43C4D">
              <w:rPr>
                <w:rFonts w:ascii="Times New Roman" w:eastAsia="Times New Roman" w:hAnsi="Times New Roman"/>
                <w:i/>
                <w:sz w:val="19"/>
                <w:szCs w:val="19"/>
                <w:lang w:val="kk-KZ" w:eastAsia="ru-RU"/>
              </w:rPr>
              <w:t>Ерекшелік: резиденттердің брокерлік қызмет көрсету туралы резидент-брокермен жасалған келісімшарты негізінде жүргізілетін операциялар</w:t>
            </w:r>
          </w:p>
        </w:tc>
        <w:tc>
          <w:tcPr>
            <w:tcW w:w="1115" w:type="pct"/>
            <w:vMerge/>
            <w:tcBorders>
              <w:left w:val="nil"/>
              <w:bottom w:val="single" w:sz="4" w:space="0" w:color="auto"/>
              <w:right w:val="single" w:sz="4" w:space="0" w:color="auto"/>
            </w:tcBorders>
            <w:shd w:val="pct5" w:color="auto" w:fill="auto"/>
            <w:vAlign w:val="center"/>
          </w:tcPr>
          <w:p w:rsidR="00300A45" w:rsidRPr="00D047B8" w:rsidRDefault="00300A45" w:rsidP="00D2464A">
            <w:pPr>
              <w:spacing w:before="240" w:line="240" w:lineRule="auto"/>
              <w:contextualSpacing/>
              <w:jc w:val="center"/>
              <w:rPr>
                <w:rFonts w:ascii="Times New Roman" w:eastAsia="Times New Roman" w:hAnsi="Times New Roman"/>
                <w:sz w:val="19"/>
                <w:szCs w:val="19"/>
                <w:lang w:val="kk-KZ" w:eastAsia="ru-RU"/>
              </w:rPr>
            </w:pPr>
          </w:p>
        </w:tc>
        <w:tc>
          <w:tcPr>
            <w:tcW w:w="560" w:type="pct"/>
            <w:vMerge/>
            <w:tcBorders>
              <w:left w:val="nil"/>
              <w:right w:val="single" w:sz="4" w:space="0" w:color="auto"/>
            </w:tcBorders>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r>
      <w:tr w:rsidR="00300A45" w:rsidRPr="008F3C6D" w:rsidTr="003474AC">
        <w:trPr>
          <w:trHeight w:val="323"/>
        </w:trPr>
        <w:tc>
          <w:tcPr>
            <w:tcW w:w="97" w:type="pct"/>
            <w:vMerge w:val="restart"/>
            <w:tcBorders>
              <w:top w:val="nil"/>
              <w:left w:val="single" w:sz="4" w:space="0" w:color="auto"/>
              <w:right w:val="single" w:sz="4" w:space="0" w:color="auto"/>
            </w:tcBorders>
            <w:shd w:val="clear" w:color="auto" w:fill="auto"/>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lastRenderedPageBreak/>
              <w:t>8</w:t>
            </w:r>
          </w:p>
        </w:tc>
        <w:tc>
          <w:tcPr>
            <w:tcW w:w="833" w:type="pct"/>
            <w:vMerge w:val="restart"/>
            <w:tcBorders>
              <w:top w:val="nil"/>
              <w:left w:val="single" w:sz="4" w:space="0" w:color="auto"/>
              <w:right w:val="single" w:sz="4" w:space="0" w:color="auto"/>
            </w:tcBorders>
            <w:shd w:val="clear" w:color="auto" w:fill="auto"/>
            <w:vAlign w:val="center"/>
          </w:tcPr>
          <w:p w:rsidR="00300A45" w:rsidRPr="00D047B8" w:rsidRDefault="00300A45" w:rsidP="00300A45">
            <w:pPr>
              <w:spacing w:before="240" w:line="240" w:lineRule="auto"/>
              <w:contextualSpacing/>
              <w:jc w:val="both"/>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Ақша мен өзге валюталық құндылықтарды өтеусіз беру</w:t>
            </w:r>
          </w:p>
        </w:tc>
        <w:tc>
          <w:tcPr>
            <w:tcW w:w="887" w:type="pct"/>
            <w:vMerge w:val="restart"/>
            <w:tcBorders>
              <w:top w:val="nil"/>
              <w:left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i/>
                <w:sz w:val="19"/>
                <w:szCs w:val="19"/>
                <w:lang w:val="kk-KZ" w:eastAsia="ru-RU"/>
              </w:rPr>
            </w:pPr>
          </w:p>
        </w:tc>
        <w:tc>
          <w:tcPr>
            <w:tcW w:w="1508" w:type="pct"/>
            <w:tcBorders>
              <w:top w:val="nil"/>
              <w:left w:val="nil"/>
              <w:bottom w:val="single" w:sz="4" w:space="0" w:color="auto"/>
              <w:right w:val="single" w:sz="4" w:space="0" w:color="auto"/>
            </w:tcBorders>
            <w:shd w:val="clear" w:color="auto" w:fill="auto"/>
            <w:vAlign w:val="center"/>
          </w:tcPr>
          <w:p w:rsidR="00300A45" w:rsidRPr="00D047B8" w:rsidRDefault="00B93F18" w:rsidP="003474AC">
            <w:pPr>
              <w:spacing w:before="160" w:line="240" w:lineRule="auto"/>
              <w:jc w:val="center"/>
              <w:rPr>
                <w:rFonts w:ascii="Times New Roman" w:eastAsia="Times New Roman" w:hAnsi="Times New Roman"/>
                <w:i/>
                <w:sz w:val="19"/>
                <w:szCs w:val="19"/>
                <w:lang w:val="kk-KZ" w:eastAsia="ru-RU"/>
              </w:rPr>
            </w:pPr>
            <w:r w:rsidRPr="00D047B8">
              <w:rPr>
                <w:rFonts w:ascii="Times New Roman" w:eastAsia="Times New Roman" w:hAnsi="Times New Roman"/>
                <w:sz w:val="19"/>
                <w:szCs w:val="19"/>
                <w:lang w:val="kk-KZ" w:eastAsia="ru-RU"/>
              </w:rPr>
              <w:t>ҚРҰБ АФ есептік тіркеу</w:t>
            </w:r>
            <w:r w:rsidRPr="00D047B8">
              <w:rPr>
                <w:rFonts w:ascii="Times New Roman" w:eastAsia="Times New Roman" w:hAnsi="Times New Roman"/>
                <w:sz w:val="19"/>
                <w:szCs w:val="19"/>
                <w:vertAlign w:val="superscript"/>
                <w:lang w:val="kk-KZ" w:eastAsia="ru-RU"/>
              </w:rPr>
              <w:t>2</w:t>
            </w:r>
          </w:p>
        </w:tc>
        <w:tc>
          <w:tcPr>
            <w:tcW w:w="1115" w:type="pct"/>
            <w:vMerge w:val="restart"/>
            <w:tcBorders>
              <w:top w:val="single" w:sz="4" w:space="0" w:color="auto"/>
              <w:left w:val="nil"/>
              <w:right w:val="single" w:sz="4" w:space="0" w:color="auto"/>
            </w:tcBorders>
            <w:shd w:val="pct5" w:color="auto" w:fill="auto"/>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 </w:t>
            </w:r>
          </w:p>
        </w:tc>
        <w:tc>
          <w:tcPr>
            <w:tcW w:w="560" w:type="pct"/>
            <w:vMerge/>
            <w:tcBorders>
              <w:left w:val="nil"/>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r>
      <w:tr w:rsidR="00300A45" w:rsidRPr="00323CA3" w:rsidTr="003474AC">
        <w:trPr>
          <w:trHeight w:val="1857"/>
        </w:trPr>
        <w:tc>
          <w:tcPr>
            <w:tcW w:w="97"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833"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300A45">
            <w:pPr>
              <w:spacing w:before="240" w:line="240" w:lineRule="auto"/>
              <w:contextualSpacing/>
              <w:jc w:val="both"/>
              <w:rPr>
                <w:rFonts w:ascii="Times New Roman" w:eastAsia="Times New Roman" w:hAnsi="Times New Roman"/>
                <w:sz w:val="19"/>
                <w:szCs w:val="19"/>
                <w:lang w:val="kk-KZ" w:eastAsia="ru-RU"/>
              </w:rPr>
            </w:pPr>
          </w:p>
        </w:tc>
        <w:tc>
          <w:tcPr>
            <w:tcW w:w="887" w:type="pct"/>
            <w:vMerge/>
            <w:tcBorders>
              <w:left w:val="single" w:sz="4" w:space="0" w:color="auto"/>
              <w:bottom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i/>
                <w:sz w:val="19"/>
                <w:szCs w:val="19"/>
                <w:lang w:val="kk-KZ" w:eastAsia="ru-RU"/>
              </w:rPr>
            </w:pPr>
          </w:p>
        </w:tc>
        <w:tc>
          <w:tcPr>
            <w:tcW w:w="1508" w:type="pct"/>
            <w:tcBorders>
              <w:top w:val="single" w:sz="4" w:space="0" w:color="auto"/>
              <w:left w:val="nil"/>
              <w:bottom w:val="single" w:sz="4" w:space="0" w:color="auto"/>
              <w:right w:val="single" w:sz="4" w:space="0" w:color="auto"/>
            </w:tcBorders>
            <w:shd w:val="clear" w:color="auto" w:fill="auto"/>
            <w:vAlign w:val="center"/>
          </w:tcPr>
          <w:p w:rsidR="00300A45" w:rsidRPr="00D047B8" w:rsidRDefault="00A43C4D" w:rsidP="00A43C4D">
            <w:pPr>
              <w:spacing w:before="120" w:after="120" w:line="240" w:lineRule="auto"/>
              <w:jc w:val="both"/>
              <w:rPr>
                <w:rFonts w:ascii="Times New Roman" w:eastAsia="Times New Roman" w:hAnsi="Times New Roman"/>
                <w:i/>
                <w:sz w:val="19"/>
                <w:szCs w:val="19"/>
                <w:lang w:val="kk-KZ" w:eastAsia="ru-RU"/>
              </w:rPr>
            </w:pPr>
            <w:r w:rsidRPr="00A43C4D">
              <w:rPr>
                <w:rFonts w:ascii="Times New Roman" w:eastAsia="Times New Roman" w:hAnsi="Times New Roman"/>
                <w:i/>
                <w:sz w:val="19"/>
                <w:szCs w:val="19"/>
                <w:lang w:val="kk-KZ" w:eastAsia="ru-RU"/>
              </w:rPr>
              <w:t>Ерекшелік: резиденттің бейрезидентке (бейрезиденттің резидентке) қайтарымсыз ақша немесе басқа валюталық құндылықтарды беру туралы келісімі, егер мұндай беру нәти</w:t>
            </w:r>
            <w:r>
              <w:rPr>
                <w:rFonts w:ascii="Times New Roman" w:eastAsia="Times New Roman" w:hAnsi="Times New Roman"/>
                <w:i/>
                <w:sz w:val="19"/>
                <w:szCs w:val="19"/>
                <w:lang w:val="kk-KZ" w:eastAsia="ru-RU"/>
              </w:rPr>
              <w:t xml:space="preserve">жесінде міндеттемелерді орындау, </w:t>
            </w:r>
            <w:r w:rsidRPr="00A43C4D">
              <w:rPr>
                <w:rFonts w:ascii="Times New Roman" w:eastAsia="Times New Roman" w:hAnsi="Times New Roman"/>
                <w:i/>
                <w:sz w:val="19"/>
                <w:szCs w:val="19"/>
                <w:lang w:val="kk-KZ" w:eastAsia="ru-RU"/>
              </w:rPr>
              <w:t>тоқтату немесе валюталық құндылықтарға меншік құқығын жоғалту жүзеге асырылса, ал капитал қозғалысының валюталық шарт бойынша резидент бұрын есептік нөмір алған болса.</w:t>
            </w:r>
          </w:p>
        </w:tc>
        <w:tc>
          <w:tcPr>
            <w:tcW w:w="1115" w:type="pct"/>
            <w:vMerge/>
            <w:tcBorders>
              <w:left w:val="nil"/>
              <w:bottom w:val="single" w:sz="4" w:space="0" w:color="auto"/>
              <w:right w:val="single" w:sz="4" w:space="0" w:color="auto"/>
            </w:tcBorders>
            <w:shd w:val="pct5" w:color="auto" w:fill="auto"/>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560" w:type="pct"/>
            <w:vMerge/>
            <w:tcBorders>
              <w:left w:val="nil"/>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r>
      <w:tr w:rsidR="00300A45" w:rsidRPr="00323CA3" w:rsidTr="003474AC">
        <w:trPr>
          <w:trHeight w:val="435"/>
        </w:trPr>
        <w:tc>
          <w:tcPr>
            <w:tcW w:w="97" w:type="pct"/>
            <w:vMerge w:val="restart"/>
            <w:tcBorders>
              <w:top w:val="nil"/>
              <w:left w:val="single" w:sz="4" w:space="0" w:color="auto"/>
              <w:right w:val="single" w:sz="4" w:space="0" w:color="auto"/>
            </w:tcBorders>
            <w:shd w:val="clear" w:color="auto" w:fill="auto"/>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9</w:t>
            </w:r>
          </w:p>
        </w:tc>
        <w:tc>
          <w:tcPr>
            <w:tcW w:w="833" w:type="pct"/>
            <w:vMerge w:val="restart"/>
            <w:tcBorders>
              <w:top w:val="nil"/>
              <w:left w:val="single" w:sz="4" w:space="0" w:color="auto"/>
              <w:right w:val="single" w:sz="4" w:space="0" w:color="auto"/>
            </w:tcBorders>
            <w:shd w:val="clear" w:color="auto" w:fill="auto"/>
            <w:vAlign w:val="center"/>
          </w:tcPr>
          <w:p w:rsidR="00300A45" w:rsidRPr="00D047B8" w:rsidRDefault="00300A45" w:rsidP="00300A45">
            <w:pPr>
              <w:spacing w:before="240" w:line="240" w:lineRule="auto"/>
              <w:contextualSpacing/>
              <w:jc w:val="both"/>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Шетелдік банкте банктік, аллокирленбеген шотты ашу шетелдік банктегі шот</w:t>
            </w:r>
          </w:p>
        </w:tc>
        <w:tc>
          <w:tcPr>
            <w:tcW w:w="887" w:type="pct"/>
            <w:vMerge w:val="restart"/>
            <w:tcBorders>
              <w:top w:val="nil"/>
              <w:left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1508" w:type="pct"/>
            <w:tcBorders>
              <w:top w:val="nil"/>
              <w:left w:val="nil"/>
              <w:bottom w:val="single" w:sz="4" w:space="0" w:color="auto"/>
              <w:right w:val="single" w:sz="4" w:space="0" w:color="auto"/>
            </w:tcBorders>
            <w:shd w:val="clear" w:color="auto" w:fill="auto"/>
            <w:vAlign w:val="center"/>
          </w:tcPr>
          <w:p w:rsidR="00300A45" w:rsidRDefault="00300A45" w:rsidP="00D2464A">
            <w:pPr>
              <w:spacing w:before="240" w:line="240" w:lineRule="auto"/>
              <w:contextualSpacing/>
              <w:rPr>
                <w:rFonts w:ascii="Times New Roman" w:eastAsia="Times New Roman" w:hAnsi="Times New Roman"/>
                <w:i/>
                <w:sz w:val="19"/>
                <w:szCs w:val="19"/>
                <w:lang w:val="kk-KZ" w:eastAsia="ru-RU"/>
              </w:rPr>
            </w:pPr>
          </w:p>
          <w:p w:rsidR="00300A45" w:rsidRDefault="00300A45" w:rsidP="003474AC">
            <w:pPr>
              <w:spacing w:before="160" w:line="240" w:lineRule="auto"/>
              <w:jc w:val="center"/>
              <w:rPr>
                <w:rFonts w:ascii="Times New Roman" w:eastAsia="Times New Roman" w:hAnsi="Times New Roman"/>
                <w:sz w:val="19"/>
                <w:szCs w:val="19"/>
                <w:lang w:val="kk-KZ" w:eastAsia="ru-RU"/>
              </w:rPr>
            </w:pPr>
            <w:r w:rsidRPr="00D047B8">
              <w:rPr>
                <w:rFonts w:ascii="Times New Roman" w:eastAsia="Times New Roman" w:hAnsi="Times New Roman"/>
                <w:sz w:val="19"/>
                <w:szCs w:val="19"/>
                <w:lang w:val="kk-KZ" w:eastAsia="ru-RU"/>
              </w:rPr>
              <w:t xml:space="preserve">ҚРҰБ </w:t>
            </w:r>
            <w:r w:rsidR="006A0101">
              <w:rPr>
                <w:rFonts w:ascii="Times New Roman" w:eastAsia="Times New Roman" w:hAnsi="Times New Roman"/>
                <w:sz w:val="19"/>
                <w:szCs w:val="19"/>
                <w:lang w:val="kk-KZ" w:eastAsia="ru-RU"/>
              </w:rPr>
              <w:t>АФ</w:t>
            </w:r>
            <w:r w:rsidRPr="00D047B8">
              <w:rPr>
                <w:rFonts w:ascii="Times New Roman" w:eastAsia="Times New Roman" w:hAnsi="Times New Roman"/>
                <w:sz w:val="19"/>
                <w:szCs w:val="19"/>
                <w:lang w:val="kk-KZ" w:eastAsia="ru-RU"/>
              </w:rPr>
              <w:t>-на хабарлама (шот үшін есептік нөмірді алумен)</w:t>
            </w:r>
          </w:p>
          <w:p w:rsidR="00300A45" w:rsidRPr="00D047B8" w:rsidRDefault="00300A45" w:rsidP="00300A45">
            <w:pPr>
              <w:spacing w:before="240" w:line="240" w:lineRule="auto"/>
              <w:contextualSpacing/>
              <w:rPr>
                <w:rFonts w:ascii="Times New Roman" w:eastAsia="Times New Roman" w:hAnsi="Times New Roman"/>
                <w:i/>
                <w:sz w:val="19"/>
                <w:szCs w:val="19"/>
                <w:lang w:val="kk-KZ" w:eastAsia="ru-RU"/>
              </w:rPr>
            </w:pPr>
          </w:p>
        </w:tc>
        <w:tc>
          <w:tcPr>
            <w:tcW w:w="1115" w:type="pct"/>
            <w:vMerge w:val="restart"/>
            <w:tcBorders>
              <w:top w:val="single" w:sz="4" w:space="0" w:color="auto"/>
              <w:left w:val="nil"/>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560" w:type="pct"/>
            <w:vMerge/>
            <w:tcBorders>
              <w:left w:val="nil"/>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r>
      <w:tr w:rsidR="00300A45" w:rsidRPr="00323CA3" w:rsidTr="003474AC">
        <w:trPr>
          <w:trHeight w:val="709"/>
        </w:trPr>
        <w:tc>
          <w:tcPr>
            <w:tcW w:w="97"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833" w:type="pct"/>
            <w:vMerge/>
            <w:tcBorders>
              <w:left w:val="single" w:sz="4" w:space="0" w:color="auto"/>
              <w:bottom w:val="single" w:sz="4" w:space="0" w:color="000000"/>
              <w:right w:val="single" w:sz="4" w:space="0" w:color="auto"/>
            </w:tcBorders>
            <w:shd w:val="clear" w:color="auto" w:fill="auto"/>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887" w:type="pct"/>
            <w:vMerge/>
            <w:tcBorders>
              <w:left w:val="single" w:sz="4" w:space="0" w:color="auto"/>
              <w:bottom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1508" w:type="pct"/>
            <w:tcBorders>
              <w:top w:val="single" w:sz="4" w:space="0" w:color="auto"/>
              <w:left w:val="nil"/>
              <w:bottom w:val="single" w:sz="4" w:space="0" w:color="auto"/>
              <w:right w:val="single" w:sz="4" w:space="0" w:color="auto"/>
            </w:tcBorders>
            <w:shd w:val="clear" w:color="auto" w:fill="auto"/>
            <w:vAlign w:val="center"/>
          </w:tcPr>
          <w:p w:rsidR="00300A45" w:rsidRPr="00D047B8" w:rsidRDefault="00300A45" w:rsidP="006A0101">
            <w:pPr>
              <w:spacing w:before="120" w:after="120" w:line="240" w:lineRule="auto"/>
              <w:jc w:val="both"/>
              <w:rPr>
                <w:rFonts w:ascii="Times New Roman" w:eastAsia="Times New Roman" w:hAnsi="Times New Roman"/>
                <w:i/>
                <w:sz w:val="19"/>
                <w:szCs w:val="19"/>
                <w:lang w:val="kk-KZ" w:eastAsia="ru-RU"/>
              </w:rPr>
            </w:pPr>
            <w:r w:rsidRPr="00D047B8">
              <w:rPr>
                <w:rFonts w:ascii="Times New Roman" w:eastAsia="Times New Roman" w:hAnsi="Times New Roman"/>
                <w:i/>
                <w:sz w:val="19"/>
                <w:szCs w:val="19"/>
                <w:lang w:val="kk-KZ" w:eastAsia="ru-RU"/>
              </w:rPr>
              <w:t>Ерекшелік: шетелдік ұйым филиалының (өкілдігінің), АХҚО қатысушысының шоты</w:t>
            </w:r>
          </w:p>
        </w:tc>
        <w:tc>
          <w:tcPr>
            <w:tcW w:w="1115" w:type="pct"/>
            <w:vMerge/>
            <w:tcBorders>
              <w:left w:val="nil"/>
              <w:bottom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c>
          <w:tcPr>
            <w:tcW w:w="560" w:type="pct"/>
            <w:vMerge/>
            <w:tcBorders>
              <w:left w:val="nil"/>
              <w:bottom w:val="single" w:sz="4" w:space="0" w:color="auto"/>
              <w:right w:val="single" w:sz="4" w:space="0" w:color="auto"/>
            </w:tcBorders>
            <w:shd w:val="clear" w:color="auto" w:fill="F2F2F2"/>
            <w:vAlign w:val="center"/>
          </w:tcPr>
          <w:p w:rsidR="00300A45" w:rsidRPr="00D047B8" w:rsidRDefault="00300A45" w:rsidP="00D2464A">
            <w:pPr>
              <w:spacing w:before="240" w:line="240" w:lineRule="auto"/>
              <w:contextualSpacing/>
              <w:rPr>
                <w:rFonts w:ascii="Times New Roman" w:eastAsia="Times New Roman" w:hAnsi="Times New Roman"/>
                <w:sz w:val="19"/>
                <w:szCs w:val="19"/>
                <w:lang w:val="kk-KZ" w:eastAsia="ru-RU"/>
              </w:rPr>
            </w:pPr>
          </w:p>
        </w:tc>
      </w:tr>
    </w:tbl>
    <w:p w:rsidR="00A06D83" w:rsidRDefault="00A06D83">
      <w:pPr>
        <w:rPr>
          <w:lang w:val="kk-KZ"/>
        </w:rPr>
      </w:pPr>
    </w:p>
    <w:p w:rsidR="00253F1B" w:rsidRPr="009E34B3" w:rsidRDefault="00253F1B" w:rsidP="00253F1B">
      <w:pPr>
        <w:pStyle w:val="a6"/>
        <w:ind w:left="1146"/>
        <w:jc w:val="both"/>
        <w:rPr>
          <w:rFonts w:ascii="Times New Roman" w:hAnsi="Times New Roman"/>
        </w:rPr>
      </w:pPr>
    </w:p>
    <w:sectPr w:rsidR="00253F1B" w:rsidRPr="009E34B3" w:rsidSect="00E9113E">
      <w:footnotePr>
        <w:pos w:val="beneathText"/>
      </w:footnotePr>
      <w:endnotePr>
        <w:numFmt w:val="decimal"/>
      </w:endnotePr>
      <w:pgSz w:w="16838" w:h="11906" w:orient="landscape"/>
      <w:pgMar w:top="284" w:right="284"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914" w:rsidRDefault="00CB6914" w:rsidP="0019275D">
      <w:pPr>
        <w:spacing w:after="0" w:line="240" w:lineRule="auto"/>
      </w:pPr>
      <w:r>
        <w:separator/>
      </w:r>
    </w:p>
  </w:endnote>
  <w:endnote w:type="continuationSeparator" w:id="0">
    <w:p w:rsidR="00CB6914" w:rsidRDefault="00CB6914" w:rsidP="0019275D">
      <w:pPr>
        <w:spacing w:after="0" w:line="240" w:lineRule="auto"/>
      </w:pPr>
      <w:r>
        <w:continuationSeparator/>
      </w:r>
    </w:p>
  </w:endnote>
  <w:endnote w:id="1">
    <w:p w:rsidR="00B072DE" w:rsidRDefault="00B072DE" w:rsidP="00F705D5">
      <w:pPr>
        <w:pStyle w:val="a6"/>
        <w:jc w:val="both"/>
        <w:rPr>
          <w:rFonts w:ascii="Times New Roman" w:hAnsi="Times New Roman"/>
        </w:rPr>
      </w:pPr>
      <w:r w:rsidRPr="00F705D5">
        <w:rPr>
          <w:rStyle w:val="a8"/>
          <w:rFonts w:ascii="Times New Roman" w:hAnsi="Times New Roman"/>
        </w:rPr>
        <w:endnoteRef/>
      </w:r>
      <w:r w:rsidR="00F705D5" w:rsidRPr="00F705D5">
        <w:rPr>
          <w:rFonts w:ascii="Times New Roman" w:hAnsi="Times New Roman"/>
        </w:rPr>
        <w:t xml:space="preserve"> «Валюталық реттеу және валюталық бақылау туралы» 2018 жылғы 2 шілдедегі №167-VI </w:t>
      </w:r>
      <w:r w:rsidR="00BF5825" w:rsidRPr="00F705D5">
        <w:rPr>
          <w:rFonts w:ascii="Times New Roman" w:hAnsi="Times New Roman"/>
        </w:rPr>
        <w:t xml:space="preserve">ҚР Заңына </w:t>
      </w:r>
      <w:r w:rsidR="00F705D5" w:rsidRPr="00F705D5">
        <w:rPr>
          <w:rFonts w:ascii="Times New Roman" w:hAnsi="Times New Roman"/>
        </w:rPr>
        <w:t>және Қазақстан Республикасында валюталық операцияларды мониторингтеу қағидаларын бекіту туралы Қазақстан Республикасының Ұлттық Банкі Басқармасының 2019 жылғы 10 сәуірдегі № 64 қаулысы</w:t>
      </w:r>
      <w:r w:rsidR="00BF5825">
        <w:rPr>
          <w:rFonts w:ascii="Times New Roman" w:hAnsi="Times New Roman"/>
        </w:rPr>
        <w:t>на</w:t>
      </w:r>
      <w:r w:rsidR="00F705D5" w:rsidRPr="00F705D5">
        <w:rPr>
          <w:rFonts w:ascii="Times New Roman" w:hAnsi="Times New Roman"/>
        </w:rPr>
        <w:t xml:space="preserve"> (</w:t>
      </w:r>
      <w:r w:rsidR="00BF5825">
        <w:rPr>
          <w:rFonts w:ascii="Times New Roman" w:hAnsi="Times New Roman"/>
          <w:lang w:val="kk-KZ"/>
        </w:rPr>
        <w:t xml:space="preserve">бұдан </w:t>
      </w:r>
      <w:r w:rsidR="00BF5825" w:rsidRPr="00BF5825">
        <w:rPr>
          <w:rFonts w:ascii="Times New Roman" w:hAnsi="Times New Roman"/>
        </w:rPr>
        <w:t xml:space="preserve">әрі </w:t>
      </w:r>
      <w:r w:rsidR="00F705D5" w:rsidRPr="00F705D5">
        <w:rPr>
          <w:rFonts w:ascii="Times New Roman" w:hAnsi="Times New Roman"/>
        </w:rPr>
        <w:t>-</w:t>
      </w:r>
      <w:r w:rsidR="00BF5825" w:rsidRPr="00BF5825">
        <w:rPr>
          <w:rFonts w:ascii="Times New Roman" w:hAnsi="Times New Roman"/>
          <w:color w:val="000000"/>
          <w:sz w:val="19"/>
          <w:szCs w:val="19"/>
          <w:lang w:val="kk-KZ"/>
        </w:rPr>
        <w:t xml:space="preserve"> </w:t>
      </w:r>
      <w:r w:rsidR="00BF5825">
        <w:rPr>
          <w:rFonts w:ascii="Times New Roman" w:hAnsi="Times New Roman"/>
          <w:color w:val="000000"/>
          <w:sz w:val="19"/>
          <w:szCs w:val="19"/>
          <w:lang w:val="kk-KZ"/>
        </w:rPr>
        <w:t>Қағидалар</w:t>
      </w:r>
      <w:r w:rsidR="00F705D5" w:rsidRPr="00F705D5">
        <w:rPr>
          <w:rFonts w:ascii="Times New Roman" w:hAnsi="Times New Roman"/>
        </w:rPr>
        <w:t>)</w:t>
      </w:r>
      <w:r w:rsidR="00F705D5" w:rsidRPr="00F705D5">
        <w:rPr>
          <w:rFonts w:ascii="Times New Roman" w:hAnsi="Times New Roman"/>
        </w:rPr>
        <w:t xml:space="preserve"> сәйкес.</w:t>
      </w:r>
    </w:p>
    <w:p w:rsidR="00B501BE" w:rsidRPr="00F705D5" w:rsidRDefault="00BF5825" w:rsidP="00BF5825">
      <w:pPr>
        <w:pStyle w:val="a6"/>
        <w:tabs>
          <w:tab w:val="left" w:pos="10847"/>
        </w:tabs>
        <w:jc w:val="both"/>
        <w:rPr>
          <w:rFonts w:ascii="Times New Roman" w:hAnsi="Times New Roman"/>
        </w:rPr>
      </w:pPr>
      <w:r>
        <w:rPr>
          <w:rFonts w:ascii="Times New Roman" w:hAnsi="Times New Roman"/>
        </w:rPr>
        <w:tab/>
      </w:r>
    </w:p>
  </w:endnote>
  <w:endnote w:id="2">
    <w:p w:rsidR="00B072DE" w:rsidRPr="00F705D5" w:rsidRDefault="00B072DE" w:rsidP="00F705D5">
      <w:pPr>
        <w:pStyle w:val="a6"/>
        <w:jc w:val="both"/>
        <w:rPr>
          <w:rFonts w:ascii="Times New Roman" w:hAnsi="Times New Roman"/>
        </w:rPr>
      </w:pPr>
      <w:r w:rsidRPr="00F705D5">
        <w:rPr>
          <w:rStyle w:val="a8"/>
          <w:rFonts w:ascii="Times New Roman" w:hAnsi="Times New Roman"/>
        </w:rPr>
        <w:endnoteRef/>
      </w:r>
      <w:r w:rsidR="00BF5825">
        <w:rPr>
          <w:rFonts w:ascii="Times New Roman" w:hAnsi="Times New Roman"/>
          <w:lang w:val="kk-KZ"/>
        </w:rPr>
        <w:t> </w:t>
      </w:r>
      <w:r w:rsidR="00BF5825" w:rsidRPr="00BF5825">
        <w:rPr>
          <w:rFonts w:ascii="Times New Roman" w:hAnsi="Times New Roman"/>
        </w:rPr>
        <w:t>Есептік тіркеуге сомасы 500 000 АҚШ долларынан асатын, сондай-ақ валюталық шартта оның қол қойылған күні (қол қойылмаған жағдайда - күшіне енген күні) шарт сомасы көрсетілмеген капитал қозғалысы бойынша валюталық шарттар жатады (Қағидалардың 9 және 10 тармақтары).</w:t>
      </w:r>
    </w:p>
    <w:p w:rsidR="00361645" w:rsidRPr="00F705D5" w:rsidRDefault="00361645" w:rsidP="00F705D5">
      <w:pPr>
        <w:pStyle w:val="a6"/>
        <w:jc w:val="both"/>
        <w:rPr>
          <w:rFonts w:ascii="Times New Roman" w:hAnsi="Times New Roman"/>
        </w:rPr>
      </w:pP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Мынадай капитал қозғалысы жөніндегі валюталық шарттар есептік тіркелмейді:</w:t>
      </w: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1) </w:t>
      </w:r>
      <w:r w:rsidRPr="00F705D5">
        <w:rPr>
          <w:rFonts w:ascii="Times New Roman" w:hAnsi="Times New Roman"/>
        </w:rPr>
        <w:t>Ұлттық Банк және (немесе) Қазақстан Республикасының Қаржы министрлігі қатысушылары болып табылатын капитал қозғалысы жөніндегі валюталық шарттар;</w:t>
      </w: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2) </w:t>
      </w:r>
      <w:r w:rsidRPr="00F705D5">
        <w:rPr>
          <w:rFonts w:ascii="Times New Roman" w:hAnsi="Times New Roman"/>
        </w:rPr>
        <w:t>жалғыз резидент қатысушысы (резидент қатысушылары) "Астана" халықаралық қаржы орталығының қатысушысы (қатысушылары) болып табылатын капитал қозғалысы жөніндегі валюталық шарттар;</w:t>
      </w: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3) </w:t>
      </w:r>
      <w:r w:rsidRPr="00F705D5">
        <w:rPr>
          <w:rFonts w:ascii="Times New Roman" w:hAnsi="Times New Roman"/>
        </w:rPr>
        <w:t>Қазақстан Республикасының мемлекеттік сыртқы қарыздары, Қазақстан Республикасының мемлекеттік кепілдігі бар мемлекеттік емес сыртқы қарыздары туралы келісімдер.</w:t>
      </w:r>
    </w:p>
    <w:p w:rsidR="00361645" w:rsidRPr="00F705D5" w:rsidRDefault="00361645" w:rsidP="00F705D5">
      <w:pPr>
        <w:pStyle w:val="a6"/>
        <w:ind w:firstLine="425"/>
        <w:jc w:val="both"/>
        <w:rPr>
          <w:rFonts w:ascii="Times New Roman" w:hAnsi="Times New Roman"/>
        </w:rPr>
      </w:pP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Капитал қозғалысының мынадай операциялары көзделген валюталық шарттар есептік тіркелмейді:</w:t>
      </w: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1) </w:t>
      </w:r>
      <w:r w:rsidRPr="00F705D5">
        <w:rPr>
          <w:rFonts w:ascii="Times New Roman" w:hAnsi="Times New Roman"/>
        </w:rPr>
        <w:t>Қазақстан Республикасының шетелдегі мекемелері, өзінің қызметін Қазақстан Республикасының аумағында жүзеге асыратын шетелдік ұйымдардың филиалдары (өкілдіктері) жүзеге асыратын операциялар;</w:t>
      </w: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2) </w:t>
      </w:r>
      <w:r w:rsidRPr="00F705D5">
        <w:rPr>
          <w:rFonts w:ascii="Times New Roman" w:hAnsi="Times New Roman"/>
        </w:rPr>
        <w:t>банктердің, сақтандыру (қайта сақтандыру) ұйымдарының, брокерлердің және (немесе) дилерлердің, басқарушы компаниялардың, өз қызметін Қазақстан Республикасының аумағында жүзеге асыратын Қазақстан Республикасының бейрезидент-банктері филиалдарының және Қазақстан Республикасының бейрезидент-сақтандыру (қайта сақтандыру) ұйымдары филиалдарының меншікті капитал қозғалысы операциялары;</w:t>
      </w: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3) </w:t>
      </w:r>
      <w:r w:rsidRPr="00F705D5">
        <w:rPr>
          <w:rFonts w:ascii="Times New Roman" w:hAnsi="Times New Roman"/>
        </w:rPr>
        <w:t>бірыңғай жинақтаушы зейнетақы қорының және ерікті жинақтаушы зейнетақы қорларының меншікті және (немесе) зейнетақы активтерін инвестициялауға байланысты операциялары;</w:t>
      </w: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4)</w:t>
      </w:r>
      <w:r w:rsidRPr="00F705D5">
        <w:rPr>
          <w:rFonts w:ascii="Times New Roman" w:hAnsi="Times New Roman"/>
        </w:rPr>
        <w:t> </w:t>
      </w:r>
      <w:r w:rsidRPr="00F705D5">
        <w:rPr>
          <w:rFonts w:ascii="Times New Roman" w:hAnsi="Times New Roman"/>
        </w:rPr>
        <w:t>мыналарды:</w:t>
      </w:r>
    </w:p>
    <w:p w:rsidR="00361645" w:rsidRPr="00F705D5" w:rsidRDefault="00361645" w:rsidP="00F705D5">
      <w:pPr>
        <w:pStyle w:val="a6"/>
        <w:numPr>
          <w:ilvl w:val="0"/>
          <w:numId w:val="6"/>
        </w:numPr>
        <w:ind w:left="0" w:firstLine="567"/>
        <w:jc w:val="both"/>
        <w:rPr>
          <w:rFonts w:ascii="Times New Roman" w:hAnsi="Times New Roman"/>
        </w:rPr>
      </w:pPr>
      <w:r w:rsidRPr="00F705D5">
        <w:rPr>
          <w:rFonts w:ascii="Times New Roman" w:hAnsi="Times New Roman"/>
        </w:rPr>
        <w:t>Қазақстан Республикасының мемлекеттік бағалы қағаздарын;</w:t>
      </w:r>
    </w:p>
    <w:p w:rsidR="00361645" w:rsidRPr="00F705D5" w:rsidRDefault="00361645" w:rsidP="00F705D5">
      <w:pPr>
        <w:pStyle w:val="a6"/>
        <w:numPr>
          <w:ilvl w:val="0"/>
          <w:numId w:val="6"/>
        </w:numPr>
        <w:ind w:left="0" w:firstLine="567"/>
        <w:jc w:val="both"/>
        <w:rPr>
          <w:rFonts w:ascii="Times New Roman" w:hAnsi="Times New Roman"/>
        </w:rPr>
      </w:pPr>
      <w:r w:rsidRPr="00F705D5">
        <w:rPr>
          <w:rFonts w:ascii="Times New Roman" w:hAnsi="Times New Roman"/>
        </w:rPr>
        <w:t>резидент-эмитенттің басқа мемлекеттің заңнамасына сәйкес және оның аумағында шығарылған бағалы қағаздарын (базалық активі резидент-эмитенттің бағалы қағаздары болып табылатын депозитарлық қолхаттарды қоса алғанда);</w:t>
      </w:r>
    </w:p>
    <w:p w:rsidR="00361645" w:rsidRPr="00F705D5" w:rsidRDefault="00361645" w:rsidP="00F705D5">
      <w:pPr>
        <w:pStyle w:val="a6"/>
        <w:numPr>
          <w:ilvl w:val="0"/>
          <w:numId w:val="6"/>
        </w:numPr>
        <w:ind w:left="0" w:firstLine="567"/>
        <w:jc w:val="both"/>
        <w:rPr>
          <w:rFonts w:ascii="Times New Roman" w:hAnsi="Times New Roman"/>
        </w:rPr>
      </w:pPr>
      <w:r w:rsidRPr="00F705D5">
        <w:rPr>
          <w:rFonts w:ascii="Times New Roman" w:hAnsi="Times New Roman"/>
        </w:rPr>
        <w:t>бейрезидент-эмитенттің Қазақстан Республикасының заңнамасына сәйкес шығарылған бағалы қағаздарын (Қазақстанның депозитарлық қолхаттарын қоса алғанда) орналастыру және (немесе) сатып алу;</w:t>
      </w:r>
    </w:p>
    <w:p w:rsidR="00361645" w:rsidRPr="00F705D5" w:rsidRDefault="00CF1080" w:rsidP="00F705D5">
      <w:pPr>
        <w:pStyle w:val="a6"/>
        <w:ind w:firstLine="425"/>
        <w:jc w:val="both"/>
        <w:rPr>
          <w:rFonts w:ascii="Times New Roman" w:hAnsi="Times New Roman"/>
        </w:rPr>
      </w:pPr>
      <w:r w:rsidRPr="00F705D5">
        <w:rPr>
          <w:rFonts w:ascii="Times New Roman" w:hAnsi="Times New Roman"/>
        </w:rPr>
        <w:t>5) </w:t>
      </w:r>
      <w:r w:rsidR="00361645" w:rsidRPr="00F705D5">
        <w:rPr>
          <w:rFonts w:ascii="Times New Roman" w:hAnsi="Times New Roman"/>
        </w:rPr>
        <w:t>қайталама нарықта:</w:t>
      </w:r>
    </w:p>
    <w:p w:rsidR="00361645" w:rsidRPr="00F705D5" w:rsidRDefault="00361645" w:rsidP="00F705D5">
      <w:pPr>
        <w:pStyle w:val="a6"/>
        <w:numPr>
          <w:ilvl w:val="0"/>
          <w:numId w:val="6"/>
        </w:numPr>
        <w:ind w:left="0" w:firstLine="567"/>
        <w:jc w:val="both"/>
        <w:rPr>
          <w:rFonts w:ascii="Times New Roman" w:hAnsi="Times New Roman"/>
        </w:rPr>
      </w:pPr>
      <w:r w:rsidRPr="00F705D5">
        <w:rPr>
          <w:rFonts w:ascii="Times New Roman" w:hAnsi="Times New Roman"/>
        </w:rPr>
        <w:t>резиденттің бейрезиденттен резидент-эмитенттің Қазақстан Республикасының заңнамасына сәйкес шығарылған борыштық бағалы қағаздарын;</w:t>
      </w:r>
    </w:p>
    <w:p w:rsidR="00361645" w:rsidRPr="00F705D5" w:rsidRDefault="00361645" w:rsidP="00F705D5">
      <w:pPr>
        <w:pStyle w:val="a6"/>
        <w:numPr>
          <w:ilvl w:val="0"/>
          <w:numId w:val="6"/>
        </w:numPr>
        <w:ind w:left="0" w:firstLine="567"/>
        <w:jc w:val="both"/>
        <w:rPr>
          <w:rFonts w:ascii="Times New Roman" w:hAnsi="Times New Roman"/>
        </w:rPr>
      </w:pPr>
      <w:r w:rsidRPr="00F705D5">
        <w:rPr>
          <w:rFonts w:ascii="Times New Roman" w:hAnsi="Times New Roman"/>
        </w:rPr>
        <w:t>бейрезиденттің резиденттен бейрезидент-эмитенттің басқа мемлекеттің заңнамасына сәйкес және оның аумағында шығарылған борыштық бағалы қағаздарын сатып алу;</w:t>
      </w: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6)</w:t>
      </w:r>
      <w:r w:rsidR="00CF1080" w:rsidRPr="00F705D5">
        <w:rPr>
          <w:rFonts w:ascii="Times New Roman" w:hAnsi="Times New Roman"/>
        </w:rPr>
        <w:t> </w:t>
      </w:r>
      <w:r w:rsidRPr="00F705D5">
        <w:rPr>
          <w:rFonts w:ascii="Times New Roman" w:hAnsi="Times New Roman"/>
        </w:rPr>
        <w:t>резиденттердің резидент-брокермен жасасқан брокерлік қызмет көрсету туралы шарттың негізінде немесе резидент-компанияның инвестициялық портфельді басқарушымен жасасқан инвестициялық портфельді басқару жөніндегі шарттың негізінде жүзеге асырылатын операциялары;</w:t>
      </w:r>
    </w:p>
    <w:p w:rsidR="00361645" w:rsidRPr="00F705D5" w:rsidRDefault="00CF1080" w:rsidP="00F705D5">
      <w:pPr>
        <w:pStyle w:val="a6"/>
        <w:ind w:firstLine="425"/>
        <w:jc w:val="both"/>
        <w:rPr>
          <w:rFonts w:ascii="Times New Roman" w:hAnsi="Times New Roman"/>
        </w:rPr>
      </w:pPr>
      <w:r w:rsidRPr="00F705D5">
        <w:rPr>
          <w:rFonts w:ascii="Times New Roman" w:hAnsi="Times New Roman"/>
        </w:rPr>
        <w:t>7) </w:t>
      </w:r>
      <w:r w:rsidR="00361645" w:rsidRPr="00F705D5">
        <w:rPr>
          <w:rFonts w:ascii="Times New Roman" w:hAnsi="Times New Roman"/>
        </w:rPr>
        <w:t>зияткерлік творчестволық қызметтің нәтижесіне айрықша құқықты толығымен иелену;</w:t>
      </w:r>
    </w:p>
    <w:p w:rsidR="00361645" w:rsidRPr="00F705D5" w:rsidRDefault="00CF1080" w:rsidP="00F705D5">
      <w:pPr>
        <w:pStyle w:val="a6"/>
        <w:ind w:firstLine="425"/>
        <w:jc w:val="both"/>
        <w:rPr>
          <w:rFonts w:ascii="Times New Roman" w:hAnsi="Times New Roman"/>
        </w:rPr>
      </w:pPr>
      <w:r w:rsidRPr="00F705D5">
        <w:rPr>
          <w:rFonts w:ascii="Times New Roman" w:hAnsi="Times New Roman"/>
        </w:rPr>
        <w:t>8) </w:t>
      </w:r>
      <w:r w:rsidR="00361645" w:rsidRPr="00F705D5">
        <w:rPr>
          <w:rFonts w:ascii="Times New Roman" w:hAnsi="Times New Roman"/>
        </w:rPr>
        <w:t>резидент-жеке тұлғалардың операциялары:</w:t>
      </w:r>
    </w:p>
    <w:p w:rsidR="00361645" w:rsidRPr="00F705D5" w:rsidRDefault="00361645" w:rsidP="00F705D5">
      <w:pPr>
        <w:pStyle w:val="a6"/>
        <w:numPr>
          <w:ilvl w:val="0"/>
          <w:numId w:val="6"/>
        </w:numPr>
        <w:ind w:left="0" w:firstLine="567"/>
        <w:jc w:val="both"/>
        <w:rPr>
          <w:rFonts w:ascii="Times New Roman" w:hAnsi="Times New Roman"/>
        </w:rPr>
      </w:pPr>
      <w:r w:rsidRPr="00F705D5">
        <w:rPr>
          <w:rFonts w:ascii="Times New Roman" w:hAnsi="Times New Roman"/>
        </w:rPr>
        <w:t>бейрезидент брокермен жасалған брокерлік қызметтерді көрсету шарт негізінде жүзеге асырылатын;</w:t>
      </w:r>
    </w:p>
    <w:p w:rsidR="00361645" w:rsidRPr="00F705D5" w:rsidRDefault="00361645" w:rsidP="00F705D5">
      <w:pPr>
        <w:pStyle w:val="a6"/>
        <w:numPr>
          <w:ilvl w:val="0"/>
          <w:numId w:val="6"/>
        </w:numPr>
        <w:ind w:left="0" w:firstLine="567"/>
        <w:jc w:val="both"/>
        <w:rPr>
          <w:rFonts w:ascii="Times New Roman" w:hAnsi="Times New Roman"/>
        </w:rPr>
      </w:pPr>
      <w:r w:rsidRPr="00F705D5">
        <w:rPr>
          <w:rFonts w:ascii="Times New Roman" w:hAnsi="Times New Roman"/>
        </w:rPr>
        <w:t>бейрезидент инвестициялық портфельді басқарушымен жасалған инвестициялық портфельді басқару шарты негізінде жүзеге асырылатын;</w:t>
      </w:r>
    </w:p>
    <w:p w:rsidR="00361645" w:rsidRPr="00F705D5" w:rsidRDefault="00361645" w:rsidP="00F705D5">
      <w:pPr>
        <w:pStyle w:val="a6"/>
        <w:numPr>
          <w:ilvl w:val="0"/>
          <w:numId w:val="6"/>
        </w:numPr>
        <w:ind w:left="0" w:firstLine="567"/>
        <w:jc w:val="both"/>
        <w:rPr>
          <w:rFonts w:ascii="Times New Roman" w:hAnsi="Times New Roman"/>
        </w:rPr>
      </w:pPr>
      <w:r w:rsidRPr="00F705D5">
        <w:rPr>
          <w:rFonts w:ascii="Times New Roman" w:hAnsi="Times New Roman"/>
        </w:rPr>
        <w:t>жылжымайтын мүлікке меншік құқығын иеленуге байланысты;</w:t>
      </w:r>
    </w:p>
    <w:p w:rsidR="00361645" w:rsidRPr="00F705D5" w:rsidRDefault="00361645" w:rsidP="00F705D5">
      <w:pPr>
        <w:pStyle w:val="a6"/>
        <w:numPr>
          <w:ilvl w:val="0"/>
          <w:numId w:val="6"/>
        </w:numPr>
        <w:ind w:left="0" w:firstLine="567"/>
        <w:jc w:val="both"/>
        <w:rPr>
          <w:rFonts w:ascii="Times New Roman" w:hAnsi="Times New Roman"/>
        </w:rPr>
      </w:pPr>
      <w:r w:rsidRPr="00F705D5">
        <w:rPr>
          <w:rFonts w:ascii="Times New Roman" w:hAnsi="Times New Roman"/>
        </w:rPr>
        <w:t>ақшаны және өзге валюталық құндылықтарды өтеусіз беруге байланысты операциялары.</w:t>
      </w:r>
    </w:p>
    <w:p w:rsidR="00361645" w:rsidRPr="00F705D5" w:rsidRDefault="00361645" w:rsidP="00F705D5">
      <w:pPr>
        <w:pStyle w:val="a6"/>
        <w:ind w:firstLine="425"/>
        <w:jc w:val="both"/>
        <w:rPr>
          <w:rFonts w:ascii="Times New Roman" w:hAnsi="Times New Roman"/>
        </w:rPr>
      </w:pP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Есептік нөмір:</w:t>
      </w:r>
    </w:p>
    <w:p w:rsidR="00361645" w:rsidRPr="00F705D5" w:rsidRDefault="00CF1080" w:rsidP="00F705D5">
      <w:pPr>
        <w:pStyle w:val="a6"/>
        <w:ind w:firstLine="425"/>
        <w:jc w:val="both"/>
        <w:rPr>
          <w:rFonts w:ascii="Times New Roman" w:hAnsi="Times New Roman"/>
        </w:rPr>
      </w:pPr>
      <w:r w:rsidRPr="00F705D5">
        <w:rPr>
          <w:rFonts w:ascii="Times New Roman" w:hAnsi="Times New Roman"/>
        </w:rPr>
        <w:t>1) </w:t>
      </w:r>
      <w:r w:rsidR="00361645" w:rsidRPr="00F705D5">
        <w:rPr>
          <w:rFonts w:ascii="Times New Roman" w:hAnsi="Times New Roman"/>
        </w:rPr>
        <w:t>егер осындай беру нәтижесінде міндеттемелерді орындау немесе тоқтату не резидент бұрын есептік нөмір алған капитал қозғалысы жөніндегі валюталық шарт бойынша валюталық құндылықтарға, шетелдегі жылжымайтын мүлікке меншік құқығын иеліктен шығару болса, резиденттің бейрезидентке (бейрезиденттің резидентке) ақшаны немесе өзге валюталық құндылықтарды не шетелдегі жылжымайтын мүлікке меншік құқығын өтеусіз беру шартына;</w:t>
      </w: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2)</w:t>
      </w:r>
      <w:r w:rsidR="00CF1080" w:rsidRPr="00F705D5">
        <w:rPr>
          <w:rFonts w:ascii="Times New Roman" w:hAnsi="Times New Roman"/>
        </w:rPr>
        <w:t> </w:t>
      </w:r>
      <w:r w:rsidRPr="00F705D5">
        <w:rPr>
          <w:rFonts w:ascii="Times New Roman" w:hAnsi="Times New Roman"/>
        </w:rPr>
        <w:t>егер резидент бейрезиденттің инвестициялау объектісі капиталына резиденттің қатысуы (резиденттің акцияларды, қатысу үлестерін сатып алуы) бойынша, шетелдегі жылжымайтын мүлікті меншікке иелену бойынша капитал қозғалысы жөніндегі валюталық шарт үшін бұрын есептік нөмір алса, резиденттің акцияларды, бейрезиденттің инвестициялау объектісі капиталына қатысу үлестерін, шетелдегі жылжымайтын мүлікті бейрезидентке сатуы бойынша шартқа;</w:t>
      </w: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3)</w:t>
      </w:r>
      <w:r w:rsidR="00CF1080" w:rsidRPr="00F705D5">
        <w:rPr>
          <w:rFonts w:ascii="Times New Roman" w:hAnsi="Times New Roman"/>
        </w:rPr>
        <w:t> </w:t>
      </w:r>
      <w:r w:rsidRPr="00F705D5">
        <w:rPr>
          <w:rFonts w:ascii="Times New Roman" w:hAnsi="Times New Roman"/>
        </w:rPr>
        <w:t>егер резидент резидент-инвестициялау объектісінің капиталына бейрезиденттің қатысуы бойынша капитал қозғалысы жөніндегі валюталық шарт үшін бұрын есептік нөмір алса, резидент-инвестициялау объектісінің бейрезиденттен меншікті акцияларды, капиталға қатысу үлестерін сатып алу шартына;</w:t>
      </w:r>
    </w:p>
    <w:p w:rsidR="00361645" w:rsidRPr="00F705D5" w:rsidRDefault="00361645" w:rsidP="00F705D5">
      <w:pPr>
        <w:pStyle w:val="a6"/>
        <w:ind w:firstLine="425"/>
        <w:jc w:val="both"/>
        <w:rPr>
          <w:rFonts w:ascii="Times New Roman" w:hAnsi="Times New Roman"/>
        </w:rPr>
      </w:pPr>
      <w:r w:rsidRPr="00F705D5">
        <w:rPr>
          <w:rFonts w:ascii="Times New Roman" w:hAnsi="Times New Roman"/>
        </w:rPr>
        <w:t>4)</w:t>
      </w:r>
      <w:r w:rsidR="00CF1080" w:rsidRPr="00F705D5">
        <w:rPr>
          <w:rFonts w:ascii="Times New Roman" w:hAnsi="Times New Roman"/>
        </w:rPr>
        <w:t> </w:t>
      </w:r>
      <w:r w:rsidRPr="00F705D5">
        <w:rPr>
          <w:rFonts w:ascii="Times New Roman" w:hAnsi="Times New Roman"/>
        </w:rPr>
        <w:t>кепіл мүлкі – бағалы қағаздар, капиталға қатысу құралдары, жылжымайтын мүлік бойынша сауда-саттыққа қатысу үшін аванстарға берілмейді.</w:t>
      </w:r>
    </w:p>
    <w:p w:rsidR="00361645" w:rsidRDefault="00361645" w:rsidP="00F705D5">
      <w:pPr>
        <w:pStyle w:val="a6"/>
        <w:jc w:val="both"/>
        <w:rPr>
          <w:rFonts w:ascii="Times New Roman" w:hAnsi="Times New Roman"/>
        </w:rPr>
      </w:pPr>
    </w:p>
    <w:p w:rsidR="00855FCF" w:rsidRPr="00F705D5" w:rsidRDefault="00855FCF" w:rsidP="00F705D5">
      <w:pPr>
        <w:pStyle w:val="a6"/>
        <w:jc w:val="both"/>
        <w:rPr>
          <w:rFonts w:ascii="Times New Roman" w:hAnsi="Times New Roman"/>
        </w:rPr>
      </w:pPr>
    </w:p>
  </w:endnote>
  <w:endnote w:id="3">
    <w:p w:rsidR="00B072DE" w:rsidRPr="00855FCF" w:rsidRDefault="00B072DE" w:rsidP="00F705D5">
      <w:pPr>
        <w:pStyle w:val="a6"/>
        <w:jc w:val="both"/>
        <w:rPr>
          <w:rFonts w:ascii="Times New Roman" w:hAnsi="Times New Roman"/>
          <w:lang w:val="kk-KZ"/>
        </w:rPr>
      </w:pPr>
      <w:r w:rsidRPr="00F705D5">
        <w:rPr>
          <w:rStyle w:val="a8"/>
          <w:rFonts w:ascii="Times New Roman" w:hAnsi="Times New Roman"/>
        </w:rPr>
        <w:endnoteRef/>
      </w:r>
      <w:r w:rsidR="00F705D5" w:rsidRPr="00F705D5">
        <w:rPr>
          <w:rFonts w:ascii="Times New Roman" w:hAnsi="Times New Roman"/>
        </w:rPr>
        <w:t> 50 000 АҚШ долларына тең немесе одан асатын сомаға валюталық операциялар бойынша.</w:t>
      </w:r>
      <w:r w:rsidR="00855FCF">
        <w:rPr>
          <w:rFonts w:ascii="Times New Roman" w:hAnsi="Times New Roman"/>
          <w:lang w:val="kk-KZ"/>
        </w:rPr>
        <w:t xml:space="preserve"> </w:t>
      </w:r>
      <w:r w:rsidR="00855FCF" w:rsidRPr="00855FCF">
        <w:rPr>
          <w:rFonts w:ascii="Times New Roman" w:hAnsi="Times New Roman"/>
          <w:lang w:val="kk-KZ"/>
        </w:rPr>
        <w:t>2025 жылғы 1 қаңтардан бастап жеке тұлғалардың валюталық операциялары бойынша шек</w:t>
      </w:r>
      <w:r w:rsidR="00855FCF">
        <w:rPr>
          <w:rFonts w:ascii="Times New Roman" w:hAnsi="Times New Roman"/>
          <w:lang w:val="kk-KZ"/>
        </w:rPr>
        <w:br/>
      </w:r>
      <w:r w:rsidR="00855FCF" w:rsidRPr="00855FCF">
        <w:rPr>
          <w:rFonts w:ascii="Times New Roman" w:hAnsi="Times New Roman"/>
          <w:lang w:val="kk-KZ"/>
        </w:rPr>
        <w:t>50 000 АҚШ долларынан 10 000 АҚШ долларына дейін төмендейді.</w:t>
      </w:r>
    </w:p>
    <w:p w:rsidR="00B501BE" w:rsidRPr="00855FCF" w:rsidRDefault="00B501BE" w:rsidP="00F705D5">
      <w:pPr>
        <w:pStyle w:val="a6"/>
        <w:jc w:val="both"/>
        <w:rPr>
          <w:rFonts w:ascii="Times New Roman" w:hAnsi="Times New Roman"/>
          <w:lang w:val="kk-KZ"/>
        </w:rPr>
      </w:pPr>
    </w:p>
  </w:endnote>
  <w:endnote w:id="4">
    <w:p w:rsidR="00B072DE" w:rsidRPr="00855FCF" w:rsidRDefault="00B072DE" w:rsidP="00F705D5">
      <w:pPr>
        <w:pStyle w:val="a6"/>
        <w:jc w:val="both"/>
        <w:rPr>
          <w:rFonts w:ascii="Times New Roman" w:hAnsi="Times New Roman"/>
          <w:lang w:val="kk-KZ"/>
        </w:rPr>
      </w:pPr>
      <w:r w:rsidRPr="00F705D5">
        <w:rPr>
          <w:rStyle w:val="a8"/>
          <w:rFonts w:ascii="Times New Roman" w:hAnsi="Times New Roman"/>
        </w:rPr>
        <w:endnoteRef/>
      </w:r>
      <w:r w:rsidR="00F705D5" w:rsidRPr="00855FCF">
        <w:rPr>
          <w:rFonts w:ascii="Times New Roman" w:hAnsi="Times New Roman"/>
          <w:lang w:val="kk-KZ"/>
        </w:rPr>
        <w:t> 7-қосымша 500 000 АҚШ долларынан астам сомаға және 180 күннен астам мерзімге қарыздар бойынша толтырылады.</w:t>
      </w:r>
    </w:p>
    <w:p w:rsidR="00B501BE" w:rsidRPr="00855FCF" w:rsidRDefault="00B501BE" w:rsidP="00F705D5">
      <w:pPr>
        <w:pStyle w:val="a6"/>
        <w:jc w:val="both"/>
        <w:rPr>
          <w:rFonts w:ascii="Times New Roman" w:hAnsi="Times New Roman"/>
          <w:lang w:val="kk-KZ"/>
        </w:rPr>
      </w:pPr>
    </w:p>
  </w:endnote>
  <w:endnote w:id="5">
    <w:p w:rsidR="00B072DE" w:rsidRPr="00F705D5" w:rsidRDefault="00B072DE" w:rsidP="00F705D5">
      <w:pPr>
        <w:pStyle w:val="a6"/>
        <w:jc w:val="both"/>
      </w:pPr>
      <w:r w:rsidRPr="00F705D5">
        <w:rPr>
          <w:rStyle w:val="a8"/>
          <w:rFonts w:ascii="Times New Roman" w:hAnsi="Times New Roman"/>
        </w:rPr>
        <w:endnoteRef/>
      </w:r>
      <w:r w:rsidR="00F705D5" w:rsidRPr="00F705D5">
        <w:rPr>
          <w:rFonts w:ascii="Times New Roman" w:hAnsi="Times New Roman"/>
        </w:rPr>
        <w:t> Базалық активті қолдану немесе өткізу мақсатында сатып алынатын және базалық активке қарамастан берілуі (сатылуы) мүмкін емес туынды қаржы құралына байланысты операциялар базалық активпен валюталық операциялар ретінде қаралады.</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914" w:rsidRDefault="00CB6914" w:rsidP="0019275D">
      <w:pPr>
        <w:spacing w:after="0" w:line="240" w:lineRule="auto"/>
      </w:pPr>
      <w:r>
        <w:separator/>
      </w:r>
    </w:p>
  </w:footnote>
  <w:footnote w:type="continuationSeparator" w:id="0">
    <w:p w:rsidR="00CB6914" w:rsidRDefault="00CB6914" w:rsidP="00192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F8"/>
    <w:multiLevelType w:val="hybridMultilevel"/>
    <w:tmpl w:val="FCB20050"/>
    <w:lvl w:ilvl="0" w:tplc="07246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227C19"/>
    <w:multiLevelType w:val="hybridMultilevel"/>
    <w:tmpl w:val="1B3E6AEA"/>
    <w:lvl w:ilvl="0" w:tplc="43CC45B0">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15:restartNumberingAfterBreak="0">
    <w:nsid w:val="4F4C56AB"/>
    <w:multiLevelType w:val="hybridMultilevel"/>
    <w:tmpl w:val="BEA2F736"/>
    <w:lvl w:ilvl="0" w:tplc="729E8C5A">
      <w:start w:val="1"/>
      <w:numFmt w:val="decimal"/>
      <w:lvlText w:val="%1)"/>
      <w:lvlJc w:val="left"/>
      <w:pPr>
        <w:ind w:left="1146" w:hanging="360"/>
      </w:pPr>
      <w:rPr>
        <w:rFonts w:ascii="Times New Roman" w:eastAsia="Calibri" w:hAnsi="Times New Roman" w:cs="Times New Roman"/>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51464064"/>
    <w:multiLevelType w:val="hybridMultilevel"/>
    <w:tmpl w:val="F72A8C16"/>
    <w:lvl w:ilvl="0" w:tplc="10BAF900">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6AD24E94"/>
    <w:multiLevelType w:val="hybridMultilevel"/>
    <w:tmpl w:val="B4D848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0B"/>
    <w:rsid w:val="000326B4"/>
    <w:rsid w:val="00035590"/>
    <w:rsid w:val="00035D9A"/>
    <w:rsid w:val="00042CD2"/>
    <w:rsid w:val="00050D32"/>
    <w:rsid w:val="000867FF"/>
    <w:rsid w:val="000B638C"/>
    <w:rsid w:val="000C1507"/>
    <w:rsid w:val="00101CA5"/>
    <w:rsid w:val="00133A3A"/>
    <w:rsid w:val="00147E9B"/>
    <w:rsid w:val="00155BFA"/>
    <w:rsid w:val="00192314"/>
    <w:rsid w:val="0019275D"/>
    <w:rsid w:val="001D3E69"/>
    <w:rsid w:val="001E5FFA"/>
    <w:rsid w:val="001E6B7F"/>
    <w:rsid w:val="001E750B"/>
    <w:rsid w:val="001F520F"/>
    <w:rsid w:val="001F78A3"/>
    <w:rsid w:val="002055FE"/>
    <w:rsid w:val="002269CA"/>
    <w:rsid w:val="002309BF"/>
    <w:rsid w:val="00234F54"/>
    <w:rsid w:val="00253F1B"/>
    <w:rsid w:val="002557C3"/>
    <w:rsid w:val="002A1DE9"/>
    <w:rsid w:val="002B107A"/>
    <w:rsid w:val="002B72B1"/>
    <w:rsid w:val="002C5259"/>
    <w:rsid w:val="002F115E"/>
    <w:rsid w:val="002F31C9"/>
    <w:rsid w:val="002F790A"/>
    <w:rsid w:val="00300A45"/>
    <w:rsid w:val="00323CA3"/>
    <w:rsid w:val="003474AC"/>
    <w:rsid w:val="00361645"/>
    <w:rsid w:val="0037423A"/>
    <w:rsid w:val="00385278"/>
    <w:rsid w:val="003B2C02"/>
    <w:rsid w:val="003B7CF1"/>
    <w:rsid w:val="003D48E5"/>
    <w:rsid w:val="003E1340"/>
    <w:rsid w:val="003F3ACE"/>
    <w:rsid w:val="00405410"/>
    <w:rsid w:val="004A0505"/>
    <w:rsid w:val="004C1B58"/>
    <w:rsid w:val="004E0F61"/>
    <w:rsid w:val="00525043"/>
    <w:rsid w:val="00537DCF"/>
    <w:rsid w:val="0054739B"/>
    <w:rsid w:val="0056033C"/>
    <w:rsid w:val="00560445"/>
    <w:rsid w:val="005669BC"/>
    <w:rsid w:val="00586E04"/>
    <w:rsid w:val="005D10D9"/>
    <w:rsid w:val="005D34A0"/>
    <w:rsid w:val="005F43CB"/>
    <w:rsid w:val="005F7F53"/>
    <w:rsid w:val="00613B3D"/>
    <w:rsid w:val="0067731D"/>
    <w:rsid w:val="006A0101"/>
    <w:rsid w:val="006A0B7E"/>
    <w:rsid w:val="006B35C5"/>
    <w:rsid w:val="006D685A"/>
    <w:rsid w:val="006F428F"/>
    <w:rsid w:val="00703CA1"/>
    <w:rsid w:val="00723D9F"/>
    <w:rsid w:val="007632B8"/>
    <w:rsid w:val="0077049D"/>
    <w:rsid w:val="007B0061"/>
    <w:rsid w:val="007B5AD2"/>
    <w:rsid w:val="007F277C"/>
    <w:rsid w:val="00813465"/>
    <w:rsid w:val="00826C85"/>
    <w:rsid w:val="008332DC"/>
    <w:rsid w:val="00854C74"/>
    <w:rsid w:val="00855FCF"/>
    <w:rsid w:val="00865107"/>
    <w:rsid w:val="0087635A"/>
    <w:rsid w:val="008A40EE"/>
    <w:rsid w:val="008D5DA3"/>
    <w:rsid w:val="008F3C6D"/>
    <w:rsid w:val="00911A16"/>
    <w:rsid w:val="00921EB4"/>
    <w:rsid w:val="0094250A"/>
    <w:rsid w:val="00955E3D"/>
    <w:rsid w:val="009677A8"/>
    <w:rsid w:val="009B3C1E"/>
    <w:rsid w:val="009D423C"/>
    <w:rsid w:val="009E34B3"/>
    <w:rsid w:val="00A006BB"/>
    <w:rsid w:val="00A06D83"/>
    <w:rsid w:val="00A1212C"/>
    <w:rsid w:val="00A13F1D"/>
    <w:rsid w:val="00A43C4D"/>
    <w:rsid w:val="00A77228"/>
    <w:rsid w:val="00A83B57"/>
    <w:rsid w:val="00AA11C8"/>
    <w:rsid w:val="00AC08CD"/>
    <w:rsid w:val="00AC6936"/>
    <w:rsid w:val="00AE738D"/>
    <w:rsid w:val="00B071C8"/>
    <w:rsid w:val="00B072DE"/>
    <w:rsid w:val="00B207B7"/>
    <w:rsid w:val="00B2286B"/>
    <w:rsid w:val="00B501BE"/>
    <w:rsid w:val="00B5059F"/>
    <w:rsid w:val="00B93F18"/>
    <w:rsid w:val="00BC0443"/>
    <w:rsid w:val="00BC0DC4"/>
    <w:rsid w:val="00BC2652"/>
    <w:rsid w:val="00BC3086"/>
    <w:rsid w:val="00BF4E1B"/>
    <w:rsid w:val="00BF5825"/>
    <w:rsid w:val="00C00654"/>
    <w:rsid w:val="00C0226E"/>
    <w:rsid w:val="00C1242A"/>
    <w:rsid w:val="00C32D18"/>
    <w:rsid w:val="00C6613C"/>
    <w:rsid w:val="00C70C1B"/>
    <w:rsid w:val="00CB6914"/>
    <w:rsid w:val="00CC329B"/>
    <w:rsid w:val="00CE0F66"/>
    <w:rsid w:val="00CF1080"/>
    <w:rsid w:val="00D017BC"/>
    <w:rsid w:val="00D047B8"/>
    <w:rsid w:val="00D2464A"/>
    <w:rsid w:val="00D25784"/>
    <w:rsid w:val="00D27C17"/>
    <w:rsid w:val="00D521FA"/>
    <w:rsid w:val="00D5306C"/>
    <w:rsid w:val="00D53456"/>
    <w:rsid w:val="00D637A4"/>
    <w:rsid w:val="00D94FF8"/>
    <w:rsid w:val="00DA0C5E"/>
    <w:rsid w:val="00DF0299"/>
    <w:rsid w:val="00E07B5C"/>
    <w:rsid w:val="00E112F7"/>
    <w:rsid w:val="00E2071E"/>
    <w:rsid w:val="00E218CA"/>
    <w:rsid w:val="00E44E1C"/>
    <w:rsid w:val="00E73C2F"/>
    <w:rsid w:val="00E73D73"/>
    <w:rsid w:val="00E9113E"/>
    <w:rsid w:val="00EB2F03"/>
    <w:rsid w:val="00ED1E02"/>
    <w:rsid w:val="00ED32F1"/>
    <w:rsid w:val="00ED4672"/>
    <w:rsid w:val="00F04D22"/>
    <w:rsid w:val="00F0778B"/>
    <w:rsid w:val="00F44DBD"/>
    <w:rsid w:val="00F57DF5"/>
    <w:rsid w:val="00F705D5"/>
    <w:rsid w:val="00F71112"/>
    <w:rsid w:val="00F72529"/>
    <w:rsid w:val="00FA1651"/>
    <w:rsid w:val="00FD3E64"/>
    <w:rsid w:val="00FF1CE2"/>
    <w:rsid w:val="00FF6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E471"/>
  <w15:docId w15:val="{39813DDC-83B0-4A01-B097-F4CEB834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9275D"/>
    <w:pPr>
      <w:spacing w:after="0" w:line="240" w:lineRule="auto"/>
    </w:pPr>
    <w:rPr>
      <w:sz w:val="20"/>
      <w:szCs w:val="20"/>
    </w:rPr>
  </w:style>
  <w:style w:type="character" w:customStyle="1" w:styleId="a4">
    <w:name w:val="Текст сноски Знак"/>
    <w:link w:val="a3"/>
    <w:uiPriority w:val="99"/>
    <w:semiHidden/>
    <w:rsid w:val="0019275D"/>
    <w:rPr>
      <w:sz w:val="20"/>
      <w:szCs w:val="20"/>
    </w:rPr>
  </w:style>
  <w:style w:type="character" w:styleId="a5">
    <w:name w:val="footnote reference"/>
    <w:uiPriority w:val="99"/>
    <w:semiHidden/>
    <w:unhideWhenUsed/>
    <w:rsid w:val="0019275D"/>
    <w:rPr>
      <w:vertAlign w:val="superscript"/>
    </w:rPr>
  </w:style>
  <w:style w:type="paragraph" w:styleId="a6">
    <w:name w:val="endnote text"/>
    <w:basedOn w:val="a"/>
    <w:link w:val="a7"/>
    <w:uiPriority w:val="99"/>
    <w:unhideWhenUsed/>
    <w:rsid w:val="0019275D"/>
    <w:pPr>
      <w:spacing w:after="0" w:line="240" w:lineRule="auto"/>
    </w:pPr>
    <w:rPr>
      <w:sz w:val="20"/>
      <w:szCs w:val="20"/>
    </w:rPr>
  </w:style>
  <w:style w:type="character" w:customStyle="1" w:styleId="a7">
    <w:name w:val="Текст концевой сноски Знак"/>
    <w:link w:val="a6"/>
    <w:uiPriority w:val="99"/>
    <w:rsid w:val="0019275D"/>
    <w:rPr>
      <w:sz w:val="20"/>
      <w:szCs w:val="20"/>
    </w:rPr>
  </w:style>
  <w:style w:type="character" w:styleId="a8">
    <w:name w:val="endnote reference"/>
    <w:uiPriority w:val="99"/>
    <w:semiHidden/>
    <w:unhideWhenUsed/>
    <w:rsid w:val="0019275D"/>
    <w:rPr>
      <w:vertAlign w:val="superscript"/>
    </w:rPr>
  </w:style>
  <w:style w:type="paragraph" w:styleId="a9">
    <w:name w:val="List Paragraph"/>
    <w:basedOn w:val="a"/>
    <w:uiPriority w:val="34"/>
    <w:qFormat/>
    <w:rsid w:val="00D637A4"/>
    <w:pPr>
      <w:ind w:left="720"/>
      <w:contextualSpacing/>
    </w:pPr>
  </w:style>
  <w:style w:type="character" w:customStyle="1" w:styleId="s0">
    <w:name w:val="s0"/>
    <w:rsid w:val="00253F1B"/>
    <w:rPr>
      <w:rFonts w:ascii="Times New Roman" w:hAnsi="Times New Roman" w:cs="Times New Roman" w:hint="default"/>
      <w:b w:val="0"/>
      <w:bCs w:val="0"/>
      <w:i w:val="0"/>
      <w:iCs w:val="0"/>
      <w:color w:val="000000"/>
    </w:rPr>
  </w:style>
  <w:style w:type="paragraph" w:styleId="aa">
    <w:name w:val="Normal (Web)"/>
    <w:basedOn w:val="a"/>
    <w:uiPriority w:val="99"/>
    <w:semiHidden/>
    <w:unhideWhenUsed/>
    <w:rsid w:val="004C1B58"/>
    <w:pPr>
      <w:spacing w:before="100" w:beforeAutospacing="1" w:after="100" w:afterAutospacing="1" w:line="240" w:lineRule="auto"/>
    </w:pPr>
    <w:rPr>
      <w:rFonts w:ascii="Times New Roman" w:eastAsiaTheme="minorHAns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3015">
      <w:bodyDiv w:val="1"/>
      <w:marLeft w:val="0"/>
      <w:marRight w:val="0"/>
      <w:marTop w:val="0"/>
      <w:marBottom w:val="0"/>
      <w:divBdr>
        <w:top w:val="none" w:sz="0" w:space="0" w:color="auto"/>
        <w:left w:val="none" w:sz="0" w:space="0" w:color="auto"/>
        <w:bottom w:val="none" w:sz="0" w:space="0" w:color="auto"/>
        <w:right w:val="none" w:sz="0" w:space="0" w:color="auto"/>
      </w:divBdr>
      <w:divsChild>
        <w:div w:id="1659533651">
          <w:marLeft w:val="0"/>
          <w:marRight w:val="465"/>
          <w:marTop w:val="105"/>
          <w:marBottom w:val="600"/>
          <w:divBdr>
            <w:top w:val="none" w:sz="0" w:space="0" w:color="auto"/>
            <w:left w:val="none" w:sz="0" w:space="0" w:color="auto"/>
            <w:bottom w:val="none" w:sz="0" w:space="0" w:color="auto"/>
            <w:right w:val="none" w:sz="0" w:space="0" w:color="auto"/>
          </w:divBdr>
          <w:divsChild>
            <w:div w:id="121801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2434">
      <w:bodyDiv w:val="1"/>
      <w:marLeft w:val="0"/>
      <w:marRight w:val="0"/>
      <w:marTop w:val="0"/>
      <w:marBottom w:val="0"/>
      <w:divBdr>
        <w:top w:val="none" w:sz="0" w:space="0" w:color="auto"/>
        <w:left w:val="none" w:sz="0" w:space="0" w:color="auto"/>
        <w:bottom w:val="none" w:sz="0" w:space="0" w:color="auto"/>
        <w:right w:val="none" w:sz="0" w:space="0" w:color="auto"/>
      </w:divBdr>
      <w:divsChild>
        <w:div w:id="510804433">
          <w:marLeft w:val="0"/>
          <w:marRight w:val="0"/>
          <w:marTop w:val="0"/>
          <w:marBottom w:val="0"/>
          <w:divBdr>
            <w:top w:val="none" w:sz="0" w:space="0" w:color="auto"/>
            <w:left w:val="none" w:sz="0" w:space="0" w:color="auto"/>
            <w:bottom w:val="none" w:sz="0" w:space="0" w:color="auto"/>
            <w:right w:val="none" w:sz="0" w:space="0" w:color="auto"/>
          </w:divBdr>
          <w:divsChild>
            <w:div w:id="642541926">
              <w:marLeft w:val="8025"/>
              <w:marRight w:val="0"/>
              <w:marTop w:val="0"/>
              <w:marBottom w:val="0"/>
              <w:divBdr>
                <w:top w:val="none" w:sz="0" w:space="0" w:color="auto"/>
                <w:left w:val="none" w:sz="0" w:space="0" w:color="auto"/>
                <w:bottom w:val="none" w:sz="0" w:space="0" w:color="auto"/>
                <w:right w:val="none" w:sz="0" w:space="0" w:color="auto"/>
              </w:divBdr>
            </w:div>
          </w:divsChild>
        </w:div>
        <w:div w:id="892153293">
          <w:marLeft w:val="0"/>
          <w:marRight w:val="465"/>
          <w:marTop w:val="105"/>
          <w:marBottom w:val="600"/>
          <w:divBdr>
            <w:top w:val="none" w:sz="0" w:space="0" w:color="auto"/>
            <w:left w:val="none" w:sz="0" w:space="0" w:color="auto"/>
            <w:bottom w:val="none" w:sz="0" w:space="0" w:color="auto"/>
            <w:right w:val="none" w:sz="0" w:space="0" w:color="auto"/>
          </w:divBdr>
          <w:divsChild>
            <w:div w:id="6927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66359">
      <w:bodyDiv w:val="1"/>
      <w:marLeft w:val="0"/>
      <w:marRight w:val="0"/>
      <w:marTop w:val="0"/>
      <w:marBottom w:val="0"/>
      <w:divBdr>
        <w:top w:val="none" w:sz="0" w:space="0" w:color="auto"/>
        <w:left w:val="none" w:sz="0" w:space="0" w:color="auto"/>
        <w:bottom w:val="none" w:sz="0" w:space="0" w:color="auto"/>
        <w:right w:val="none" w:sz="0" w:space="0" w:color="auto"/>
      </w:divBdr>
      <w:divsChild>
        <w:div w:id="1692880944">
          <w:marLeft w:val="0"/>
          <w:marRight w:val="465"/>
          <w:marTop w:val="105"/>
          <w:marBottom w:val="600"/>
          <w:divBdr>
            <w:top w:val="none" w:sz="0" w:space="0" w:color="auto"/>
            <w:left w:val="none" w:sz="0" w:space="0" w:color="auto"/>
            <w:bottom w:val="none" w:sz="0" w:space="0" w:color="auto"/>
            <w:right w:val="none" w:sz="0" w:space="0" w:color="auto"/>
          </w:divBdr>
          <w:divsChild>
            <w:div w:id="454106120">
              <w:marLeft w:val="0"/>
              <w:marRight w:val="0"/>
              <w:marTop w:val="0"/>
              <w:marBottom w:val="0"/>
              <w:divBdr>
                <w:top w:val="none" w:sz="0" w:space="0" w:color="auto"/>
                <w:left w:val="none" w:sz="0" w:space="0" w:color="auto"/>
                <w:bottom w:val="none" w:sz="0" w:space="0" w:color="auto"/>
                <w:right w:val="none" w:sz="0" w:space="0" w:color="auto"/>
              </w:divBdr>
            </w:div>
          </w:divsChild>
        </w:div>
        <w:div w:id="1843201599">
          <w:marLeft w:val="0"/>
          <w:marRight w:val="0"/>
          <w:marTop w:val="0"/>
          <w:marBottom w:val="0"/>
          <w:divBdr>
            <w:top w:val="none" w:sz="0" w:space="0" w:color="auto"/>
            <w:left w:val="none" w:sz="0" w:space="0" w:color="auto"/>
            <w:bottom w:val="none" w:sz="0" w:space="0" w:color="auto"/>
            <w:right w:val="none" w:sz="0" w:space="0" w:color="auto"/>
          </w:divBdr>
          <w:divsChild>
            <w:div w:id="1682511760">
              <w:marLeft w:val="8025"/>
              <w:marRight w:val="0"/>
              <w:marTop w:val="0"/>
              <w:marBottom w:val="0"/>
              <w:divBdr>
                <w:top w:val="none" w:sz="0" w:space="0" w:color="auto"/>
                <w:left w:val="none" w:sz="0" w:space="0" w:color="auto"/>
                <w:bottom w:val="none" w:sz="0" w:space="0" w:color="auto"/>
                <w:right w:val="none" w:sz="0" w:space="0" w:color="auto"/>
              </w:divBdr>
            </w:div>
          </w:divsChild>
        </w:div>
      </w:divsChild>
    </w:div>
    <w:div w:id="775366204">
      <w:bodyDiv w:val="1"/>
      <w:marLeft w:val="0"/>
      <w:marRight w:val="0"/>
      <w:marTop w:val="0"/>
      <w:marBottom w:val="0"/>
      <w:divBdr>
        <w:top w:val="none" w:sz="0" w:space="0" w:color="auto"/>
        <w:left w:val="none" w:sz="0" w:space="0" w:color="auto"/>
        <w:bottom w:val="none" w:sz="0" w:space="0" w:color="auto"/>
        <w:right w:val="none" w:sz="0" w:space="0" w:color="auto"/>
      </w:divBdr>
      <w:divsChild>
        <w:div w:id="2144959935">
          <w:marLeft w:val="0"/>
          <w:marRight w:val="465"/>
          <w:marTop w:val="105"/>
          <w:marBottom w:val="600"/>
          <w:divBdr>
            <w:top w:val="none" w:sz="0" w:space="0" w:color="auto"/>
            <w:left w:val="none" w:sz="0" w:space="0" w:color="auto"/>
            <w:bottom w:val="none" w:sz="0" w:space="0" w:color="auto"/>
            <w:right w:val="none" w:sz="0" w:space="0" w:color="auto"/>
          </w:divBdr>
          <w:divsChild>
            <w:div w:id="6928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3954">
      <w:bodyDiv w:val="1"/>
      <w:marLeft w:val="0"/>
      <w:marRight w:val="0"/>
      <w:marTop w:val="0"/>
      <w:marBottom w:val="0"/>
      <w:divBdr>
        <w:top w:val="none" w:sz="0" w:space="0" w:color="auto"/>
        <w:left w:val="none" w:sz="0" w:space="0" w:color="auto"/>
        <w:bottom w:val="none" w:sz="0" w:space="0" w:color="auto"/>
        <w:right w:val="none" w:sz="0" w:space="0" w:color="auto"/>
      </w:divBdr>
      <w:divsChild>
        <w:div w:id="1605648123">
          <w:marLeft w:val="0"/>
          <w:marRight w:val="465"/>
          <w:marTop w:val="105"/>
          <w:marBottom w:val="600"/>
          <w:divBdr>
            <w:top w:val="none" w:sz="0" w:space="0" w:color="auto"/>
            <w:left w:val="none" w:sz="0" w:space="0" w:color="auto"/>
            <w:bottom w:val="none" w:sz="0" w:space="0" w:color="auto"/>
            <w:right w:val="none" w:sz="0" w:space="0" w:color="auto"/>
          </w:divBdr>
          <w:divsChild>
            <w:div w:id="7881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55219">
      <w:bodyDiv w:val="1"/>
      <w:marLeft w:val="0"/>
      <w:marRight w:val="0"/>
      <w:marTop w:val="0"/>
      <w:marBottom w:val="0"/>
      <w:divBdr>
        <w:top w:val="none" w:sz="0" w:space="0" w:color="auto"/>
        <w:left w:val="none" w:sz="0" w:space="0" w:color="auto"/>
        <w:bottom w:val="none" w:sz="0" w:space="0" w:color="auto"/>
        <w:right w:val="none" w:sz="0" w:space="0" w:color="auto"/>
      </w:divBdr>
      <w:divsChild>
        <w:div w:id="1964997045">
          <w:marLeft w:val="0"/>
          <w:marRight w:val="465"/>
          <w:marTop w:val="105"/>
          <w:marBottom w:val="600"/>
          <w:divBdr>
            <w:top w:val="none" w:sz="0" w:space="0" w:color="auto"/>
            <w:left w:val="none" w:sz="0" w:space="0" w:color="auto"/>
            <w:bottom w:val="none" w:sz="0" w:space="0" w:color="auto"/>
            <w:right w:val="none" w:sz="0" w:space="0" w:color="auto"/>
          </w:divBdr>
          <w:divsChild>
            <w:div w:id="585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7904">
      <w:bodyDiv w:val="1"/>
      <w:marLeft w:val="0"/>
      <w:marRight w:val="0"/>
      <w:marTop w:val="0"/>
      <w:marBottom w:val="0"/>
      <w:divBdr>
        <w:top w:val="none" w:sz="0" w:space="0" w:color="auto"/>
        <w:left w:val="none" w:sz="0" w:space="0" w:color="auto"/>
        <w:bottom w:val="none" w:sz="0" w:space="0" w:color="auto"/>
        <w:right w:val="none" w:sz="0" w:space="0" w:color="auto"/>
      </w:divBdr>
      <w:divsChild>
        <w:div w:id="148403256">
          <w:marLeft w:val="0"/>
          <w:marRight w:val="465"/>
          <w:marTop w:val="105"/>
          <w:marBottom w:val="600"/>
          <w:divBdr>
            <w:top w:val="none" w:sz="0" w:space="0" w:color="auto"/>
            <w:left w:val="none" w:sz="0" w:space="0" w:color="auto"/>
            <w:bottom w:val="none" w:sz="0" w:space="0" w:color="auto"/>
            <w:right w:val="none" w:sz="0" w:space="0" w:color="auto"/>
          </w:divBdr>
          <w:divsChild>
            <w:div w:id="6849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2731">
      <w:bodyDiv w:val="1"/>
      <w:marLeft w:val="0"/>
      <w:marRight w:val="0"/>
      <w:marTop w:val="0"/>
      <w:marBottom w:val="0"/>
      <w:divBdr>
        <w:top w:val="none" w:sz="0" w:space="0" w:color="auto"/>
        <w:left w:val="none" w:sz="0" w:space="0" w:color="auto"/>
        <w:bottom w:val="none" w:sz="0" w:space="0" w:color="auto"/>
        <w:right w:val="none" w:sz="0" w:space="0" w:color="auto"/>
      </w:divBdr>
      <w:divsChild>
        <w:div w:id="383336297">
          <w:marLeft w:val="0"/>
          <w:marRight w:val="0"/>
          <w:marTop w:val="0"/>
          <w:marBottom w:val="0"/>
          <w:divBdr>
            <w:top w:val="none" w:sz="0" w:space="0" w:color="auto"/>
            <w:left w:val="none" w:sz="0" w:space="0" w:color="auto"/>
            <w:bottom w:val="none" w:sz="0" w:space="0" w:color="auto"/>
            <w:right w:val="none" w:sz="0" w:space="0" w:color="auto"/>
          </w:divBdr>
          <w:divsChild>
            <w:div w:id="1092626482">
              <w:marLeft w:val="8025"/>
              <w:marRight w:val="0"/>
              <w:marTop w:val="0"/>
              <w:marBottom w:val="0"/>
              <w:divBdr>
                <w:top w:val="none" w:sz="0" w:space="0" w:color="auto"/>
                <w:left w:val="none" w:sz="0" w:space="0" w:color="auto"/>
                <w:bottom w:val="none" w:sz="0" w:space="0" w:color="auto"/>
                <w:right w:val="none" w:sz="0" w:space="0" w:color="auto"/>
              </w:divBdr>
            </w:div>
          </w:divsChild>
        </w:div>
        <w:div w:id="1621838618">
          <w:marLeft w:val="0"/>
          <w:marRight w:val="465"/>
          <w:marTop w:val="105"/>
          <w:marBottom w:val="600"/>
          <w:divBdr>
            <w:top w:val="none" w:sz="0" w:space="0" w:color="auto"/>
            <w:left w:val="none" w:sz="0" w:space="0" w:color="auto"/>
            <w:bottom w:val="none" w:sz="0" w:space="0" w:color="auto"/>
            <w:right w:val="none" w:sz="0" w:space="0" w:color="auto"/>
          </w:divBdr>
          <w:divsChild>
            <w:div w:id="14300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3698">
      <w:bodyDiv w:val="1"/>
      <w:marLeft w:val="0"/>
      <w:marRight w:val="0"/>
      <w:marTop w:val="0"/>
      <w:marBottom w:val="0"/>
      <w:divBdr>
        <w:top w:val="none" w:sz="0" w:space="0" w:color="auto"/>
        <w:left w:val="none" w:sz="0" w:space="0" w:color="auto"/>
        <w:bottom w:val="none" w:sz="0" w:space="0" w:color="auto"/>
        <w:right w:val="none" w:sz="0" w:space="0" w:color="auto"/>
      </w:divBdr>
      <w:divsChild>
        <w:div w:id="1960337723">
          <w:marLeft w:val="0"/>
          <w:marRight w:val="465"/>
          <w:marTop w:val="105"/>
          <w:marBottom w:val="600"/>
          <w:divBdr>
            <w:top w:val="none" w:sz="0" w:space="0" w:color="auto"/>
            <w:left w:val="none" w:sz="0" w:space="0" w:color="auto"/>
            <w:bottom w:val="none" w:sz="0" w:space="0" w:color="auto"/>
            <w:right w:val="none" w:sz="0" w:space="0" w:color="auto"/>
          </w:divBdr>
          <w:divsChild>
            <w:div w:id="16034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064">
      <w:bodyDiv w:val="1"/>
      <w:marLeft w:val="0"/>
      <w:marRight w:val="0"/>
      <w:marTop w:val="0"/>
      <w:marBottom w:val="0"/>
      <w:divBdr>
        <w:top w:val="none" w:sz="0" w:space="0" w:color="auto"/>
        <w:left w:val="none" w:sz="0" w:space="0" w:color="auto"/>
        <w:bottom w:val="none" w:sz="0" w:space="0" w:color="auto"/>
        <w:right w:val="none" w:sz="0" w:space="0" w:color="auto"/>
      </w:divBdr>
      <w:divsChild>
        <w:div w:id="887565937">
          <w:marLeft w:val="0"/>
          <w:marRight w:val="465"/>
          <w:marTop w:val="45"/>
          <w:marBottom w:val="450"/>
          <w:divBdr>
            <w:top w:val="none" w:sz="0" w:space="0" w:color="auto"/>
            <w:left w:val="none" w:sz="0" w:space="0" w:color="auto"/>
            <w:bottom w:val="none" w:sz="0" w:space="0" w:color="auto"/>
            <w:right w:val="none" w:sz="0" w:space="0" w:color="auto"/>
          </w:divBdr>
          <w:divsChild>
            <w:div w:id="40909446">
              <w:marLeft w:val="0"/>
              <w:marRight w:val="0"/>
              <w:marTop w:val="0"/>
              <w:marBottom w:val="0"/>
              <w:divBdr>
                <w:top w:val="none" w:sz="0" w:space="0" w:color="auto"/>
                <w:left w:val="none" w:sz="0" w:space="0" w:color="auto"/>
                <w:bottom w:val="none" w:sz="0" w:space="0" w:color="auto"/>
                <w:right w:val="none" w:sz="0" w:space="0" w:color="auto"/>
              </w:divBdr>
            </w:div>
          </w:divsChild>
        </w:div>
        <w:div w:id="1537081576">
          <w:marLeft w:val="0"/>
          <w:marRight w:val="0"/>
          <w:marTop w:val="0"/>
          <w:marBottom w:val="0"/>
          <w:divBdr>
            <w:top w:val="none" w:sz="0" w:space="0" w:color="auto"/>
            <w:left w:val="none" w:sz="0" w:space="0" w:color="auto"/>
            <w:bottom w:val="none" w:sz="0" w:space="0" w:color="auto"/>
            <w:right w:val="none" w:sz="0" w:space="0" w:color="auto"/>
          </w:divBdr>
          <w:divsChild>
            <w:div w:id="1291131508">
              <w:marLeft w:val="8025"/>
              <w:marRight w:val="0"/>
              <w:marTop w:val="0"/>
              <w:marBottom w:val="0"/>
              <w:divBdr>
                <w:top w:val="none" w:sz="0" w:space="0" w:color="auto"/>
                <w:left w:val="none" w:sz="0" w:space="0" w:color="auto"/>
                <w:bottom w:val="none" w:sz="0" w:space="0" w:color="auto"/>
                <w:right w:val="none" w:sz="0" w:space="0" w:color="auto"/>
              </w:divBdr>
            </w:div>
          </w:divsChild>
        </w:div>
      </w:divsChild>
    </w:div>
    <w:div w:id="1614363462">
      <w:bodyDiv w:val="1"/>
      <w:marLeft w:val="0"/>
      <w:marRight w:val="0"/>
      <w:marTop w:val="0"/>
      <w:marBottom w:val="0"/>
      <w:divBdr>
        <w:top w:val="none" w:sz="0" w:space="0" w:color="auto"/>
        <w:left w:val="none" w:sz="0" w:space="0" w:color="auto"/>
        <w:bottom w:val="none" w:sz="0" w:space="0" w:color="auto"/>
        <w:right w:val="none" w:sz="0" w:space="0" w:color="auto"/>
      </w:divBdr>
      <w:divsChild>
        <w:div w:id="1909147679">
          <w:marLeft w:val="0"/>
          <w:marRight w:val="465"/>
          <w:marTop w:val="105"/>
          <w:marBottom w:val="600"/>
          <w:divBdr>
            <w:top w:val="none" w:sz="0" w:space="0" w:color="auto"/>
            <w:left w:val="none" w:sz="0" w:space="0" w:color="auto"/>
            <w:bottom w:val="none" w:sz="0" w:space="0" w:color="auto"/>
            <w:right w:val="none" w:sz="0" w:space="0" w:color="auto"/>
          </w:divBdr>
          <w:divsChild>
            <w:div w:id="37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8427">
      <w:bodyDiv w:val="1"/>
      <w:marLeft w:val="0"/>
      <w:marRight w:val="0"/>
      <w:marTop w:val="0"/>
      <w:marBottom w:val="0"/>
      <w:divBdr>
        <w:top w:val="none" w:sz="0" w:space="0" w:color="auto"/>
        <w:left w:val="none" w:sz="0" w:space="0" w:color="auto"/>
        <w:bottom w:val="none" w:sz="0" w:space="0" w:color="auto"/>
        <w:right w:val="none" w:sz="0" w:space="0" w:color="auto"/>
      </w:divBdr>
    </w:div>
    <w:div w:id="1725330847">
      <w:bodyDiv w:val="1"/>
      <w:marLeft w:val="0"/>
      <w:marRight w:val="0"/>
      <w:marTop w:val="0"/>
      <w:marBottom w:val="0"/>
      <w:divBdr>
        <w:top w:val="none" w:sz="0" w:space="0" w:color="auto"/>
        <w:left w:val="none" w:sz="0" w:space="0" w:color="auto"/>
        <w:bottom w:val="none" w:sz="0" w:space="0" w:color="auto"/>
        <w:right w:val="none" w:sz="0" w:space="0" w:color="auto"/>
      </w:divBdr>
      <w:divsChild>
        <w:div w:id="1314408926">
          <w:marLeft w:val="0"/>
          <w:marRight w:val="465"/>
          <w:marTop w:val="105"/>
          <w:marBottom w:val="600"/>
          <w:divBdr>
            <w:top w:val="none" w:sz="0" w:space="0" w:color="auto"/>
            <w:left w:val="none" w:sz="0" w:space="0" w:color="auto"/>
            <w:bottom w:val="none" w:sz="0" w:space="0" w:color="auto"/>
            <w:right w:val="none" w:sz="0" w:space="0" w:color="auto"/>
          </w:divBdr>
          <w:divsChild>
            <w:div w:id="101469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2607">
      <w:bodyDiv w:val="1"/>
      <w:marLeft w:val="0"/>
      <w:marRight w:val="0"/>
      <w:marTop w:val="0"/>
      <w:marBottom w:val="0"/>
      <w:divBdr>
        <w:top w:val="none" w:sz="0" w:space="0" w:color="auto"/>
        <w:left w:val="none" w:sz="0" w:space="0" w:color="auto"/>
        <w:bottom w:val="none" w:sz="0" w:space="0" w:color="auto"/>
        <w:right w:val="none" w:sz="0" w:space="0" w:color="auto"/>
      </w:divBdr>
      <w:divsChild>
        <w:div w:id="1328244983">
          <w:marLeft w:val="0"/>
          <w:marRight w:val="465"/>
          <w:marTop w:val="105"/>
          <w:marBottom w:val="600"/>
          <w:divBdr>
            <w:top w:val="none" w:sz="0" w:space="0" w:color="auto"/>
            <w:left w:val="none" w:sz="0" w:space="0" w:color="auto"/>
            <w:bottom w:val="none" w:sz="0" w:space="0" w:color="auto"/>
            <w:right w:val="none" w:sz="0" w:space="0" w:color="auto"/>
          </w:divBdr>
          <w:divsChild>
            <w:div w:id="977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7572">
      <w:bodyDiv w:val="1"/>
      <w:marLeft w:val="0"/>
      <w:marRight w:val="0"/>
      <w:marTop w:val="0"/>
      <w:marBottom w:val="0"/>
      <w:divBdr>
        <w:top w:val="none" w:sz="0" w:space="0" w:color="auto"/>
        <w:left w:val="none" w:sz="0" w:space="0" w:color="auto"/>
        <w:bottom w:val="none" w:sz="0" w:space="0" w:color="auto"/>
        <w:right w:val="none" w:sz="0" w:space="0" w:color="auto"/>
      </w:divBdr>
    </w:div>
    <w:div w:id="1964117066">
      <w:bodyDiv w:val="1"/>
      <w:marLeft w:val="0"/>
      <w:marRight w:val="0"/>
      <w:marTop w:val="0"/>
      <w:marBottom w:val="0"/>
      <w:divBdr>
        <w:top w:val="none" w:sz="0" w:space="0" w:color="auto"/>
        <w:left w:val="none" w:sz="0" w:space="0" w:color="auto"/>
        <w:bottom w:val="none" w:sz="0" w:space="0" w:color="auto"/>
        <w:right w:val="none" w:sz="0" w:space="0" w:color="auto"/>
      </w:divBdr>
      <w:divsChild>
        <w:div w:id="73670985">
          <w:marLeft w:val="0"/>
          <w:marRight w:val="465"/>
          <w:marTop w:val="105"/>
          <w:marBottom w:val="600"/>
          <w:divBdr>
            <w:top w:val="none" w:sz="0" w:space="0" w:color="auto"/>
            <w:left w:val="none" w:sz="0" w:space="0" w:color="auto"/>
            <w:bottom w:val="none" w:sz="0" w:space="0" w:color="auto"/>
            <w:right w:val="none" w:sz="0" w:space="0" w:color="auto"/>
          </w:divBdr>
          <w:divsChild>
            <w:div w:id="14065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9014">
      <w:bodyDiv w:val="1"/>
      <w:marLeft w:val="0"/>
      <w:marRight w:val="0"/>
      <w:marTop w:val="0"/>
      <w:marBottom w:val="0"/>
      <w:divBdr>
        <w:top w:val="none" w:sz="0" w:space="0" w:color="auto"/>
        <w:left w:val="none" w:sz="0" w:space="0" w:color="auto"/>
        <w:bottom w:val="none" w:sz="0" w:space="0" w:color="auto"/>
        <w:right w:val="none" w:sz="0" w:space="0" w:color="auto"/>
      </w:divBdr>
    </w:div>
    <w:div w:id="2127457582">
      <w:bodyDiv w:val="1"/>
      <w:marLeft w:val="0"/>
      <w:marRight w:val="0"/>
      <w:marTop w:val="0"/>
      <w:marBottom w:val="0"/>
      <w:divBdr>
        <w:top w:val="none" w:sz="0" w:space="0" w:color="auto"/>
        <w:left w:val="none" w:sz="0" w:space="0" w:color="auto"/>
        <w:bottom w:val="none" w:sz="0" w:space="0" w:color="auto"/>
        <w:right w:val="none" w:sz="0" w:space="0" w:color="auto"/>
      </w:divBdr>
      <w:divsChild>
        <w:div w:id="1182015737">
          <w:marLeft w:val="0"/>
          <w:marRight w:val="465"/>
          <w:marTop w:val="105"/>
          <w:marBottom w:val="600"/>
          <w:divBdr>
            <w:top w:val="none" w:sz="0" w:space="0" w:color="auto"/>
            <w:left w:val="none" w:sz="0" w:space="0" w:color="auto"/>
            <w:bottom w:val="none" w:sz="0" w:space="0" w:color="auto"/>
            <w:right w:val="none" w:sz="0" w:space="0" w:color="auto"/>
          </w:divBdr>
          <w:divsChild>
            <w:div w:id="2858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9342">
      <w:bodyDiv w:val="1"/>
      <w:marLeft w:val="0"/>
      <w:marRight w:val="0"/>
      <w:marTop w:val="0"/>
      <w:marBottom w:val="0"/>
      <w:divBdr>
        <w:top w:val="none" w:sz="0" w:space="0" w:color="auto"/>
        <w:left w:val="none" w:sz="0" w:space="0" w:color="auto"/>
        <w:bottom w:val="none" w:sz="0" w:space="0" w:color="auto"/>
        <w:right w:val="none" w:sz="0" w:space="0" w:color="auto"/>
      </w:divBdr>
      <w:divsChild>
        <w:div w:id="1184440262">
          <w:marLeft w:val="0"/>
          <w:marRight w:val="465"/>
          <w:marTop w:val="105"/>
          <w:marBottom w:val="600"/>
          <w:divBdr>
            <w:top w:val="none" w:sz="0" w:space="0" w:color="auto"/>
            <w:left w:val="none" w:sz="0" w:space="0" w:color="auto"/>
            <w:bottom w:val="none" w:sz="0" w:space="0" w:color="auto"/>
            <w:right w:val="none" w:sz="0" w:space="0" w:color="auto"/>
          </w:divBdr>
          <w:divsChild>
            <w:div w:id="3582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1767E-04D3-4BD8-A7EB-ECBE8A19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743</Words>
  <Characters>4239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dc:creator>
  <cp:keywords/>
  <dc:description/>
  <cp:lastModifiedBy>Мадина Ергалиева</cp:lastModifiedBy>
  <cp:revision>29</cp:revision>
  <dcterms:created xsi:type="dcterms:W3CDTF">2024-12-05T11:33:00Z</dcterms:created>
  <dcterms:modified xsi:type="dcterms:W3CDTF">2024-12-05T13:17:00Z</dcterms:modified>
</cp:coreProperties>
</file>