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5457C4" w:rsidRDefault="00D46DD5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 w:rsidRPr="005457C4"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0A677DB5" wp14:editId="3F4E3556">
            <wp:extent cx="33223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D46DD5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5457C4"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РЕЛИЗІ </w:t>
      </w:r>
    </w:p>
    <w:p w:rsidR="00A753E2" w:rsidRPr="005457C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4768CC" w:rsidRPr="005457C4" w:rsidRDefault="004768CC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DD5195" w:rsidRPr="005457C4" w:rsidRDefault="0067636A" w:rsidP="00D46DD5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2024</w:t>
      </w:r>
      <w:r w:rsidR="00D46DD5" w:rsidRPr="005457C4">
        <w:rPr>
          <w:rFonts w:asciiTheme="minorHAnsi" w:eastAsia="Times New Roman" w:hAnsiTheme="minorHAnsi"/>
          <w:szCs w:val="24"/>
          <w:lang w:val="kk-KZ"/>
        </w:rPr>
        <w:t xml:space="preserve"> жылғы </w:t>
      </w:r>
      <w:r>
        <w:rPr>
          <w:rFonts w:asciiTheme="minorHAnsi" w:eastAsia="Times New Roman" w:hAnsiTheme="minorHAnsi"/>
          <w:szCs w:val="24"/>
          <w:lang w:val="kk-KZ"/>
        </w:rPr>
        <w:t>«2</w:t>
      </w:r>
      <w:r w:rsidR="00B50CDD">
        <w:rPr>
          <w:rFonts w:asciiTheme="minorHAnsi" w:eastAsia="Times New Roman" w:hAnsiTheme="minorHAnsi"/>
          <w:szCs w:val="24"/>
          <w:lang w:val="kk-KZ"/>
        </w:rPr>
        <w:t>2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B50CDD">
        <w:rPr>
          <w:rFonts w:asciiTheme="minorHAnsi" w:eastAsia="Times New Roman" w:hAnsiTheme="minorHAnsi"/>
          <w:szCs w:val="24"/>
          <w:lang w:val="kk-KZ"/>
        </w:rPr>
        <w:t>қазан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</w:t>
      </w:r>
      <w:r w:rsidR="00D46DD5" w:rsidRPr="005457C4">
        <w:rPr>
          <w:rFonts w:asciiTheme="minorHAnsi" w:eastAsia="Times New Roman" w:hAnsiTheme="minorHAnsi"/>
          <w:szCs w:val="24"/>
          <w:lang w:val="kk-KZ"/>
        </w:rPr>
        <w:t xml:space="preserve"> қаласы</w:t>
      </w:r>
    </w:p>
    <w:p w:rsidR="00DD5195" w:rsidRPr="005457C4" w:rsidRDefault="00DD5195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50CDD" w:rsidRPr="00B50CDD" w:rsidRDefault="00B50CDD" w:rsidP="00B50CD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B50CDD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«Қазақстан Республикасы Ұлттық Банкі Басқармасының </w:t>
      </w:r>
    </w:p>
    <w:p w:rsidR="00B50CDD" w:rsidRPr="00B50CDD" w:rsidRDefault="00B50CDD" w:rsidP="00B50CD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B50CDD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кейбір қаулыларына өзгерістер мен толықтырулар енгізу туралы» </w:t>
      </w:r>
    </w:p>
    <w:p w:rsidR="003166D7" w:rsidRPr="005457C4" w:rsidRDefault="00B50CDD" w:rsidP="00B50CD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B50CDD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Қазақстан Республикасы Ұлттық Банкі Басқармасының Қаулы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сы</w:t>
      </w:r>
      <w:r w:rsidRPr="00B50CDD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  <w:r w:rsidR="003166D7"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жобасы әзірленгені туралы</w:t>
      </w: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356792" w:rsidP="00B50CD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B50CDD" w:rsidRPr="00B50CDD">
        <w:rPr>
          <w:rFonts w:asciiTheme="minorHAnsi" w:hAnsiTheme="minorHAnsi"/>
          <w:szCs w:val="24"/>
          <w:lang w:val="kk-KZ"/>
        </w:rPr>
        <w:t>«Қазақстан Республикасы Ұлттық Банкі Басқармасының кейбір қаулыларына өзгерістер мен толықтырулар енгізу туралы» Қазақстан Республикасы Ұ</w:t>
      </w:r>
      <w:r w:rsidR="00B50CDD">
        <w:rPr>
          <w:rFonts w:asciiTheme="minorHAnsi" w:hAnsiTheme="minorHAnsi"/>
          <w:szCs w:val="24"/>
          <w:lang w:val="kk-KZ"/>
        </w:rPr>
        <w:t>лттық Банкі Басқармасының қаулы</w:t>
      </w:r>
      <w:r w:rsidRPr="005457C4">
        <w:rPr>
          <w:rFonts w:asciiTheme="minorHAnsi" w:eastAsia="Times New Roman" w:hAnsiTheme="minorHAnsi" w:cstheme="minorHAnsi"/>
          <w:szCs w:val="24"/>
          <w:lang w:val="kk-KZ" w:eastAsia="ru-RU"/>
        </w:rPr>
        <w:t xml:space="preserve">сының жобасы </w:t>
      </w:r>
      <w:r w:rsidRPr="005457C4">
        <w:rPr>
          <w:rFonts w:asciiTheme="minorHAnsi" w:hAnsiTheme="minorHAnsi"/>
          <w:szCs w:val="24"/>
          <w:lang w:val="kk-KZ"/>
        </w:rPr>
        <w:t>(бұдан әрі – Қаулы жобасы) әзірленгені туралы хабарлайды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.</w:t>
      </w:r>
    </w:p>
    <w:p w:rsidR="000C5498" w:rsidRPr="005457C4" w:rsidRDefault="00EE4485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 xml:space="preserve">Қаулы </w:t>
      </w:r>
      <w:r w:rsidR="00B50CDD">
        <w:rPr>
          <w:rFonts w:asciiTheme="minorHAnsi" w:hAnsiTheme="minorHAnsi"/>
          <w:szCs w:val="24"/>
          <w:lang w:val="kk-KZ"/>
        </w:rPr>
        <w:t>ж</w:t>
      </w:r>
      <w:r w:rsidR="00B50CDD" w:rsidRPr="00B50CDD">
        <w:rPr>
          <w:rFonts w:asciiTheme="minorHAnsi" w:hAnsiTheme="minorHAnsi"/>
          <w:szCs w:val="24"/>
          <w:lang w:val="kk-KZ"/>
        </w:rPr>
        <w:t>оба</w:t>
      </w:r>
      <w:r w:rsidR="00B50CDD">
        <w:rPr>
          <w:rFonts w:asciiTheme="minorHAnsi" w:hAnsiTheme="minorHAnsi"/>
          <w:szCs w:val="24"/>
          <w:lang w:val="kk-KZ"/>
        </w:rPr>
        <w:t>сы</w:t>
      </w:r>
      <w:r w:rsidR="00B50CDD" w:rsidRPr="00B50CDD">
        <w:rPr>
          <w:rFonts w:asciiTheme="minorHAnsi" w:hAnsiTheme="minorHAnsi"/>
          <w:szCs w:val="24"/>
          <w:lang w:val="kk-KZ"/>
        </w:rPr>
        <w:t xml:space="preserve"> ЕДБ-нің есепті нысандарына төлем карточкаларын пайдалана отырып жасалған төлемдер туралы мәліметтерді, </w:t>
      </w:r>
      <w:r w:rsidR="009778B9">
        <w:rPr>
          <w:rFonts w:asciiTheme="minorHAnsi" w:hAnsiTheme="minorHAnsi"/>
          <w:szCs w:val="24"/>
          <w:lang w:val="kk-KZ"/>
        </w:rPr>
        <w:t xml:space="preserve">банктердің ақпараттық жүйелерінің жұмысындағы </w:t>
      </w:r>
      <w:r w:rsidR="00B50CDD" w:rsidRPr="00B50CDD">
        <w:rPr>
          <w:rFonts w:asciiTheme="minorHAnsi" w:hAnsiTheme="minorHAnsi"/>
          <w:szCs w:val="24"/>
          <w:lang w:val="kk-KZ"/>
        </w:rPr>
        <w:t>іркілістер мен тоқтап қалулар туралы мәліметтерді беру бөлігінде өзгерістерді, трансшекаралық төлемдер туралы мәліметтерді беру бөлігінде төлем ұйымдарының жаңа есептік нысандарын, сондай-ақ, төлем ұйымдарының ақпараттық қауіпсіздігін нығайту бөлігінде қосымша талаптарды көздейді.</w:t>
      </w:r>
    </w:p>
    <w:p w:rsidR="00A753E2" w:rsidRPr="005457C4" w:rsidRDefault="005457C4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:</w:t>
      </w:r>
      <w:r w:rsidR="006729D0" w:rsidRPr="006729D0">
        <w:rPr>
          <w:rFonts w:asciiTheme="minorHAnsi" w:hAnsiTheme="minorHAnsi"/>
          <w:szCs w:val="24"/>
          <w:lang w:val="kk-KZ"/>
        </w:rPr>
        <w:t xml:space="preserve"> </w:t>
      </w:r>
      <w:hyperlink r:id="rId5" w:history="1">
        <w:r w:rsidR="009759D0" w:rsidRPr="009759D0">
          <w:rPr>
            <w:rStyle w:val="a3"/>
            <w:rFonts w:asciiTheme="minorHAnsi" w:hAnsiTheme="minorHAnsi" w:cstheme="minorHAnsi"/>
            <w:lang w:val="kk-KZ"/>
          </w:rPr>
          <w:t>https://legalacts.egov.kz/npa/view?id=15247047</w:t>
        </w:r>
      </w:hyperlink>
      <w:r w:rsidR="009759D0" w:rsidRPr="009759D0">
        <w:rPr>
          <w:rFonts w:asciiTheme="minorHAnsi" w:hAnsiTheme="minorHAnsi" w:cstheme="minorHAnsi"/>
          <w:lang w:val="kk-KZ"/>
        </w:rPr>
        <w:t>.</w:t>
      </w:r>
      <w:r w:rsidR="009759D0">
        <w:rPr>
          <w:rFonts w:asciiTheme="minorHAnsi" w:hAnsiTheme="minorHAnsi" w:cstheme="minorHAnsi"/>
          <w:lang w:val="kk-KZ"/>
        </w:rPr>
        <w:t xml:space="preserve">  </w:t>
      </w:r>
      <w:r w:rsidR="0067636A" w:rsidRPr="006729D0">
        <w:rPr>
          <w:rFonts w:asciiTheme="minorHAnsi" w:hAnsiTheme="minorHAnsi"/>
          <w:szCs w:val="24"/>
          <w:lang w:val="kk-KZ"/>
        </w:rPr>
        <w:t xml:space="preserve"> </w:t>
      </w:r>
      <w:r w:rsidR="006729D0" w:rsidRPr="006729D0">
        <w:rPr>
          <w:rFonts w:asciiTheme="minorHAnsi" w:hAnsiTheme="minorHAnsi"/>
          <w:szCs w:val="24"/>
          <w:lang w:val="kk-KZ"/>
        </w:rPr>
        <w:t xml:space="preserve"> </w:t>
      </w:r>
      <w:r w:rsidR="000C5498" w:rsidRPr="006729D0">
        <w:rPr>
          <w:rFonts w:asciiTheme="minorHAnsi" w:hAnsiTheme="minorHAnsi"/>
          <w:szCs w:val="24"/>
          <w:lang w:val="kk-KZ"/>
        </w:rPr>
        <w:t xml:space="preserve"> </w:t>
      </w:r>
      <w:r w:rsidR="0067636A" w:rsidRPr="006729D0">
        <w:rPr>
          <w:rFonts w:asciiTheme="minorHAnsi" w:hAnsiTheme="minorHAnsi"/>
          <w:szCs w:val="24"/>
          <w:lang w:val="kk-KZ"/>
        </w:rPr>
        <w:t xml:space="preserve"> </w:t>
      </w: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A753E2" w:rsidRPr="005457C4" w:rsidRDefault="005457C4" w:rsidP="00A753E2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753E2" w:rsidRPr="005457C4">
        <w:rPr>
          <w:rFonts w:ascii="Calibri" w:hAnsi="Calibri" w:cs="Arial"/>
          <w:b/>
          <w:szCs w:val="24"/>
          <w:lang w:val="kk-KZ" w:eastAsia="ru-RU"/>
        </w:rPr>
        <w:t>:</w:t>
      </w:r>
    </w:p>
    <w:p w:rsidR="00A753E2" w:rsidRPr="004D740A" w:rsidRDefault="00A753E2" w:rsidP="00A753E2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Pr="004D740A">
        <w:rPr>
          <w:rFonts w:ascii="Calibri" w:hAnsi="Calibri" w:cs="Arial"/>
          <w:szCs w:val="24"/>
          <w:lang w:val="kk-KZ" w:eastAsia="ru-RU"/>
        </w:rPr>
        <w:t>77</w:t>
      </w:r>
      <w:r w:rsidR="0067636A">
        <w:rPr>
          <w:rFonts w:ascii="Calibri" w:hAnsi="Calibri" w:cs="Arial"/>
          <w:szCs w:val="24"/>
          <w:lang w:val="kk-KZ" w:eastAsia="ru-RU"/>
        </w:rPr>
        <w:t xml:space="preserve"> </w:t>
      </w:r>
      <w:r w:rsidRPr="004D740A">
        <w:rPr>
          <w:rFonts w:ascii="Calibri" w:hAnsi="Calibri" w:cs="Arial"/>
          <w:szCs w:val="24"/>
          <w:lang w:val="kk-KZ" w:eastAsia="ru-RU"/>
        </w:rPr>
        <w:t>5</w:t>
      </w:r>
      <w:r w:rsidR="0067636A">
        <w:rPr>
          <w:rFonts w:ascii="Calibri" w:hAnsi="Calibri" w:cs="Arial"/>
          <w:szCs w:val="24"/>
          <w:lang w:val="kk-KZ" w:eastAsia="ru-RU"/>
        </w:rPr>
        <w:t>3</w:t>
      </w:r>
      <w:r w:rsidRPr="004D740A">
        <w:rPr>
          <w:rFonts w:ascii="Calibri" w:hAnsi="Calibri" w:cs="Arial"/>
          <w:szCs w:val="24"/>
          <w:lang w:val="kk-KZ" w:eastAsia="ru-RU"/>
        </w:rPr>
        <w:t> </w:t>
      </w:r>
      <w:r w:rsidR="0067636A">
        <w:rPr>
          <w:rFonts w:ascii="Calibri" w:hAnsi="Calibri" w:cs="Arial"/>
          <w:szCs w:val="24"/>
          <w:lang w:val="kk-KZ" w:eastAsia="ru-RU"/>
        </w:rPr>
        <w:t>70</w:t>
      </w:r>
    </w:p>
    <w:p w:rsidR="00A753E2" w:rsidRPr="004D740A" w:rsidRDefault="00A753E2" w:rsidP="00A753E2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2C7371" w:rsidRPr="00A753E2" w:rsidRDefault="00A753E2" w:rsidP="00A753E2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A753E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03BD"/>
    <w:rsid w:val="00020E97"/>
    <w:rsid w:val="000C5498"/>
    <w:rsid w:val="002C7371"/>
    <w:rsid w:val="003166D7"/>
    <w:rsid w:val="00345AB5"/>
    <w:rsid w:val="00356792"/>
    <w:rsid w:val="003B4079"/>
    <w:rsid w:val="004768CC"/>
    <w:rsid w:val="004A289C"/>
    <w:rsid w:val="005457C4"/>
    <w:rsid w:val="006729D0"/>
    <w:rsid w:val="0067636A"/>
    <w:rsid w:val="00772C20"/>
    <w:rsid w:val="00927B74"/>
    <w:rsid w:val="009759D0"/>
    <w:rsid w:val="009778B9"/>
    <w:rsid w:val="00A753E2"/>
    <w:rsid w:val="00B50CDD"/>
    <w:rsid w:val="00C24D9C"/>
    <w:rsid w:val="00D46DD5"/>
    <w:rsid w:val="00DD0154"/>
    <w:rsid w:val="00DD5195"/>
    <w:rsid w:val="00E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5498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52470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Нурболат Карагаев</cp:lastModifiedBy>
  <cp:revision>13</cp:revision>
  <dcterms:created xsi:type="dcterms:W3CDTF">2022-02-14T09:19:00Z</dcterms:created>
  <dcterms:modified xsi:type="dcterms:W3CDTF">2024-10-22T12:31:00Z</dcterms:modified>
</cp:coreProperties>
</file>