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7021BD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1C451B" w:rsidRPr="001C451B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 Республикасы Ұлттық Банкі Басқармасының кейбір қаулыларына бірыңғай жинақтаушы зейнетақы қорының және бағалы қағаздар нарығына қатысушылардың есептілікті ұсыну мәселелері бойынша өзгерістер мен толықтыру енгізу туралы</w:t>
      </w:r>
      <w:r w:rsidRPr="0043791F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» </w:t>
      </w:r>
    </w:p>
    <w:p w:rsidR="00402D1C" w:rsidRPr="001D0B3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 Басқармасы қаулысының жобасынын әзірлеу туралы</w:t>
      </w: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8E0EB3" w:rsidRDefault="008E0EB3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8E0EB3" w:rsidRDefault="008E0EB3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8E0EB3" w:rsidRPr="00023487" w:rsidRDefault="008E0EB3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B5544F">
        <w:rPr>
          <w:rFonts w:asciiTheme="minorHAnsi" w:eastAsia="Times New Roman" w:hAnsiTheme="minorHAnsi"/>
          <w:szCs w:val="24"/>
          <w:lang w:val="kk-KZ"/>
        </w:rPr>
        <w:t>4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E75CA">
        <w:rPr>
          <w:rFonts w:asciiTheme="minorHAnsi" w:eastAsia="Times New Roman" w:hAnsiTheme="minorHAnsi"/>
          <w:szCs w:val="24"/>
          <w:lang w:val="kk-KZ"/>
        </w:rPr>
        <w:t>24</w:t>
      </w:r>
      <w:bookmarkStart w:id="0" w:name="_GoBack"/>
      <w:bookmarkEnd w:id="0"/>
      <w:r w:rsidR="003470C7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1C451B" w:rsidRPr="001C451B">
        <w:rPr>
          <w:rFonts w:asciiTheme="minorHAnsi" w:eastAsia="Times New Roman" w:hAnsiTheme="minorHAnsi"/>
          <w:szCs w:val="24"/>
          <w:lang w:val="kk-KZ"/>
        </w:rPr>
        <w:t>қыркүйек</w:t>
      </w:r>
      <w:r w:rsidR="003B1F6F">
        <w:rPr>
          <w:rFonts w:asciiTheme="minorHAnsi" w:eastAsia="Times New Roman" w:hAnsiTheme="minorHAnsi"/>
          <w:szCs w:val="24"/>
          <w:lang w:val="kk-KZ"/>
        </w:rPr>
        <w:t xml:space="preserve">  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3B1F6F">
        <w:rPr>
          <w:rFonts w:asciiTheme="minorHAnsi" w:eastAsia="Times New Roman" w:hAnsiTheme="minorHAnsi"/>
          <w:szCs w:val="24"/>
          <w:lang w:val="kk-KZ"/>
        </w:rPr>
        <w:t xml:space="preserve">     Астана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DD24E2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 Ұлттық Банкі</w:t>
      </w:r>
      <w:r w:rsidR="00F7287C">
        <w:rPr>
          <w:rFonts w:asciiTheme="minorHAnsi" w:hAnsiTheme="minorHAnsi" w:cstheme="minorHAnsi"/>
          <w:szCs w:val="24"/>
          <w:lang w:val="kk-KZ"/>
        </w:rPr>
        <w:t xml:space="preserve"> </w:t>
      </w:r>
      <w:r w:rsidR="00F7287C" w:rsidRPr="00F7287C">
        <w:rPr>
          <w:rFonts w:asciiTheme="minorHAnsi" w:hAnsiTheme="minorHAnsi" w:cstheme="minorHAnsi"/>
          <w:szCs w:val="24"/>
          <w:lang w:val="kk-KZ"/>
        </w:rPr>
        <w:t>«</w:t>
      </w:r>
      <w:r w:rsidR="001C451B" w:rsidRPr="001C451B">
        <w:rPr>
          <w:rFonts w:asciiTheme="minorHAnsi" w:hAnsiTheme="minorHAnsi" w:cstheme="minorHAnsi"/>
          <w:szCs w:val="24"/>
          <w:lang w:val="kk-KZ"/>
        </w:rPr>
        <w:t>Қазақстан Республикасы Ұлттық Банкі Басқармасының кейбір қаулыларына бірыңғай жинақтаушы зейнетақы қорының және бағалы қағаздар нарығына қатысушылардың есептілікті ұсыну мәселелері бойынша өзгерістер мен толықтыру енгізу туралы</w:t>
      </w:r>
      <w:r w:rsidR="000A26F5">
        <w:rPr>
          <w:rFonts w:asciiTheme="minorHAnsi" w:hAnsiTheme="minorHAnsi" w:cstheme="minorHAnsi"/>
          <w:szCs w:val="24"/>
          <w:lang w:val="kk-KZ"/>
        </w:rPr>
        <w:t>»</w:t>
      </w:r>
      <w:r w:rsidR="000A26F5" w:rsidRPr="00F7287C">
        <w:rPr>
          <w:rFonts w:asciiTheme="minorHAnsi" w:hAnsiTheme="minorHAnsi" w:cstheme="minorHAnsi"/>
          <w:szCs w:val="24"/>
          <w:lang w:val="kk-KZ"/>
        </w:rPr>
        <w:t xml:space="preserve"> </w:t>
      </w:r>
      <w:r w:rsidR="00F7287C" w:rsidRPr="00F7287C">
        <w:rPr>
          <w:rFonts w:asciiTheme="minorHAnsi" w:hAnsiTheme="minorHAnsi" w:cstheme="minorHAnsi"/>
          <w:szCs w:val="24"/>
          <w:lang w:val="kk-KZ"/>
        </w:rPr>
        <w:t xml:space="preserve">Қазақстан Республикасы Ұлттық Банкі Басқармасы </w:t>
      </w:r>
      <w:r w:rsidR="00DD24E2" w:rsidRPr="00AF6F09">
        <w:rPr>
          <w:rFonts w:asciiTheme="minorHAnsi" w:hAnsiTheme="minorHAnsi" w:cstheme="minorHAnsi"/>
          <w:szCs w:val="24"/>
          <w:lang w:val="kk-KZ"/>
        </w:rPr>
        <w:t>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59757F" w:rsidRPr="00DD24E2" w:rsidRDefault="0059757F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59757F">
        <w:rPr>
          <w:rFonts w:asciiTheme="minorHAnsi" w:hAnsiTheme="minorHAnsi" w:cstheme="minorHAnsi"/>
          <w:szCs w:val="24"/>
          <w:lang w:val="kk-KZ"/>
        </w:rPr>
        <w:t xml:space="preserve">Қаулы жобасы </w:t>
      </w:r>
      <w:r w:rsidR="001C451B" w:rsidRPr="001C451B">
        <w:rPr>
          <w:rFonts w:asciiTheme="minorHAnsi" w:hAnsiTheme="minorHAnsi" w:cstheme="minorHAnsi"/>
          <w:szCs w:val="24"/>
          <w:lang w:val="kk-KZ"/>
        </w:rPr>
        <w:t>«Бірыңғай жинақтаушы зейнетақы қоры» АҚ есептілік нысандарын оңтайландыру, қаржы ұйымдарының пруденциалдық нормативтерді енгізу туралы есептіліктің нысандарын қаржы нарығын реттеу және дамыту жөніндегі уәкілетті орган белгілеген талаптарға сәйкестендіру, сондай-ақ есептілікті толтыру жөніндегі түсіндірмелерге нақтылаушы түзетулер енгізу</w:t>
      </w:r>
      <w:r w:rsidR="009E2222" w:rsidRPr="009E2222">
        <w:rPr>
          <w:rFonts w:asciiTheme="minorHAnsi" w:hAnsiTheme="minorHAnsi" w:cstheme="minorHAnsi"/>
          <w:szCs w:val="24"/>
          <w:lang w:val="kk-KZ"/>
        </w:rPr>
        <w:t xml:space="preserve"> мақсатында</w:t>
      </w:r>
      <w:r w:rsidR="00F7287C">
        <w:rPr>
          <w:rFonts w:asciiTheme="minorHAnsi" w:hAnsiTheme="minorHAnsi" w:cstheme="minorHAnsi"/>
          <w:szCs w:val="24"/>
          <w:lang w:val="kk-KZ"/>
        </w:rPr>
        <w:t xml:space="preserve"> әзірленді</w:t>
      </w:r>
      <w:r w:rsidRPr="0059757F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AE75CA" w:rsidRDefault="00DD24E2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AE75CA" w:rsidRPr="00635874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https://legalacts.egov.kz/npa/view?id=15210883</w:t>
        </w:r>
      </w:hyperlink>
      <w:r w:rsidR="00AE75CA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AE75CA" w:rsidRDefault="00325C72" w:rsidP="00AE75CA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F1" w:rsidRDefault="003D53F1" w:rsidP="00983743">
      <w:r>
        <w:separator/>
      </w:r>
    </w:p>
  </w:endnote>
  <w:endnote w:type="continuationSeparator" w:id="0">
    <w:p w:rsidR="003D53F1" w:rsidRDefault="003D53F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F1" w:rsidRDefault="003D53F1" w:rsidP="00983743">
      <w:r>
        <w:separator/>
      </w:r>
    </w:p>
  </w:footnote>
  <w:footnote w:type="continuationSeparator" w:id="0">
    <w:p w:rsidR="003D53F1" w:rsidRDefault="003D53F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26F5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C451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C79DB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0C7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96D6D"/>
    <w:rsid w:val="003B0062"/>
    <w:rsid w:val="003B1F6F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3791F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02D8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21BD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25AC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0EB3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254B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20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222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E75CA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44F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191F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1FBC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87C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1D8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652F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5210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4922-A56C-40AB-B6A7-E6B74A7F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Динара Асанова</cp:lastModifiedBy>
  <cp:revision>37</cp:revision>
  <cp:lastPrinted>2019-01-16T04:01:00Z</cp:lastPrinted>
  <dcterms:created xsi:type="dcterms:W3CDTF">2022-06-29T05:31:00Z</dcterms:created>
  <dcterms:modified xsi:type="dcterms:W3CDTF">2024-09-24T07:43:00Z</dcterms:modified>
</cp:coreProperties>
</file>