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E5" w:rsidRDefault="000A3CE5" w:rsidP="000A3CE5">
      <w:pPr>
        <w:pStyle w:val="pc"/>
      </w:pPr>
      <w:r>
        <w:rPr>
          <w:rStyle w:val="s1"/>
        </w:rPr>
        <w:t>Выдача лицензии на обменные операции с наличной иностранной валютой, выдаваемая уполномоченным организациям</w:t>
      </w:r>
      <w:bookmarkStart w:id="0" w:name="_GoBack"/>
      <w:bookmarkEnd w:id="0"/>
    </w:p>
    <w:p w:rsidR="000A3CE5" w:rsidRDefault="000A3CE5" w:rsidP="000A3CE5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467"/>
        <w:gridCol w:w="5352"/>
      </w:tblGrid>
      <w:tr w:rsidR="000A3CE5" w:rsidTr="00CA1FA5">
        <w:trPr>
          <w:jc w:val="center"/>
        </w:trPr>
        <w:tc>
          <w:tcPr>
            <w:tcW w:w="2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Наименование государственной услуги</w:t>
            </w:r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Выдача лицензии на обменные операции с наличной иностранной валютой, выдаваемая уполномоченным организациям</w:t>
            </w:r>
          </w:p>
        </w:tc>
      </w:tr>
      <w:tr w:rsidR="000A3CE5" w:rsidTr="00CA1FA5">
        <w:trPr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Наименование подвидов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1) Получение лицензии на обменные операции с наличной иностранной валютой и приложения к лицензии;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2) Получение приложения к действительной лицензии при открытии дополнительного обменного пункта;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3) Переоформление лицензии и приложения к ней;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4) Переоформление приложения к лицензии.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Наименование </w:t>
            </w:r>
            <w:proofErr w:type="spellStart"/>
            <w:r w:rsidRPr="00991C60">
              <w:t>услугодателя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Территориальные филиалы Национального Банка Республики Казахстан (далее - </w:t>
            </w:r>
            <w:proofErr w:type="spellStart"/>
            <w:r w:rsidRPr="00991C60">
              <w:t>услугодатель</w:t>
            </w:r>
            <w:proofErr w:type="spellEnd"/>
            <w:r w:rsidRPr="00991C60">
              <w:t>)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Способы предоставления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По всем подвидам: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Веб-портал «электронного правительства» </w:t>
            </w:r>
            <w:hyperlink r:id="rId4" w:history="1">
              <w:r w:rsidRPr="00991C60">
                <w:rPr>
                  <w:rStyle w:val="a3"/>
                  <w:color w:val="000080"/>
                </w:rPr>
                <w:t>www.egov.kz</w:t>
              </w:r>
            </w:hyperlink>
            <w:r w:rsidRPr="00991C60">
              <w:t xml:space="preserve"> (далее - портал)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Срок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Со дня регистрации обращения на портале: при выдаче лицензии и приложения к ней - в течение 20 (двадцати) рабочих дней; при выдаче приложения к действительной лицензии - в течение 10 (десяти) рабочих дней; при переоформлении лицензии и (или) приложения к ней - в течение 10 (десяти) рабочих дней.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Форма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По всем подвидам: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Электронная (частично автоматизированная)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Результат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По подвидам: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1) для получения лицензии на обменные операции с наличной иностранной валютой и приложения к лицензии - уведомление о выдаче лицензии на обменные операции с наличной иностранной валютой и приложения к лицензии либо мотивированный ответ об отказе в выдаче лицензии на обменные операции с наличной иностранной валютой и приложения к лицензии;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2) для получения приложения к действительной лицензии при открытии дополнительного обменного пункта - уведомление о выдаче приложения к действительной лицензии при открытии дополнительного обменного пункта либо мотивированный ответ об отказе в выдаче </w:t>
            </w:r>
            <w:r w:rsidRPr="00991C60">
              <w:lastRenderedPageBreak/>
              <w:t>приложения к действительной лицензии при открытии дополнительного обменного пункта;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3) для переоформления лицензии и приложения к ней - уведомление о переоформлении лицензии и приложения к ней либо мотивированный ответ об отказе в переоформлении лицензии и приложения к ней;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4) для переоформления приложения к лицензии - уведомление о переоформлении приложения к лицензии либо мотивированный ответ об отказе в переоформлении приложения к лицензии.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Форма предоставления результата оказания государственной услуги: электронная.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lastRenderedPageBreak/>
              <w:t>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Размер оплаты, взимаемой с </w:t>
            </w:r>
            <w:proofErr w:type="spellStart"/>
            <w:r w:rsidRPr="00991C60">
              <w:t>услугополучателя</w:t>
            </w:r>
            <w:proofErr w:type="spellEnd"/>
            <w:r w:rsidRPr="00991C60"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При оказании государственной услуги уплачивается лицензионный сбор за выдачу лицензии на право занятия отдельными видами деятельности: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1) лицензионный сбор при выдаче лицензии за право занятия данным видом деятельности составляет 40 (сорок) месячных расчетных показателей;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2) лицензионный сбор за переоформление лицензии составляет 10 (десять) процентов от ставки при выдаче лицензии. Уплата лицензионного сбора осуществляется через банки второго уровня, филиалы банков-нерезидентов Республики Казахстан или организации, осуществляющие отдельные виды банковских операций, в безналичной форме через платежный шлюз «электронного правительства».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График работы </w:t>
            </w:r>
            <w:proofErr w:type="spellStart"/>
            <w:r w:rsidRPr="00991C60">
              <w:t>услугодателя</w:t>
            </w:r>
            <w:proofErr w:type="spellEnd"/>
            <w:r w:rsidRPr="00991C60">
              <w:t>, Государственной корпорации и объектов информации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1) портал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91C60">
              <w:t>услугополучателя</w:t>
            </w:r>
            <w:proofErr w:type="spellEnd"/>
            <w:r w:rsidRPr="00991C60">
              <w:t xml:space="preserve"> после окончания рабочего времени, в выходные и праздничные дни, согласно </w:t>
            </w:r>
            <w:hyperlink r:id="rId5" w:history="1">
              <w:r w:rsidRPr="00991C60">
                <w:rPr>
                  <w:rStyle w:val="a3"/>
                  <w:color w:val="000080"/>
                </w:rPr>
                <w:t>Трудовому кодексу</w:t>
              </w:r>
            </w:hyperlink>
            <w:r w:rsidRPr="00991C60">
              <w:t xml:space="preserve"> Республики Казахстан и </w:t>
            </w:r>
            <w:hyperlink r:id="rId6" w:history="1">
              <w:r w:rsidRPr="00991C60">
                <w:rPr>
                  <w:rStyle w:val="a3"/>
                  <w:color w:val="000080"/>
                </w:rPr>
                <w:t>Закону</w:t>
              </w:r>
            </w:hyperlink>
            <w:r w:rsidRPr="00991C60">
              <w:t xml:space="preserve"> Республики Казахстан «О праздниках в Республике Казахстан» (далее -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2) </w:t>
            </w:r>
            <w:proofErr w:type="spellStart"/>
            <w:r w:rsidRPr="00991C60">
              <w:t>услугодатель</w:t>
            </w:r>
            <w:proofErr w:type="spellEnd"/>
            <w:r w:rsidRPr="00991C60">
              <w:t xml:space="preserve"> - ежедневно с 9.00 до 18.30 часов по времени города Астаны, с перерывом на обед с 13.00 до 14.30 часов, кроме субботы, воскресенья, выходных и праздничных дней в </w:t>
            </w:r>
            <w:r w:rsidRPr="00991C60">
              <w:lastRenderedPageBreak/>
              <w:t>соответствии с Трудовым кодексом Республики Казахстан и Законом о праздниках.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lastRenderedPageBreak/>
              <w:t>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Перечень документов и сведений, </w:t>
            </w:r>
            <w:proofErr w:type="spellStart"/>
            <w:r w:rsidRPr="00991C60">
              <w:t>истребуемых</w:t>
            </w:r>
            <w:proofErr w:type="spellEnd"/>
            <w:r w:rsidRPr="00991C60">
              <w:t xml:space="preserve"> у </w:t>
            </w:r>
            <w:proofErr w:type="spellStart"/>
            <w:r w:rsidRPr="00991C60">
              <w:t>услугополучателя</w:t>
            </w:r>
            <w:proofErr w:type="spellEnd"/>
            <w:r w:rsidRPr="00991C60">
              <w:t xml:space="preserve"> для оказания государственной услуги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Для получения лицензии на обменные операции с наличной иностранной валютой и приложения к лицензии юридическое лицо направляет через веб-портал «электронного правительства» следующие документы: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1) электронное заявление на получение лицензии на обменные операции с наличной иностранной валютой и приложения к лицензии по форме согласно </w:t>
            </w:r>
            <w:hyperlink r:id="rId7" w:history="1">
              <w:r w:rsidRPr="00991C60">
                <w:rPr>
                  <w:rStyle w:val="a3"/>
                  <w:color w:val="000080"/>
                </w:rPr>
                <w:t>приложению 1</w:t>
              </w:r>
            </w:hyperlink>
            <w:r w:rsidRPr="00991C60">
              <w:t xml:space="preserve"> к Правилам осуществления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- Правила);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2) электронную копию устава;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4) электронную копию справки банка второго уровня либо филиала банка-нерезидента Республики Казахстан о наличии банковского счета в иностранной валюте;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5)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</w:t>
            </w:r>
            <w:hyperlink r:id="rId8" w:history="1">
              <w:r w:rsidRPr="00991C60">
                <w:rPr>
                  <w:rStyle w:val="a3"/>
                  <w:color w:val="000080"/>
                </w:rPr>
                <w:t>пункта 8</w:t>
              </w:r>
            </w:hyperlink>
            <w:r w:rsidRPr="00991C60">
              <w:t xml:space="preserve">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</w:t>
            </w:r>
            <w:r w:rsidRPr="00991C60">
              <w:lastRenderedPageBreak/>
              <w:t xml:space="preserve">дополнительно открываемого обменного пункта по форме согласно </w:t>
            </w:r>
            <w:hyperlink r:id="rId9" w:history="1">
              <w:r w:rsidRPr="00991C60">
                <w:rPr>
                  <w:rStyle w:val="a3"/>
                  <w:color w:val="000080"/>
                </w:rPr>
                <w:t>приложению 2</w:t>
              </w:r>
            </w:hyperlink>
            <w:r w:rsidRPr="00991C60">
              <w:t xml:space="preserve">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6)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Для получения приложения к действительной лицензии при открытии дополнительного обменного пункта (автоматизированного обменного пункта) уполномоченная организация (ее филиал) направляет через веб-портал «электронного правительства» следующие документы: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1)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      </w:r>
            <w:hyperlink r:id="rId10" w:history="1">
              <w:r w:rsidRPr="00991C60">
                <w:rPr>
                  <w:rStyle w:val="a3"/>
                  <w:color w:val="000080"/>
                </w:rPr>
                <w:t>приложению 2</w:t>
              </w:r>
            </w:hyperlink>
            <w:r w:rsidRPr="00991C60">
              <w:t xml:space="preserve"> к Правилам;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2)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</w:t>
            </w:r>
            <w:hyperlink r:id="rId11" w:history="1">
              <w:r w:rsidRPr="00991C60">
                <w:rPr>
                  <w:rStyle w:val="a3"/>
                  <w:color w:val="000080"/>
                </w:rPr>
                <w:t>пункта 8</w:t>
              </w:r>
            </w:hyperlink>
            <w:r w:rsidRPr="00991C60">
              <w:t xml:space="preserve">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      </w:r>
            <w:hyperlink r:id="rId12" w:history="1">
              <w:r w:rsidRPr="00991C60">
                <w:rPr>
                  <w:rStyle w:val="a3"/>
                  <w:color w:val="000080"/>
                </w:rPr>
                <w:t>приложению 2</w:t>
              </w:r>
            </w:hyperlink>
            <w:r w:rsidRPr="00991C60">
              <w:t xml:space="preserve"> к Правилам, которая подтверждает соответствие размера </w:t>
            </w:r>
            <w:r w:rsidRPr="00991C60">
              <w:lastRenderedPageBreak/>
              <w:t>уставного капитала уполномоченной организации установленным требованиям с учетом дополнительного обменного пункта;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4)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Правилами (за исключением обменного пункта).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/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Default="000A3CE5" w:rsidP="00CA1FA5">
            <w:pPr>
              <w:rPr>
                <w:sz w:val="20"/>
                <w:szCs w:val="20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Для переоформления действительной лицензии на обменные операции с наличной иностранной валютой и (или) действительного приложения к лицензии уполномоченная организация направляет через веб-портал «электронного правительства» следующие документы: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      </w:r>
            <w:hyperlink r:id="rId13" w:history="1">
              <w:r w:rsidRPr="00991C60">
                <w:rPr>
                  <w:rStyle w:val="a3"/>
                  <w:color w:val="000080"/>
                </w:rPr>
                <w:t>приложению 5</w:t>
              </w:r>
            </w:hyperlink>
            <w:r w:rsidRPr="00991C60">
              <w:t xml:space="preserve"> к Правилам;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 (в случае переоформления действительной лицензии на обменные операции с наличной иностранной валютой).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Основания для отказа в оказании государственной </w:t>
            </w:r>
            <w:r w:rsidRPr="00991C60">
              <w:lastRenderedPageBreak/>
              <w:t>услуги, установленные законодательством Республики Казахстан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lastRenderedPageBreak/>
              <w:t xml:space="preserve">1) непредставление документов и (или) сведений, предусмотренных </w:t>
            </w:r>
            <w:hyperlink r:id="rId14" w:history="1">
              <w:r w:rsidRPr="00991C60">
                <w:rPr>
                  <w:rStyle w:val="a3"/>
                  <w:color w:val="000080"/>
                </w:rPr>
                <w:t>пунктом 4 статьи 12</w:t>
              </w:r>
            </w:hyperlink>
            <w:r w:rsidRPr="00991C60">
              <w:t xml:space="preserve"> Закона </w:t>
            </w:r>
            <w:r w:rsidRPr="00991C60">
              <w:lastRenderedPageBreak/>
              <w:t xml:space="preserve">Республики Казахстан «О валютном регулировании и валютном контроле» (далее - Закон о валютном регулировании), </w:t>
            </w:r>
            <w:hyperlink r:id="rId15" w:history="1">
              <w:r w:rsidRPr="00991C60">
                <w:rPr>
                  <w:rStyle w:val="a3"/>
                  <w:color w:val="000080"/>
                </w:rPr>
                <w:t>статьей 29</w:t>
              </w:r>
            </w:hyperlink>
            <w:r w:rsidRPr="00991C60">
              <w:t xml:space="preserve"> Закона Республики Казахстан «О разрешениях и уведомлениях» (далее - Закон о разрешениях), пунктом 8 </w:t>
            </w:r>
            <w:hyperlink r:id="rId16" w:history="1">
              <w:r w:rsidRPr="00991C60">
                <w:rPr>
                  <w:rStyle w:val="a3"/>
                  <w:color w:val="000080"/>
                </w:rPr>
                <w:t>приложения 4-1</w:t>
              </w:r>
            </w:hyperlink>
            <w:r w:rsidRPr="00991C60">
              <w:t xml:space="preserve"> к Правилам, а также случаи, предусмотренные </w:t>
            </w:r>
            <w:hyperlink r:id="rId17" w:history="1">
              <w:r w:rsidRPr="00991C60">
                <w:rPr>
                  <w:rStyle w:val="a3"/>
                  <w:color w:val="000080"/>
                </w:rPr>
                <w:t>статьей 32</w:t>
              </w:r>
            </w:hyperlink>
            <w:r w:rsidRPr="00991C60">
              <w:t xml:space="preserve"> Закона о разрешениях;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2) несоответствие заявителя и (или) представленных документов и (или) сведений требованиям, установленным пунктами 3 и 4 статьи 12 Закона о валютном регулировании, статьей 29 Закона о разрешениях, пунктом 8 </w:t>
            </w:r>
            <w:hyperlink r:id="rId18" w:history="1">
              <w:r w:rsidRPr="00991C60">
                <w:rPr>
                  <w:rStyle w:val="a3"/>
                  <w:color w:val="000080"/>
                </w:rPr>
                <w:t>приложения 4-1</w:t>
              </w:r>
            </w:hyperlink>
            <w:r w:rsidRPr="00991C60">
              <w:t xml:space="preserve"> к Правилам.</w:t>
            </w:r>
          </w:p>
        </w:tc>
      </w:tr>
      <w:tr w:rsidR="000A3CE5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lastRenderedPageBreak/>
              <w:t>10.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Территориальный филиал Национального Банка Республики Казахстан в течение 2 (двух) рабочих дней с момента получения документов </w:t>
            </w:r>
            <w:proofErr w:type="spellStart"/>
            <w:r w:rsidRPr="00991C60">
              <w:t>услугополучателя</w:t>
            </w:r>
            <w:proofErr w:type="spellEnd"/>
            <w:r w:rsidRPr="00991C60">
              <w:t xml:space="preserve"> проверяет полноту представленных документов.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В случае установления факта неполноты представленных документов дает письменный мотивированный отказ в дальнейшем рассмотрении заявления. Адрес места оказания государственной услуги размещен на официальном </w:t>
            </w:r>
            <w:proofErr w:type="spellStart"/>
            <w:r w:rsidRPr="00991C60">
              <w:t>интернет-ресурсе</w:t>
            </w:r>
            <w:proofErr w:type="spellEnd"/>
            <w:r w:rsidRPr="00991C60">
              <w:t xml:space="preserve"> Национального Банка Республики Казахстан: </w:t>
            </w:r>
            <w:hyperlink r:id="rId19" w:history="1">
              <w:r w:rsidRPr="00991C60">
                <w:rPr>
                  <w:rStyle w:val="a3"/>
                  <w:color w:val="000080"/>
                </w:rPr>
                <w:t>www.nationalbank.kz</w:t>
              </w:r>
            </w:hyperlink>
            <w:r w:rsidRPr="00991C60">
              <w:t xml:space="preserve">. </w:t>
            </w:r>
            <w:proofErr w:type="spellStart"/>
            <w:r w:rsidRPr="00991C60">
              <w:t>Услугополучатель</w:t>
            </w:r>
            <w:proofErr w:type="spellEnd"/>
            <w:r w:rsidRPr="00991C60"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p w:rsidR="000A3CE5" w:rsidRPr="00991C60" w:rsidRDefault="000A3CE5" w:rsidP="00CA1FA5">
            <w:pPr>
              <w:pStyle w:val="p"/>
              <w:spacing w:line="276" w:lineRule="auto"/>
            </w:pPr>
            <w:r w:rsidRPr="00991C60">
              <w:t xml:space="preserve">Контактные телефоны </w:t>
            </w:r>
            <w:proofErr w:type="spellStart"/>
            <w:r w:rsidRPr="00991C60">
              <w:t>услугодателя</w:t>
            </w:r>
            <w:proofErr w:type="spellEnd"/>
            <w:r w:rsidRPr="00991C60">
              <w:t xml:space="preserve"> указаны на официальном </w:t>
            </w:r>
            <w:proofErr w:type="spellStart"/>
            <w:r w:rsidRPr="00991C60">
              <w:t>интернет-ресурсе</w:t>
            </w:r>
            <w:proofErr w:type="spellEnd"/>
            <w:r w:rsidRPr="00991C60">
              <w:t xml:space="preserve"> </w:t>
            </w:r>
            <w:proofErr w:type="spellStart"/>
            <w:r w:rsidRPr="00991C60">
              <w:t>услугодателя</w:t>
            </w:r>
            <w:proofErr w:type="spellEnd"/>
            <w:r w:rsidRPr="00991C60">
              <w:t xml:space="preserve">: </w:t>
            </w:r>
            <w:hyperlink r:id="rId20" w:history="1">
              <w:r w:rsidRPr="00991C60">
                <w:rPr>
                  <w:rStyle w:val="a3"/>
                  <w:color w:val="000080"/>
                </w:rPr>
                <w:t>www.nationalbank.kz</w:t>
              </w:r>
            </w:hyperlink>
            <w:r w:rsidRPr="00991C60">
              <w:t>, раздел «Потребителям услуг» далее «Государственные услуги». Единый контакт-центр по вопросам оказания государственных услуг: 8-800-080-7777, 1414.</w:t>
            </w:r>
          </w:p>
        </w:tc>
      </w:tr>
    </w:tbl>
    <w:p w:rsidR="00C05666" w:rsidRDefault="00C05666"/>
    <w:sectPr w:rsidR="00C0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E5"/>
    <w:rsid w:val="000A3CE5"/>
    <w:rsid w:val="00714300"/>
    <w:rsid w:val="00902466"/>
    <w:rsid w:val="00C0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20AD6-E83A-4323-BD05-D695B8FA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A3CE5"/>
    <w:rPr>
      <w:color w:val="333399"/>
      <w:u w:val="single"/>
    </w:rPr>
  </w:style>
  <w:style w:type="paragraph" w:customStyle="1" w:styleId="pc">
    <w:name w:val="pc"/>
    <w:basedOn w:val="a"/>
    <w:rsid w:val="000A3CE5"/>
    <w:pPr>
      <w:jc w:val="center"/>
    </w:pPr>
    <w:rPr>
      <w:color w:val="000000"/>
    </w:rPr>
  </w:style>
  <w:style w:type="character" w:customStyle="1" w:styleId="s1">
    <w:name w:val="s1"/>
    <w:rsid w:val="000A3CE5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A3CE5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sid w:val="000A3CE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8931307.800%20" TargetMode="External"/><Relationship Id="rId13" Type="http://schemas.openxmlformats.org/officeDocument/2006/relationships/hyperlink" Target="jl:38931307.5%20" TargetMode="External"/><Relationship Id="rId18" Type="http://schemas.openxmlformats.org/officeDocument/2006/relationships/hyperlink" Target="jl:38931307.401%2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jl:38931307.1%20" TargetMode="External"/><Relationship Id="rId12" Type="http://schemas.openxmlformats.org/officeDocument/2006/relationships/hyperlink" Target="jl:38931307.2%20" TargetMode="External"/><Relationship Id="rId17" Type="http://schemas.openxmlformats.org/officeDocument/2006/relationships/hyperlink" Target="jl:31548200.320000%20" TargetMode="External"/><Relationship Id="rId2" Type="http://schemas.openxmlformats.org/officeDocument/2006/relationships/settings" Target="settings.xml"/><Relationship Id="rId16" Type="http://schemas.openxmlformats.org/officeDocument/2006/relationships/hyperlink" Target="jl:38931307.401%20" TargetMode="External"/><Relationship Id="rId20" Type="http://schemas.openxmlformats.org/officeDocument/2006/relationships/hyperlink" Target="www.nationalbank.kz" TargetMode="External"/><Relationship Id="rId1" Type="http://schemas.openxmlformats.org/officeDocument/2006/relationships/styles" Target="styles.xml"/><Relationship Id="rId6" Type="http://schemas.openxmlformats.org/officeDocument/2006/relationships/hyperlink" Target="jl:31095217.0%20" TargetMode="External"/><Relationship Id="rId11" Type="http://schemas.openxmlformats.org/officeDocument/2006/relationships/hyperlink" Target="jl:38931307.800%20" TargetMode="External"/><Relationship Id="rId5" Type="http://schemas.openxmlformats.org/officeDocument/2006/relationships/hyperlink" Target="jl:38910832.0%20" TargetMode="External"/><Relationship Id="rId15" Type="http://schemas.openxmlformats.org/officeDocument/2006/relationships/hyperlink" Target="jl:31548200.290000%20" TargetMode="External"/><Relationship Id="rId10" Type="http://schemas.openxmlformats.org/officeDocument/2006/relationships/hyperlink" Target="jl:38931307.2%20" TargetMode="External"/><Relationship Id="rId19" Type="http://schemas.openxmlformats.org/officeDocument/2006/relationships/hyperlink" Target="www.nationalbank.kz" TargetMode="External"/><Relationship Id="rId4" Type="http://schemas.openxmlformats.org/officeDocument/2006/relationships/hyperlink" Target="www.egov.kz%20" TargetMode="External"/><Relationship Id="rId9" Type="http://schemas.openxmlformats.org/officeDocument/2006/relationships/hyperlink" Target="jl:38931307.2%20" TargetMode="External"/><Relationship Id="rId14" Type="http://schemas.openxmlformats.org/officeDocument/2006/relationships/hyperlink" Target="jl:33740496.120400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2</cp:revision>
  <dcterms:created xsi:type="dcterms:W3CDTF">2024-09-04T12:53:00Z</dcterms:created>
  <dcterms:modified xsi:type="dcterms:W3CDTF">2024-09-04T13:07:00Z</dcterms:modified>
</cp:coreProperties>
</file>