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05" w:rsidRPr="00391CA7" w:rsidRDefault="004B1E05" w:rsidP="00E33DF8">
      <w:pPr>
        <w:spacing w:after="0"/>
        <w:jc w:val="center"/>
        <w:rPr>
          <w:rFonts w:ascii="Arial" w:hAnsi="Arial" w:cs="Arial"/>
          <w:b/>
          <w:sz w:val="28"/>
          <w:lang w:val="en-US"/>
        </w:rPr>
      </w:pPr>
      <w:r w:rsidRPr="00391CA7">
        <w:rPr>
          <w:rFonts w:ascii="Arial" w:hAnsi="Arial" w:cs="Arial"/>
          <w:b/>
          <w:sz w:val="28"/>
          <w:lang w:val="en-US"/>
        </w:rPr>
        <w:t xml:space="preserve">Methodological </w:t>
      </w:r>
      <w:r w:rsidR="00244190" w:rsidRPr="00391CA7">
        <w:rPr>
          <w:rFonts w:ascii="Arial" w:hAnsi="Arial" w:cs="Arial"/>
          <w:b/>
          <w:sz w:val="28"/>
          <w:lang w:val="en-US"/>
        </w:rPr>
        <w:t>considerations</w:t>
      </w:r>
      <w:r w:rsidRPr="00391CA7">
        <w:rPr>
          <w:rFonts w:ascii="Arial" w:hAnsi="Arial" w:cs="Arial"/>
          <w:b/>
          <w:sz w:val="28"/>
          <w:lang w:val="en-US"/>
        </w:rPr>
        <w:t xml:space="preserve"> of data compilation and adjustments in historical data series for the IMF Financial Soundness Indicators</w:t>
      </w:r>
    </w:p>
    <w:p w:rsidR="00E33DF8" w:rsidRPr="00391CA7" w:rsidRDefault="00E33DF8" w:rsidP="00E33DF8">
      <w:pPr>
        <w:spacing w:after="0"/>
        <w:jc w:val="center"/>
        <w:rPr>
          <w:rFonts w:ascii="Arial" w:hAnsi="Arial" w:cs="Arial"/>
          <w:b/>
          <w:sz w:val="24"/>
          <w:lang w:val="en-US"/>
        </w:rPr>
      </w:pPr>
    </w:p>
    <w:p w:rsidR="004B1E05" w:rsidRPr="00391CA7" w:rsidRDefault="004B1E05" w:rsidP="004B1E05">
      <w:pPr>
        <w:spacing w:after="120"/>
        <w:ind w:firstLine="426"/>
        <w:jc w:val="both"/>
        <w:rPr>
          <w:rFonts w:ascii="Arial" w:hAnsi="Arial" w:cs="Arial"/>
          <w:sz w:val="24"/>
          <w:lang w:val="en-US"/>
        </w:rPr>
      </w:pPr>
      <w:r w:rsidRPr="00391CA7">
        <w:rPr>
          <w:rFonts w:ascii="Arial" w:hAnsi="Arial" w:cs="Arial"/>
          <w:sz w:val="24"/>
          <w:lang w:val="en-US"/>
        </w:rPr>
        <w:t xml:space="preserve">In connection with the transition to new reporting forms of the International Monetary Fund (IMF), Kazakhstan is introducing an updated reporting format, which includes particular changes in the </w:t>
      </w:r>
      <w:r w:rsidR="00244190" w:rsidRPr="00391CA7">
        <w:rPr>
          <w:rFonts w:ascii="Arial" w:hAnsi="Arial" w:cs="Arial"/>
          <w:sz w:val="24"/>
          <w:lang w:val="en-US"/>
        </w:rPr>
        <w:t>compilation</w:t>
      </w:r>
      <w:r w:rsidRPr="00391CA7">
        <w:rPr>
          <w:rFonts w:ascii="Arial" w:hAnsi="Arial" w:cs="Arial"/>
          <w:sz w:val="24"/>
          <w:lang w:val="en-US"/>
        </w:rPr>
        <w:t xml:space="preserve"> of data on the total balance sheet and income statement of second-tier banks.</w:t>
      </w:r>
    </w:p>
    <w:p w:rsidR="004B1E05" w:rsidRPr="00391CA7" w:rsidRDefault="004B1E05" w:rsidP="004B1E05">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Accordi</w:t>
      </w:r>
      <w:bookmarkStart w:id="0" w:name="_GoBack"/>
      <w:bookmarkEnd w:id="0"/>
      <w:r w:rsidRPr="00391CA7">
        <w:rPr>
          <w:rFonts w:ascii="Arial" w:hAnsi="Arial" w:cs="Arial"/>
          <w:sz w:val="24"/>
          <w:lang w:val="en-US"/>
        </w:rPr>
        <w:t>ng to the updated I</w:t>
      </w:r>
      <w:r w:rsidR="00244190" w:rsidRPr="00391CA7">
        <w:rPr>
          <w:rFonts w:ascii="Arial" w:hAnsi="Arial" w:cs="Arial"/>
          <w:sz w:val="24"/>
          <w:lang w:val="en-US"/>
        </w:rPr>
        <w:t>MF reporting format (2019 Guide)</w:t>
      </w:r>
      <w:r w:rsidR="00244190" w:rsidRPr="00391CA7">
        <w:rPr>
          <w:rStyle w:val="a8"/>
          <w:rFonts w:ascii="Arial" w:hAnsi="Arial" w:cs="Arial"/>
          <w:sz w:val="24"/>
          <w:lang w:val="en-US"/>
        </w:rPr>
        <w:footnoteReference w:id="1"/>
      </w:r>
      <w:r w:rsidRPr="00391CA7">
        <w:rPr>
          <w:rFonts w:ascii="Arial" w:hAnsi="Arial" w:cs="Arial"/>
          <w:sz w:val="24"/>
          <w:lang w:val="en-US"/>
        </w:rPr>
        <w:t>, income statements are presented on a cumulative basis from the beginning of the calendar year to the end of the reporting period. Previously, the NBRK presented data on income and expenses generated for a respective reporting period (quarter). In connection with the IMF requirement for all countries to apply a single approach, income data was re-calculated on a cumulative basis, which resulted in a revaluation of some financial soundness indicators (FSIs).</w:t>
      </w:r>
    </w:p>
    <w:p w:rsidR="004B1E05" w:rsidRPr="00391CA7" w:rsidRDefault="004B1E05" w:rsidP="004B1E05">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According to the updated methodology, the following indicators hav</w:t>
      </w:r>
      <w:r w:rsidR="00244190" w:rsidRPr="00391CA7">
        <w:rPr>
          <w:rFonts w:ascii="Arial" w:hAnsi="Arial" w:cs="Arial"/>
          <w:sz w:val="24"/>
          <w:lang w:val="en-US"/>
        </w:rPr>
        <w:t xml:space="preserve">e been added for the deposit takers </w:t>
      </w:r>
      <w:r w:rsidRPr="00391CA7">
        <w:rPr>
          <w:rFonts w:ascii="Arial" w:hAnsi="Arial" w:cs="Arial"/>
          <w:sz w:val="24"/>
          <w:lang w:val="en-US"/>
        </w:rPr>
        <w:t>sector: the ratio of Common Eq</w:t>
      </w:r>
      <w:r w:rsidR="00811E22">
        <w:rPr>
          <w:rFonts w:ascii="Arial" w:hAnsi="Arial" w:cs="Arial"/>
          <w:sz w:val="24"/>
          <w:lang w:val="en-US"/>
        </w:rPr>
        <w:t>uity Tier 1 capital (CET1) to R</w:t>
      </w:r>
      <w:r w:rsidRPr="00391CA7">
        <w:rPr>
          <w:rFonts w:ascii="Arial" w:hAnsi="Arial" w:cs="Arial"/>
          <w:sz w:val="24"/>
          <w:lang w:val="en-US"/>
        </w:rPr>
        <w:t>isk-weighted assets (RWA); the ratio of Tier 1 capital to total assets; loan concentration by type of economic activity; the ratio of reserves (provisions) to non-performing loans (NPL 90+); liquidity coverage ratio (LCR); net stable funding ratio (NSFR); private sector lending growth. The data series for the new indicators starts in 2022.</w:t>
      </w:r>
    </w:p>
    <w:p w:rsidR="004B1E05" w:rsidRPr="00391CA7" w:rsidRDefault="004B1E05" w:rsidP="0061558D">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Data on Reserves (provisions) for financial assets </w:t>
      </w:r>
      <w:r w:rsidR="00244190" w:rsidRPr="00391CA7">
        <w:rPr>
          <w:rFonts w:ascii="Arial" w:hAnsi="Arial" w:cs="Arial"/>
          <w:sz w:val="24"/>
          <w:lang w:val="en-US"/>
        </w:rPr>
        <w:t>is</w:t>
      </w:r>
      <w:r w:rsidRPr="00391CA7">
        <w:rPr>
          <w:rFonts w:ascii="Arial" w:hAnsi="Arial" w:cs="Arial"/>
          <w:sz w:val="24"/>
          <w:lang w:val="en-US"/>
        </w:rPr>
        <w:t xml:space="preserve"> divided into two categories: </w:t>
      </w:r>
      <w:r w:rsidR="0061558D" w:rsidRPr="00391CA7">
        <w:rPr>
          <w:rFonts w:ascii="Arial" w:hAnsi="Arial" w:cs="Arial"/>
          <w:i/>
          <w:sz w:val="24"/>
          <w:lang w:val="en-US"/>
        </w:rPr>
        <w:t>Reserves for non-performing loans (</w:t>
      </w:r>
      <w:r w:rsidRPr="00391CA7">
        <w:rPr>
          <w:rFonts w:ascii="Arial" w:hAnsi="Arial" w:cs="Arial"/>
          <w:i/>
          <w:sz w:val="24"/>
          <w:lang w:val="en-US"/>
        </w:rPr>
        <w:t>Specific provisions</w:t>
      </w:r>
      <w:r w:rsidR="0061558D" w:rsidRPr="00391CA7">
        <w:rPr>
          <w:rFonts w:ascii="Arial" w:hAnsi="Arial" w:cs="Arial"/>
          <w:i/>
          <w:sz w:val="24"/>
          <w:lang w:val="en-US"/>
        </w:rPr>
        <w:t>)</w:t>
      </w:r>
      <w:r w:rsidRPr="00391CA7">
        <w:rPr>
          <w:rFonts w:ascii="Arial" w:hAnsi="Arial" w:cs="Arial"/>
          <w:sz w:val="24"/>
          <w:lang w:val="en-US"/>
        </w:rPr>
        <w:t xml:space="preserve">, reflected on the Assets side of the balance sheet, and </w:t>
      </w:r>
      <w:r w:rsidRPr="00391CA7">
        <w:rPr>
          <w:rFonts w:ascii="Arial" w:hAnsi="Arial" w:cs="Arial"/>
          <w:i/>
          <w:sz w:val="24"/>
          <w:lang w:val="en-US"/>
        </w:rPr>
        <w:t>General and other provisions</w:t>
      </w:r>
      <w:r w:rsidRPr="00391CA7">
        <w:rPr>
          <w:rFonts w:ascii="Arial" w:hAnsi="Arial" w:cs="Arial"/>
          <w:sz w:val="24"/>
          <w:lang w:val="en-US"/>
        </w:rPr>
        <w:t xml:space="preserve"> - on the Liabilities side of the balance sheet.</w:t>
      </w:r>
    </w:p>
    <w:p w:rsidR="004B1E05" w:rsidRPr="00391CA7" w:rsidRDefault="007E4BFE" w:rsidP="00681593">
      <w:pPr>
        <w:pStyle w:val="a5"/>
        <w:spacing w:after="120"/>
        <w:ind w:left="0" w:firstLine="426"/>
        <w:contextualSpacing w:val="0"/>
        <w:jc w:val="both"/>
        <w:rPr>
          <w:rFonts w:ascii="Arial" w:hAnsi="Arial" w:cs="Arial"/>
          <w:b/>
          <w:sz w:val="24"/>
          <w:lang w:val="en-US"/>
        </w:rPr>
      </w:pPr>
      <w:r w:rsidRPr="00391CA7">
        <w:rPr>
          <w:rFonts w:ascii="Arial" w:hAnsi="Arial" w:cs="Arial"/>
          <w:sz w:val="24"/>
          <w:lang w:val="en-US"/>
        </w:rPr>
        <w:t xml:space="preserve">It is worth noting that such classification of Reserves (provisions) is nonexistent in the regulatory data collected by the NBRK. </w:t>
      </w:r>
      <w:r w:rsidR="004B1E05" w:rsidRPr="00391CA7">
        <w:rPr>
          <w:rFonts w:ascii="Arial" w:hAnsi="Arial" w:cs="Arial"/>
          <w:sz w:val="24"/>
          <w:lang w:val="en-US"/>
        </w:rPr>
        <w:t xml:space="preserve">Reserves (provisions) are created following international financial reporting standards (IFRS 9) and the requirements of the legislation of the Republic of Kazakhstan on accounting and financial reporting. According to the </w:t>
      </w:r>
      <w:r w:rsidR="0061558D" w:rsidRPr="00391CA7">
        <w:rPr>
          <w:rFonts w:ascii="Arial" w:hAnsi="Arial" w:cs="Arial"/>
          <w:sz w:val="24"/>
          <w:lang w:val="en-US"/>
        </w:rPr>
        <w:t xml:space="preserve">form of the </w:t>
      </w:r>
      <w:r w:rsidR="004B1E05" w:rsidRPr="00391CA7">
        <w:rPr>
          <w:rFonts w:ascii="Arial" w:hAnsi="Arial" w:cs="Arial"/>
          <w:sz w:val="24"/>
          <w:lang w:val="en-US"/>
        </w:rPr>
        <w:t>a</w:t>
      </w:r>
      <w:r w:rsidR="0061558D" w:rsidRPr="00391CA7">
        <w:rPr>
          <w:rFonts w:ascii="Arial" w:hAnsi="Arial" w:cs="Arial"/>
          <w:sz w:val="24"/>
          <w:lang w:val="en-US"/>
        </w:rPr>
        <w:t>dministrative data 700-N(D)</w:t>
      </w:r>
      <w:r w:rsidR="0061558D" w:rsidRPr="00391CA7">
        <w:rPr>
          <w:rStyle w:val="a8"/>
          <w:rFonts w:ascii="Arial" w:hAnsi="Arial" w:cs="Arial"/>
          <w:sz w:val="24"/>
          <w:lang w:val="en-US"/>
        </w:rPr>
        <w:footnoteReference w:id="2"/>
      </w:r>
      <w:r w:rsidR="004B1E05" w:rsidRPr="00391CA7">
        <w:rPr>
          <w:rFonts w:ascii="Arial" w:hAnsi="Arial" w:cs="Arial"/>
          <w:sz w:val="24"/>
          <w:lang w:val="en-US"/>
        </w:rPr>
        <w:t xml:space="preserve">, the total Reserves (provisions) for the loan portfolio are recorded on the active side of the balance sheet with a minus sign, reducing the amount of assets and reflecting deductions aimed at covering potential losses </w:t>
      </w:r>
      <w:r w:rsidR="004B1E05" w:rsidRPr="00391CA7">
        <w:rPr>
          <w:rFonts w:ascii="Arial" w:hAnsi="Arial" w:cs="Arial"/>
          <w:b/>
          <w:sz w:val="24"/>
          <w:lang w:val="en-US"/>
        </w:rPr>
        <w:t>for the entire loan portfolio.</w:t>
      </w:r>
    </w:p>
    <w:p w:rsidR="004B1E05" w:rsidRPr="00391CA7" w:rsidRDefault="004B1E05" w:rsidP="00681593">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Thus, to collect the above data series and reflect them in accordance with the IMF reporting template, the following method is used:</w:t>
      </w:r>
    </w:p>
    <w:p w:rsidR="004B1E05" w:rsidRPr="00391CA7" w:rsidRDefault="004B1E05" w:rsidP="007E4BFE">
      <w:pPr>
        <w:pStyle w:val="a5"/>
        <w:numPr>
          <w:ilvl w:val="0"/>
          <w:numId w:val="4"/>
        </w:numPr>
        <w:spacing w:after="120"/>
        <w:ind w:hanging="294"/>
        <w:contextualSpacing w:val="0"/>
        <w:jc w:val="both"/>
        <w:rPr>
          <w:rFonts w:ascii="Arial" w:hAnsi="Arial" w:cs="Arial"/>
          <w:sz w:val="24"/>
          <w:lang w:val="en-US"/>
        </w:rPr>
      </w:pPr>
      <w:r w:rsidRPr="00391CA7">
        <w:rPr>
          <w:rFonts w:ascii="Arial" w:hAnsi="Arial" w:cs="Arial"/>
          <w:sz w:val="24"/>
          <w:lang w:val="en-US"/>
        </w:rPr>
        <w:t>On the Assets side:</w:t>
      </w:r>
    </w:p>
    <w:p w:rsidR="00817926" w:rsidRPr="00391CA7" w:rsidRDefault="007E4BFE" w:rsidP="00817926">
      <w:pPr>
        <w:spacing w:after="120"/>
        <w:ind w:firstLine="426"/>
        <w:jc w:val="both"/>
        <w:rPr>
          <w:rFonts w:ascii="Arial" w:hAnsi="Arial" w:cs="Arial"/>
          <w:sz w:val="24"/>
          <w:lang w:val="en-US"/>
        </w:rPr>
      </w:pPr>
      <w:r w:rsidRPr="00391CA7">
        <w:rPr>
          <w:rFonts w:ascii="Arial" w:hAnsi="Arial" w:cs="Arial"/>
          <w:i/>
          <w:sz w:val="24"/>
          <w:lang w:val="en-US"/>
        </w:rPr>
        <w:t xml:space="preserve">Reserves </w:t>
      </w:r>
      <w:r w:rsidR="00817926" w:rsidRPr="00391CA7">
        <w:rPr>
          <w:rFonts w:ascii="Arial" w:hAnsi="Arial" w:cs="Arial"/>
          <w:i/>
          <w:sz w:val="24"/>
          <w:lang w:val="en-US"/>
        </w:rPr>
        <w:t>against</w:t>
      </w:r>
      <w:r w:rsidRPr="00391CA7">
        <w:rPr>
          <w:rFonts w:ascii="Arial" w:hAnsi="Arial" w:cs="Arial"/>
          <w:i/>
          <w:sz w:val="24"/>
          <w:lang w:val="en-US"/>
        </w:rPr>
        <w:t xml:space="preserve"> non-performing loans (Specific provisions)</w:t>
      </w:r>
      <w:r w:rsidRPr="00391CA7">
        <w:rPr>
          <w:rFonts w:ascii="Arial" w:hAnsi="Arial" w:cs="Arial"/>
          <w:sz w:val="24"/>
          <w:lang w:val="en-US"/>
        </w:rPr>
        <w:t xml:space="preserve"> </w:t>
      </w:r>
      <w:r w:rsidR="004B1E05" w:rsidRPr="00391CA7">
        <w:rPr>
          <w:rFonts w:ascii="Arial" w:hAnsi="Arial" w:cs="Arial"/>
          <w:sz w:val="24"/>
          <w:lang w:val="en-US"/>
        </w:rPr>
        <w:t xml:space="preserve">= Provisions </w:t>
      </w:r>
      <w:r w:rsidR="00817926" w:rsidRPr="00391CA7">
        <w:rPr>
          <w:rFonts w:ascii="Arial" w:hAnsi="Arial" w:cs="Arial"/>
          <w:sz w:val="24"/>
          <w:lang w:val="en-US"/>
        </w:rPr>
        <w:t xml:space="preserve">against loans for which </w:t>
      </w:r>
      <w:r w:rsidR="00817926" w:rsidRPr="00391CA7">
        <w:rPr>
          <w:rFonts w:ascii="Arial" w:hAnsi="Arial" w:cs="Arial"/>
          <w:sz w:val="24"/>
          <w:lang w:val="en-US"/>
        </w:rPr>
        <w:t>payments of interest or principal are past due by 90 days or more</w:t>
      </w:r>
      <w:bookmarkStart w:id="1" w:name="_Ref174372211"/>
      <w:r w:rsidR="00817926" w:rsidRPr="00391CA7">
        <w:rPr>
          <w:rStyle w:val="a8"/>
          <w:rFonts w:ascii="Arial" w:hAnsi="Arial" w:cs="Arial"/>
          <w:sz w:val="24"/>
          <w:lang w:val="en-US"/>
        </w:rPr>
        <w:footnoteReference w:id="3"/>
      </w:r>
      <w:bookmarkEnd w:id="1"/>
    </w:p>
    <w:p w:rsidR="004B1E05" w:rsidRPr="00391CA7" w:rsidRDefault="004B1E05" w:rsidP="00817926">
      <w:pPr>
        <w:pStyle w:val="a5"/>
        <w:numPr>
          <w:ilvl w:val="0"/>
          <w:numId w:val="4"/>
        </w:numPr>
        <w:spacing w:after="120"/>
        <w:ind w:hanging="294"/>
        <w:contextualSpacing w:val="0"/>
        <w:jc w:val="both"/>
        <w:rPr>
          <w:rFonts w:ascii="Arial" w:hAnsi="Arial" w:cs="Arial"/>
          <w:sz w:val="24"/>
          <w:lang w:val="en-US"/>
        </w:rPr>
      </w:pPr>
      <w:r w:rsidRPr="00391CA7">
        <w:rPr>
          <w:rFonts w:ascii="Arial" w:hAnsi="Arial" w:cs="Arial"/>
          <w:sz w:val="24"/>
          <w:lang w:val="en-US"/>
        </w:rPr>
        <w:t>On the Liabilities side:</w:t>
      </w:r>
    </w:p>
    <w:p w:rsidR="004B1E05" w:rsidRPr="00391CA7" w:rsidRDefault="004B1E05" w:rsidP="00681593">
      <w:pPr>
        <w:spacing w:after="120"/>
        <w:ind w:firstLine="426"/>
        <w:jc w:val="both"/>
        <w:rPr>
          <w:rFonts w:ascii="Arial" w:hAnsi="Arial" w:cs="Arial"/>
          <w:sz w:val="24"/>
          <w:lang w:val="en-US"/>
        </w:rPr>
      </w:pPr>
      <w:r w:rsidRPr="00391CA7">
        <w:rPr>
          <w:rFonts w:ascii="Arial" w:hAnsi="Arial" w:cs="Arial"/>
          <w:i/>
          <w:sz w:val="24"/>
          <w:lang w:val="en-US"/>
        </w:rPr>
        <w:lastRenderedPageBreak/>
        <w:t>General and other provisions</w:t>
      </w:r>
      <w:r w:rsidRPr="00391CA7">
        <w:rPr>
          <w:rFonts w:ascii="Arial" w:hAnsi="Arial" w:cs="Arial"/>
          <w:sz w:val="24"/>
          <w:lang w:val="en-US"/>
        </w:rPr>
        <w:t xml:space="preserve"> = Provisions under IFRS for the entire loan portfolio</w:t>
      </w:r>
      <w:r w:rsidR="00F60142" w:rsidRPr="00391CA7">
        <w:rPr>
          <w:rStyle w:val="a8"/>
          <w:lang w:val="en-US"/>
        </w:rPr>
        <w:fldChar w:fldCharType="begin"/>
      </w:r>
      <w:r w:rsidR="00F60142" w:rsidRPr="00391CA7">
        <w:rPr>
          <w:rStyle w:val="a8"/>
          <w:lang w:val="en-US"/>
        </w:rPr>
        <w:instrText xml:space="preserve"> NOTEREF _Ref174372211 \f \h </w:instrText>
      </w:r>
      <w:r w:rsidR="00F60142" w:rsidRPr="00391CA7">
        <w:rPr>
          <w:rStyle w:val="a8"/>
          <w:lang w:val="en-US"/>
        </w:rPr>
      </w:r>
      <w:r w:rsidR="00F60142" w:rsidRPr="00391CA7">
        <w:rPr>
          <w:rStyle w:val="a8"/>
          <w:lang w:val="en-US"/>
        </w:rPr>
        <w:instrText xml:space="preserve"> \* MERGEFORMAT </w:instrText>
      </w:r>
      <w:r w:rsidR="00F60142" w:rsidRPr="00391CA7">
        <w:rPr>
          <w:rStyle w:val="a8"/>
          <w:lang w:val="en-US"/>
        </w:rPr>
        <w:fldChar w:fldCharType="separate"/>
      </w:r>
      <w:r w:rsidR="00F60142" w:rsidRPr="00391CA7">
        <w:rPr>
          <w:rStyle w:val="a8"/>
          <w:rFonts w:ascii="Arial" w:hAnsi="Arial" w:cs="Arial"/>
          <w:sz w:val="24"/>
          <w:lang w:val="en-US"/>
        </w:rPr>
        <w:t>3</w:t>
      </w:r>
      <w:r w:rsidR="00F60142" w:rsidRPr="00391CA7">
        <w:rPr>
          <w:rStyle w:val="a8"/>
          <w:lang w:val="en-US"/>
        </w:rPr>
        <w:fldChar w:fldCharType="end"/>
      </w:r>
      <w:r w:rsidRPr="00391CA7">
        <w:rPr>
          <w:rFonts w:ascii="Arial" w:hAnsi="Arial" w:cs="Arial"/>
          <w:sz w:val="24"/>
          <w:lang w:val="en-US"/>
        </w:rPr>
        <w:t xml:space="preserve"> – Provisions for loans overdue by over 90 days</w:t>
      </w:r>
    </w:p>
    <w:p w:rsidR="004B1E05" w:rsidRPr="00391CA7" w:rsidRDefault="004B1E05" w:rsidP="00686E32">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As a result of applying the above approach to forming the data series, </w:t>
      </w:r>
      <w:r w:rsidRPr="00391CA7">
        <w:rPr>
          <w:rFonts w:ascii="Arial" w:hAnsi="Arial" w:cs="Arial"/>
          <w:b/>
          <w:sz w:val="24"/>
          <w:lang w:val="en-US"/>
        </w:rPr>
        <w:t>the final amount of total assets and liabilities of banks will be higher than the amounts published on the NBRK website</w:t>
      </w:r>
      <w:r w:rsidRPr="00391CA7">
        <w:rPr>
          <w:rFonts w:ascii="Arial" w:hAnsi="Arial" w:cs="Arial"/>
          <w:sz w:val="24"/>
          <w:lang w:val="en-US"/>
        </w:rPr>
        <w:t xml:space="preserve"> by an amount equal to </w:t>
      </w:r>
      <w:r w:rsidRPr="00391CA7">
        <w:rPr>
          <w:rFonts w:ascii="Arial" w:hAnsi="Arial" w:cs="Arial"/>
          <w:i/>
          <w:sz w:val="24"/>
          <w:lang w:val="en-US"/>
        </w:rPr>
        <w:t>General and other provisions</w:t>
      </w:r>
      <w:r w:rsidRPr="00391CA7">
        <w:rPr>
          <w:rFonts w:ascii="Arial" w:hAnsi="Arial" w:cs="Arial"/>
          <w:sz w:val="24"/>
          <w:lang w:val="en-US"/>
        </w:rPr>
        <w:t>, since according to the FSI methodology this part of the reserves (provisions) is reflected with a positive sign on the passive side of the balance sheet.</w:t>
      </w:r>
    </w:p>
    <w:p w:rsidR="004B1E05" w:rsidRPr="00391CA7" w:rsidRDefault="004B1E05" w:rsidP="00681593">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The historical data was adjusted accordingly to comply with IMF requirements.</w:t>
      </w:r>
    </w:p>
    <w:p w:rsidR="004B1E05" w:rsidRPr="00391CA7" w:rsidRDefault="004B1E05" w:rsidP="004B1E05">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The loan portfolio breakdown by economic sectors was based on the data from 700-N(D) based on the “Economic Sector Code” </w:t>
      </w:r>
      <w:r w:rsidR="00F60142" w:rsidRPr="00391CA7">
        <w:rPr>
          <w:rFonts w:ascii="Arial" w:hAnsi="Arial" w:cs="Arial"/>
          <w:sz w:val="24"/>
          <w:lang w:val="en-US"/>
        </w:rPr>
        <w:t>information</w:t>
      </w:r>
      <w:r w:rsidRPr="00391CA7">
        <w:rPr>
          <w:rFonts w:ascii="Arial" w:hAnsi="Arial" w:cs="Arial"/>
          <w:sz w:val="24"/>
          <w:lang w:val="en-US"/>
        </w:rPr>
        <w:t>. The data on the loan portfolio (excluding interbank loans) is compiled using amounts recorded in the following accounts: 1401, 1403, 1405, 1407, 1409, 1411, 1417, 1420, 1421, 1422, 1423, 1424, 1425, 1426, 1427, 1429, 1461, 1462.</w:t>
      </w:r>
    </w:p>
    <w:p w:rsidR="004B1E05" w:rsidRPr="00391CA7" w:rsidRDefault="004B1E05" w:rsidP="00681593">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We note that accounts 1426 and 1427 record the amounts of Islamic banks’ claims against their clients for trade financing transactions and overdue debt on them. In this case, the amount on the specified balance sheet accounts includes </w:t>
      </w:r>
      <w:r w:rsidR="00F60142" w:rsidRPr="00391CA7">
        <w:rPr>
          <w:rFonts w:ascii="Arial" w:hAnsi="Arial" w:cs="Arial"/>
          <w:sz w:val="24"/>
          <w:lang w:val="en-US"/>
        </w:rPr>
        <w:t xml:space="preserve">both </w:t>
      </w:r>
      <w:r w:rsidRPr="00391CA7">
        <w:rPr>
          <w:rFonts w:ascii="Arial" w:hAnsi="Arial" w:cs="Arial"/>
          <w:sz w:val="24"/>
          <w:lang w:val="en-US"/>
        </w:rPr>
        <w:t xml:space="preserve">principal and </w:t>
      </w:r>
      <w:r w:rsidR="00F60142" w:rsidRPr="00391CA7">
        <w:rPr>
          <w:rFonts w:ascii="Arial" w:hAnsi="Arial" w:cs="Arial"/>
          <w:sz w:val="24"/>
          <w:lang w:val="en-US"/>
        </w:rPr>
        <w:t>markup</w:t>
      </w:r>
      <w:r w:rsidRPr="00391CA7">
        <w:rPr>
          <w:rFonts w:ascii="Arial" w:hAnsi="Arial" w:cs="Arial"/>
          <w:sz w:val="24"/>
          <w:lang w:val="en-US"/>
        </w:rPr>
        <w:t xml:space="preserve"> amounts for these transactions.</w:t>
      </w:r>
    </w:p>
    <w:p w:rsidR="004B1E05" w:rsidRPr="00391CA7" w:rsidRDefault="004B1E05" w:rsidP="00681593">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The </w:t>
      </w:r>
      <w:r w:rsidR="00F60142" w:rsidRPr="00391CA7">
        <w:rPr>
          <w:rFonts w:ascii="Arial" w:hAnsi="Arial" w:cs="Arial"/>
          <w:sz w:val="24"/>
          <w:lang w:val="en-US"/>
        </w:rPr>
        <w:t>markup</w:t>
      </w:r>
      <w:r w:rsidRPr="00391CA7">
        <w:rPr>
          <w:rFonts w:ascii="Arial" w:hAnsi="Arial" w:cs="Arial"/>
          <w:sz w:val="24"/>
          <w:lang w:val="en-US"/>
        </w:rPr>
        <w:t xml:space="preserve"> amounts for t</w:t>
      </w:r>
      <w:r w:rsidR="00F60142" w:rsidRPr="00391CA7">
        <w:rPr>
          <w:rFonts w:ascii="Arial" w:hAnsi="Arial" w:cs="Arial"/>
          <w:sz w:val="24"/>
          <w:lang w:val="en-US"/>
        </w:rPr>
        <w:t>ransactions to finance the trading</w:t>
      </w:r>
      <w:r w:rsidRPr="00391CA7">
        <w:rPr>
          <w:rFonts w:ascii="Arial" w:hAnsi="Arial" w:cs="Arial"/>
          <w:sz w:val="24"/>
          <w:lang w:val="en-US"/>
        </w:rPr>
        <w:t xml:space="preserve"> activities of Islamic banks are recorded in account 8714 of the administrative data form “Report on individual indicators of bank activity” (index – ADD). However, the </w:t>
      </w:r>
      <w:r w:rsidR="00391CA7" w:rsidRPr="00391CA7">
        <w:rPr>
          <w:rFonts w:ascii="Arial" w:hAnsi="Arial" w:cs="Arial"/>
          <w:sz w:val="24"/>
          <w:lang w:val="en-US"/>
        </w:rPr>
        <w:t>markup</w:t>
      </w:r>
      <w:r w:rsidRPr="00391CA7">
        <w:rPr>
          <w:rFonts w:ascii="Arial" w:hAnsi="Arial" w:cs="Arial"/>
          <w:sz w:val="24"/>
          <w:lang w:val="en-US"/>
        </w:rPr>
        <w:t xml:space="preserve"> amount can only be excluded at an aggregate level since the ADD reporting does not provide the ability to break it down by economic sectors or other detailed features (currency, residency, etc.).</w:t>
      </w:r>
    </w:p>
    <w:p w:rsidR="00391CA7" w:rsidRPr="00391CA7" w:rsidRDefault="004B1E05" w:rsidP="00391CA7">
      <w:pPr>
        <w:pStyle w:val="a5"/>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In connection with the above, to correctly reflect the total loan portfolio, the total </w:t>
      </w:r>
      <w:r w:rsidR="00391CA7" w:rsidRPr="00391CA7">
        <w:rPr>
          <w:rFonts w:ascii="Arial" w:hAnsi="Arial" w:cs="Arial"/>
          <w:sz w:val="24"/>
          <w:lang w:val="en-US"/>
        </w:rPr>
        <w:t>markup</w:t>
      </w:r>
      <w:r w:rsidRPr="00391CA7">
        <w:rPr>
          <w:rFonts w:ascii="Arial" w:hAnsi="Arial" w:cs="Arial"/>
          <w:sz w:val="24"/>
          <w:lang w:val="en-US"/>
        </w:rPr>
        <w:t xml:space="preserve"> amount is excluded from only one data series, which comprises a sizeable part of the loan portfolio (in particular, from data series </w:t>
      </w:r>
      <w:r w:rsidRPr="00391CA7">
        <w:rPr>
          <w:rFonts w:ascii="Arial" w:hAnsi="Arial" w:cs="Arial"/>
          <w:i/>
          <w:sz w:val="24"/>
          <w:lang w:val="en-US"/>
        </w:rPr>
        <w:t>18 (</w:t>
      </w:r>
      <w:proofErr w:type="spellStart"/>
      <w:r w:rsidRPr="00391CA7">
        <w:rPr>
          <w:rFonts w:ascii="Arial" w:hAnsi="Arial" w:cs="Arial"/>
          <w:i/>
          <w:sz w:val="24"/>
          <w:lang w:val="en-US"/>
        </w:rPr>
        <w:t>i.ii.v</w:t>
      </w:r>
      <w:proofErr w:type="spellEnd"/>
      <w:r w:rsidRPr="00391CA7">
        <w:rPr>
          <w:rFonts w:ascii="Arial" w:hAnsi="Arial" w:cs="Arial"/>
          <w:i/>
          <w:sz w:val="24"/>
          <w:lang w:val="en-US"/>
        </w:rPr>
        <w:t>). Other sectors of the economy</w:t>
      </w:r>
      <w:r w:rsidRPr="00391CA7">
        <w:rPr>
          <w:rFonts w:ascii="Arial" w:hAnsi="Arial" w:cs="Arial"/>
          <w:sz w:val="24"/>
          <w:lang w:val="en-US"/>
        </w:rPr>
        <w:t>).</w:t>
      </w:r>
    </w:p>
    <w:p w:rsidR="006225F8" w:rsidRPr="00391CA7" w:rsidRDefault="006225F8" w:rsidP="00391CA7">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Considering the above, we note that Indicator </w:t>
      </w:r>
      <w:r w:rsidRPr="00391CA7">
        <w:rPr>
          <w:rFonts w:ascii="Arial" w:hAnsi="Arial" w:cs="Arial"/>
          <w:i/>
          <w:sz w:val="24"/>
          <w:lang w:val="en-US"/>
        </w:rPr>
        <w:t>53. Loans in foreign currency</w:t>
      </w:r>
      <w:r w:rsidRPr="00391CA7">
        <w:rPr>
          <w:rFonts w:ascii="Arial" w:hAnsi="Arial" w:cs="Arial"/>
          <w:sz w:val="24"/>
          <w:lang w:val="en-US"/>
        </w:rPr>
        <w:t xml:space="preserve"> reflects the loan portfolio (including interbank loans) in foreign currency, except for the amounts of claims of Islamic banks for trade financing transactions recorded in accounts 1426 and 1427.</w:t>
      </w:r>
    </w:p>
    <w:p w:rsidR="00391CA7" w:rsidRPr="00391CA7" w:rsidRDefault="00EC04FD" w:rsidP="00391CA7">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The methodology for calculating the indicator </w:t>
      </w:r>
      <w:r w:rsidR="00391CA7" w:rsidRPr="00391CA7">
        <w:rPr>
          <w:rFonts w:ascii="Arial" w:hAnsi="Arial" w:cs="Arial"/>
          <w:i/>
          <w:sz w:val="24"/>
          <w:lang w:val="en-US"/>
        </w:rPr>
        <w:t xml:space="preserve">“Large exposures </w:t>
      </w:r>
      <w:r w:rsidRPr="00391CA7">
        <w:rPr>
          <w:rFonts w:ascii="Arial" w:hAnsi="Arial" w:cs="Arial"/>
          <w:i/>
          <w:sz w:val="24"/>
          <w:lang w:val="en-US"/>
        </w:rPr>
        <w:t>to capital</w:t>
      </w:r>
      <w:r w:rsidR="00391CA7" w:rsidRPr="00391CA7">
        <w:rPr>
          <w:rFonts w:ascii="Arial" w:hAnsi="Arial" w:cs="Arial"/>
          <w:i/>
          <w:sz w:val="24"/>
          <w:lang w:val="en-US"/>
        </w:rPr>
        <w:t>”</w:t>
      </w:r>
      <w:r w:rsidRPr="00391CA7">
        <w:rPr>
          <w:rFonts w:ascii="Arial" w:hAnsi="Arial" w:cs="Arial"/>
          <w:sz w:val="24"/>
          <w:lang w:val="en-US"/>
        </w:rPr>
        <w:t xml:space="preserve"> has changed, resulting in a significant change in the dynamics of the coefficient starting in 2022. In particular, to calculate the indicator, a data se</w:t>
      </w:r>
      <w:r w:rsidR="00391CA7" w:rsidRPr="00391CA7">
        <w:rPr>
          <w:rFonts w:ascii="Arial" w:hAnsi="Arial" w:cs="Arial"/>
          <w:sz w:val="24"/>
          <w:lang w:val="en-US"/>
        </w:rPr>
        <w:t xml:space="preserve">ries on the sum of all exposure </w:t>
      </w:r>
      <w:r w:rsidRPr="00391CA7">
        <w:rPr>
          <w:rFonts w:ascii="Arial" w:hAnsi="Arial" w:cs="Arial"/>
          <w:sz w:val="24"/>
          <w:lang w:val="en-US"/>
        </w:rPr>
        <w:t>per</w:t>
      </w:r>
      <w:r w:rsidR="00391CA7" w:rsidRPr="00391CA7">
        <w:rPr>
          <w:rFonts w:ascii="Arial" w:hAnsi="Arial" w:cs="Arial"/>
          <w:sz w:val="24"/>
          <w:lang w:val="en-US"/>
        </w:rPr>
        <w:t xml:space="preserve"> borrower, where </w:t>
      </w:r>
      <w:r w:rsidR="00391CA7" w:rsidRPr="00391CA7">
        <w:rPr>
          <w:rFonts w:ascii="Arial" w:hAnsi="Arial" w:cs="Arial"/>
          <w:sz w:val="24"/>
          <w:lang w:val="en-US"/>
        </w:rPr>
        <w:t>the risk size of each exceeds 10% of the equity capital of the banks</w:t>
      </w:r>
      <w:r w:rsidR="00391CA7" w:rsidRPr="00391CA7">
        <w:rPr>
          <w:rFonts w:ascii="Arial" w:hAnsi="Arial" w:cs="Arial"/>
          <w:sz w:val="24"/>
          <w:lang w:val="en-US"/>
        </w:rPr>
        <w:t>, serves as a numerator</w:t>
      </w:r>
      <w:r w:rsidRPr="00391CA7">
        <w:rPr>
          <w:rFonts w:ascii="Arial" w:hAnsi="Arial" w:cs="Arial"/>
          <w:sz w:val="24"/>
          <w:lang w:val="en-US"/>
        </w:rPr>
        <w:t>.</w:t>
      </w:r>
    </w:p>
    <w:p w:rsidR="00244190" w:rsidRPr="00391CA7" w:rsidRDefault="00244190" w:rsidP="00391CA7">
      <w:pPr>
        <w:pStyle w:val="a5"/>
        <w:numPr>
          <w:ilvl w:val="0"/>
          <w:numId w:val="3"/>
        </w:numPr>
        <w:spacing w:after="120"/>
        <w:ind w:left="0" w:firstLine="426"/>
        <w:contextualSpacing w:val="0"/>
        <w:jc w:val="both"/>
        <w:rPr>
          <w:rFonts w:ascii="Arial" w:hAnsi="Arial" w:cs="Arial"/>
          <w:sz w:val="24"/>
          <w:lang w:val="en-US"/>
        </w:rPr>
      </w:pPr>
      <w:r w:rsidRPr="00391CA7">
        <w:rPr>
          <w:rFonts w:ascii="Arial" w:hAnsi="Arial" w:cs="Arial"/>
          <w:sz w:val="24"/>
          <w:lang w:val="en-US"/>
        </w:rPr>
        <w:t xml:space="preserve">The following </w:t>
      </w:r>
      <w:proofErr w:type="spellStart"/>
      <w:r w:rsidRPr="00391CA7">
        <w:rPr>
          <w:rFonts w:ascii="Arial" w:hAnsi="Arial" w:cs="Arial"/>
          <w:sz w:val="24"/>
          <w:lang w:val="en-US"/>
        </w:rPr>
        <w:t>annualization</w:t>
      </w:r>
      <w:proofErr w:type="spellEnd"/>
      <w:r w:rsidRPr="00391CA7">
        <w:rPr>
          <w:rFonts w:ascii="Arial" w:hAnsi="Arial" w:cs="Arial"/>
          <w:sz w:val="24"/>
          <w:lang w:val="en-US"/>
        </w:rPr>
        <w:t xml:space="preserve"> and averaging methods are used in the calculation following IMF requirements:</w:t>
      </w:r>
    </w:p>
    <w:p w:rsidR="00244190" w:rsidRPr="00391CA7" w:rsidRDefault="00244190" w:rsidP="00244190">
      <w:pPr>
        <w:spacing w:after="120"/>
        <w:ind w:firstLine="426"/>
        <w:jc w:val="both"/>
        <w:rPr>
          <w:rFonts w:ascii="Arial" w:hAnsi="Arial" w:cs="Arial"/>
          <w:sz w:val="24"/>
          <w:lang w:val="en-US"/>
        </w:rPr>
      </w:pPr>
      <w:proofErr w:type="spellStart"/>
      <w:r w:rsidRPr="00391CA7">
        <w:rPr>
          <w:rFonts w:ascii="Arial" w:hAnsi="Arial" w:cs="Arial"/>
          <w:sz w:val="24"/>
          <w:lang w:val="en-US"/>
        </w:rPr>
        <w:t>Annualization</w:t>
      </w:r>
      <w:proofErr w:type="spellEnd"/>
      <w:r w:rsidRPr="00391CA7">
        <w:rPr>
          <w:rFonts w:ascii="Arial" w:hAnsi="Arial" w:cs="Arial"/>
          <w:sz w:val="24"/>
          <w:lang w:val="en-US"/>
        </w:rPr>
        <w:t xml:space="preserve"> for income/expense items (data presented with a cumulative total from the beginning of the calendar year to the current reporting period.):</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For Q1 (annualized) = data for Q1 *4</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For Q2 (annualized) = data for Q2 *2</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For Q3 (annualized) = data for Q3 /3*4</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For Q4 (annualized) = data for Q4</w:t>
      </w:r>
    </w:p>
    <w:p w:rsidR="00244190" w:rsidRPr="00391CA7" w:rsidRDefault="00244190" w:rsidP="00244190">
      <w:pPr>
        <w:spacing w:after="120"/>
        <w:ind w:firstLine="426"/>
        <w:jc w:val="both"/>
        <w:rPr>
          <w:rFonts w:ascii="Arial" w:hAnsi="Arial" w:cs="Arial"/>
          <w:sz w:val="24"/>
          <w:lang w:val="en-US"/>
        </w:rPr>
      </w:pP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lastRenderedPageBreak/>
        <w:t>Averaging for balance sheet items (data presented as of the end of the current reporting period):</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At the end of Q1 (average) = (data as of the end of Q1 + data as of the end of Q4 of the previous year) / 2</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At the end of Q2 (average) = (data as of the end of Q2 + data as of the end of Q1 + data as of the end of Q4 of the previous year) / 3</w:t>
      </w:r>
    </w:p>
    <w:p w:rsidR="0024419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At the end of quarter 3 (average) = (data at the end of quarter 3 + data at the end of quarter 2 + data at the end of quarter 1 + data at the end of quarter 4 of the previous year) / 4</w:t>
      </w:r>
    </w:p>
    <w:p w:rsidR="00C04DF0" w:rsidRPr="00391CA7" w:rsidRDefault="00244190" w:rsidP="00244190">
      <w:pPr>
        <w:spacing w:after="120"/>
        <w:ind w:firstLine="426"/>
        <w:jc w:val="both"/>
        <w:rPr>
          <w:rFonts w:ascii="Arial" w:hAnsi="Arial" w:cs="Arial"/>
          <w:sz w:val="24"/>
          <w:lang w:val="en-US"/>
        </w:rPr>
      </w:pPr>
      <w:r w:rsidRPr="00391CA7">
        <w:rPr>
          <w:rFonts w:ascii="Arial" w:hAnsi="Arial" w:cs="Arial"/>
          <w:sz w:val="24"/>
          <w:lang w:val="en-US"/>
        </w:rPr>
        <w:t>At the end of quarter 4 (average) = (data at the end of quarter 4 + data at the end of quarter 3 + data at the end of quarter 2 + data at the end of quarter 1 + data at the end of quarter 4 of the previous year) / 5</w:t>
      </w:r>
    </w:p>
    <w:p w:rsidR="00DA0687" w:rsidRPr="00391CA7" w:rsidRDefault="00DA0687" w:rsidP="003806AC">
      <w:pPr>
        <w:pStyle w:val="a5"/>
        <w:spacing w:after="120"/>
        <w:ind w:left="0"/>
        <w:contextualSpacing w:val="0"/>
        <w:jc w:val="both"/>
        <w:rPr>
          <w:rFonts w:ascii="Arial" w:hAnsi="Arial" w:cs="Arial"/>
          <w:sz w:val="24"/>
          <w:lang w:val="en-US"/>
        </w:rPr>
      </w:pPr>
    </w:p>
    <w:sectPr w:rsidR="00DA0687" w:rsidRPr="00391CA7" w:rsidSect="00681593">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88" w:rsidRDefault="00345088" w:rsidP="00F17536">
      <w:pPr>
        <w:spacing w:after="0" w:line="240" w:lineRule="auto"/>
      </w:pPr>
      <w:r>
        <w:separator/>
      </w:r>
    </w:p>
  </w:endnote>
  <w:endnote w:type="continuationSeparator" w:id="0">
    <w:p w:rsidR="00345088" w:rsidRDefault="00345088" w:rsidP="00F1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88" w:rsidRDefault="00345088" w:rsidP="00F17536">
      <w:pPr>
        <w:spacing w:after="0" w:line="240" w:lineRule="auto"/>
      </w:pPr>
      <w:r>
        <w:separator/>
      </w:r>
    </w:p>
  </w:footnote>
  <w:footnote w:type="continuationSeparator" w:id="0">
    <w:p w:rsidR="00345088" w:rsidRDefault="00345088" w:rsidP="00F17536">
      <w:pPr>
        <w:spacing w:after="0" w:line="240" w:lineRule="auto"/>
      </w:pPr>
      <w:r>
        <w:continuationSeparator/>
      </w:r>
    </w:p>
  </w:footnote>
  <w:footnote w:id="1">
    <w:p w:rsidR="00244190" w:rsidRPr="00204E82" w:rsidRDefault="00244190" w:rsidP="00244190">
      <w:pPr>
        <w:pStyle w:val="a6"/>
      </w:pPr>
      <w:r>
        <w:rPr>
          <w:rStyle w:val="a8"/>
        </w:rPr>
        <w:footnoteRef/>
      </w:r>
      <w:r>
        <w:t xml:space="preserve"> </w:t>
      </w:r>
      <w:r w:rsidRPr="00204E82">
        <w:t>https://data.imf.org/?sk=51b096fa-2cd2-40c2-8d09-0699cc1764da</w:t>
      </w:r>
    </w:p>
  </w:footnote>
  <w:footnote w:id="2">
    <w:p w:rsidR="0061558D" w:rsidRPr="00B02EC5" w:rsidRDefault="0061558D" w:rsidP="0061558D">
      <w:pPr>
        <w:pStyle w:val="a6"/>
        <w:jc w:val="both"/>
        <w:rPr>
          <w:rFonts w:ascii="Arial" w:hAnsi="Arial" w:cs="Arial"/>
          <w:lang w:val="en-US"/>
        </w:rPr>
      </w:pPr>
      <w:r w:rsidRPr="003806C5">
        <w:rPr>
          <w:rStyle w:val="a8"/>
          <w:rFonts w:ascii="Arial" w:hAnsi="Arial" w:cs="Arial"/>
        </w:rPr>
        <w:footnoteRef/>
      </w:r>
      <w:r w:rsidRPr="0061558D">
        <w:rPr>
          <w:rFonts w:ascii="Arial" w:hAnsi="Arial" w:cs="Arial"/>
          <w:sz w:val="18"/>
          <w:lang w:val="en-US"/>
        </w:rPr>
        <w:t xml:space="preserve"> </w:t>
      </w:r>
      <w:r w:rsidRPr="007E4BFE">
        <w:rPr>
          <w:rFonts w:ascii="Arial" w:hAnsi="Arial" w:cs="Arial"/>
          <w:sz w:val="18"/>
          <w:lang w:val="en-US"/>
        </w:rPr>
        <w:t xml:space="preserve">The administrative data form </w:t>
      </w:r>
      <w:r w:rsidR="00B02EC5" w:rsidRPr="007E4BFE">
        <w:rPr>
          <w:rFonts w:ascii="Arial" w:hAnsi="Arial" w:cs="Arial"/>
          <w:sz w:val="18"/>
          <w:lang w:val="en-US"/>
        </w:rPr>
        <w:t>“</w:t>
      </w:r>
      <w:r w:rsidRPr="007E4BFE">
        <w:rPr>
          <w:rFonts w:ascii="Arial" w:hAnsi="Arial" w:cs="Arial"/>
          <w:sz w:val="18"/>
          <w:lang w:val="en-US"/>
        </w:rPr>
        <w:t>Report on balance and off-balance sheet accounts</w:t>
      </w:r>
      <w:r w:rsidR="00B02EC5" w:rsidRPr="007E4BFE">
        <w:rPr>
          <w:rFonts w:ascii="Arial" w:hAnsi="Arial" w:cs="Arial"/>
          <w:sz w:val="18"/>
          <w:lang w:val="en-US"/>
        </w:rPr>
        <w:t xml:space="preserve">” </w:t>
      </w:r>
      <w:r w:rsidRPr="007E4BFE">
        <w:rPr>
          <w:rFonts w:ascii="Arial" w:hAnsi="Arial" w:cs="Arial"/>
          <w:sz w:val="18"/>
          <w:lang w:val="en-US"/>
        </w:rPr>
        <w:t xml:space="preserve">(index - 700-N(D)) was approved by the Resolution </w:t>
      </w:r>
      <w:r w:rsidR="007E4BFE" w:rsidRPr="007E4BFE">
        <w:rPr>
          <w:rFonts w:ascii="Arial" w:hAnsi="Arial" w:cs="Arial"/>
          <w:sz w:val="18"/>
          <w:lang w:val="en-US"/>
        </w:rPr>
        <w:t>№54</w:t>
      </w:r>
      <w:r w:rsidR="007E4BFE" w:rsidRPr="007E4BFE">
        <w:rPr>
          <w:rFonts w:ascii="Arial" w:hAnsi="Arial" w:cs="Arial"/>
          <w:sz w:val="18"/>
          <w:lang w:val="en-US"/>
        </w:rPr>
        <w:t xml:space="preserve"> </w:t>
      </w:r>
      <w:r w:rsidRPr="007E4BFE">
        <w:rPr>
          <w:rFonts w:ascii="Arial" w:hAnsi="Arial" w:cs="Arial"/>
          <w:sz w:val="18"/>
          <w:lang w:val="en-US"/>
        </w:rPr>
        <w:t>of the Board of the National Bank of the Republic of Kaza</w:t>
      </w:r>
      <w:r w:rsidR="00B02EC5" w:rsidRPr="007E4BFE">
        <w:rPr>
          <w:rFonts w:ascii="Arial" w:hAnsi="Arial" w:cs="Arial"/>
          <w:sz w:val="18"/>
          <w:lang w:val="en-US"/>
        </w:rPr>
        <w:t>khstan dated April 21, 2020</w:t>
      </w:r>
      <w:r w:rsidRPr="007E4BFE">
        <w:rPr>
          <w:rFonts w:ascii="Arial" w:hAnsi="Arial" w:cs="Arial"/>
          <w:sz w:val="18"/>
          <w:lang w:val="en-US"/>
        </w:rPr>
        <w:t xml:space="preserve">. </w:t>
      </w:r>
      <w:r w:rsidR="009401C2" w:rsidRPr="009401C2">
        <w:rPr>
          <w:rFonts w:ascii="Arial" w:hAnsi="Arial" w:cs="Arial"/>
          <w:sz w:val="18"/>
          <w:lang w:val="en-US"/>
        </w:rPr>
        <w:t xml:space="preserve">The accounts </w:t>
      </w:r>
      <w:r w:rsidRPr="009401C2">
        <w:rPr>
          <w:rFonts w:ascii="Arial" w:hAnsi="Arial" w:cs="Arial"/>
          <w:sz w:val="18"/>
          <w:lang w:val="en-US"/>
        </w:rPr>
        <w:t xml:space="preserve">in the Form are indicated in accordance with the Standard chart of accounts for accounting in second-tier banks, mortgage organizations, joint-stock company "Development Bank of Kazakhstan" and branches of non-resident banks of the Republic of Kazakhstan, approved by the Resolution </w:t>
      </w:r>
      <w:r w:rsidR="007E4BFE" w:rsidRPr="009401C2">
        <w:rPr>
          <w:rFonts w:ascii="Arial" w:hAnsi="Arial" w:cs="Arial"/>
          <w:sz w:val="18"/>
          <w:lang w:val="en-US"/>
        </w:rPr>
        <w:t>№3</w:t>
      </w:r>
      <w:r w:rsidR="007E4BFE" w:rsidRPr="009401C2">
        <w:rPr>
          <w:rFonts w:ascii="Arial" w:hAnsi="Arial" w:cs="Arial"/>
          <w:sz w:val="18"/>
          <w:lang w:val="en-US"/>
        </w:rPr>
        <w:t xml:space="preserve"> </w:t>
      </w:r>
      <w:r w:rsidRPr="009401C2">
        <w:rPr>
          <w:rFonts w:ascii="Arial" w:hAnsi="Arial" w:cs="Arial"/>
          <w:sz w:val="18"/>
          <w:lang w:val="en-US"/>
        </w:rPr>
        <w:t>of the Board of the National Bank of the Republic of Kazakh</w:t>
      </w:r>
      <w:r w:rsidR="007E4BFE" w:rsidRPr="009401C2">
        <w:rPr>
          <w:rFonts w:ascii="Arial" w:hAnsi="Arial" w:cs="Arial"/>
          <w:sz w:val="18"/>
          <w:lang w:val="en-US"/>
        </w:rPr>
        <w:t>stan dated January 31, 2011</w:t>
      </w:r>
      <w:r w:rsidR="00B02EC5" w:rsidRPr="009401C2">
        <w:rPr>
          <w:rFonts w:ascii="Arial" w:hAnsi="Arial" w:cs="Arial"/>
          <w:sz w:val="18"/>
          <w:lang w:val="en-US"/>
        </w:rPr>
        <w:t>.</w:t>
      </w:r>
    </w:p>
  </w:footnote>
  <w:footnote w:id="3">
    <w:p w:rsidR="00817926" w:rsidRPr="00817926" w:rsidRDefault="00817926" w:rsidP="00817926">
      <w:pPr>
        <w:pStyle w:val="a6"/>
        <w:rPr>
          <w:lang w:val="en-US"/>
        </w:rPr>
      </w:pPr>
      <w:r w:rsidRPr="003806C5">
        <w:rPr>
          <w:rStyle w:val="a8"/>
          <w:rFonts w:ascii="Arial" w:hAnsi="Arial" w:cs="Arial"/>
        </w:rPr>
        <w:footnoteRef/>
      </w:r>
      <w:r w:rsidRPr="00817926">
        <w:rPr>
          <w:lang w:val="en-US"/>
        </w:rPr>
        <w:t xml:space="preserve"> </w:t>
      </w:r>
      <w:r w:rsidRPr="00817926">
        <w:rPr>
          <w:rFonts w:ascii="Arial" w:hAnsi="Arial" w:cs="Arial"/>
          <w:sz w:val="18"/>
          <w:lang w:val="en-US"/>
        </w:rPr>
        <w:t>The information is published on the NBRK website in the “Information on the structure and quality of the loan portfolio” section of the Financial indicators of the banking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488"/>
    <w:multiLevelType w:val="multilevel"/>
    <w:tmpl w:val="47FCF65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58184C"/>
    <w:multiLevelType w:val="hybridMultilevel"/>
    <w:tmpl w:val="99FA8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B7005D"/>
    <w:multiLevelType w:val="hybridMultilevel"/>
    <w:tmpl w:val="B1047246"/>
    <w:lvl w:ilvl="0" w:tplc="6E7A9E54">
      <w:start w:val="1"/>
      <w:numFmt w:val="decimal"/>
      <w:lvlText w:val="4.%1-график"/>
      <w:lvlJc w:val="left"/>
      <w:pPr>
        <w:ind w:left="720" w:hanging="360"/>
      </w:pPr>
      <w:rPr>
        <w:rFonts w:ascii="Arial" w:hAnsi="Arial" w:cs="Arial" w:hint="default"/>
        <w:b w:val="0"/>
        <w:i/>
        <w:color w:val="auto"/>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A344A2"/>
    <w:multiLevelType w:val="hybridMultilevel"/>
    <w:tmpl w:val="100CFB7A"/>
    <w:lvl w:ilvl="0" w:tplc="04190011">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AD"/>
    <w:rsid w:val="000645A6"/>
    <w:rsid w:val="00113829"/>
    <w:rsid w:val="00124781"/>
    <w:rsid w:val="001A254D"/>
    <w:rsid w:val="001B6161"/>
    <w:rsid w:val="001F2D8E"/>
    <w:rsid w:val="00204E82"/>
    <w:rsid w:val="00236AC1"/>
    <w:rsid w:val="00244190"/>
    <w:rsid w:val="00270B15"/>
    <w:rsid w:val="0029294E"/>
    <w:rsid w:val="00303775"/>
    <w:rsid w:val="0032480B"/>
    <w:rsid w:val="003416B5"/>
    <w:rsid w:val="00345088"/>
    <w:rsid w:val="00372C5F"/>
    <w:rsid w:val="003806AC"/>
    <w:rsid w:val="003806C5"/>
    <w:rsid w:val="00391CA7"/>
    <w:rsid w:val="003A7EA1"/>
    <w:rsid w:val="003C0297"/>
    <w:rsid w:val="0047200B"/>
    <w:rsid w:val="004B1E05"/>
    <w:rsid w:val="004B7CB2"/>
    <w:rsid w:val="0050232A"/>
    <w:rsid w:val="005025B1"/>
    <w:rsid w:val="00526C9D"/>
    <w:rsid w:val="00560749"/>
    <w:rsid w:val="0058004F"/>
    <w:rsid w:val="00581E93"/>
    <w:rsid w:val="005870E7"/>
    <w:rsid w:val="005A22F0"/>
    <w:rsid w:val="005D50F3"/>
    <w:rsid w:val="005D7B41"/>
    <w:rsid w:val="005F4A7A"/>
    <w:rsid w:val="00605302"/>
    <w:rsid w:val="0061558D"/>
    <w:rsid w:val="006225F8"/>
    <w:rsid w:val="00635429"/>
    <w:rsid w:val="00680CAD"/>
    <w:rsid w:val="00681593"/>
    <w:rsid w:val="00686E32"/>
    <w:rsid w:val="006C3F40"/>
    <w:rsid w:val="006D318A"/>
    <w:rsid w:val="007068B8"/>
    <w:rsid w:val="007E4BFE"/>
    <w:rsid w:val="008053A0"/>
    <w:rsid w:val="00811E22"/>
    <w:rsid w:val="00817926"/>
    <w:rsid w:val="00822065"/>
    <w:rsid w:val="008B3C3C"/>
    <w:rsid w:val="009401C2"/>
    <w:rsid w:val="00974A91"/>
    <w:rsid w:val="00983627"/>
    <w:rsid w:val="009A60C9"/>
    <w:rsid w:val="009C17C8"/>
    <w:rsid w:val="00A913D7"/>
    <w:rsid w:val="00AB399B"/>
    <w:rsid w:val="00B02EC5"/>
    <w:rsid w:val="00B442BD"/>
    <w:rsid w:val="00B64680"/>
    <w:rsid w:val="00B85FC8"/>
    <w:rsid w:val="00B86DE5"/>
    <w:rsid w:val="00C04DF0"/>
    <w:rsid w:val="00C05B51"/>
    <w:rsid w:val="00C37676"/>
    <w:rsid w:val="00C43282"/>
    <w:rsid w:val="00C54C1A"/>
    <w:rsid w:val="00CC6134"/>
    <w:rsid w:val="00D67F15"/>
    <w:rsid w:val="00DA0687"/>
    <w:rsid w:val="00E33DF8"/>
    <w:rsid w:val="00E75FBD"/>
    <w:rsid w:val="00EC04FD"/>
    <w:rsid w:val="00F17536"/>
    <w:rsid w:val="00F44DBC"/>
    <w:rsid w:val="00F60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2D1"/>
  <w15:chartTrackingRefBased/>
  <w15:docId w15:val="{D484CE46-19CB-4655-A5C8-9415EB50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График"/>
    <w:basedOn w:val="a0"/>
    <w:link w:val="a4"/>
    <w:qFormat/>
    <w:rsid w:val="00113829"/>
    <w:pPr>
      <w:numPr>
        <w:numId w:val="2"/>
      </w:numPr>
      <w:spacing w:before="120" w:after="0" w:line="240" w:lineRule="auto"/>
    </w:pPr>
    <w:rPr>
      <w:rFonts w:ascii="Arial" w:hAnsi="Arial"/>
      <w:b/>
      <w:i/>
      <w:color w:val="0070C0"/>
      <w:sz w:val="24"/>
      <w:lang w:val="kk-KZ"/>
    </w:rPr>
  </w:style>
  <w:style w:type="character" w:customStyle="1" w:styleId="a4">
    <w:name w:val="График Знак"/>
    <w:basedOn w:val="a1"/>
    <w:link w:val="a"/>
    <w:rsid w:val="00113829"/>
    <w:rPr>
      <w:rFonts w:ascii="Arial" w:hAnsi="Arial"/>
      <w:b/>
      <w:i/>
      <w:color w:val="0070C0"/>
      <w:sz w:val="24"/>
      <w:lang w:val="kk-KZ"/>
    </w:rPr>
  </w:style>
  <w:style w:type="paragraph" w:styleId="a5">
    <w:name w:val="List Paragraph"/>
    <w:basedOn w:val="a0"/>
    <w:uiPriority w:val="34"/>
    <w:qFormat/>
    <w:rsid w:val="004B7CB2"/>
    <w:pPr>
      <w:ind w:left="720"/>
      <w:contextualSpacing/>
    </w:pPr>
  </w:style>
  <w:style w:type="paragraph" w:styleId="a6">
    <w:name w:val="footnote text"/>
    <w:basedOn w:val="a0"/>
    <w:link w:val="a7"/>
    <w:uiPriority w:val="99"/>
    <w:semiHidden/>
    <w:unhideWhenUsed/>
    <w:rsid w:val="00F17536"/>
    <w:pPr>
      <w:spacing w:after="0" w:line="240" w:lineRule="auto"/>
    </w:pPr>
    <w:rPr>
      <w:sz w:val="20"/>
      <w:szCs w:val="20"/>
    </w:rPr>
  </w:style>
  <w:style w:type="character" w:customStyle="1" w:styleId="a7">
    <w:name w:val="Текст сноски Знак"/>
    <w:basedOn w:val="a1"/>
    <w:link w:val="a6"/>
    <w:uiPriority w:val="99"/>
    <w:semiHidden/>
    <w:rsid w:val="00F17536"/>
    <w:rPr>
      <w:sz w:val="20"/>
      <w:szCs w:val="20"/>
    </w:rPr>
  </w:style>
  <w:style w:type="character" w:styleId="a8">
    <w:name w:val="footnote reference"/>
    <w:basedOn w:val="a1"/>
    <w:uiPriority w:val="99"/>
    <w:unhideWhenUsed/>
    <w:rsid w:val="00F17536"/>
    <w:rPr>
      <w:vertAlign w:val="superscript"/>
    </w:rPr>
  </w:style>
  <w:style w:type="paragraph" w:styleId="a9">
    <w:name w:val="Balloon Text"/>
    <w:basedOn w:val="a0"/>
    <w:link w:val="aa"/>
    <w:uiPriority w:val="99"/>
    <w:semiHidden/>
    <w:unhideWhenUsed/>
    <w:rsid w:val="006C3F40"/>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6C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20113">
      <w:bodyDiv w:val="1"/>
      <w:marLeft w:val="0"/>
      <w:marRight w:val="0"/>
      <w:marTop w:val="0"/>
      <w:marBottom w:val="0"/>
      <w:divBdr>
        <w:top w:val="none" w:sz="0" w:space="0" w:color="auto"/>
        <w:left w:val="none" w:sz="0" w:space="0" w:color="auto"/>
        <w:bottom w:val="none" w:sz="0" w:space="0" w:color="auto"/>
        <w:right w:val="none" w:sz="0" w:space="0" w:color="auto"/>
      </w:divBdr>
    </w:div>
    <w:div w:id="1628777349">
      <w:bodyDiv w:val="1"/>
      <w:marLeft w:val="0"/>
      <w:marRight w:val="0"/>
      <w:marTop w:val="0"/>
      <w:marBottom w:val="0"/>
      <w:divBdr>
        <w:top w:val="none" w:sz="0" w:space="0" w:color="auto"/>
        <w:left w:val="none" w:sz="0" w:space="0" w:color="auto"/>
        <w:bottom w:val="none" w:sz="0" w:space="0" w:color="auto"/>
        <w:right w:val="none" w:sz="0" w:space="0" w:color="auto"/>
      </w:divBdr>
    </w:div>
    <w:div w:id="21164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3D4C-B8FE-47C4-9D86-E6232E8C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 Орумбаева</dc:creator>
  <cp:keywords/>
  <dc:description/>
  <cp:lastModifiedBy>Сара Орумбаева</cp:lastModifiedBy>
  <cp:revision>10</cp:revision>
  <dcterms:created xsi:type="dcterms:W3CDTF">2024-07-24T06:44:00Z</dcterms:created>
  <dcterms:modified xsi:type="dcterms:W3CDTF">2024-08-12T11:44:00Z</dcterms:modified>
</cp:coreProperties>
</file>