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F8" w:rsidRPr="00E75FBD" w:rsidRDefault="00E33DF8" w:rsidP="00E33DF8">
      <w:pPr>
        <w:spacing w:after="0"/>
        <w:jc w:val="center"/>
        <w:rPr>
          <w:rFonts w:ascii="Arial" w:hAnsi="Arial" w:cs="Arial"/>
          <w:b/>
          <w:sz w:val="28"/>
        </w:rPr>
      </w:pPr>
      <w:r w:rsidRPr="00E75FBD">
        <w:rPr>
          <w:rFonts w:ascii="Arial" w:hAnsi="Arial" w:cs="Arial"/>
          <w:b/>
          <w:sz w:val="28"/>
        </w:rPr>
        <w:t xml:space="preserve">Методологические </w:t>
      </w:r>
      <w:r w:rsidR="00D67F15">
        <w:rPr>
          <w:rFonts w:ascii="Arial" w:hAnsi="Arial" w:cs="Arial"/>
          <w:b/>
          <w:sz w:val="28"/>
        </w:rPr>
        <w:t>особенности</w:t>
      </w:r>
      <w:r w:rsidRPr="00E75FBD">
        <w:rPr>
          <w:rFonts w:ascii="Arial" w:hAnsi="Arial" w:cs="Arial"/>
          <w:b/>
          <w:sz w:val="28"/>
        </w:rPr>
        <w:t xml:space="preserve"> формирования данных </w:t>
      </w:r>
    </w:p>
    <w:p w:rsidR="00E33DF8" w:rsidRPr="00E75FBD" w:rsidRDefault="00E33DF8" w:rsidP="00E33DF8">
      <w:pPr>
        <w:spacing w:after="0"/>
        <w:jc w:val="center"/>
        <w:rPr>
          <w:rFonts w:ascii="Arial" w:hAnsi="Arial" w:cs="Arial"/>
          <w:b/>
          <w:sz w:val="28"/>
        </w:rPr>
      </w:pPr>
      <w:r w:rsidRPr="00E75FBD">
        <w:rPr>
          <w:rFonts w:ascii="Arial" w:hAnsi="Arial" w:cs="Arial"/>
          <w:b/>
          <w:sz w:val="28"/>
        </w:rPr>
        <w:t>и коррективы в исторических рядах данных</w:t>
      </w:r>
      <w:r w:rsidR="006C3F40" w:rsidRPr="00E75FBD">
        <w:rPr>
          <w:rFonts w:ascii="Arial" w:hAnsi="Arial" w:cs="Arial"/>
          <w:b/>
          <w:sz w:val="28"/>
        </w:rPr>
        <w:t xml:space="preserve"> по показателям Индикаторы финансовой устойчивости МВФ</w:t>
      </w:r>
    </w:p>
    <w:p w:rsidR="00E33DF8" w:rsidRPr="00E75FBD" w:rsidRDefault="00E33DF8" w:rsidP="00E33DF8">
      <w:pPr>
        <w:spacing w:after="0"/>
        <w:jc w:val="center"/>
        <w:rPr>
          <w:rFonts w:ascii="Arial" w:hAnsi="Arial" w:cs="Arial"/>
          <w:b/>
          <w:sz w:val="24"/>
        </w:rPr>
      </w:pPr>
    </w:p>
    <w:p w:rsidR="00DA0687" w:rsidRPr="00E75FBD" w:rsidRDefault="00581E93" w:rsidP="00681593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 xml:space="preserve">В </w:t>
      </w:r>
      <w:r w:rsidR="00E33DF8" w:rsidRPr="00E75FBD">
        <w:rPr>
          <w:rFonts w:ascii="Arial" w:hAnsi="Arial" w:cs="Arial"/>
          <w:sz w:val="24"/>
        </w:rPr>
        <w:t xml:space="preserve">связи с переходом </w:t>
      </w:r>
      <w:r w:rsidRPr="00E75FBD">
        <w:rPr>
          <w:rFonts w:ascii="Arial" w:hAnsi="Arial" w:cs="Arial"/>
          <w:sz w:val="24"/>
        </w:rPr>
        <w:t xml:space="preserve">на новые формы отчетности Международного валютного фонда (МВФ), </w:t>
      </w:r>
      <w:r w:rsidR="00526C9D" w:rsidRPr="00E75FBD">
        <w:rPr>
          <w:rFonts w:ascii="Arial" w:hAnsi="Arial" w:cs="Arial"/>
          <w:sz w:val="24"/>
        </w:rPr>
        <w:t xml:space="preserve">Казахстан </w:t>
      </w:r>
      <w:r w:rsidRPr="00E75FBD">
        <w:rPr>
          <w:rFonts w:ascii="Arial" w:hAnsi="Arial" w:cs="Arial"/>
          <w:sz w:val="24"/>
        </w:rPr>
        <w:t xml:space="preserve">внедряет обновленный формат отчетности, который включает </w:t>
      </w:r>
      <w:r w:rsidR="00E33DF8" w:rsidRPr="00E75FBD">
        <w:rPr>
          <w:rFonts w:ascii="Arial" w:hAnsi="Arial" w:cs="Arial"/>
          <w:sz w:val="24"/>
        </w:rPr>
        <w:t>определенные</w:t>
      </w:r>
      <w:r w:rsidRPr="00E75FBD">
        <w:rPr>
          <w:rFonts w:ascii="Arial" w:hAnsi="Arial" w:cs="Arial"/>
          <w:sz w:val="24"/>
        </w:rPr>
        <w:t xml:space="preserve"> изменения в отражении данных о сводном балансе и отчете о прибылях и убытках банков второго уровня.</w:t>
      </w:r>
    </w:p>
    <w:p w:rsidR="00E33DF8" w:rsidRPr="00E75FBD" w:rsidRDefault="004B7CB2" w:rsidP="00681593">
      <w:pPr>
        <w:pStyle w:val="a5"/>
        <w:numPr>
          <w:ilvl w:val="0"/>
          <w:numId w:val="3"/>
        </w:numPr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Согласно обновленному формату отчетностей МВФ (</w:t>
      </w:r>
      <w:r w:rsidR="005025B1" w:rsidRPr="00E75FBD">
        <w:rPr>
          <w:rFonts w:ascii="Arial" w:hAnsi="Arial" w:cs="Arial"/>
          <w:sz w:val="24"/>
        </w:rPr>
        <w:t>Руководство</w:t>
      </w:r>
      <w:r w:rsidRPr="00E75FBD">
        <w:rPr>
          <w:rFonts w:ascii="Arial" w:hAnsi="Arial" w:cs="Arial"/>
          <w:sz w:val="24"/>
        </w:rPr>
        <w:t xml:space="preserve"> 2019</w:t>
      </w:r>
      <w:r w:rsidR="00204E82" w:rsidRPr="00E75FBD">
        <w:rPr>
          <w:rStyle w:val="a8"/>
          <w:rFonts w:ascii="Arial" w:hAnsi="Arial" w:cs="Arial"/>
          <w:sz w:val="24"/>
        </w:rPr>
        <w:footnoteReference w:id="1"/>
      </w:r>
      <w:r w:rsidRPr="00E75FBD">
        <w:rPr>
          <w:rFonts w:ascii="Arial" w:hAnsi="Arial" w:cs="Arial"/>
          <w:sz w:val="24"/>
        </w:rPr>
        <w:t>)</w:t>
      </w:r>
      <w:r w:rsidR="005025B1" w:rsidRPr="00E75FBD">
        <w:rPr>
          <w:rFonts w:ascii="Arial" w:hAnsi="Arial" w:cs="Arial"/>
          <w:sz w:val="24"/>
        </w:rPr>
        <w:t xml:space="preserve">, отчеты о прибылях и убытках представляются на кумулятивной основе с начала календарного года до конца отчетного периода. </w:t>
      </w:r>
      <w:r w:rsidRPr="00E75FBD">
        <w:rPr>
          <w:rFonts w:ascii="Arial" w:hAnsi="Arial" w:cs="Arial"/>
          <w:sz w:val="24"/>
        </w:rPr>
        <w:t xml:space="preserve">Ранее </w:t>
      </w:r>
      <w:r w:rsidR="005025B1" w:rsidRPr="00E75FBD">
        <w:rPr>
          <w:rFonts w:ascii="Arial" w:hAnsi="Arial" w:cs="Arial"/>
          <w:sz w:val="24"/>
        </w:rPr>
        <w:t xml:space="preserve">НБРК представлял данные о доходах и расходах, сформированных за </w:t>
      </w:r>
      <w:r w:rsidR="00B64680" w:rsidRPr="00E75FBD">
        <w:rPr>
          <w:rFonts w:ascii="Arial" w:hAnsi="Arial" w:cs="Arial"/>
          <w:sz w:val="24"/>
        </w:rPr>
        <w:t xml:space="preserve">отдельный </w:t>
      </w:r>
      <w:r w:rsidR="005025B1" w:rsidRPr="00E75FBD">
        <w:rPr>
          <w:rFonts w:ascii="Arial" w:hAnsi="Arial" w:cs="Arial"/>
          <w:sz w:val="24"/>
        </w:rPr>
        <w:t>отчетный период</w:t>
      </w:r>
      <w:r w:rsidR="00B64680" w:rsidRPr="00E75FBD">
        <w:rPr>
          <w:rFonts w:ascii="Arial" w:hAnsi="Arial" w:cs="Arial"/>
          <w:sz w:val="24"/>
        </w:rPr>
        <w:t xml:space="preserve"> (квартал)</w:t>
      </w:r>
      <w:r w:rsidR="005025B1" w:rsidRPr="00E75FBD">
        <w:rPr>
          <w:rFonts w:ascii="Arial" w:hAnsi="Arial" w:cs="Arial"/>
          <w:sz w:val="24"/>
        </w:rPr>
        <w:t xml:space="preserve">. </w:t>
      </w:r>
      <w:r w:rsidR="009C17C8" w:rsidRPr="00E75FBD">
        <w:rPr>
          <w:rFonts w:ascii="Arial" w:hAnsi="Arial" w:cs="Arial"/>
          <w:sz w:val="24"/>
        </w:rPr>
        <w:t xml:space="preserve">В связи с </w:t>
      </w:r>
      <w:r w:rsidR="00204E82" w:rsidRPr="00E75FBD">
        <w:rPr>
          <w:rFonts w:ascii="Arial" w:hAnsi="Arial" w:cs="Arial"/>
          <w:sz w:val="24"/>
        </w:rPr>
        <w:t xml:space="preserve">требованием МВФ по применению единого </w:t>
      </w:r>
      <w:r w:rsidR="009C17C8" w:rsidRPr="00E75FBD">
        <w:rPr>
          <w:rFonts w:ascii="Arial" w:hAnsi="Arial" w:cs="Arial"/>
          <w:sz w:val="24"/>
        </w:rPr>
        <w:t>подход</w:t>
      </w:r>
      <w:r w:rsidR="00204E82" w:rsidRPr="00E75FBD">
        <w:rPr>
          <w:rFonts w:ascii="Arial" w:hAnsi="Arial" w:cs="Arial"/>
          <w:sz w:val="24"/>
        </w:rPr>
        <w:t>а всеми странами</w:t>
      </w:r>
      <w:r w:rsidR="009C17C8" w:rsidRPr="00E75FBD">
        <w:rPr>
          <w:rFonts w:ascii="Arial" w:hAnsi="Arial" w:cs="Arial"/>
          <w:sz w:val="24"/>
        </w:rPr>
        <w:t xml:space="preserve">, данные о прибылях и убытках были пересчитаны </w:t>
      </w:r>
      <w:r w:rsidRPr="00E75FBD">
        <w:rPr>
          <w:rFonts w:ascii="Arial" w:hAnsi="Arial" w:cs="Arial"/>
          <w:sz w:val="24"/>
        </w:rPr>
        <w:t xml:space="preserve">на кумулятивной основе, что </w:t>
      </w:r>
      <w:r w:rsidR="009C17C8" w:rsidRPr="00E75FBD">
        <w:rPr>
          <w:rFonts w:ascii="Arial" w:hAnsi="Arial" w:cs="Arial"/>
          <w:sz w:val="24"/>
        </w:rPr>
        <w:t xml:space="preserve">в результате привело </w:t>
      </w:r>
      <w:r w:rsidRPr="00E75FBD">
        <w:rPr>
          <w:rFonts w:ascii="Arial" w:hAnsi="Arial" w:cs="Arial"/>
          <w:sz w:val="24"/>
        </w:rPr>
        <w:t xml:space="preserve">к переоценке некоторых </w:t>
      </w:r>
      <w:r w:rsidR="005025B1" w:rsidRPr="00E75FBD">
        <w:rPr>
          <w:rFonts w:ascii="Arial" w:hAnsi="Arial" w:cs="Arial"/>
          <w:sz w:val="24"/>
        </w:rPr>
        <w:t xml:space="preserve">индикаторов </w:t>
      </w:r>
      <w:r w:rsidRPr="00E75FBD">
        <w:rPr>
          <w:rFonts w:ascii="Arial" w:hAnsi="Arial" w:cs="Arial"/>
          <w:sz w:val="24"/>
        </w:rPr>
        <w:t>финансовой устойчивости (</w:t>
      </w:r>
      <w:r w:rsidR="005025B1" w:rsidRPr="00E75FBD">
        <w:rPr>
          <w:rFonts w:ascii="Arial" w:hAnsi="Arial" w:cs="Arial"/>
          <w:sz w:val="24"/>
        </w:rPr>
        <w:t>И</w:t>
      </w:r>
      <w:r w:rsidRPr="00E75FBD">
        <w:rPr>
          <w:rFonts w:ascii="Arial" w:hAnsi="Arial" w:cs="Arial"/>
          <w:sz w:val="24"/>
        </w:rPr>
        <w:t>ФУ)</w:t>
      </w:r>
      <w:r w:rsidR="00DA0687" w:rsidRPr="00E75FBD">
        <w:rPr>
          <w:rFonts w:ascii="Arial" w:hAnsi="Arial" w:cs="Arial"/>
          <w:sz w:val="24"/>
        </w:rPr>
        <w:t>.</w:t>
      </w:r>
    </w:p>
    <w:p w:rsidR="005D7B41" w:rsidRPr="00E75FBD" w:rsidRDefault="006D318A" w:rsidP="00822065">
      <w:pPr>
        <w:pStyle w:val="a5"/>
        <w:numPr>
          <w:ilvl w:val="0"/>
          <w:numId w:val="3"/>
        </w:numPr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Согласно обновленной методологии для сектора депозитных учреждений добавлены следующие индикаторы</w:t>
      </w:r>
      <w:r w:rsidR="005D7B41" w:rsidRPr="00E75FBD">
        <w:rPr>
          <w:rFonts w:ascii="Arial" w:hAnsi="Arial" w:cs="Arial"/>
          <w:sz w:val="24"/>
        </w:rPr>
        <w:t>:</w:t>
      </w:r>
      <w:r w:rsidRPr="00E75FBD">
        <w:rPr>
          <w:rFonts w:ascii="Arial" w:hAnsi="Arial" w:cs="Arial"/>
          <w:sz w:val="24"/>
        </w:rPr>
        <w:t xml:space="preserve"> </w:t>
      </w:r>
      <w:r w:rsidR="001B6161" w:rsidRPr="00E75FBD">
        <w:rPr>
          <w:rFonts w:ascii="Arial" w:hAnsi="Arial" w:cs="Arial"/>
          <w:sz w:val="24"/>
        </w:rPr>
        <w:t xml:space="preserve">отношение </w:t>
      </w:r>
      <w:r w:rsidR="00822065" w:rsidRPr="00E75FBD">
        <w:rPr>
          <w:rFonts w:ascii="Arial" w:hAnsi="Arial" w:cs="Arial"/>
          <w:sz w:val="24"/>
        </w:rPr>
        <w:t xml:space="preserve">регуляторного </w:t>
      </w:r>
      <w:r w:rsidR="001B6161" w:rsidRPr="00E75FBD">
        <w:rPr>
          <w:rFonts w:ascii="Arial" w:hAnsi="Arial" w:cs="Arial"/>
          <w:sz w:val="24"/>
        </w:rPr>
        <w:t>основного капитала (</w:t>
      </w:r>
      <w:r w:rsidRPr="00E75FBD">
        <w:rPr>
          <w:rFonts w:ascii="Arial" w:hAnsi="Arial" w:cs="Arial"/>
          <w:sz w:val="24"/>
        </w:rPr>
        <w:t>CET</w:t>
      </w:r>
      <w:r w:rsidR="001B6161" w:rsidRPr="00E75FBD">
        <w:rPr>
          <w:rFonts w:ascii="Arial" w:hAnsi="Arial" w:cs="Arial"/>
          <w:sz w:val="24"/>
        </w:rPr>
        <w:t>1) к активам, взвешенным по степени риска (</w:t>
      </w:r>
      <w:r w:rsidRPr="00E75FBD">
        <w:rPr>
          <w:rFonts w:ascii="Arial" w:hAnsi="Arial" w:cs="Arial"/>
          <w:sz w:val="24"/>
        </w:rPr>
        <w:t>RWA</w:t>
      </w:r>
      <w:r w:rsidR="001B6161" w:rsidRPr="00E75FBD">
        <w:rPr>
          <w:rFonts w:ascii="Arial" w:hAnsi="Arial" w:cs="Arial"/>
          <w:sz w:val="24"/>
        </w:rPr>
        <w:t>)</w:t>
      </w:r>
      <w:r w:rsidR="00E75FBD">
        <w:rPr>
          <w:rFonts w:ascii="Arial" w:hAnsi="Arial" w:cs="Arial"/>
          <w:sz w:val="24"/>
        </w:rPr>
        <w:t>;</w:t>
      </w:r>
      <w:r w:rsidRPr="00E75FBD">
        <w:rPr>
          <w:rFonts w:ascii="Arial" w:hAnsi="Arial" w:cs="Arial"/>
          <w:sz w:val="24"/>
        </w:rPr>
        <w:t xml:space="preserve"> </w:t>
      </w:r>
      <w:r w:rsidR="00822065" w:rsidRPr="00E75FBD">
        <w:rPr>
          <w:rFonts w:ascii="Arial" w:hAnsi="Arial" w:cs="Arial"/>
          <w:sz w:val="24"/>
        </w:rPr>
        <w:t>отношение регуляторного капитала первого уровня (</w:t>
      </w:r>
      <w:proofErr w:type="spellStart"/>
      <w:r w:rsidRPr="00E75FBD">
        <w:rPr>
          <w:rFonts w:ascii="Arial" w:hAnsi="Arial" w:cs="Arial"/>
          <w:sz w:val="24"/>
        </w:rPr>
        <w:t>tier</w:t>
      </w:r>
      <w:proofErr w:type="spellEnd"/>
      <w:r w:rsidRPr="00E75FBD">
        <w:rPr>
          <w:rFonts w:ascii="Arial" w:hAnsi="Arial" w:cs="Arial"/>
          <w:sz w:val="24"/>
        </w:rPr>
        <w:t xml:space="preserve"> 1 </w:t>
      </w:r>
      <w:proofErr w:type="spellStart"/>
      <w:r w:rsidRPr="00E75FBD">
        <w:rPr>
          <w:rFonts w:ascii="Arial" w:hAnsi="Arial" w:cs="Arial"/>
          <w:sz w:val="24"/>
        </w:rPr>
        <w:t>capital</w:t>
      </w:r>
      <w:proofErr w:type="spellEnd"/>
      <w:r w:rsidR="00822065" w:rsidRPr="00E75FBD">
        <w:rPr>
          <w:rFonts w:ascii="Arial" w:hAnsi="Arial" w:cs="Arial"/>
          <w:sz w:val="24"/>
        </w:rPr>
        <w:t>) к совокупным активам</w:t>
      </w:r>
      <w:r w:rsidR="00E75FBD">
        <w:rPr>
          <w:rFonts w:ascii="Arial" w:hAnsi="Arial" w:cs="Arial"/>
          <w:sz w:val="24"/>
        </w:rPr>
        <w:t>;</w:t>
      </w:r>
      <w:r w:rsidRPr="00E75FBD">
        <w:rPr>
          <w:rFonts w:ascii="Arial" w:hAnsi="Arial" w:cs="Arial"/>
          <w:sz w:val="24"/>
        </w:rPr>
        <w:t xml:space="preserve"> </w:t>
      </w:r>
      <w:r w:rsidR="00822065" w:rsidRPr="00E75FBD">
        <w:rPr>
          <w:rFonts w:ascii="Arial" w:hAnsi="Arial" w:cs="Arial"/>
          <w:sz w:val="24"/>
        </w:rPr>
        <w:t>концентрация кредитов по видам экономической деятельности</w:t>
      </w:r>
      <w:r w:rsidR="00E75FBD">
        <w:rPr>
          <w:rFonts w:ascii="Arial" w:hAnsi="Arial" w:cs="Arial"/>
          <w:sz w:val="24"/>
        </w:rPr>
        <w:t xml:space="preserve">; </w:t>
      </w:r>
      <w:r w:rsidR="00822065" w:rsidRPr="00E75FBD">
        <w:rPr>
          <w:rFonts w:ascii="Arial" w:hAnsi="Arial" w:cs="Arial"/>
          <w:sz w:val="24"/>
        </w:rPr>
        <w:t>отношение резервов</w:t>
      </w:r>
      <w:r w:rsidR="00E75FBD" w:rsidRPr="00E75FBD">
        <w:rPr>
          <w:rFonts w:ascii="Arial" w:hAnsi="Arial" w:cs="Arial"/>
          <w:sz w:val="24"/>
        </w:rPr>
        <w:t xml:space="preserve"> (провизий)</w:t>
      </w:r>
      <w:r w:rsidR="00822065" w:rsidRPr="00E75FBD">
        <w:rPr>
          <w:rFonts w:ascii="Arial" w:hAnsi="Arial" w:cs="Arial"/>
          <w:sz w:val="24"/>
        </w:rPr>
        <w:t xml:space="preserve"> к неработающим кредитам (NPL 90+)</w:t>
      </w:r>
      <w:r w:rsidR="00E75FBD">
        <w:rPr>
          <w:rFonts w:ascii="Arial" w:hAnsi="Arial" w:cs="Arial"/>
          <w:sz w:val="24"/>
        </w:rPr>
        <w:t>;</w:t>
      </w:r>
      <w:r w:rsidRPr="00E75FBD">
        <w:rPr>
          <w:rFonts w:ascii="Arial" w:hAnsi="Arial" w:cs="Arial"/>
          <w:sz w:val="24"/>
        </w:rPr>
        <w:t xml:space="preserve"> </w:t>
      </w:r>
      <w:r w:rsidR="00E75FBD" w:rsidRPr="00E75FBD">
        <w:rPr>
          <w:rFonts w:ascii="Arial" w:hAnsi="Arial" w:cs="Arial"/>
          <w:sz w:val="24"/>
        </w:rPr>
        <w:t>коэффициент покрытия ликвидности (</w:t>
      </w:r>
      <w:r w:rsidRPr="00E75FBD">
        <w:rPr>
          <w:rFonts w:ascii="Arial" w:hAnsi="Arial" w:cs="Arial"/>
          <w:sz w:val="24"/>
        </w:rPr>
        <w:t>LCR</w:t>
      </w:r>
      <w:r w:rsidR="00E75FBD" w:rsidRPr="00E75FBD">
        <w:rPr>
          <w:rFonts w:ascii="Arial" w:hAnsi="Arial" w:cs="Arial"/>
          <w:sz w:val="24"/>
        </w:rPr>
        <w:t>)</w:t>
      </w:r>
      <w:r w:rsidR="00E75FBD">
        <w:rPr>
          <w:rFonts w:ascii="Arial" w:hAnsi="Arial" w:cs="Arial"/>
          <w:sz w:val="24"/>
        </w:rPr>
        <w:t>;</w:t>
      </w:r>
      <w:r w:rsidRPr="00E75FBD">
        <w:rPr>
          <w:rFonts w:ascii="Arial" w:hAnsi="Arial" w:cs="Arial"/>
          <w:sz w:val="24"/>
        </w:rPr>
        <w:t xml:space="preserve"> </w:t>
      </w:r>
      <w:r w:rsidR="00E75FBD" w:rsidRPr="00E75FBD">
        <w:rPr>
          <w:rFonts w:ascii="Arial" w:hAnsi="Arial" w:cs="Arial"/>
          <w:sz w:val="24"/>
        </w:rPr>
        <w:t>коэффициент нетто стабильного фондирования (</w:t>
      </w:r>
      <w:r w:rsidRPr="00E75FBD">
        <w:rPr>
          <w:rFonts w:ascii="Arial" w:hAnsi="Arial" w:cs="Arial"/>
          <w:sz w:val="24"/>
        </w:rPr>
        <w:t>NSFR</w:t>
      </w:r>
      <w:r w:rsidR="00E75FBD" w:rsidRPr="00E75FBD">
        <w:rPr>
          <w:rFonts w:ascii="Arial" w:hAnsi="Arial" w:cs="Arial"/>
          <w:sz w:val="24"/>
        </w:rPr>
        <w:t>)</w:t>
      </w:r>
      <w:r w:rsidR="00E75FBD">
        <w:rPr>
          <w:rFonts w:ascii="Arial" w:hAnsi="Arial" w:cs="Arial"/>
          <w:sz w:val="24"/>
        </w:rPr>
        <w:t>;</w:t>
      </w:r>
      <w:r w:rsidRPr="00E75FBD">
        <w:rPr>
          <w:rFonts w:ascii="Arial" w:hAnsi="Arial" w:cs="Arial"/>
          <w:sz w:val="24"/>
        </w:rPr>
        <w:t xml:space="preserve"> </w:t>
      </w:r>
      <w:r w:rsidR="00E75FBD">
        <w:rPr>
          <w:rFonts w:ascii="Arial" w:hAnsi="Arial" w:cs="Arial"/>
          <w:sz w:val="24"/>
        </w:rPr>
        <w:t xml:space="preserve">рост кредитования частного сектора. </w:t>
      </w:r>
      <w:r w:rsidR="009A60C9">
        <w:rPr>
          <w:rFonts w:ascii="Arial" w:hAnsi="Arial" w:cs="Arial"/>
          <w:sz w:val="24"/>
        </w:rPr>
        <w:t xml:space="preserve">Ряды данных для новых индикаторов начинаются с 2022 года. </w:t>
      </w:r>
    </w:p>
    <w:p w:rsidR="001A254D" w:rsidRPr="00E75FBD" w:rsidRDefault="00C43282" w:rsidP="00681593">
      <w:pPr>
        <w:pStyle w:val="a5"/>
        <w:numPr>
          <w:ilvl w:val="0"/>
          <w:numId w:val="3"/>
        </w:numPr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Данные о Резервах (провизиях)</w:t>
      </w:r>
      <w:r w:rsidR="00B86DE5" w:rsidRPr="00E75FBD">
        <w:rPr>
          <w:rFonts w:ascii="Arial" w:hAnsi="Arial" w:cs="Arial"/>
          <w:sz w:val="24"/>
        </w:rPr>
        <w:t xml:space="preserve"> в отношении финансовых активов </w:t>
      </w:r>
      <w:r w:rsidRPr="00E75FBD">
        <w:rPr>
          <w:rFonts w:ascii="Arial" w:hAnsi="Arial" w:cs="Arial"/>
          <w:sz w:val="24"/>
        </w:rPr>
        <w:t xml:space="preserve">разделены на две категории: </w:t>
      </w:r>
      <w:r w:rsidRPr="00E75FBD">
        <w:rPr>
          <w:rFonts w:ascii="Arial" w:hAnsi="Arial" w:cs="Arial"/>
          <w:i/>
          <w:sz w:val="24"/>
        </w:rPr>
        <w:t>Резервы по неработающим займам (</w:t>
      </w:r>
      <w:proofErr w:type="spellStart"/>
      <w:r w:rsidRPr="00E75FBD">
        <w:rPr>
          <w:rFonts w:ascii="Arial" w:hAnsi="Arial" w:cs="Arial"/>
          <w:i/>
          <w:sz w:val="24"/>
        </w:rPr>
        <w:t>Specific</w:t>
      </w:r>
      <w:proofErr w:type="spellEnd"/>
      <w:r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Pr="00E75FBD">
        <w:rPr>
          <w:rFonts w:ascii="Arial" w:hAnsi="Arial" w:cs="Arial"/>
          <w:i/>
          <w:sz w:val="24"/>
        </w:rPr>
        <w:t>provisions</w:t>
      </w:r>
      <w:proofErr w:type="spellEnd"/>
      <w:r w:rsidRPr="00E75FBD">
        <w:rPr>
          <w:rFonts w:ascii="Arial" w:hAnsi="Arial" w:cs="Arial"/>
          <w:i/>
          <w:sz w:val="24"/>
        </w:rPr>
        <w:t>)</w:t>
      </w:r>
      <w:r w:rsidR="001F2D8E" w:rsidRPr="00E75FBD">
        <w:rPr>
          <w:rFonts w:ascii="Arial" w:hAnsi="Arial" w:cs="Arial"/>
          <w:sz w:val="24"/>
        </w:rPr>
        <w:t>,</w:t>
      </w:r>
      <w:r w:rsidR="00F17536" w:rsidRPr="00E75FBD">
        <w:rPr>
          <w:rFonts w:ascii="Arial" w:hAnsi="Arial" w:cs="Arial"/>
          <w:sz w:val="24"/>
        </w:rPr>
        <w:t xml:space="preserve"> которые </w:t>
      </w:r>
      <w:r w:rsidR="006C3F40" w:rsidRPr="00E75FBD">
        <w:rPr>
          <w:rFonts w:ascii="Arial" w:hAnsi="Arial" w:cs="Arial"/>
          <w:sz w:val="24"/>
        </w:rPr>
        <w:t xml:space="preserve">отражаются </w:t>
      </w:r>
      <w:r w:rsidR="001F2D8E" w:rsidRPr="00E75FBD">
        <w:rPr>
          <w:rFonts w:ascii="Arial" w:hAnsi="Arial" w:cs="Arial"/>
          <w:sz w:val="24"/>
        </w:rPr>
        <w:t>в Активах на балансе банка,</w:t>
      </w:r>
      <w:r w:rsidRPr="00E75FBD">
        <w:rPr>
          <w:rFonts w:ascii="Arial" w:hAnsi="Arial" w:cs="Arial"/>
          <w:sz w:val="24"/>
        </w:rPr>
        <w:t xml:space="preserve"> и </w:t>
      </w:r>
      <w:r w:rsidRPr="00E75FBD">
        <w:rPr>
          <w:rFonts w:ascii="Arial" w:hAnsi="Arial" w:cs="Arial"/>
          <w:i/>
          <w:sz w:val="24"/>
        </w:rPr>
        <w:t>Общие и прочие провизии (</w:t>
      </w:r>
      <w:proofErr w:type="spellStart"/>
      <w:r w:rsidRPr="00E75FBD">
        <w:rPr>
          <w:rFonts w:ascii="Arial" w:hAnsi="Arial" w:cs="Arial"/>
          <w:i/>
          <w:sz w:val="24"/>
        </w:rPr>
        <w:t>General</w:t>
      </w:r>
      <w:proofErr w:type="spellEnd"/>
      <w:r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Pr="00E75FBD">
        <w:rPr>
          <w:rFonts w:ascii="Arial" w:hAnsi="Arial" w:cs="Arial"/>
          <w:i/>
          <w:sz w:val="24"/>
        </w:rPr>
        <w:t>and</w:t>
      </w:r>
      <w:proofErr w:type="spellEnd"/>
      <w:r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Pr="00E75FBD">
        <w:rPr>
          <w:rFonts w:ascii="Arial" w:hAnsi="Arial" w:cs="Arial"/>
          <w:i/>
          <w:sz w:val="24"/>
        </w:rPr>
        <w:t>other</w:t>
      </w:r>
      <w:proofErr w:type="spellEnd"/>
      <w:r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Pr="00E75FBD">
        <w:rPr>
          <w:rFonts w:ascii="Arial" w:hAnsi="Arial" w:cs="Arial"/>
          <w:i/>
          <w:sz w:val="24"/>
        </w:rPr>
        <w:t>provisions</w:t>
      </w:r>
      <w:proofErr w:type="spellEnd"/>
      <w:r w:rsidRPr="00E75FBD">
        <w:rPr>
          <w:rFonts w:ascii="Arial" w:hAnsi="Arial" w:cs="Arial"/>
          <w:i/>
          <w:sz w:val="24"/>
        </w:rPr>
        <w:t>)</w:t>
      </w:r>
      <w:r w:rsidR="001F2D8E" w:rsidRPr="00E75FBD">
        <w:rPr>
          <w:rFonts w:ascii="Arial" w:hAnsi="Arial" w:cs="Arial"/>
          <w:sz w:val="24"/>
        </w:rPr>
        <w:t xml:space="preserve"> </w:t>
      </w:r>
      <w:r w:rsidR="006C3F40" w:rsidRPr="00E75FBD">
        <w:rPr>
          <w:rFonts w:ascii="Arial" w:hAnsi="Arial" w:cs="Arial"/>
          <w:sz w:val="24"/>
        </w:rPr>
        <w:t>–</w:t>
      </w:r>
      <w:r w:rsidR="00F17536" w:rsidRPr="00E75FBD">
        <w:rPr>
          <w:rFonts w:ascii="Arial" w:hAnsi="Arial" w:cs="Arial"/>
          <w:sz w:val="24"/>
        </w:rPr>
        <w:t xml:space="preserve"> </w:t>
      </w:r>
      <w:r w:rsidR="001F2D8E" w:rsidRPr="00E75FBD">
        <w:rPr>
          <w:rFonts w:ascii="Arial" w:hAnsi="Arial" w:cs="Arial"/>
          <w:sz w:val="24"/>
        </w:rPr>
        <w:t>в Обязательствах на балансе банка</w:t>
      </w:r>
      <w:r w:rsidR="00C54C1A" w:rsidRPr="00E75FBD">
        <w:rPr>
          <w:rFonts w:ascii="Arial" w:hAnsi="Arial" w:cs="Arial"/>
          <w:sz w:val="24"/>
        </w:rPr>
        <w:t xml:space="preserve">. </w:t>
      </w:r>
    </w:p>
    <w:p w:rsidR="00DA0687" w:rsidRPr="00E75FBD" w:rsidRDefault="001A254D" w:rsidP="00681593">
      <w:pPr>
        <w:pStyle w:val="a5"/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 xml:space="preserve">Стоит отметить, что </w:t>
      </w:r>
      <w:r w:rsidR="00C54C1A" w:rsidRPr="00E75FBD">
        <w:rPr>
          <w:rFonts w:ascii="Arial" w:hAnsi="Arial" w:cs="Arial"/>
          <w:sz w:val="24"/>
        </w:rPr>
        <w:t>в регуляторных данных, собираемых НБРК, данная к</w:t>
      </w:r>
      <w:r w:rsidR="00B86DE5" w:rsidRPr="00E75FBD">
        <w:rPr>
          <w:rFonts w:ascii="Arial" w:hAnsi="Arial" w:cs="Arial"/>
          <w:sz w:val="24"/>
        </w:rPr>
        <w:t xml:space="preserve">лассификация </w:t>
      </w:r>
      <w:r w:rsidR="00C54C1A" w:rsidRPr="00E75FBD">
        <w:rPr>
          <w:rFonts w:ascii="Arial" w:hAnsi="Arial" w:cs="Arial"/>
          <w:sz w:val="24"/>
        </w:rPr>
        <w:t>Резервов (провизий)</w:t>
      </w:r>
      <w:r w:rsidR="00B86DE5" w:rsidRPr="00E75FBD">
        <w:rPr>
          <w:rFonts w:ascii="Arial" w:hAnsi="Arial" w:cs="Arial"/>
          <w:sz w:val="24"/>
        </w:rPr>
        <w:t xml:space="preserve"> отсутствует.</w:t>
      </w:r>
      <w:r w:rsidRPr="00E75FBD">
        <w:rPr>
          <w:rFonts w:ascii="Arial" w:hAnsi="Arial" w:cs="Arial"/>
          <w:sz w:val="24"/>
        </w:rPr>
        <w:t xml:space="preserve"> </w:t>
      </w:r>
      <w:r w:rsidR="00B86DE5" w:rsidRPr="00E75FBD">
        <w:rPr>
          <w:rFonts w:ascii="Arial" w:hAnsi="Arial" w:cs="Arial"/>
          <w:sz w:val="24"/>
        </w:rPr>
        <w:t>Резервы (провизии) создаются в соответствии с международными стандартами финансовой отчетности (МСФО 9) и требованиями законодательства РК о бухгалтерском учете и финансовой отчетности</w:t>
      </w:r>
      <w:r w:rsidR="00F17536" w:rsidRPr="00E75FBD">
        <w:rPr>
          <w:rFonts w:ascii="Arial" w:hAnsi="Arial" w:cs="Arial"/>
          <w:sz w:val="24"/>
        </w:rPr>
        <w:t>. Согласно форме административных данных 700-N(D)</w:t>
      </w:r>
      <w:r w:rsidR="00F17536" w:rsidRPr="00E75FBD">
        <w:rPr>
          <w:rStyle w:val="a8"/>
          <w:rFonts w:ascii="Arial" w:hAnsi="Arial" w:cs="Arial"/>
          <w:sz w:val="24"/>
        </w:rPr>
        <w:footnoteReference w:id="2"/>
      </w:r>
      <w:r w:rsidR="00303775" w:rsidRPr="00E75FBD">
        <w:rPr>
          <w:rFonts w:ascii="Arial" w:hAnsi="Arial" w:cs="Arial"/>
          <w:sz w:val="24"/>
        </w:rPr>
        <w:t>,</w:t>
      </w:r>
      <w:r w:rsidR="00F17536" w:rsidRPr="00E75FBD">
        <w:rPr>
          <w:rFonts w:ascii="Arial" w:hAnsi="Arial" w:cs="Arial"/>
          <w:sz w:val="24"/>
        </w:rPr>
        <w:t xml:space="preserve"> </w:t>
      </w:r>
      <w:r w:rsidR="00303775" w:rsidRPr="00E75FBD">
        <w:rPr>
          <w:rFonts w:ascii="Arial" w:hAnsi="Arial" w:cs="Arial"/>
          <w:sz w:val="24"/>
        </w:rPr>
        <w:t xml:space="preserve">совокупные </w:t>
      </w:r>
      <w:r w:rsidR="00F17536" w:rsidRPr="00E75FBD">
        <w:rPr>
          <w:rFonts w:ascii="Arial" w:hAnsi="Arial" w:cs="Arial"/>
          <w:sz w:val="24"/>
        </w:rPr>
        <w:t xml:space="preserve">Резервы (провизии) по ссудному портфелю учитываются </w:t>
      </w:r>
      <w:r w:rsidR="00303775" w:rsidRPr="00E75FBD">
        <w:rPr>
          <w:rFonts w:ascii="Arial" w:hAnsi="Arial" w:cs="Arial"/>
          <w:sz w:val="24"/>
        </w:rPr>
        <w:t xml:space="preserve">на активной стороне баланса банка со знаком минус, уменьшая величину активов и отражая собой отчисления, направленные на покрытие потенциальных убытков </w:t>
      </w:r>
      <w:r w:rsidR="00303775" w:rsidRPr="00E75FBD">
        <w:rPr>
          <w:rFonts w:ascii="Arial" w:hAnsi="Arial" w:cs="Arial"/>
          <w:b/>
          <w:sz w:val="24"/>
        </w:rPr>
        <w:t xml:space="preserve">по </w:t>
      </w:r>
      <w:r w:rsidR="003416B5" w:rsidRPr="00E75FBD">
        <w:rPr>
          <w:rFonts w:ascii="Arial" w:hAnsi="Arial" w:cs="Arial"/>
          <w:b/>
          <w:sz w:val="24"/>
        </w:rPr>
        <w:t xml:space="preserve">всему </w:t>
      </w:r>
      <w:r w:rsidR="00303775" w:rsidRPr="00E75FBD">
        <w:rPr>
          <w:rFonts w:ascii="Arial" w:hAnsi="Arial" w:cs="Arial"/>
          <w:b/>
          <w:sz w:val="24"/>
        </w:rPr>
        <w:t>ссудному портфелю</w:t>
      </w:r>
      <w:r w:rsidR="00303775" w:rsidRPr="00E75FBD">
        <w:rPr>
          <w:rFonts w:ascii="Arial" w:hAnsi="Arial" w:cs="Arial"/>
          <w:sz w:val="24"/>
        </w:rPr>
        <w:t xml:space="preserve">. </w:t>
      </w:r>
    </w:p>
    <w:p w:rsidR="00B86DE5" w:rsidRPr="00E75FBD" w:rsidRDefault="00B86DE5" w:rsidP="00681593">
      <w:pPr>
        <w:pStyle w:val="a5"/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 xml:space="preserve">Таким образом, </w:t>
      </w:r>
      <w:r w:rsidR="00C37676" w:rsidRPr="00E75FBD">
        <w:rPr>
          <w:rFonts w:ascii="Arial" w:hAnsi="Arial" w:cs="Arial"/>
          <w:sz w:val="24"/>
        </w:rPr>
        <w:t xml:space="preserve">для сбора </w:t>
      </w:r>
      <w:r w:rsidRPr="00E75FBD">
        <w:rPr>
          <w:rFonts w:ascii="Arial" w:hAnsi="Arial" w:cs="Arial"/>
          <w:sz w:val="24"/>
        </w:rPr>
        <w:t>вы</w:t>
      </w:r>
      <w:r w:rsidR="00C37676" w:rsidRPr="00E75FBD">
        <w:rPr>
          <w:rFonts w:ascii="Arial" w:hAnsi="Arial" w:cs="Arial"/>
          <w:sz w:val="24"/>
        </w:rPr>
        <w:t xml:space="preserve">шеуказанных рядов данных и их отражения в соответствии с формой отчетности МВФ, применяется </w:t>
      </w:r>
      <w:r w:rsidRPr="00E75FBD">
        <w:rPr>
          <w:rFonts w:ascii="Arial" w:hAnsi="Arial" w:cs="Arial"/>
          <w:sz w:val="24"/>
        </w:rPr>
        <w:t>с</w:t>
      </w:r>
      <w:r w:rsidR="00C37676" w:rsidRPr="00E75FBD">
        <w:rPr>
          <w:rFonts w:ascii="Arial" w:hAnsi="Arial" w:cs="Arial"/>
          <w:sz w:val="24"/>
        </w:rPr>
        <w:t>ледующий</w:t>
      </w:r>
      <w:r w:rsidRPr="00E75FBD">
        <w:rPr>
          <w:rFonts w:ascii="Arial" w:hAnsi="Arial" w:cs="Arial"/>
          <w:sz w:val="24"/>
        </w:rPr>
        <w:t xml:space="preserve"> </w:t>
      </w:r>
      <w:r w:rsidR="00C37676" w:rsidRPr="00E75FBD">
        <w:rPr>
          <w:rFonts w:ascii="Arial" w:hAnsi="Arial" w:cs="Arial"/>
          <w:sz w:val="24"/>
        </w:rPr>
        <w:t>метод</w:t>
      </w:r>
      <w:r w:rsidRPr="00E75FBD">
        <w:rPr>
          <w:rFonts w:ascii="Arial" w:hAnsi="Arial" w:cs="Arial"/>
          <w:sz w:val="24"/>
        </w:rPr>
        <w:t xml:space="preserve">: </w:t>
      </w:r>
    </w:p>
    <w:p w:rsidR="00DA0687" w:rsidRPr="00E75FBD" w:rsidRDefault="00DA0687" w:rsidP="00681593">
      <w:pPr>
        <w:pStyle w:val="a5"/>
        <w:numPr>
          <w:ilvl w:val="0"/>
          <w:numId w:val="4"/>
        </w:numPr>
        <w:spacing w:after="120"/>
        <w:ind w:hanging="294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На стороне Активов:</w:t>
      </w:r>
      <w:r w:rsidRPr="00E75FBD">
        <w:rPr>
          <w:rFonts w:ascii="Arial" w:hAnsi="Arial" w:cs="Arial"/>
          <w:i/>
          <w:sz w:val="24"/>
        </w:rPr>
        <w:t xml:space="preserve"> </w:t>
      </w:r>
    </w:p>
    <w:p w:rsidR="00CC6134" w:rsidRPr="00E75FBD" w:rsidRDefault="00B86DE5" w:rsidP="00526C9D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i/>
          <w:sz w:val="24"/>
        </w:rPr>
        <w:lastRenderedPageBreak/>
        <w:t>Резервы по неработающим займам (</w:t>
      </w:r>
      <w:proofErr w:type="spellStart"/>
      <w:r w:rsidRPr="00E75FBD">
        <w:rPr>
          <w:rFonts w:ascii="Arial" w:hAnsi="Arial" w:cs="Arial"/>
          <w:i/>
          <w:sz w:val="24"/>
        </w:rPr>
        <w:t>Specific</w:t>
      </w:r>
      <w:proofErr w:type="spellEnd"/>
      <w:r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Pr="00E75FBD">
        <w:rPr>
          <w:rFonts w:ascii="Arial" w:hAnsi="Arial" w:cs="Arial"/>
          <w:i/>
          <w:sz w:val="24"/>
        </w:rPr>
        <w:t>provisions</w:t>
      </w:r>
      <w:proofErr w:type="spellEnd"/>
      <w:r w:rsidRPr="00E75FBD">
        <w:rPr>
          <w:rFonts w:ascii="Arial" w:hAnsi="Arial" w:cs="Arial"/>
          <w:i/>
          <w:sz w:val="24"/>
        </w:rPr>
        <w:t>)</w:t>
      </w:r>
      <w:r w:rsidRPr="00E75FBD">
        <w:rPr>
          <w:rFonts w:ascii="Arial" w:hAnsi="Arial" w:cs="Arial"/>
          <w:sz w:val="24"/>
        </w:rPr>
        <w:t xml:space="preserve"> = Провизии по займам с просроченной задолженностью свыше 90 дней</w:t>
      </w:r>
      <w:bookmarkStart w:id="0" w:name="_Ref172559452"/>
      <w:r w:rsidR="00CC6134" w:rsidRPr="00E75FBD">
        <w:rPr>
          <w:rStyle w:val="a8"/>
          <w:rFonts w:ascii="Arial" w:hAnsi="Arial" w:cs="Arial"/>
          <w:sz w:val="24"/>
        </w:rPr>
        <w:footnoteReference w:id="3"/>
      </w:r>
      <w:bookmarkEnd w:id="0"/>
      <w:r w:rsidRPr="00E75FBD">
        <w:rPr>
          <w:rFonts w:ascii="Arial" w:hAnsi="Arial" w:cs="Arial"/>
          <w:sz w:val="24"/>
        </w:rPr>
        <w:t xml:space="preserve"> </w:t>
      </w:r>
    </w:p>
    <w:p w:rsidR="00DA0687" w:rsidRPr="00E75FBD" w:rsidRDefault="00DA0687" w:rsidP="00681593">
      <w:pPr>
        <w:pStyle w:val="a5"/>
        <w:numPr>
          <w:ilvl w:val="0"/>
          <w:numId w:val="4"/>
        </w:numPr>
        <w:spacing w:after="120"/>
        <w:ind w:hanging="294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На стороне Обязательств:</w:t>
      </w:r>
    </w:p>
    <w:p w:rsidR="00B86DE5" w:rsidRPr="00E75FBD" w:rsidRDefault="00CC6134" w:rsidP="00681593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i/>
          <w:sz w:val="24"/>
        </w:rPr>
        <w:t>Общие и прочие провизии (</w:t>
      </w:r>
      <w:proofErr w:type="spellStart"/>
      <w:r w:rsidRPr="00E75FBD">
        <w:rPr>
          <w:rFonts w:ascii="Arial" w:hAnsi="Arial" w:cs="Arial"/>
          <w:i/>
          <w:sz w:val="24"/>
        </w:rPr>
        <w:t>General</w:t>
      </w:r>
      <w:proofErr w:type="spellEnd"/>
      <w:r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Pr="00E75FBD">
        <w:rPr>
          <w:rFonts w:ascii="Arial" w:hAnsi="Arial" w:cs="Arial"/>
          <w:i/>
          <w:sz w:val="24"/>
        </w:rPr>
        <w:t>and</w:t>
      </w:r>
      <w:proofErr w:type="spellEnd"/>
      <w:r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Pr="00E75FBD">
        <w:rPr>
          <w:rFonts w:ascii="Arial" w:hAnsi="Arial" w:cs="Arial"/>
          <w:i/>
          <w:sz w:val="24"/>
        </w:rPr>
        <w:t>other</w:t>
      </w:r>
      <w:proofErr w:type="spellEnd"/>
      <w:r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Pr="00E75FBD">
        <w:rPr>
          <w:rFonts w:ascii="Arial" w:hAnsi="Arial" w:cs="Arial"/>
          <w:i/>
          <w:sz w:val="24"/>
        </w:rPr>
        <w:t>provisions</w:t>
      </w:r>
      <w:proofErr w:type="spellEnd"/>
      <w:r w:rsidRPr="00E75FBD">
        <w:rPr>
          <w:rFonts w:ascii="Arial" w:hAnsi="Arial" w:cs="Arial"/>
          <w:i/>
          <w:sz w:val="24"/>
        </w:rPr>
        <w:t xml:space="preserve">) = </w:t>
      </w:r>
      <w:r w:rsidRPr="00E75FBD">
        <w:rPr>
          <w:rFonts w:ascii="Arial" w:hAnsi="Arial" w:cs="Arial"/>
          <w:sz w:val="24"/>
        </w:rPr>
        <w:t xml:space="preserve">Провизии </w:t>
      </w:r>
      <w:r w:rsidR="00124781" w:rsidRPr="00E75FBD">
        <w:rPr>
          <w:rFonts w:ascii="Arial" w:hAnsi="Arial" w:cs="Arial"/>
          <w:sz w:val="24"/>
        </w:rPr>
        <w:t>по</w:t>
      </w:r>
      <w:r w:rsidRPr="00E75FBD">
        <w:rPr>
          <w:rFonts w:ascii="Arial" w:hAnsi="Arial" w:cs="Arial"/>
          <w:sz w:val="24"/>
        </w:rPr>
        <w:t xml:space="preserve"> МСФО по всему ссудному портфелю</w:t>
      </w:r>
      <w:r w:rsidR="00124781" w:rsidRPr="00E75FBD">
        <w:rPr>
          <w:rStyle w:val="a8"/>
          <w:rFonts w:ascii="Arial" w:hAnsi="Arial" w:cs="Arial"/>
        </w:rPr>
        <w:fldChar w:fldCharType="begin"/>
      </w:r>
      <w:r w:rsidR="00124781" w:rsidRPr="00E75FBD">
        <w:rPr>
          <w:rStyle w:val="a8"/>
          <w:rFonts w:ascii="Arial" w:hAnsi="Arial" w:cs="Arial"/>
        </w:rPr>
        <w:instrText xml:space="preserve"> NOTEREF _Ref172559452 \f \h  \* MERGEFORMAT </w:instrText>
      </w:r>
      <w:r w:rsidR="00124781" w:rsidRPr="00E75FBD">
        <w:rPr>
          <w:rStyle w:val="a8"/>
          <w:rFonts w:ascii="Arial" w:hAnsi="Arial" w:cs="Arial"/>
        </w:rPr>
      </w:r>
      <w:r w:rsidR="00124781" w:rsidRPr="00E75FBD">
        <w:rPr>
          <w:rStyle w:val="a8"/>
          <w:rFonts w:ascii="Arial" w:hAnsi="Arial" w:cs="Arial"/>
        </w:rPr>
        <w:fldChar w:fldCharType="separate"/>
      </w:r>
      <w:r w:rsidR="00124781" w:rsidRPr="00E75FBD">
        <w:rPr>
          <w:rStyle w:val="a8"/>
          <w:rFonts w:ascii="Arial" w:hAnsi="Arial" w:cs="Arial"/>
          <w:sz w:val="24"/>
        </w:rPr>
        <w:t>2</w:t>
      </w:r>
      <w:r w:rsidR="00124781" w:rsidRPr="00E75FBD">
        <w:rPr>
          <w:rStyle w:val="a8"/>
          <w:rFonts w:ascii="Arial" w:hAnsi="Arial" w:cs="Arial"/>
        </w:rPr>
        <w:fldChar w:fldCharType="end"/>
      </w:r>
      <w:r w:rsidRPr="00E75FBD">
        <w:rPr>
          <w:rStyle w:val="a8"/>
          <w:rFonts w:ascii="Arial" w:hAnsi="Arial" w:cs="Arial"/>
        </w:rPr>
        <w:t xml:space="preserve"> </w:t>
      </w:r>
      <w:r w:rsidRPr="00E75FBD">
        <w:rPr>
          <w:rFonts w:ascii="Arial" w:hAnsi="Arial" w:cs="Arial"/>
          <w:sz w:val="24"/>
        </w:rPr>
        <w:t>– Провизии по займам с просроченной задолженностью свыше 90 дней</w:t>
      </w:r>
    </w:p>
    <w:p w:rsidR="00124781" w:rsidRPr="00E75FBD" w:rsidRDefault="00124781" w:rsidP="00686E32">
      <w:pPr>
        <w:pStyle w:val="a5"/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В результате применения вышеуказанного подхода для</w:t>
      </w:r>
      <w:r w:rsidR="00DA0687" w:rsidRPr="00E75FBD">
        <w:rPr>
          <w:rFonts w:ascii="Arial" w:hAnsi="Arial" w:cs="Arial"/>
          <w:sz w:val="24"/>
        </w:rPr>
        <w:t xml:space="preserve"> формирования рядов данных</w:t>
      </w:r>
      <w:r w:rsidRPr="00E75FBD">
        <w:rPr>
          <w:rFonts w:ascii="Arial" w:hAnsi="Arial" w:cs="Arial"/>
          <w:sz w:val="24"/>
        </w:rPr>
        <w:t xml:space="preserve">, </w:t>
      </w:r>
      <w:r w:rsidR="00DA0687" w:rsidRPr="00E75FBD">
        <w:rPr>
          <w:rFonts w:ascii="Arial" w:hAnsi="Arial" w:cs="Arial"/>
          <w:b/>
          <w:sz w:val="24"/>
        </w:rPr>
        <w:t xml:space="preserve">итоговая </w:t>
      </w:r>
      <w:r w:rsidRPr="00E75FBD">
        <w:rPr>
          <w:rFonts w:ascii="Arial" w:hAnsi="Arial" w:cs="Arial"/>
          <w:b/>
          <w:sz w:val="24"/>
        </w:rPr>
        <w:t>сумма совокупных активов и обязательств банков будет выше сумм, публикуемых на сайте НБРК</w:t>
      </w:r>
      <w:r w:rsidRPr="00E75FBD">
        <w:rPr>
          <w:rFonts w:ascii="Arial" w:hAnsi="Arial" w:cs="Arial"/>
          <w:sz w:val="24"/>
        </w:rPr>
        <w:t xml:space="preserve">, на объем, равный </w:t>
      </w:r>
      <w:r w:rsidRPr="00E75FBD">
        <w:rPr>
          <w:rFonts w:ascii="Arial" w:hAnsi="Arial" w:cs="Arial"/>
          <w:i/>
          <w:sz w:val="24"/>
        </w:rPr>
        <w:t>Общим и прочим провизиям</w:t>
      </w:r>
      <w:r w:rsidR="00526C9D" w:rsidRPr="00E75FBD">
        <w:rPr>
          <w:rFonts w:ascii="Arial" w:hAnsi="Arial" w:cs="Arial"/>
          <w:i/>
          <w:sz w:val="24"/>
        </w:rPr>
        <w:t xml:space="preserve"> (</w:t>
      </w:r>
      <w:proofErr w:type="spellStart"/>
      <w:r w:rsidR="00526C9D" w:rsidRPr="00E75FBD">
        <w:rPr>
          <w:rFonts w:ascii="Arial" w:hAnsi="Arial" w:cs="Arial"/>
          <w:i/>
          <w:sz w:val="24"/>
        </w:rPr>
        <w:t>General</w:t>
      </w:r>
      <w:proofErr w:type="spellEnd"/>
      <w:r w:rsidR="00526C9D"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="00526C9D" w:rsidRPr="00E75FBD">
        <w:rPr>
          <w:rFonts w:ascii="Arial" w:hAnsi="Arial" w:cs="Arial"/>
          <w:i/>
          <w:sz w:val="24"/>
        </w:rPr>
        <w:t>and</w:t>
      </w:r>
      <w:proofErr w:type="spellEnd"/>
      <w:r w:rsidR="00526C9D"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="00526C9D" w:rsidRPr="00E75FBD">
        <w:rPr>
          <w:rFonts w:ascii="Arial" w:hAnsi="Arial" w:cs="Arial"/>
          <w:i/>
          <w:sz w:val="24"/>
        </w:rPr>
        <w:t>other</w:t>
      </w:r>
      <w:proofErr w:type="spellEnd"/>
      <w:r w:rsidR="00526C9D" w:rsidRPr="00E75FBD">
        <w:rPr>
          <w:rFonts w:ascii="Arial" w:hAnsi="Arial" w:cs="Arial"/>
          <w:i/>
          <w:sz w:val="24"/>
        </w:rPr>
        <w:t xml:space="preserve"> </w:t>
      </w:r>
      <w:proofErr w:type="spellStart"/>
      <w:r w:rsidR="00526C9D" w:rsidRPr="00E75FBD">
        <w:rPr>
          <w:rFonts w:ascii="Arial" w:hAnsi="Arial" w:cs="Arial"/>
          <w:i/>
          <w:sz w:val="24"/>
        </w:rPr>
        <w:t>provisions</w:t>
      </w:r>
      <w:proofErr w:type="spellEnd"/>
      <w:r w:rsidR="00526C9D" w:rsidRPr="00E75FBD">
        <w:rPr>
          <w:rFonts w:ascii="Arial" w:hAnsi="Arial" w:cs="Arial"/>
          <w:i/>
          <w:sz w:val="24"/>
        </w:rPr>
        <w:t>)</w:t>
      </w:r>
      <w:r w:rsidRPr="00E75FBD">
        <w:rPr>
          <w:rFonts w:ascii="Arial" w:hAnsi="Arial" w:cs="Arial"/>
          <w:sz w:val="24"/>
        </w:rPr>
        <w:t xml:space="preserve">, поскольку </w:t>
      </w:r>
      <w:r w:rsidR="00372C5F" w:rsidRPr="00E75FBD">
        <w:rPr>
          <w:rFonts w:ascii="Arial" w:hAnsi="Arial" w:cs="Arial"/>
          <w:sz w:val="24"/>
        </w:rPr>
        <w:t xml:space="preserve">согласно </w:t>
      </w:r>
      <w:proofErr w:type="gramStart"/>
      <w:r w:rsidR="00372C5F" w:rsidRPr="00E75FBD">
        <w:rPr>
          <w:rFonts w:ascii="Arial" w:hAnsi="Arial" w:cs="Arial"/>
          <w:sz w:val="24"/>
        </w:rPr>
        <w:t>методологии</w:t>
      </w:r>
      <w:proofErr w:type="gramEnd"/>
      <w:r w:rsidR="00372C5F" w:rsidRPr="00E75FBD">
        <w:rPr>
          <w:rFonts w:ascii="Arial" w:hAnsi="Arial" w:cs="Arial"/>
          <w:sz w:val="24"/>
        </w:rPr>
        <w:t xml:space="preserve"> FSI </w:t>
      </w:r>
      <w:r w:rsidRPr="00E75FBD">
        <w:rPr>
          <w:rFonts w:ascii="Arial" w:hAnsi="Arial" w:cs="Arial"/>
          <w:sz w:val="24"/>
        </w:rPr>
        <w:t xml:space="preserve">эта часть резервов (провизий) </w:t>
      </w:r>
      <w:r w:rsidR="00372C5F" w:rsidRPr="00E75FBD">
        <w:rPr>
          <w:rFonts w:ascii="Arial" w:hAnsi="Arial" w:cs="Arial"/>
          <w:sz w:val="24"/>
        </w:rPr>
        <w:t>отражается с положительным знаком на пассивной стороне баланса банков</w:t>
      </w:r>
      <w:r w:rsidRPr="00E75FBD">
        <w:rPr>
          <w:rFonts w:ascii="Arial" w:hAnsi="Arial" w:cs="Arial"/>
          <w:sz w:val="24"/>
        </w:rPr>
        <w:t>.</w:t>
      </w:r>
    </w:p>
    <w:p w:rsidR="00DA0687" w:rsidRPr="00E75FBD" w:rsidRDefault="00581E93" w:rsidP="00681593">
      <w:pPr>
        <w:pStyle w:val="a5"/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Для обеспечения соответствия требованиям МВФ</w:t>
      </w:r>
      <w:r w:rsidR="001F2D8E" w:rsidRPr="00E75FBD">
        <w:rPr>
          <w:rFonts w:ascii="Arial" w:hAnsi="Arial" w:cs="Arial"/>
          <w:sz w:val="24"/>
        </w:rPr>
        <w:t>,</w:t>
      </w:r>
      <w:r w:rsidRPr="00E75FBD">
        <w:rPr>
          <w:rFonts w:ascii="Arial" w:hAnsi="Arial" w:cs="Arial"/>
          <w:sz w:val="24"/>
        </w:rPr>
        <w:t xml:space="preserve"> </w:t>
      </w:r>
      <w:r w:rsidR="00C37676" w:rsidRPr="00E75FBD">
        <w:rPr>
          <w:rFonts w:ascii="Arial" w:hAnsi="Arial" w:cs="Arial"/>
          <w:sz w:val="24"/>
        </w:rPr>
        <w:t xml:space="preserve">необходимые коррективы </w:t>
      </w:r>
      <w:r w:rsidR="001F2D8E" w:rsidRPr="00E75FBD">
        <w:rPr>
          <w:rFonts w:ascii="Arial" w:hAnsi="Arial" w:cs="Arial"/>
          <w:sz w:val="24"/>
        </w:rPr>
        <w:t xml:space="preserve">были </w:t>
      </w:r>
      <w:r w:rsidR="00C37676" w:rsidRPr="00E75FBD">
        <w:rPr>
          <w:rFonts w:ascii="Arial" w:hAnsi="Arial" w:cs="Arial"/>
          <w:sz w:val="24"/>
        </w:rPr>
        <w:t xml:space="preserve">также </w:t>
      </w:r>
      <w:r w:rsidR="001F2D8E" w:rsidRPr="00E75FBD">
        <w:rPr>
          <w:rFonts w:ascii="Arial" w:hAnsi="Arial" w:cs="Arial"/>
          <w:sz w:val="24"/>
        </w:rPr>
        <w:t xml:space="preserve">проведены </w:t>
      </w:r>
      <w:r w:rsidRPr="00E75FBD">
        <w:rPr>
          <w:rFonts w:ascii="Arial" w:hAnsi="Arial" w:cs="Arial"/>
          <w:sz w:val="24"/>
        </w:rPr>
        <w:t xml:space="preserve">в </w:t>
      </w:r>
      <w:r w:rsidR="001F2D8E" w:rsidRPr="00E75FBD">
        <w:rPr>
          <w:rFonts w:ascii="Arial" w:hAnsi="Arial" w:cs="Arial"/>
          <w:sz w:val="24"/>
        </w:rPr>
        <w:t>исторических данных</w:t>
      </w:r>
      <w:r w:rsidRPr="00E75FBD">
        <w:rPr>
          <w:rFonts w:ascii="Arial" w:hAnsi="Arial" w:cs="Arial"/>
          <w:sz w:val="24"/>
        </w:rPr>
        <w:t>.</w:t>
      </w:r>
    </w:p>
    <w:p w:rsidR="005F4A7A" w:rsidRPr="00E75FBD" w:rsidRDefault="007068B8" w:rsidP="00681593">
      <w:pPr>
        <w:pStyle w:val="a5"/>
        <w:numPr>
          <w:ilvl w:val="0"/>
          <w:numId w:val="3"/>
        </w:numPr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 xml:space="preserve">В разбивке ссудного портфеля по секторам экономики использовались данные из 700-N(D) на основе показателя «Код сектора экономики». </w:t>
      </w:r>
      <w:r w:rsidR="003806AC" w:rsidRPr="00E75FBD">
        <w:rPr>
          <w:rFonts w:ascii="Arial" w:hAnsi="Arial" w:cs="Arial"/>
          <w:sz w:val="24"/>
        </w:rPr>
        <w:t>Для формирования ссудного портфеля</w:t>
      </w:r>
      <w:r w:rsidR="005F4A7A" w:rsidRPr="00E75FBD">
        <w:rPr>
          <w:rFonts w:ascii="Arial" w:hAnsi="Arial" w:cs="Arial"/>
          <w:sz w:val="24"/>
        </w:rPr>
        <w:t xml:space="preserve"> (за исключением межбанковских займов)</w:t>
      </w:r>
      <w:r w:rsidR="003806AC" w:rsidRPr="00E75FBD">
        <w:rPr>
          <w:rFonts w:ascii="Arial" w:hAnsi="Arial" w:cs="Arial"/>
          <w:sz w:val="24"/>
        </w:rPr>
        <w:t xml:space="preserve"> </w:t>
      </w:r>
      <w:r w:rsidR="00526C9D" w:rsidRPr="00E75FBD">
        <w:rPr>
          <w:rFonts w:ascii="Arial" w:hAnsi="Arial" w:cs="Arial"/>
          <w:sz w:val="24"/>
        </w:rPr>
        <w:t xml:space="preserve">взяты </w:t>
      </w:r>
      <w:r w:rsidR="003806AC" w:rsidRPr="00E75FBD">
        <w:rPr>
          <w:rFonts w:ascii="Arial" w:hAnsi="Arial" w:cs="Arial"/>
          <w:sz w:val="24"/>
        </w:rPr>
        <w:t xml:space="preserve">суммы, учитываемые на следующих счетах: </w:t>
      </w:r>
      <w:r w:rsidR="005F4A7A" w:rsidRPr="00E75FBD">
        <w:rPr>
          <w:rFonts w:ascii="Arial" w:hAnsi="Arial" w:cs="Arial"/>
          <w:sz w:val="24"/>
        </w:rPr>
        <w:t xml:space="preserve">1401, </w:t>
      </w:r>
      <w:r w:rsidR="003806AC" w:rsidRPr="00E75FBD">
        <w:rPr>
          <w:rFonts w:ascii="Arial" w:hAnsi="Arial" w:cs="Arial"/>
          <w:sz w:val="24"/>
        </w:rPr>
        <w:t xml:space="preserve">1403, 1405, 1407, 1409, 1411, 1417, 1420, 1421, 1422, 1423, 1424, 1425, 1426, 1427, 1429, 1461, 1462. </w:t>
      </w:r>
    </w:p>
    <w:p w:rsidR="0058004F" w:rsidRPr="00E75FBD" w:rsidRDefault="00372C5F" w:rsidP="00681593">
      <w:pPr>
        <w:pStyle w:val="a5"/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Отмечаем</w:t>
      </w:r>
      <w:r w:rsidR="003806AC" w:rsidRPr="00E75FBD">
        <w:rPr>
          <w:rFonts w:ascii="Arial" w:hAnsi="Arial" w:cs="Arial"/>
          <w:sz w:val="24"/>
        </w:rPr>
        <w:t xml:space="preserve">, что </w:t>
      </w:r>
      <w:r w:rsidR="005F4A7A" w:rsidRPr="00E75FBD">
        <w:rPr>
          <w:rFonts w:ascii="Arial" w:hAnsi="Arial" w:cs="Arial"/>
          <w:sz w:val="24"/>
        </w:rPr>
        <w:t xml:space="preserve">на счетах </w:t>
      </w:r>
      <w:r w:rsidR="003806AC" w:rsidRPr="00E75FBD">
        <w:rPr>
          <w:rFonts w:ascii="Arial" w:hAnsi="Arial" w:cs="Arial"/>
          <w:sz w:val="24"/>
        </w:rPr>
        <w:t>1426, 1427</w:t>
      </w:r>
      <w:r w:rsidR="005F4A7A" w:rsidRPr="00E75FBD">
        <w:rPr>
          <w:rFonts w:ascii="Arial" w:hAnsi="Arial" w:cs="Arial"/>
          <w:sz w:val="24"/>
        </w:rPr>
        <w:t xml:space="preserve"> ведется учет сумм требований исламских банков к </w:t>
      </w:r>
      <w:r w:rsidR="00526C9D" w:rsidRPr="00E75FBD">
        <w:rPr>
          <w:rFonts w:ascii="Arial" w:hAnsi="Arial" w:cs="Arial"/>
          <w:sz w:val="24"/>
        </w:rPr>
        <w:t xml:space="preserve">своим </w:t>
      </w:r>
      <w:r w:rsidR="005F4A7A" w:rsidRPr="00E75FBD">
        <w:rPr>
          <w:rFonts w:ascii="Arial" w:hAnsi="Arial" w:cs="Arial"/>
          <w:sz w:val="24"/>
        </w:rPr>
        <w:t xml:space="preserve">клиентам по операциям финансирования торговой деятельности и просроченная задолженность по ним. </w:t>
      </w:r>
      <w:r w:rsidR="003806C5" w:rsidRPr="00E75FBD">
        <w:rPr>
          <w:rFonts w:ascii="Arial" w:hAnsi="Arial" w:cs="Arial"/>
          <w:sz w:val="24"/>
        </w:rPr>
        <w:t>При этом с</w:t>
      </w:r>
      <w:r w:rsidR="005F4A7A" w:rsidRPr="00E75FBD">
        <w:rPr>
          <w:rFonts w:ascii="Arial" w:hAnsi="Arial" w:cs="Arial"/>
          <w:sz w:val="24"/>
        </w:rPr>
        <w:t>умма остатков по указанным балансовым счетам</w:t>
      </w:r>
      <w:r w:rsidR="003806C5" w:rsidRPr="00E75FBD">
        <w:rPr>
          <w:rFonts w:ascii="Arial" w:hAnsi="Arial" w:cs="Arial"/>
          <w:sz w:val="24"/>
        </w:rPr>
        <w:t xml:space="preserve"> включает в себя как сумму основного долга, так и сумму наценки по данным операциям. </w:t>
      </w:r>
    </w:p>
    <w:p w:rsidR="00B85FC8" w:rsidRPr="00E75FBD" w:rsidRDefault="0058004F" w:rsidP="00681593">
      <w:pPr>
        <w:pStyle w:val="a5"/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 xml:space="preserve">Учет сумм наценки по операциям финансирования торговой деятельности исламских банков ведется по счету </w:t>
      </w:r>
      <w:r w:rsidR="003806C5" w:rsidRPr="00E75FBD">
        <w:rPr>
          <w:rFonts w:ascii="Arial" w:hAnsi="Arial" w:cs="Arial"/>
          <w:sz w:val="24"/>
        </w:rPr>
        <w:t>8714 из формы административных данных «Отчет об отдельных показателях деятельности банка» (индекс – ADD)</w:t>
      </w:r>
      <w:r w:rsidRPr="00E75FBD">
        <w:rPr>
          <w:rFonts w:ascii="Arial" w:hAnsi="Arial" w:cs="Arial"/>
          <w:sz w:val="24"/>
        </w:rPr>
        <w:t>. Однако, исключение объема наценки возможно лишь на агрегированном уровне, поскольку в отчетности ADD отсутствует возможность разбивки по секторам экономики или иным детализированным показателям</w:t>
      </w:r>
      <w:r w:rsidR="00605302" w:rsidRPr="00E75FBD">
        <w:rPr>
          <w:rFonts w:ascii="Arial" w:hAnsi="Arial" w:cs="Arial"/>
          <w:sz w:val="24"/>
        </w:rPr>
        <w:t xml:space="preserve"> (валюта, резидентство и </w:t>
      </w:r>
      <w:proofErr w:type="spellStart"/>
      <w:r w:rsidR="00605302" w:rsidRPr="00E75FBD">
        <w:rPr>
          <w:rFonts w:ascii="Arial" w:hAnsi="Arial" w:cs="Arial"/>
          <w:sz w:val="24"/>
        </w:rPr>
        <w:t>тд</w:t>
      </w:r>
      <w:proofErr w:type="spellEnd"/>
      <w:r w:rsidR="00605302" w:rsidRPr="00E75FBD">
        <w:rPr>
          <w:rFonts w:ascii="Arial" w:hAnsi="Arial" w:cs="Arial"/>
          <w:sz w:val="24"/>
        </w:rPr>
        <w:t>.)</w:t>
      </w:r>
      <w:r w:rsidR="003806C5" w:rsidRPr="00E75FBD">
        <w:rPr>
          <w:rFonts w:ascii="Arial" w:hAnsi="Arial" w:cs="Arial"/>
          <w:sz w:val="24"/>
        </w:rPr>
        <w:t>.</w:t>
      </w:r>
      <w:r w:rsidR="00B85FC8" w:rsidRPr="00E75FBD">
        <w:rPr>
          <w:rFonts w:ascii="Arial" w:hAnsi="Arial" w:cs="Arial"/>
          <w:sz w:val="24"/>
        </w:rPr>
        <w:t xml:space="preserve"> </w:t>
      </w:r>
    </w:p>
    <w:p w:rsidR="0058004F" w:rsidRPr="00E75FBD" w:rsidRDefault="00B85FC8" w:rsidP="00681593">
      <w:pPr>
        <w:pStyle w:val="a5"/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 xml:space="preserve">В связи с вышесказанным, для корректного отражения совокупного ссудного портфеля, общая сумма наценки была исключена лишь из одного ряда данных, отражающего бóльшую часть ссудного портфеля (в частности, </w:t>
      </w:r>
      <w:r w:rsidR="00681593" w:rsidRPr="00E75FBD">
        <w:rPr>
          <w:rFonts w:ascii="Arial" w:hAnsi="Arial" w:cs="Arial"/>
          <w:sz w:val="24"/>
        </w:rPr>
        <w:t xml:space="preserve">из ряда данных </w:t>
      </w:r>
      <w:r w:rsidR="00681593" w:rsidRPr="00E75FBD">
        <w:rPr>
          <w:rFonts w:ascii="Arial" w:hAnsi="Arial" w:cs="Arial"/>
          <w:i/>
          <w:sz w:val="24"/>
        </w:rPr>
        <w:t>18</w:t>
      </w:r>
      <w:r w:rsidR="00372C5F" w:rsidRPr="00E75FBD">
        <w:rPr>
          <w:rFonts w:ascii="Arial" w:hAnsi="Arial" w:cs="Arial"/>
          <w:i/>
          <w:sz w:val="24"/>
        </w:rPr>
        <w:t xml:space="preserve"> </w:t>
      </w:r>
      <w:r w:rsidR="00681593" w:rsidRPr="00E75FBD">
        <w:rPr>
          <w:rFonts w:ascii="Arial" w:hAnsi="Arial" w:cs="Arial"/>
          <w:i/>
          <w:sz w:val="24"/>
        </w:rPr>
        <w:t>(</w:t>
      </w:r>
      <w:proofErr w:type="spellStart"/>
      <w:r w:rsidR="00681593" w:rsidRPr="00E75FBD">
        <w:rPr>
          <w:rFonts w:ascii="Arial" w:hAnsi="Arial" w:cs="Arial"/>
          <w:i/>
          <w:sz w:val="24"/>
        </w:rPr>
        <w:t>i.ii.v</w:t>
      </w:r>
      <w:proofErr w:type="spellEnd"/>
      <w:r w:rsidR="00681593" w:rsidRPr="00E75FBD">
        <w:rPr>
          <w:rFonts w:ascii="Arial" w:hAnsi="Arial" w:cs="Arial"/>
          <w:i/>
          <w:sz w:val="24"/>
        </w:rPr>
        <w:t>). Другие сектора экономики</w:t>
      </w:r>
      <w:r w:rsidRPr="00E75FBD">
        <w:rPr>
          <w:rFonts w:ascii="Arial" w:hAnsi="Arial" w:cs="Arial"/>
          <w:sz w:val="24"/>
        </w:rPr>
        <w:t>)</w:t>
      </w:r>
      <w:r w:rsidR="00526C9D" w:rsidRPr="00E75FBD">
        <w:rPr>
          <w:rFonts w:ascii="Arial" w:hAnsi="Arial" w:cs="Arial"/>
          <w:sz w:val="24"/>
        </w:rPr>
        <w:t xml:space="preserve">. </w:t>
      </w:r>
    </w:p>
    <w:p w:rsidR="005D50F3" w:rsidRDefault="00AB399B" w:rsidP="005D50F3">
      <w:pPr>
        <w:pStyle w:val="a5"/>
        <w:numPr>
          <w:ilvl w:val="0"/>
          <w:numId w:val="3"/>
        </w:numPr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Принимая во внимание вышеизложенное, отмеч</w:t>
      </w:r>
      <w:r w:rsidR="00615ED5">
        <w:rPr>
          <w:rFonts w:ascii="Arial" w:hAnsi="Arial" w:cs="Arial"/>
          <w:sz w:val="24"/>
        </w:rPr>
        <w:t>а</w:t>
      </w:r>
      <w:r w:rsidRPr="00E75FBD">
        <w:rPr>
          <w:rFonts w:ascii="Arial" w:hAnsi="Arial" w:cs="Arial"/>
          <w:sz w:val="24"/>
        </w:rPr>
        <w:t xml:space="preserve">ем, что </w:t>
      </w:r>
      <w:r w:rsidR="005D50F3" w:rsidRPr="00E75FBD">
        <w:rPr>
          <w:rFonts w:ascii="Arial" w:hAnsi="Arial" w:cs="Arial"/>
          <w:sz w:val="24"/>
        </w:rPr>
        <w:t xml:space="preserve">Показатель </w:t>
      </w:r>
      <w:r w:rsidR="005D50F3" w:rsidRPr="00E75FBD">
        <w:rPr>
          <w:rFonts w:ascii="Arial" w:hAnsi="Arial" w:cs="Arial"/>
          <w:i/>
          <w:sz w:val="24"/>
        </w:rPr>
        <w:t>53. Займы в иностранной валюте</w:t>
      </w:r>
      <w:r w:rsidR="005D50F3" w:rsidRPr="00E75FBD">
        <w:rPr>
          <w:rFonts w:ascii="Arial" w:hAnsi="Arial" w:cs="Arial"/>
          <w:sz w:val="24"/>
        </w:rPr>
        <w:t xml:space="preserve"> отражает суммы ссудного портфеля (с учетом межбанковских займов) </w:t>
      </w:r>
      <w:r w:rsidR="00605302" w:rsidRPr="00E75FBD">
        <w:rPr>
          <w:rFonts w:ascii="Arial" w:hAnsi="Arial" w:cs="Arial"/>
          <w:sz w:val="24"/>
        </w:rPr>
        <w:t xml:space="preserve">в иностранной валюте, </w:t>
      </w:r>
      <w:r w:rsidR="005D50F3" w:rsidRPr="00E75FBD">
        <w:rPr>
          <w:rFonts w:ascii="Arial" w:hAnsi="Arial" w:cs="Arial"/>
          <w:sz w:val="24"/>
        </w:rPr>
        <w:t>за исключением сумм требований исламских банков по операциям финансирования торговой деятельности, учи</w:t>
      </w:r>
      <w:bookmarkStart w:id="1" w:name="_GoBack"/>
      <w:bookmarkEnd w:id="1"/>
      <w:r w:rsidR="005D50F3" w:rsidRPr="00E75FBD">
        <w:rPr>
          <w:rFonts w:ascii="Arial" w:hAnsi="Arial" w:cs="Arial"/>
          <w:sz w:val="24"/>
        </w:rPr>
        <w:t>тываемых на счетах 1426, 1427.</w:t>
      </w:r>
      <w:r w:rsidR="00605302" w:rsidRPr="00E75FBD">
        <w:rPr>
          <w:rFonts w:ascii="Arial" w:hAnsi="Arial" w:cs="Arial"/>
          <w:sz w:val="24"/>
        </w:rPr>
        <w:t xml:space="preserve"> </w:t>
      </w:r>
    </w:p>
    <w:p w:rsidR="00E75FBD" w:rsidRPr="00E75FBD" w:rsidRDefault="00E75FBD" w:rsidP="005D50F3">
      <w:pPr>
        <w:pStyle w:val="a5"/>
        <w:numPr>
          <w:ilvl w:val="0"/>
          <w:numId w:val="3"/>
        </w:numPr>
        <w:spacing w:after="120"/>
        <w:ind w:left="0" w:firstLine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Изменилась методология расчет индикатора «Отношение крупных займов к капиталу»</w:t>
      </w:r>
      <w:r w:rsidR="008B3C3C">
        <w:rPr>
          <w:rFonts w:ascii="Arial" w:hAnsi="Arial" w:cs="Arial"/>
          <w:sz w:val="24"/>
        </w:rPr>
        <w:t xml:space="preserve">, за счет чего наблюдается значительное изменение в динамике коэффициента начиная с 2022 года. В частности, </w:t>
      </w:r>
      <w:r>
        <w:rPr>
          <w:rFonts w:ascii="Arial" w:hAnsi="Arial" w:cs="Arial"/>
          <w:sz w:val="24"/>
        </w:rPr>
        <w:t xml:space="preserve">для расчета индикатора в качестве </w:t>
      </w:r>
      <w:r>
        <w:rPr>
          <w:rFonts w:ascii="Arial" w:hAnsi="Arial" w:cs="Arial"/>
          <w:sz w:val="24"/>
        </w:rPr>
        <w:lastRenderedPageBreak/>
        <w:t xml:space="preserve">числителя используется ряд данных по совокупной сумме рисков банка на одного заемщика, размер риска каждого из которых превышает 10% от </w:t>
      </w:r>
      <w:r w:rsidR="008B3C3C">
        <w:rPr>
          <w:rFonts w:ascii="Arial" w:hAnsi="Arial" w:cs="Arial"/>
          <w:sz w:val="24"/>
        </w:rPr>
        <w:t>собственного</w:t>
      </w:r>
      <w:r>
        <w:rPr>
          <w:rFonts w:ascii="Arial" w:hAnsi="Arial" w:cs="Arial"/>
          <w:sz w:val="24"/>
        </w:rPr>
        <w:t xml:space="preserve"> капитала банка. </w:t>
      </w:r>
    </w:p>
    <w:p w:rsidR="003806AC" w:rsidRPr="00E75FBD" w:rsidRDefault="00983627" w:rsidP="00983627">
      <w:pPr>
        <w:pStyle w:val="a5"/>
        <w:numPr>
          <w:ilvl w:val="0"/>
          <w:numId w:val="3"/>
        </w:numPr>
        <w:spacing w:after="120"/>
        <w:ind w:left="0"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В расчете применяется следующие методы аннуализации</w:t>
      </w:r>
      <w:r w:rsidR="0029294E" w:rsidRPr="00E75FBD">
        <w:rPr>
          <w:rFonts w:ascii="Arial" w:hAnsi="Arial" w:cs="Arial"/>
          <w:sz w:val="24"/>
        </w:rPr>
        <w:t xml:space="preserve"> и усреднения</w:t>
      </w:r>
      <w:r w:rsidR="00372C5F" w:rsidRPr="00E75FBD">
        <w:rPr>
          <w:rFonts w:ascii="Arial" w:hAnsi="Arial" w:cs="Arial"/>
          <w:sz w:val="24"/>
        </w:rPr>
        <w:t xml:space="preserve"> согласно требованиям МВФ</w:t>
      </w:r>
      <w:r w:rsidRPr="00E75FBD">
        <w:rPr>
          <w:rFonts w:ascii="Arial" w:hAnsi="Arial" w:cs="Arial"/>
          <w:sz w:val="24"/>
        </w:rPr>
        <w:t>:</w:t>
      </w:r>
    </w:p>
    <w:p w:rsidR="00983627" w:rsidRPr="00E75FBD" w:rsidRDefault="0029294E" w:rsidP="00983627">
      <w:pPr>
        <w:spacing w:after="12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Аннуализация д</w:t>
      </w:r>
      <w:r w:rsidR="00983627" w:rsidRPr="00E75FBD">
        <w:rPr>
          <w:rFonts w:ascii="Arial" w:hAnsi="Arial" w:cs="Arial"/>
          <w:sz w:val="24"/>
        </w:rPr>
        <w:t>ля статей доходов/расходов</w:t>
      </w:r>
      <w:r w:rsidR="00236AC1" w:rsidRPr="00E75FBD">
        <w:rPr>
          <w:rFonts w:ascii="Arial" w:hAnsi="Arial" w:cs="Arial"/>
          <w:sz w:val="24"/>
        </w:rPr>
        <w:t xml:space="preserve"> (данные представлены с нарастающим итогом с начала календарного года по текущий отчетный период.)</w:t>
      </w:r>
      <w:r w:rsidR="00983627" w:rsidRPr="00E75FBD">
        <w:rPr>
          <w:rFonts w:ascii="Arial" w:hAnsi="Arial" w:cs="Arial"/>
          <w:sz w:val="24"/>
        </w:rPr>
        <w:t>:</w:t>
      </w:r>
    </w:p>
    <w:p w:rsidR="00983627" w:rsidRPr="00E75FBD" w:rsidRDefault="00236AC1" w:rsidP="00236AC1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 xml:space="preserve">За </w:t>
      </w:r>
      <w:r w:rsidR="00983627" w:rsidRPr="00E75FBD">
        <w:rPr>
          <w:rFonts w:ascii="Arial" w:hAnsi="Arial" w:cs="Arial"/>
          <w:sz w:val="24"/>
        </w:rPr>
        <w:t>1</w:t>
      </w:r>
      <w:r w:rsidRPr="00E75FBD">
        <w:rPr>
          <w:rFonts w:ascii="Arial" w:hAnsi="Arial" w:cs="Arial"/>
          <w:sz w:val="24"/>
        </w:rPr>
        <w:t xml:space="preserve"> квартал (в годовом выражении) </w:t>
      </w:r>
      <w:r w:rsidR="00983627" w:rsidRPr="00E75FBD">
        <w:rPr>
          <w:rFonts w:ascii="Arial" w:hAnsi="Arial" w:cs="Arial"/>
          <w:sz w:val="24"/>
        </w:rPr>
        <w:t>=</w:t>
      </w:r>
      <w:r w:rsidRPr="00E75FBD">
        <w:rPr>
          <w:rFonts w:ascii="Arial" w:hAnsi="Arial" w:cs="Arial"/>
          <w:sz w:val="24"/>
        </w:rPr>
        <w:t xml:space="preserve"> данные за 1 квартал</w:t>
      </w:r>
      <w:r w:rsidR="00983627" w:rsidRPr="00E75FBD">
        <w:rPr>
          <w:rFonts w:ascii="Arial" w:hAnsi="Arial" w:cs="Arial"/>
          <w:sz w:val="24"/>
        </w:rPr>
        <w:t xml:space="preserve"> *4</w:t>
      </w:r>
    </w:p>
    <w:p w:rsidR="00983627" w:rsidRPr="00E75FBD" w:rsidRDefault="00236AC1" w:rsidP="00236AC1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 xml:space="preserve">За 2 квартал (в годовом выражении) </w:t>
      </w:r>
      <w:r w:rsidR="00983627" w:rsidRPr="00E75FBD">
        <w:rPr>
          <w:rFonts w:ascii="Arial" w:hAnsi="Arial" w:cs="Arial"/>
          <w:sz w:val="24"/>
        </w:rPr>
        <w:t>=</w:t>
      </w:r>
      <w:r w:rsidRPr="00E75FBD">
        <w:rPr>
          <w:rFonts w:ascii="Arial" w:hAnsi="Arial" w:cs="Arial"/>
          <w:sz w:val="24"/>
        </w:rPr>
        <w:t xml:space="preserve"> данные за 2 квартал </w:t>
      </w:r>
      <w:r w:rsidR="00983627" w:rsidRPr="00E75FBD">
        <w:rPr>
          <w:rFonts w:ascii="Arial" w:hAnsi="Arial" w:cs="Arial"/>
          <w:sz w:val="24"/>
        </w:rPr>
        <w:t>*2</w:t>
      </w:r>
    </w:p>
    <w:p w:rsidR="00236AC1" w:rsidRPr="00E75FBD" w:rsidRDefault="00236AC1" w:rsidP="00236AC1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За 3 квартал (в годовом выражении) = данные за 3 квартал /3*4</w:t>
      </w:r>
    </w:p>
    <w:p w:rsidR="00236AC1" w:rsidRPr="00E75FBD" w:rsidRDefault="00236AC1" w:rsidP="00236AC1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За 4 квартал (в годовом выражении) = данные за 4 квартал</w:t>
      </w:r>
    </w:p>
    <w:p w:rsidR="00236AC1" w:rsidRPr="00E75FBD" w:rsidRDefault="00236AC1" w:rsidP="00983627">
      <w:pPr>
        <w:spacing w:after="120"/>
        <w:jc w:val="both"/>
        <w:rPr>
          <w:rFonts w:ascii="Arial" w:hAnsi="Arial" w:cs="Arial"/>
          <w:sz w:val="24"/>
        </w:rPr>
      </w:pPr>
    </w:p>
    <w:p w:rsidR="00983627" w:rsidRPr="00E75FBD" w:rsidRDefault="0029294E" w:rsidP="00983627">
      <w:pPr>
        <w:spacing w:after="120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Усреднение д</w:t>
      </w:r>
      <w:r w:rsidR="00983627" w:rsidRPr="00E75FBD">
        <w:rPr>
          <w:rFonts w:ascii="Arial" w:hAnsi="Arial" w:cs="Arial"/>
          <w:sz w:val="24"/>
        </w:rPr>
        <w:t>ля статей баланса</w:t>
      </w:r>
      <w:r w:rsidR="00C04DF0" w:rsidRPr="00E75FBD">
        <w:rPr>
          <w:rFonts w:ascii="Arial" w:hAnsi="Arial" w:cs="Arial"/>
          <w:sz w:val="24"/>
        </w:rPr>
        <w:t xml:space="preserve"> (данные представлены на </w:t>
      </w:r>
      <w:r w:rsidR="003A7EA1" w:rsidRPr="00E75FBD">
        <w:rPr>
          <w:rFonts w:ascii="Arial" w:hAnsi="Arial" w:cs="Arial"/>
          <w:sz w:val="24"/>
        </w:rPr>
        <w:t>конец текущего отчетного периода</w:t>
      </w:r>
      <w:r w:rsidR="00C04DF0" w:rsidRPr="00E75FBD">
        <w:rPr>
          <w:rFonts w:ascii="Arial" w:hAnsi="Arial" w:cs="Arial"/>
          <w:sz w:val="24"/>
        </w:rPr>
        <w:t>)</w:t>
      </w:r>
      <w:r w:rsidR="00983627" w:rsidRPr="00E75FBD">
        <w:rPr>
          <w:rFonts w:ascii="Arial" w:hAnsi="Arial" w:cs="Arial"/>
          <w:sz w:val="24"/>
        </w:rPr>
        <w:t>:</w:t>
      </w:r>
    </w:p>
    <w:p w:rsidR="00C04DF0" w:rsidRPr="00E75FBD" w:rsidRDefault="00C04DF0" w:rsidP="00C04DF0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 xml:space="preserve">На </w:t>
      </w:r>
      <w:r w:rsidR="003A7EA1" w:rsidRPr="00E75FBD">
        <w:rPr>
          <w:rFonts w:ascii="Arial" w:hAnsi="Arial" w:cs="Arial"/>
          <w:sz w:val="24"/>
        </w:rPr>
        <w:t xml:space="preserve">конец </w:t>
      </w:r>
      <w:r w:rsidRPr="00E75FBD">
        <w:rPr>
          <w:rFonts w:ascii="Arial" w:hAnsi="Arial" w:cs="Arial"/>
          <w:sz w:val="24"/>
        </w:rPr>
        <w:t>1 квартал</w:t>
      </w:r>
      <w:r w:rsidR="003A7EA1" w:rsidRPr="00E75FBD">
        <w:rPr>
          <w:rFonts w:ascii="Arial" w:hAnsi="Arial" w:cs="Arial"/>
          <w:sz w:val="24"/>
        </w:rPr>
        <w:t>а</w:t>
      </w:r>
      <w:r w:rsidRPr="00E75FBD">
        <w:rPr>
          <w:rFonts w:ascii="Arial" w:hAnsi="Arial" w:cs="Arial"/>
          <w:sz w:val="24"/>
        </w:rPr>
        <w:t xml:space="preserve"> (</w:t>
      </w:r>
      <w:r w:rsidR="003A7EA1" w:rsidRPr="00E75FBD">
        <w:rPr>
          <w:rFonts w:ascii="Arial" w:hAnsi="Arial" w:cs="Arial"/>
          <w:sz w:val="24"/>
        </w:rPr>
        <w:t>среднегодовое значение</w:t>
      </w:r>
      <w:r w:rsidRPr="00E75FBD">
        <w:rPr>
          <w:rFonts w:ascii="Arial" w:hAnsi="Arial" w:cs="Arial"/>
          <w:sz w:val="24"/>
        </w:rPr>
        <w:t xml:space="preserve">) = </w:t>
      </w:r>
      <w:r w:rsidR="0029294E" w:rsidRPr="00E75FBD">
        <w:rPr>
          <w:rFonts w:ascii="Arial" w:hAnsi="Arial" w:cs="Arial"/>
          <w:sz w:val="24"/>
        </w:rPr>
        <w:t>(</w:t>
      </w:r>
      <w:r w:rsidRPr="00E75FBD">
        <w:rPr>
          <w:rFonts w:ascii="Arial" w:hAnsi="Arial" w:cs="Arial"/>
          <w:sz w:val="24"/>
        </w:rPr>
        <w:t xml:space="preserve">данные </w:t>
      </w:r>
      <w:r w:rsidR="003A7EA1" w:rsidRPr="00E75FBD">
        <w:rPr>
          <w:rFonts w:ascii="Arial" w:hAnsi="Arial" w:cs="Arial"/>
          <w:sz w:val="24"/>
        </w:rPr>
        <w:t>на конец</w:t>
      </w:r>
      <w:r w:rsidRPr="00E75FBD">
        <w:rPr>
          <w:rFonts w:ascii="Arial" w:hAnsi="Arial" w:cs="Arial"/>
          <w:sz w:val="24"/>
        </w:rPr>
        <w:t xml:space="preserve"> 1 квартал</w:t>
      </w:r>
      <w:r w:rsidR="003A7EA1" w:rsidRPr="00E75FBD">
        <w:rPr>
          <w:rFonts w:ascii="Arial" w:hAnsi="Arial" w:cs="Arial"/>
          <w:sz w:val="24"/>
        </w:rPr>
        <w:t xml:space="preserve">а + данные на конец 4 квартала предыдущего </w:t>
      </w:r>
      <w:r w:rsidR="0029294E" w:rsidRPr="00E75FBD">
        <w:rPr>
          <w:rFonts w:ascii="Arial" w:hAnsi="Arial" w:cs="Arial"/>
          <w:sz w:val="24"/>
        </w:rPr>
        <w:t xml:space="preserve">года) / 2 </w:t>
      </w:r>
    </w:p>
    <w:p w:rsidR="00C04DF0" w:rsidRPr="00E75FBD" w:rsidRDefault="003A7EA1" w:rsidP="00C04DF0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Н</w:t>
      </w:r>
      <w:r w:rsidR="00C04DF0" w:rsidRPr="00E75FBD">
        <w:rPr>
          <w:rFonts w:ascii="Arial" w:hAnsi="Arial" w:cs="Arial"/>
          <w:sz w:val="24"/>
        </w:rPr>
        <w:t xml:space="preserve">а </w:t>
      </w:r>
      <w:r w:rsidR="0029294E" w:rsidRPr="00E75FBD">
        <w:rPr>
          <w:rFonts w:ascii="Arial" w:hAnsi="Arial" w:cs="Arial"/>
          <w:sz w:val="24"/>
        </w:rPr>
        <w:t xml:space="preserve">конец </w:t>
      </w:r>
      <w:r w:rsidR="00C04DF0" w:rsidRPr="00E75FBD">
        <w:rPr>
          <w:rFonts w:ascii="Arial" w:hAnsi="Arial" w:cs="Arial"/>
          <w:sz w:val="24"/>
        </w:rPr>
        <w:t>2 квартал</w:t>
      </w:r>
      <w:r w:rsidR="0029294E" w:rsidRPr="00E75FBD">
        <w:rPr>
          <w:rFonts w:ascii="Arial" w:hAnsi="Arial" w:cs="Arial"/>
          <w:sz w:val="24"/>
        </w:rPr>
        <w:t>а</w:t>
      </w:r>
      <w:r w:rsidR="00C04DF0" w:rsidRPr="00E75FBD">
        <w:rPr>
          <w:rFonts w:ascii="Arial" w:hAnsi="Arial" w:cs="Arial"/>
          <w:sz w:val="24"/>
        </w:rPr>
        <w:t xml:space="preserve"> (</w:t>
      </w:r>
      <w:r w:rsidRPr="00E75FBD">
        <w:rPr>
          <w:rFonts w:ascii="Arial" w:hAnsi="Arial" w:cs="Arial"/>
          <w:sz w:val="24"/>
        </w:rPr>
        <w:t>среднегодовое значение</w:t>
      </w:r>
      <w:r w:rsidR="00C04DF0" w:rsidRPr="00E75FBD">
        <w:rPr>
          <w:rFonts w:ascii="Arial" w:hAnsi="Arial" w:cs="Arial"/>
          <w:sz w:val="24"/>
        </w:rPr>
        <w:t xml:space="preserve">) = </w:t>
      </w:r>
      <w:r w:rsidR="0029294E" w:rsidRPr="00E75FBD">
        <w:rPr>
          <w:rFonts w:ascii="Arial" w:hAnsi="Arial" w:cs="Arial"/>
          <w:sz w:val="24"/>
        </w:rPr>
        <w:t>(данные на конец 2 квартала + данные на конец 1 квартала + данные на конец 4 квартала предыдущего года) / 3</w:t>
      </w:r>
    </w:p>
    <w:p w:rsidR="00C04DF0" w:rsidRPr="00E75FBD" w:rsidRDefault="003A7EA1" w:rsidP="0029294E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Н</w:t>
      </w:r>
      <w:r w:rsidR="00C04DF0" w:rsidRPr="00E75FBD">
        <w:rPr>
          <w:rFonts w:ascii="Arial" w:hAnsi="Arial" w:cs="Arial"/>
          <w:sz w:val="24"/>
        </w:rPr>
        <w:t xml:space="preserve">а </w:t>
      </w:r>
      <w:r w:rsidR="0029294E" w:rsidRPr="00E75FBD">
        <w:rPr>
          <w:rFonts w:ascii="Arial" w:hAnsi="Arial" w:cs="Arial"/>
          <w:sz w:val="24"/>
        </w:rPr>
        <w:t xml:space="preserve">конец </w:t>
      </w:r>
      <w:r w:rsidR="00C04DF0" w:rsidRPr="00E75FBD">
        <w:rPr>
          <w:rFonts w:ascii="Arial" w:hAnsi="Arial" w:cs="Arial"/>
          <w:sz w:val="24"/>
        </w:rPr>
        <w:t>3 квартал</w:t>
      </w:r>
      <w:r w:rsidR="0029294E" w:rsidRPr="00E75FBD">
        <w:rPr>
          <w:rFonts w:ascii="Arial" w:hAnsi="Arial" w:cs="Arial"/>
          <w:sz w:val="24"/>
        </w:rPr>
        <w:t>а</w:t>
      </w:r>
      <w:r w:rsidR="00C04DF0" w:rsidRPr="00E75FBD">
        <w:rPr>
          <w:rFonts w:ascii="Arial" w:hAnsi="Arial" w:cs="Arial"/>
          <w:sz w:val="24"/>
        </w:rPr>
        <w:t xml:space="preserve"> (</w:t>
      </w:r>
      <w:r w:rsidRPr="00E75FBD">
        <w:rPr>
          <w:rFonts w:ascii="Arial" w:hAnsi="Arial" w:cs="Arial"/>
          <w:sz w:val="24"/>
        </w:rPr>
        <w:t>среднегодовое значение</w:t>
      </w:r>
      <w:r w:rsidR="00C04DF0" w:rsidRPr="00E75FBD">
        <w:rPr>
          <w:rFonts w:ascii="Arial" w:hAnsi="Arial" w:cs="Arial"/>
          <w:sz w:val="24"/>
        </w:rPr>
        <w:t xml:space="preserve">) = </w:t>
      </w:r>
      <w:r w:rsidR="0029294E" w:rsidRPr="00E75FBD">
        <w:rPr>
          <w:rFonts w:ascii="Arial" w:hAnsi="Arial" w:cs="Arial"/>
          <w:sz w:val="24"/>
        </w:rPr>
        <w:t>(данные на конец 3 квартала + данные на конец 2 квартала + данные на конец 1 квартала + данные на конец 4 квартала предыдущего года) / 4</w:t>
      </w:r>
    </w:p>
    <w:p w:rsidR="0029294E" w:rsidRPr="00E75FBD" w:rsidRDefault="003A7EA1" w:rsidP="0029294E">
      <w:pPr>
        <w:spacing w:after="120"/>
        <w:ind w:firstLine="426"/>
        <w:jc w:val="both"/>
        <w:rPr>
          <w:rFonts w:ascii="Arial" w:hAnsi="Arial" w:cs="Arial"/>
          <w:sz w:val="24"/>
        </w:rPr>
      </w:pPr>
      <w:r w:rsidRPr="00E75FBD">
        <w:rPr>
          <w:rFonts w:ascii="Arial" w:hAnsi="Arial" w:cs="Arial"/>
          <w:sz w:val="24"/>
        </w:rPr>
        <w:t>Н</w:t>
      </w:r>
      <w:r w:rsidR="00C04DF0" w:rsidRPr="00E75FBD">
        <w:rPr>
          <w:rFonts w:ascii="Arial" w:hAnsi="Arial" w:cs="Arial"/>
          <w:sz w:val="24"/>
        </w:rPr>
        <w:t xml:space="preserve">а </w:t>
      </w:r>
      <w:r w:rsidR="0029294E" w:rsidRPr="00E75FBD">
        <w:rPr>
          <w:rFonts w:ascii="Arial" w:hAnsi="Arial" w:cs="Arial"/>
          <w:sz w:val="24"/>
        </w:rPr>
        <w:t xml:space="preserve">конец </w:t>
      </w:r>
      <w:r w:rsidR="00C04DF0" w:rsidRPr="00E75FBD">
        <w:rPr>
          <w:rFonts w:ascii="Arial" w:hAnsi="Arial" w:cs="Arial"/>
          <w:sz w:val="24"/>
        </w:rPr>
        <w:t>4 квартал</w:t>
      </w:r>
      <w:r w:rsidR="0029294E" w:rsidRPr="00E75FBD">
        <w:rPr>
          <w:rFonts w:ascii="Arial" w:hAnsi="Arial" w:cs="Arial"/>
          <w:sz w:val="24"/>
        </w:rPr>
        <w:t>а</w:t>
      </w:r>
      <w:r w:rsidR="00C04DF0" w:rsidRPr="00E75FBD">
        <w:rPr>
          <w:rFonts w:ascii="Arial" w:hAnsi="Arial" w:cs="Arial"/>
          <w:sz w:val="24"/>
        </w:rPr>
        <w:t xml:space="preserve"> (</w:t>
      </w:r>
      <w:r w:rsidRPr="00E75FBD">
        <w:rPr>
          <w:rFonts w:ascii="Arial" w:hAnsi="Arial" w:cs="Arial"/>
          <w:sz w:val="24"/>
        </w:rPr>
        <w:t>среднегодовое значение</w:t>
      </w:r>
      <w:r w:rsidR="00C04DF0" w:rsidRPr="00E75FBD">
        <w:rPr>
          <w:rFonts w:ascii="Arial" w:hAnsi="Arial" w:cs="Arial"/>
          <w:sz w:val="24"/>
        </w:rPr>
        <w:t xml:space="preserve">) = </w:t>
      </w:r>
      <w:r w:rsidR="0029294E" w:rsidRPr="00E75FBD">
        <w:rPr>
          <w:rFonts w:ascii="Arial" w:hAnsi="Arial" w:cs="Arial"/>
          <w:sz w:val="24"/>
        </w:rPr>
        <w:t>(данные на конец 4 квартала + данные на конец 3 квартала + данные на конец 2 квартала + данные на конец 1 квартала + данные на конец 4 квартала предыдущего года) / 5</w:t>
      </w:r>
    </w:p>
    <w:p w:rsidR="00C04DF0" w:rsidRPr="00E75FBD" w:rsidRDefault="00C04DF0" w:rsidP="00C04DF0">
      <w:pPr>
        <w:spacing w:after="120"/>
        <w:ind w:firstLine="426"/>
        <w:jc w:val="both"/>
        <w:rPr>
          <w:rFonts w:ascii="Arial" w:hAnsi="Arial" w:cs="Arial"/>
          <w:sz w:val="24"/>
        </w:rPr>
      </w:pPr>
    </w:p>
    <w:p w:rsidR="00DA0687" w:rsidRPr="00E75FBD" w:rsidRDefault="00DA0687" w:rsidP="003806AC">
      <w:pPr>
        <w:pStyle w:val="a5"/>
        <w:spacing w:after="120"/>
        <w:ind w:left="0"/>
        <w:contextualSpacing w:val="0"/>
        <w:jc w:val="both"/>
        <w:rPr>
          <w:rFonts w:ascii="Arial" w:hAnsi="Arial" w:cs="Arial"/>
          <w:sz w:val="24"/>
        </w:rPr>
      </w:pPr>
    </w:p>
    <w:sectPr w:rsidR="00DA0687" w:rsidRPr="00E75FBD" w:rsidSect="00681593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C2" w:rsidRDefault="00EA39C2" w:rsidP="00F17536">
      <w:pPr>
        <w:spacing w:after="0" w:line="240" w:lineRule="auto"/>
      </w:pPr>
      <w:r>
        <w:separator/>
      </w:r>
    </w:p>
  </w:endnote>
  <w:endnote w:type="continuationSeparator" w:id="0">
    <w:p w:rsidR="00EA39C2" w:rsidRDefault="00EA39C2" w:rsidP="00F1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C2" w:rsidRDefault="00EA39C2" w:rsidP="00F17536">
      <w:pPr>
        <w:spacing w:after="0" w:line="240" w:lineRule="auto"/>
      </w:pPr>
      <w:r>
        <w:separator/>
      </w:r>
    </w:p>
  </w:footnote>
  <w:footnote w:type="continuationSeparator" w:id="0">
    <w:p w:rsidR="00EA39C2" w:rsidRDefault="00EA39C2" w:rsidP="00F17536">
      <w:pPr>
        <w:spacing w:after="0" w:line="240" w:lineRule="auto"/>
      </w:pPr>
      <w:r>
        <w:continuationSeparator/>
      </w:r>
    </w:p>
  </w:footnote>
  <w:footnote w:id="1">
    <w:p w:rsidR="00204E82" w:rsidRPr="00204E82" w:rsidRDefault="00204E82">
      <w:pPr>
        <w:pStyle w:val="a6"/>
      </w:pPr>
      <w:r>
        <w:rPr>
          <w:rStyle w:val="a8"/>
        </w:rPr>
        <w:footnoteRef/>
      </w:r>
      <w:r>
        <w:t xml:space="preserve"> </w:t>
      </w:r>
      <w:r w:rsidRPr="00204E82">
        <w:t>https://data.imf.org/?sk=51b096fa-2cd2-40c2-8d09-0699cc1764da</w:t>
      </w:r>
    </w:p>
  </w:footnote>
  <w:footnote w:id="2">
    <w:p w:rsidR="00F17536" w:rsidRPr="00C37676" w:rsidRDefault="00F17536" w:rsidP="00303775">
      <w:pPr>
        <w:pStyle w:val="a6"/>
        <w:jc w:val="both"/>
        <w:rPr>
          <w:rFonts w:ascii="Arial" w:hAnsi="Arial" w:cs="Arial"/>
        </w:rPr>
      </w:pPr>
      <w:r w:rsidRPr="003806C5">
        <w:rPr>
          <w:rStyle w:val="a8"/>
          <w:rFonts w:ascii="Arial" w:hAnsi="Arial" w:cs="Arial"/>
        </w:rPr>
        <w:footnoteRef/>
      </w:r>
      <w:r w:rsidRPr="00C37676">
        <w:rPr>
          <w:rFonts w:ascii="Arial" w:hAnsi="Arial" w:cs="Arial"/>
          <w:sz w:val="18"/>
        </w:rPr>
        <w:t xml:space="preserve"> </w:t>
      </w:r>
      <w:r w:rsidR="00303775" w:rsidRPr="00C37676">
        <w:rPr>
          <w:rFonts w:ascii="Arial" w:hAnsi="Arial" w:cs="Arial"/>
          <w:sz w:val="18"/>
        </w:rPr>
        <w:t xml:space="preserve">Форма административных данных «Отчет об остатках на балансовых и </w:t>
      </w:r>
      <w:proofErr w:type="spellStart"/>
      <w:r w:rsidR="00303775" w:rsidRPr="00C37676">
        <w:rPr>
          <w:rFonts w:ascii="Arial" w:hAnsi="Arial" w:cs="Arial"/>
          <w:sz w:val="18"/>
        </w:rPr>
        <w:t>внебалансовых</w:t>
      </w:r>
      <w:proofErr w:type="spellEnd"/>
      <w:r w:rsidR="00303775" w:rsidRPr="00C37676">
        <w:rPr>
          <w:rFonts w:ascii="Arial" w:hAnsi="Arial" w:cs="Arial"/>
          <w:sz w:val="18"/>
        </w:rPr>
        <w:t xml:space="preserve"> счетах» (индекс – 700-N(D)) утверждена Постановлением Правления НБРК от 21 апреля 2020 года № 54. Номера счетов в Форме указываются в соответствии с Типовым планом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Казахстан, утвержденным постановлением Правления Национального Банка Республики Казахстан от 31 января 2011 года № 3</w:t>
      </w:r>
    </w:p>
  </w:footnote>
  <w:footnote w:id="3">
    <w:p w:rsidR="00CC6134" w:rsidRDefault="00CC6134">
      <w:pPr>
        <w:pStyle w:val="a6"/>
      </w:pPr>
      <w:r w:rsidRPr="003806C5">
        <w:rPr>
          <w:rStyle w:val="a8"/>
          <w:rFonts w:ascii="Arial" w:hAnsi="Arial" w:cs="Arial"/>
        </w:rPr>
        <w:footnoteRef/>
      </w:r>
      <w:r>
        <w:t xml:space="preserve"> И</w:t>
      </w:r>
      <w:r w:rsidRPr="00CC6134">
        <w:rPr>
          <w:rFonts w:ascii="Arial" w:hAnsi="Arial" w:cs="Arial"/>
          <w:sz w:val="18"/>
        </w:rPr>
        <w:t>нформация публикуется на сайте НБРК в «Сведениях о структуре и качестве ссудного портфеля» раздела Финансовые</w:t>
      </w:r>
      <w:r>
        <w:rPr>
          <w:rFonts w:ascii="Arial" w:hAnsi="Arial" w:cs="Arial"/>
          <w:sz w:val="18"/>
        </w:rPr>
        <w:t xml:space="preserve"> показатели банковского сектора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488"/>
    <w:multiLevelType w:val="multilevel"/>
    <w:tmpl w:val="47FCF65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58184C"/>
    <w:multiLevelType w:val="hybridMultilevel"/>
    <w:tmpl w:val="99FA8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7005D"/>
    <w:multiLevelType w:val="hybridMultilevel"/>
    <w:tmpl w:val="B1047246"/>
    <w:lvl w:ilvl="0" w:tplc="6E7A9E54">
      <w:start w:val="1"/>
      <w:numFmt w:val="decimal"/>
      <w:lvlText w:val="4.%1-график"/>
      <w:lvlJc w:val="left"/>
      <w:pPr>
        <w:ind w:left="720" w:hanging="360"/>
      </w:pPr>
      <w:rPr>
        <w:rFonts w:ascii="Arial" w:hAnsi="Arial" w:cs="Arial" w:hint="default"/>
        <w:b w:val="0"/>
        <w:i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344A2"/>
    <w:multiLevelType w:val="hybridMultilevel"/>
    <w:tmpl w:val="100CFB7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AD"/>
    <w:rsid w:val="000645A6"/>
    <w:rsid w:val="00113829"/>
    <w:rsid w:val="00124781"/>
    <w:rsid w:val="001A254D"/>
    <w:rsid w:val="001B6161"/>
    <w:rsid w:val="001F2D8E"/>
    <w:rsid w:val="00204E82"/>
    <w:rsid w:val="00236AC1"/>
    <w:rsid w:val="00270B15"/>
    <w:rsid w:val="0029294E"/>
    <w:rsid w:val="00303775"/>
    <w:rsid w:val="0032480B"/>
    <w:rsid w:val="003416B5"/>
    <w:rsid w:val="00372C5F"/>
    <w:rsid w:val="003806AC"/>
    <w:rsid w:val="003806C5"/>
    <w:rsid w:val="003A7EA1"/>
    <w:rsid w:val="003C0297"/>
    <w:rsid w:val="0047200B"/>
    <w:rsid w:val="004B7CB2"/>
    <w:rsid w:val="0050232A"/>
    <w:rsid w:val="005025B1"/>
    <w:rsid w:val="00526C9D"/>
    <w:rsid w:val="00560749"/>
    <w:rsid w:val="0058004F"/>
    <w:rsid w:val="00581E93"/>
    <w:rsid w:val="005870E7"/>
    <w:rsid w:val="005A22F0"/>
    <w:rsid w:val="005D50F3"/>
    <w:rsid w:val="005D7B41"/>
    <w:rsid w:val="005F4A7A"/>
    <w:rsid w:val="00605302"/>
    <w:rsid w:val="00615ED5"/>
    <w:rsid w:val="00635429"/>
    <w:rsid w:val="00680CAD"/>
    <w:rsid w:val="00681593"/>
    <w:rsid w:val="00686E32"/>
    <w:rsid w:val="006C3F40"/>
    <w:rsid w:val="006D318A"/>
    <w:rsid w:val="007068B8"/>
    <w:rsid w:val="008053A0"/>
    <w:rsid w:val="00822065"/>
    <w:rsid w:val="008B3C3C"/>
    <w:rsid w:val="00974A91"/>
    <w:rsid w:val="00983627"/>
    <w:rsid w:val="009A60C9"/>
    <w:rsid w:val="009C17C8"/>
    <w:rsid w:val="00A913D7"/>
    <w:rsid w:val="00AB399B"/>
    <w:rsid w:val="00B442BD"/>
    <w:rsid w:val="00B64680"/>
    <w:rsid w:val="00B85FC8"/>
    <w:rsid w:val="00B86DE5"/>
    <w:rsid w:val="00C04DF0"/>
    <w:rsid w:val="00C05B51"/>
    <w:rsid w:val="00C37676"/>
    <w:rsid w:val="00C43282"/>
    <w:rsid w:val="00C54C1A"/>
    <w:rsid w:val="00CC6134"/>
    <w:rsid w:val="00D67F15"/>
    <w:rsid w:val="00DA0687"/>
    <w:rsid w:val="00E33DF8"/>
    <w:rsid w:val="00E75FBD"/>
    <w:rsid w:val="00EA39C2"/>
    <w:rsid w:val="00F17536"/>
    <w:rsid w:val="00F4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98EB"/>
  <w15:chartTrackingRefBased/>
  <w15:docId w15:val="{D484CE46-19CB-4655-A5C8-9415EB5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График"/>
    <w:basedOn w:val="a0"/>
    <w:link w:val="a4"/>
    <w:qFormat/>
    <w:rsid w:val="00113829"/>
    <w:pPr>
      <w:numPr>
        <w:numId w:val="2"/>
      </w:numPr>
      <w:spacing w:before="120" w:after="0" w:line="240" w:lineRule="auto"/>
    </w:pPr>
    <w:rPr>
      <w:rFonts w:ascii="Arial" w:hAnsi="Arial"/>
      <w:b/>
      <w:i/>
      <w:color w:val="0070C0"/>
      <w:sz w:val="24"/>
      <w:lang w:val="kk-KZ"/>
    </w:rPr>
  </w:style>
  <w:style w:type="character" w:customStyle="1" w:styleId="a4">
    <w:name w:val="График Знак"/>
    <w:basedOn w:val="a1"/>
    <w:link w:val="a"/>
    <w:rsid w:val="00113829"/>
    <w:rPr>
      <w:rFonts w:ascii="Arial" w:hAnsi="Arial"/>
      <w:b/>
      <w:i/>
      <w:color w:val="0070C0"/>
      <w:sz w:val="24"/>
      <w:lang w:val="kk-KZ"/>
    </w:rPr>
  </w:style>
  <w:style w:type="paragraph" w:styleId="a5">
    <w:name w:val="List Paragraph"/>
    <w:basedOn w:val="a0"/>
    <w:uiPriority w:val="34"/>
    <w:qFormat/>
    <w:rsid w:val="004B7CB2"/>
    <w:pPr>
      <w:ind w:left="720"/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F1753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F17536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F17536"/>
    <w:rPr>
      <w:vertAlign w:val="superscript"/>
    </w:rPr>
  </w:style>
  <w:style w:type="paragraph" w:styleId="a9">
    <w:name w:val="Balloon Text"/>
    <w:basedOn w:val="a0"/>
    <w:link w:val="aa"/>
    <w:uiPriority w:val="99"/>
    <w:semiHidden/>
    <w:unhideWhenUsed/>
    <w:rsid w:val="006C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C3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D5A7-4952-4CB9-84D5-5A5FD7DE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 Орумбаева</dc:creator>
  <cp:keywords/>
  <dc:description/>
  <cp:lastModifiedBy>Сара Орумбаева</cp:lastModifiedBy>
  <cp:revision>8</cp:revision>
  <dcterms:created xsi:type="dcterms:W3CDTF">2024-07-24T06:44:00Z</dcterms:created>
  <dcterms:modified xsi:type="dcterms:W3CDTF">2024-08-12T07:31:00Z</dcterms:modified>
</cp:coreProperties>
</file>