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bookmarkStart w:id="0" w:name="_GoBack"/>
            <w:bookmarkEnd w:id="0"/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17064F">
              <w:rPr>
                <w:sz w:val="22"/>
                <w:szCs w:val="22"/>
                <w:lang w:val="kk-KZ"/>
              </w:rPr>
              <w:t>31</w:t>
            </w:r>
            <w:r w:rsidR="008F6C0C">
              <w:rPr>
                <w:sz w:val="22"/>
                <w:szCs w:val="22"/>
              </w:rPr>
              <w:t xml:space="preserve"> </w:t>
            </w:r>
            <w:r w:rsidR="0056752F">
              <w:rPr>
                <w:sz w:val="22"/>
                <w:szCs w:val="22"/>
                <w:lang w:val="kk-KZ"/>
              </w:rPr>
              <w:t>ию</w:t>
            </w:r>
            <w:r w:rsidR="0017064F">
              <w:rPr>
                <w:sz w:val="22"/>
                <w:szCs w:val="22"/>
                <w:lang w:val="kk-KZ"/>
              </w:rPr>
              <w:t>л</w:t>
            </w:r>
            <w:r w:rsidR="0056752F">
              <w:rPr>
                <w:sz w:val="22"/>
                <w:szCs w:val="22"/>
                <w:lang w:val="kk-KZ"/>
              </w:rPr>
              <w:t>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D01850">
              <w:rPr>
                <w:sz w:val="22"/>
                <w:szCs w:val="22"/>
                <w:lang w:val="kk-KZ"/>
              </w:rPr>
              <w:t>3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6F2ED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Астана </w:t>
            </w:r>
            <w:r w:rsidR="00446505">
              <w:rPr>
                <w:sz w:val="22"/>
                <w:szCs w:val="22"/>
                <w:lang w:val="kk-KZ"/>
              </w:rPr>
              <w:t>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AC541E" w:rsidRDefault="00446505">
            <w:pPr>
              <w:jc w:val="center"/>
              <w:rPr>
                <w:sz w:val="22"/>
                <w:szCs w:val="22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3534F9">
              <w:rPr>
                <w:sz w:val="22"/>
                <w:szCs w:val="22"/>
              </w:rPr>
              <w:t>59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907B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город</w:t>
            </w:r>
            <w:r w:rsidR="00446505">
              <w:rPr>
                <w:sz w:val="22"/>
                <w:szCs w:val="22"/>
              </w:rPr>
              <w:t xml:space="preserve"> </w:t>
            </w:r>
            <w:r w:rsidR="006F2ED5">
              <w:rPr>
                <w:sz w:val="22"/>
                <w:szCs w:val="22"/>
              </w:rPr>
              <w:t>Астана</w:t>
            </w:r>
          </w:p>
        </w:tc>
      </w:tr>
    </w:tbl>
    <w:p w:rsidR="006E1402" w:rsidRPr="006E1402" w:rsidRDefault="006E1402" w:rsidP="006E1402">
      <w:pPr>
        <w:keepNext/>
        <w:widowControl w:val="0"/>
        <w:jc w:val="center"/>
        <w:outlineLvl w:val="2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Об определении основных принципов управления активами в иностранной валюте и драгоценных металлах, включая их структуру</w:t>
      </w:r>
    </w:p>
    <w:p w:rsidR="006E1402" w:rsidRPr="006E1402" w:rsidRDefault="006E1402" w:rsidP="006E1402">
      <w:pPr>
        <w:widowControl w:val="0"/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В соответствии с подпунктом 9) части третьей статьи 15 Закона Республики Казахстан «О Национальном Банке Республики Казахстан» Правление Национального Банка Республики Казахстан </w:t>
      </w:r>
      <w:r w:rsidRPr="006E1402">
        <w:rPr>
          <w:b/>
          <w:sz w:val="28"/>
          <w:szCs w:val="28"/>
        </w:rPr>
        <w:t>ПОСТАНОВЛЯЕТ</w:t>
      </w:r>
      <w:r w:rsidRPr="006E1402">
        <w:rPr>
          <w:sz w:val="28"/>
          <w:szCs w:val="28"/>
        </w:rPr>
        <w:t>:</w:t>
      </w:r>
    </w:p>
    <w:p w:rsidR="006E1402" w:rsidRPr="006E1402" w:rsidRDefault="006E1402" w:rsidP="006E1402">
      <w:pPr>
        <w:widowControl w:val="0"/>
        <w:numPr>
          <w:ilvl w:val="0"/>
          <w:numId w:val="23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Определить основные принципы управления активами в иностранной валюте и драгоценных металлах, включая их структуру</w:t>
      </w:r>
      <w:r w:rsidRPr="006E1402">
        <w:rPr>
          <w:sz w:val="28"/>
          <w:szCs w:val="28"/>
          <w:lang w:val="kk-KZ"/>
        </w:rPr>
        <w:t xml:space="preserve"> согласно приложению к настоящему постановлению</w:t>
      </w:r>
      <w:r w:rsidRPr="006E1402">
        <w:rPr>
          <w:sz w:val="28"/>
          <w:szCs w:val="28"/>
        </w:rPr>
        <w:t>.</w:t>
      </w:r>
    </w:p>
    <w:p w:rsidR="006E1402" w:rsidRPr="006E1402" w:rsidRDefault="006E1402" w:rsidP="006E1402">
      <w:pPr>
        <w:widowControl w:val="0"/>
        <w:numPr>
          <w:ilvl w:val="0"/>
          <w:numId w:val="23"/>
        </w:numPr>
        <w:tabs>
          <w:tab w:val="left" w:pos="993"/>
          <w:tab w:val="left" w:pos="1276"/>
        </w:tabs>
        <w:ind w:left="0" w:firstLine="720"/>
        <w:jc w:val="both"/>
        <w:rPr>
          <w:snapToGrid w:val="0"/>
          <w:sz w:val="28"/>
          <w:szCs w:val="28"/>
        </w:rPr>
      </w:pPr>
      <w:r w:rsidRPr="006E1402">
        <w:rPr>
          <w:snapToGrid w:val="0"/>
          <w:sz w:val="28"/>
          <w:szCs w:val="28"/>
        </w:rPr>
        <w:t>Отменить: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contextualSpacing/>
        <w:jc w:val="both"/>
        <w:rPr>
          <w:snapToGrid w:val="0"/>
          <w:sz w:val="28"/>
          <w:szCs w:val="28"/>
        </w:rPr>
      </w:pPr>
      <w:r w:rsidRPr="006E1402">
        <w:rPr>
          <w:snapToGrid w:val="0"/>
          <w:sz w:val="28"/>
          <w:szCs w:val="28"/>
        </w:rPr>
        <w:t>1) постановление Правления Национального Банка Республики Казахстан от 21 сентября 2012 года № 292 «Об основных принципах управления активами в иностранной валюте и драгоценных металлах»;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  <w:tab w:val="left" w:pos="1276"/>
        </w:tabs>
        <w:ind w:firstLine="720"/>
        <w:jc w:val="both"/>
        <w:rPr>
          <w:snapToGrid w:val="0"/>
          <w:sz w:val="28"/>
          <w:szCs w:val="28"/>
        </w:rPr>
      </w:pPr>
      <w:r w:rsidRPr="006E1402">
        <w:rPr>
          <w:snapToGrid w:val="0"/>
          <w:sz w:val="28"/>
          <w:szCs w:val="28"/>
        </w:rPr>
        <w:t xml:space="preserve">2) </w:t>
      </w:r>
      <w:r w:rsidRPr="006E1402">
        <w:rPr>
          <w:snapToGrid w:val="0"/>
          <w:sz w:val="28"/>
          <w:szCs w:val="28"/>
          <w:lang w:eastAsia="en-US"/>
        </w:rPr>
        <w:t xml:space="preserve">постановление Правления Национального Банка </w:t>
      </w:r>
      <w:r w:rsidRPr="006E1402">
        <w:rPr>
          <w:snapToGrid w:val="0"/>
          <w:sz w:val="28"/>
          <w:szCs w:val="28"/>
        </w:rPr>
        <w:t>Республики Казахстан</w:t>
      </w:r>
      <w:r w:rsidRPr="006E1402">
        <w:rPr>
          <w:snapToGrid w:val="0"/>
          <w:sz w:val="28"/>
          <w:szCs w:val="28"/>
          <w:lang w:eastAsia="en-US"/>
        </w:rPr>
        <w:t xml:space="preserve"> от 15 июня 2015 года № 101 «О внесении изменений в постановление Правления Национального Банка Республики Казахстан от 21 сентября 2012 года № 292 «Об основных принципах управления активами в иностранной валюте и драгоценных металлах».</w:t>
      </w:r>
    </w:p>
    <w:p w:rsidR="006E1402" w:rsidRPr="006E1402" w:rsidRDefault="006E1402" w:rsidP="006E1402">
      <w:pPr>
        <w:widowControl w:val="0"/>
        <w:numPr>
          <w:ilvl w:val="0"/>
          <w:numId w:val="23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Департаменту рисков и комплаенса (Избасаров А.О.) довести настоящее постановление до сведения заинтересованных подразделений центрального аппарата Национального Банка Республики Казахстан.</w:t>
      </w:r>
    </w:p>
    <w:p w:rsidR="006E1402" w:rsidRPr="006E1402" w:rsidRDefault="006E1402" w:rsidP="006E1402">
      <w:pPr>
        <w:widowControl w:val="0"/>
        <w:numPr>
          <w:ilvl w:val="0"/>
          <w:numId w:val="23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Настоящее постановление вступает в силу со дня его принятия. </w:t>
      </w:r>
    </w:p>
    <w:p w:rsidR="006E1402" w:rsidRPr="006E1402" w:rsidRDefault="006E1402" w:rsidP="006E1402">
      <w:pPr>
        <w:widowControl w:val="0"/>
        <w:numPr>
          <w:ilvl w:val="0"/>
          <w:numId w:val="23"/>
        </w:numPr>
        <w:tabs>
          <w:tab w:val="left" w:pos="993"/>
        </w:tabs>
        <w:ind w:left="0" w:firstLine="720"/>
        <w:contextualSpacing/>
        <w:jc w:val="both"/>
        <w:rPr>
          <w:b/>
          <w:sz w:val="28"/>
          <w:szCs w:val="28"/>
        </w:rPr>
      </w:pPr>
      <w:r w:rsidRPr="006E1402">
        <w:rPr>
          <w:sz w:val="28"/>
          <w:szCs w:val="28"/>
        </w:rPr>
        <w:t>Контроль за исполнением настоящего постановления возложить на заместителя Председателя Национального Банка Республики Казахстан Шолпанкулова Ш.Б.</w:t>
      </w:r>
    </w:p>
    <w:p w:rsidR="00C95841" w:rsidRPr="00DC0B3A" w:rsidRDefault="00C95841" w:rsidP="00F95788">
      <w:pPr>
        <w:ind w:firstLine="709"/>
        <w:jc w:val="both"/>
        <w:rPr>
          <w:sz w:val="28"/>
          <w:szCs w:val="28"/>
        </w:rPr>
      </w:pPr>
    </w:p>
    <w:p w:rsidR="000901F5" w:rsidRPr="00F21AB2" w:rsidRDefault="000901F5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  <w:p w:rsidR="00BF5DCF" w:rsidRPr="00BF5DCF" w:rsidRDefault="00BF5DCF" w:rsidP="006C2AE4">
            <w:pPr>
              <w:widowControl w:val="0"/>
              <w:ind w:left="99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B11942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D81FCE">
              <w:rPr>
                <w:b/>
                <w:sz w:val="28"/>
                <w:szCs w:val="28"/>
              </w:rPr>
              <w:t xml:space="preserve">   </w:t>
            </w:r>
            <w:r w:rsidR="008F6C0C">
              <w:rPr>
                <w:b/>
                <w:sz w:val="28"/>
                <w:szCs w:val="28"/>
              </w:rPr>
              <w:t>Г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11942">
              <w:rPr>
                <w:b/>
                <w:sz w:val="28"/>
                <w:szCs w:val="28"/>
              </w:rPr>
              <w:t>О.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>Пирматов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6C2AE4" w:rsidRDefault="006C2AE4" w:rsidP="006E1402">
      <w:pPr>
        <w:pStyle w:val="af"/>
        <w:widowControl w:val="0"/>
        <w:tabs>
          <w:tab w:val="left" w:pos="993"/>
        </w:tabs>
        <w:spacing w:before="0" w:beforeAutospacing="0" w:after="0" w:afterAutospacing="0"/>
        <w:ind w:firstLine="720"/>
        <w:jc w:val="right"/>
        <w:rPr>
          <w:sz w:val="20"/>
          <w:szCs w:val="20"/>
        </w:rPr>
      </w:pPr>
    </w:p>
    <w:p w:rsidR="006C2AE4" w:rsidRPr="00571C58" w:rsidRDefault="006C2AE4" w:rsidP="006C2AE4">
      <w:pPr>
        <w:widowControl w:val="0"/>
        <w:ind w:left="993"/>
        <w:jc w:val="both"/>
        <w:rPr>
          <w:sz w:val="20"/>
          <w:szCs w:val="20"/>
        </w:rPr>
      </w:pPr>
      <w:r w:rsidRPr="00571C58">
        <w:rPr>
          <w:sz w:val="20"/>
          <w:szCs w:val="20"/>
        </w:rPr>
        <w:t>Копия верна:</w:t>
      </w:r>
    </w:p>
    <w:p w:rsidR="006C2AE4" w:rsidRPr="00571C58" w:rsidRDefault="006C2AE4" w:rsidP="006C2AE4">
      <w:pPr>
        <w:widowControl w:val="0"/>
        <w:ind w:left="993"/>
        <w:jc w:val="both"/>
        <w:rPr>
          <w:sz w:val="20"/>
          <w:szCs w:val="20"/>
        </w:rPr>
      </w:pPr>
      <w:r w:rsidRPr="00571C58">
        <w:rPr>
          <w:sz w:val="20"/>
          <w:szCs w:val="20"/>
        </w:rPr>
        <w:t xml:space="preserve">Главный специалист-секретарь Правления                                            </w:t>
      </w:r>
      <w:r>
        <w:rPr>
          <w:sz w:val="20"/>
          <w:szCs w:val="20"/>
        </w:rPr>
        <w:t xml:space="preserve">        </w:t>
      </w:r>
      <w:r w:rsidRPr="00571C58">
        <w:rPr>
          <w:sz w:val="20"/>
          <w:szCs w:val="20"/>
          <w:lang w:val="kk-KZ"/>
        </w:rPr>
        <w:t>Ж</w:t>
      </w:r>
      <w:r w:rsidRPr="00571C58">
        <w:rPr>
          <w:sz w:val="20"/>
          <w:szCs w:val="20"/>
        </w:rPr>
        <w:t>.</w:t>
      </w:r>
      <w:r w:rsidRPr="00571C58">
        <w:rPr>
          <w:sz w:val="20"/>
          <w:szCs w:val="20"/>
          <w:lang w:val="kk-KZ"/>
        </w:rPr>
        <w:t>Мухамбетова</w:t>
      </w:r>
    </w:p>
    <w:p w:rsidR="006E1402" w:rsidRPr="006E1402" w:rsidRDefault="00D9649F" w:rsidP="006E1402">
      <w:pPr>
        <w:pStyle w:val="af"/>
        <w:widowControl w:val="0"/>
        <w:tabs>
          <w:tab w:val="left" w:pos="993"/>
        </w:tabs>
        <w:spacing w:before="0" w:beforeAutospacing="0" w:after="0" w:afterAutospacing="0"/>
        <w:ind w:firstLine="720"/>
        <w:jc w:val="right"/>
        <w:rPr>
          <w:sz w:val="28"/>
          <w:szCs w:val="28"/>
        </w:rPr>
      </w:pPr>
      <w:r>
        <w:rPr>
          <w:sz w:val="20"/>
          <w:szCs w:val="20"/>
        </w:rPr>
        <w:lastRenderedPageBreak/>
        <w:t xml:space="preserve"> </w:t>
      </w:r>
      <w:r w:rsidR="006E1402" w:rsidRPr="006E1402">
        <w:rPr>
          <w:sz w:val="28"/>
          <w:szCs w:val="28"/>
        </w:rPr>
        <w:t>Приложение к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right"/>
        <w:rPr>
          <w:sz w:val="28"/>
          <w:szCs w:val="28"/>
        </w:rPr>
      </w:pPr>
      <w:r w:rsidRPr="006E1402">
        <w:rPr>
          <w:bCs/>
          <w:sz w:val="28"/>
          <w:szCs w:val="28"/>
        </w:rPr>
        <w:t>постановлению</w:t>
      </w:r>
      <w:r w:rsidRPr="006E1402">
        <w:rPr>
          <w:sz w:val="28"/>
          <w:szCs w:val="28"/>
        </w:rPr>
        <w:t xml:space="preserve"> Правления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right"/>
        <w:rPr>
          <w:sz w:val="28"/>
          <w:szCs w:val="28"/>
        </w:rPr>
      </w:pPr>
      <w:r w:rsidRPr="006E1402">
        <w:rPr>
          <w:sz w:val="28"/>
          <w:szCs w:val="28"/>
        </w:rPr>
        <w:t>Национального Банка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right"/>
        <w:rPr>
          <w:sz w:val="28"/>
          <w:szCs w:val="28"/>
        </w:rPr>
      </w:pPr>
      <w:r w:rsidRPr="006E1402">
        <w:rPr>
          <w:sz w:val="28"/>
          <w:szCs w:val="28"/>
        </w:rPr>
        <w:t>Республики Казахстан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right"/>
        <w:rPr>
          <w:sz w:val="28"/>
          <w:szCs w:val="28"/>
        </w:rPr>
      </w:pPr>
      <w:r w:rsidRPr="006E1402">
        <w:rPr>
          <w:sz w:val="28"/>
          <w:szCs w:val="28"/>
        </w:rPr>
        <w:t xml:space="preserve">от </w:t>
      </w:r>
      <w:r>
        <w:rPr>
          <w:sz w:val="28"/>
          <w:szCs w:val="28"/>
        </w:rPr>
        <w:t>31 июля</w:t>
      </w:r>
      <w:r w:rsidRPr="006E1402">
        <w:rPr>
          <w:sz w:val="28"/>
          <w:szCs w:val="28"/>
        </w:rPr>
        <w:t xml:space="preserve"> </w:t>
      </w:r>
      <w:r w:rsidR="006F1758">
        <w:rPr>
          <w:sz w:val="28"/>
          <w:szCs w:val="28"/>
        </w:rPr>
        <w:t xml:space="preserve">2023 </w:t>
      </w:r>
      <w:r w:rsidRPr="006E1402">
        <w:rPr>
          <w:sz w:val="28"/>
          <w:szCs w:val="28"/>
        </w:rPr>
        <w:t xml:space="preserve">года № </w:t>
      </w:r>
      <w:r w:rsidR="003534F9">
        <w:rPr>
          <w:sz w:val="28"/>
          <w:szCs w:val="28"/>
        </w:rPr>
        <w:t>59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keepNext/>
        <w:widowControl w:val="0"/>
        <w:tabs>
          <w:tab w:val="left" w:pos="993"/>
        </w:tabs>
        <w:ind w:firstLine="720"/>
        <w:jc w:val="center"/>
        <w:outlineLvl w:val="2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Основные принципы управления активами в иностранной валюте и драгоценных металлах, включая их структуру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rPr>
          <w:sz w:val="28"/>
          <w:szCs w:val="28"/>
        </w:rPr>
      </w:pPr>
      <w:r w:rsidRPr="006E1402">
        <w:rPr>
          <w:sz w:val="28"/>
          <w:szCs w:val="28"/>
        </w:rPr>
        <w:t xml:space="preserve"> 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Глава 1. Общие положения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Основные принципы</w:t>
      </w:r>
      <w:r w:rsidRPr="006E1402" w:rsidDel="00F14DE3">
        <w:rPr>
          <w:sz w:val="28"/>
          <w:szCs w:val="28"/>
        </w:rPr>
        <w:t xml:space="preserve"> </w:t>
      </w:r>
      <w:r w:rsidRPr="006E1402">
        <w:rPr>
          <w:sz w:val="28"/>
          <w:szCs w:val="28"/>
        </w:rPr>
        <w:t xml:space="preserve">управления активами в иностранной валюте и драгоценных металлах, включая их структуру (далее – Основные принципы), разработаны в соответствии с Законом Республики Казахстан «О Национальном Банке Республики Казахстан» и устанавливают </w:t>
      </w:r>
      <w:r w:rsidRPr="006E1402">
        <w:rPr>
          <w:bCs/>
          <w:sz w:val="28"/>
          <w:szCs w:val="28"/>
        </w:rPr>
        <w:t xml:space="preserve">требования к осуществлению деятельности, связанной с управлением активами в иностранной валюте и драгоценных металлах Национального Банка Республики Казахстан </w:t>
      </w:r>
      <w:r w:rsidR="00BA6B3D">
        <w:rPr>
          <w:bCs/>
          <w:sz w:val="28"/>
          <w:szCs w:val="28"/>
        </w:rPr>
        <w:br/>
      </w:r>
      <w:r w:rsidRPr="006E1402">
        <w:rPr>
          <w:bCs/>
          <w:sz w:val="28"/>
          <w:szCs w:val="28"/>
        </w:rPr>
        <w:t xml:space="preserve">(далее – </w:t>
      </w:r>
      <w:r w:rsidRPr="006E1402">
        <w:rPr>
          <w:sz w:val="28"/>
          <w:szCs w:val="28"/>
        </w:rPr>
        <w:t xml:space="preserve"> </w:t>
      </w:r>
      <w:r w:rsidRPr="006E1402">
        <w:rPr>
          <w:bCs/>
          <w:sz w:val="28"/>
          <w:szCs w:val="28"/>
        </w:rPr>
        <w:t>Национальный Банк), которые включают в себя требования к управлению активами, к системе принятия решений и делегированию полномочий, к оценке эффективности управления активами и определяют виды рисков и требования к управлению рисками</w:t>
      </w:r>
      <w:r w:rsidRPr="006E1402">
        <w:rPr>
          <w:sz w:val="28"/>
          <w:szCs w:val="28"/>
        </w:rPr>
        <w:t>.</w:t>
      </w:r>
    </w:p>
    <w:p w:rsidR="00A72B20" w:rsidRPr="00A72B20" w:rsidRDefault="00A72B20" w:rsidP="00A72B20">
      <w:pPr>
        <w:keepNext/>
        <w:widowControl w:val="0"/>
        <w:numPr>
          <w:ilvl w:val="0"/>
          <w:numId w:val="24"/>
        </w:numPr>
        <w:tabs>
          <w:tab w:val="left" w:pos="993"/>
        </w:tabs>
        <w:ind w:left="0" w:firstLine="720"/>
        <w:jc w:val="both"/>
        <w:outlineLvl w:val="3"/>
        <w:rPr>
          <w:sz w:val="28"/>
          <w:szCs w:val="28"/>
        </w:rPr>
      </w:pPr>
      <w:r w:rsidRPr="00A72B20">
        <w:rPr>
          <w:sz w:val="28"/>
          <w:szCs w:val="28"/>
        </w:rPr>
        <w:t>Основные понятия, используемые в Основных принципах: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A72B20">
        <w:rPr>
          <w:sz w:val="28"/>
          <w:szCs w:val="28"/>
          <w:lang w:eastAsia="en-US"/>
        </w:rPr>
        <w:t>альтернативные инструменты – классы активов, предназначенные для повышения доходности в долгосрочной перспективе (акции развивающихся рынков (Emerging Market equities), высокодоходные облигации (High Yield Bonds), продукты абсолютной доходности (Absolute Return), хедж-фонды (Hedge Funds), фонды хедж-фондов (Fund of Hedge Funds) и фонды фондов (Fund of Funds), частный капитал (Private Equity), ценные бумаги с повышенным риском (Distressed Securities), инвестиции в недвижимость (Real Estate), инфраструктурные инвестиции (Infrastructure), прямые инвестиции (Strategic investments and co-investments);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A72B20">
        <w:rPr>
          <w:sz w:val="28"/>
          <w:szCs w:val="28"/>
          <w:lang w:eastAsia="en-US"/>
        </w:rPr>
        <w:t>управленческая отчетность – отчетность, содержащая комплекс показателей, аналитических материалов, информации, отражающий состояние управления активами, в том числе структуру портфелей за определенный период или на определенную дату, используемый руководством Национального Банка для управления, контроля и своевременного принятия решений;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A72B20">
        <w:rPr>
          <w:sz w:val="28"/>
          <w:szCs w:val="28"/>
          <w:lang w:eastAsia="en-US"/>
        </w:rPr>
        <w:t>активная позиция –  отклонение от эталонного портфеля путем покупки и (или) продажи финансовых инструментов;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A72B20">
        <w:rPr>
          <w:sz w:val="28"/>
          <w:szCs w:val="28"/>
          <w:lang w:eastAsia="en-US"/>
        </w:rPr>
        <w:t>бэк-тестинг – анализ и проверка эффективности инвестиционной стратегии по управлению активами на основе исторических данных;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993"/>
        </w:tabs>
        <w:ind w:left="0" w:firstLine="720"/>
        <w:jc w:val="both"/>
        <w:rPr>
          <w:sz w:val="28"/>
          <w:szCs w:val="28"/>
          <w:lang w:eastAsia="en-US"/>
        </w:rPr>
      </w:pPr>
      <w:r w:rsidRPr="00A72B20">
        <w:rPr>
          <w:sz w:val="28"/>
          <w:szCs w:val="28"/>
          <w:lang w:eastAsia="en-US"/>
        </w:rPr>
        <w:t xml:space="preserve">кредитный рейтинг – показатель уровня кредитного риска по долговым </w:t>
      </w:r>
      <w:r w:rsidRPr="00A72B20">
        <w:rPr>
          <w:sz w:val="28"/>
          <w:szCs w:val="28"/>
          <w:lang w:eastAsia="en-US"/>
        </w:rPr>
        <w:lastRenderedPageBreak/>
        <w:t>финансовым инструментам, эмитентам, контрпартнерам, присваиваемый международными рейтинговыми агентствами;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A72B20">
        <w:rPr>
          <w:sz w:val="28"/>
          <w:szCs w:val="28"/>
          <w:lang w:eastAsia="en-US"/>
        </w:rPr>
        <w:t>подразделение монетарных операций – подразделение Национального Банка, ответственное за управление активами Национального Банка;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A72B20">
        <w:rPr>
          <w:sz w:val="28"/>
          <w:szCs w:val="28"/>
          <w:lang w:eastAsia="en-US"/>
        </w:rPr>
        <w:t>изменчивость отклонения доходности портфеля (tracking error) – основной показатель рыночного риска портфеля по отношению к эталонному портфелю, отражающий изменчивость отклонения доходности портфеля от доходности эталонного портфеля;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A72B20">
        <w:rPr>
          <w:sz w:val="28"/>
          <w:szCs w:val="28"/>
          <w:lang w:eastAsia="en-US"/>
        </w:rPr>
        <w:t>подразделение рисков и комплаенса – подразделение Национального Банка, ответственное за организацию и совершенствование системы управления рисками Национального Банка;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A72B20">
        <w:rPr>
          <w:sz w:val="28"/>
          <w:szCs w:val="28"/>
          <w:lang w:eastAsia="en-US"/>
        </w:rPr>
        <w:t>дюрация ценной бумаги с фиксированным доходом (портфеля) (далее - дюрация) – показатель, указывающий насколько приблизительно понизится или повысится стоимость ценной бумаги (портфеля), в случае повышения или понижения доходности к погашению ценной бумаги (портфеля);</w:t>
      </w:r>
    </w:p>
    <w:p w:rsidR="00A72B20" w:rsidRPr="00A72B20" w:rsidRDefault="00A72B20" w:rsidP="00A72B20">
      <w:pPr>
        <w:widowControl w:val="0"/>
        <w:numPr>
          <w:ilvl w:val="0"/>
          <w:numId w:val="28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A72B20">
        <w:rPr>
          <w:sz w:val="28"/>
          <w:szCs w:val="28"/>
          <w:lang w:eastAsia="en-US"/>
        </w:rPr>
        <w:t>руководство Национального Банка – Председатель Национального Банка или заместитель Председателя Национального Банка, курирующий подразделение монетарных операций.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Активы </w:t>
      </w:r>
      <w:r w:rsidRPr="006E1402">
        <w:rPr>
          <w:bCs/>
          <w:sz w:val="28"/>
          <w:szCs w:val="28"/>
        </w:rPr>
        <w:t>в иностранной валюте и драгоценных металлах</w:t>
      </w:r>
      <w:r w:rsidRPr="006E1402">
        <w:rPr>
          <w:sz w:val="28"/>
          <w:szCs w:val="28"/>
        </w:rPr>
        <w:t xml:space="preserve"> являются золотовалютными активами (далее – активы) Национального Банка, которые формируются и используются в целях обеспечения внутренней и внешней устойчивости национальной валюты Республики Казахстан и осуществления платежей по обязательствам Республики Казахстан, а также являются одной из форм национального богатства Республики Казахстан.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Структура активов состоит из:</w:t>
      </w:r>
    </w:p>
    <w:p w:rsidR="006E1402" w:rsidRPr="006E1402" w:rsidRDefault="006E1402" w:rsidP="00296CAF">
      <w:pPr>
        <w:widowControl w:val="0"/>
        <w:numPr>
          <w:ilvl w:val="0"/>
          <w:numId w:val="30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 золотовалютных резервов, классифицируемых в соответствии с методологией Международного Валютного Фонда;</w:t>
      </w:r>
    </w:p>
    <w:p w:rsidR="006E1402" w:rsidRPr="006E1402" w:rsidRDefault="006E1402" w:rsidP="00296CAF">
      <w:pPr>
        <w:widowControl w:val="0"/>
        <w:numPr>
          <w:ilvl w:val="0"/>
          <w:numId w:val="30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финансовых активов, не классифицируемых в соответствии с методологией Международного Валютного Фонда в качестве резервов.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</w:tabs>
        <w:ind w:left="0" w:firstLine="720"/>
        <w:jc w:val="both"/>
        <w:outlineLvl w:val="3"/>
        <w:rPr>
          <w:b/>
          <w:sz w:val="28"/>
          <w:szCs w:val="28"/>
        </w:rPr>
      </w:pPr>
      <w:r w:rsidRPr="006E1402">
        <w:rPr>
          <w:sz w:val="28"/>
          <w:szCs w:val="28"/>
        </w:rPr>
        <w:t xml:space="preserve">Национальный Банк осуществляет международные расчеты, операции с иностранной валютой, драгоценными металлами и ценными бумагами, деноминированными в иностранной валюте, через банки-нерезиденты Республики Казахстан и специализированные компании, с которыми установлены корреспондентские или дилинговые отношения, </w:t>
      </w:r>
      <w:r w:rsidRPr="006E1402">
        <w:rPr>
          <w:sz w:val="28"/>
          <w:szCs w:val="28"/>
          <w:lang w:eastAsia="en-US"/>
        </w:rPr>
        <w:t>достигнута договоренность о порядке и условиях проведения банковских операций.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6E1402">
        <w:rPr>
          <w:sz w:val="28"/>
          <w:szCs w:val="28"/>
          <w:lang w:eastAsia="en-US"/>
        </w:rPr>
        <w:t xml:space="preserve">Корреспондентские и дилинговые отношения устанавливаются с банками-нерезидентами Республики Казахстан и специализированными компаниями иностранных государств, с которыми Республика Казахстан имеет дипломатические отношения. Корреспондентские и дилинговые отношения с банками-нерезидентами Республики Казахстан и специализированными компаниями иностранных государств, с которыми Республика Казахстан не имеет дипломатических отношений, устанавливаются по решениям руководства Национального Банка, принятым на основании рекомендаций Инвестиционного </w:t>
      </w:r>
      <w:r w:rsidRPr="006E1402">
        <w:rPr>
          <w:sz w:val="28"/>
          <w:szCs w:val="28"/>
          <w:lang w:eastAsia="en-US"/>
        </w:rPr>
        <w:lastRenderedPageBreak/>
        <w:t>комитета Национального Банка (далее – Инвестиционный Комитет).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Кастодиальное хранение активов и инвестиционные операции с контрпартнерами осуществляются при соответствии контрпартнера минимальным требованиям, установленным постановлением Правления Национального Банка от 20 декабря 2021 года № 117 «Об утверждении Порядка управления кредитным риском по </w:t>
      </w:r>
      <w:r w:rsidRPr="006E1402">
        <w:rPr>
          <w:rFonts w:eastAsia="Calibri"/>
          <w:sz w:val="28"/>
          <w:szCs w:val="28"/>
        </w:rPr>
        <w:t>операциям</w:t>
      </w:r>
      <w:r w:rsidRPr="006E1402">
        <w:rPr>
          <w:sz w:val="28"/>
          <w:szCs w:val="28"/>
        </w:rPr>
        <w:t xml:space="preserve"> с контрпартнерами Национального Банка Республики Казахстан».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851"/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 xml:space="preserve">Глава 2. Принципы управления активами 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Управление активами обеспечивает сохранность, ликвидность, доходность в средней и долгосрочной перспективе, соблюдение которых осуществляется в соответствии с требованиями, предусмотренными главой 3 Основных принципов. 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Управление рисками является неотъемлемой частью управления активами. Управление рисками осуществляется в зависимости от видов риск</w:t>
      </w:r>
      <w:r w:rsidRPr="006E1402">
        <w:rPr>
          <w:sz w:val="28"/>
          <w:szCs w:val="28"/>
          <w:lang w:val="kk-KZ"/>
        </w:rPr>
        <w:t xml:space="preserve">ов </w:t>
      </w:r>
      <w:r w:rsidRPr="006E1402">
        <w:rPr>
          <w:sz w:val="28"/>
          <w:szCs w:val="28"/>
        </w:rPr>
        <w:t>и методов их минимизации, предусмотренными главами 4 и 5 Основных принципов.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  <w:tab w:val="left" w:pos="1276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Процесс управления активами сопровождается </w:t>
      </w:r>
      <w:r w:rsidRPr="006E1402">
        <w:rPr>
          <w:sz w:val="28"/>
          <w:szCs w:val="28"/>
          <w:lang w:val="kk-KZ"/>
        </w:rPr>
        <w:t>документальным подтверждением</w:t>
      </w:r>
      <w:r w:rsidRPr="006E1402">
        <w:rPr>
          <w:sz w:val="28"/>
          <w:szCs w:val="28"/>
        </w:rPr>
        <w:t>. Взаимодействие между заинтересованными подразделениями Национального Банка и принятие решений в процессе управления активами регламентируются и фиксируются, возникающая при этом ответственность определяется в соответствии с действующим законодательством Республики Казахстан.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  <w:tab w:val="left" w:pos="1276"/>
        </w:tabs>
        <w:ind w:left="0" w:firstLine="720"/>
        <w:jc w:val="both"/>
        <w:outlineLvl w:val="3"/>
        <w:rPr>
          <w:b/>
          <w:szCs w:val="20"/>
        </w:rPr>
      </w:pPr>
      <w:r w:rsidRPr="006E1402">
        <w:rPr>
          <w:sz w:val="28"/>
          <w:szCs w:val="28"/>
        </w:rPr>
        <w:t>Инвестиции Национального Банка в новые виды финансовых инструментов осуществляются после оценки возможных финансовых рисков, предусмотренных в пункте 23 Основных принципов, в соответствии с требованиями к системе принятия решений и делегированию полномочий при управлении активами, предусмотренными главой 6 Основных принципов.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  <w:tab w:val="left" w:pos="1276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Оценка эффективности управления активами и при необходимости проведение бэк-тестинга является неотъемлемой частью процесса управления активами. Оценка эффективности управления активами осуществляется в соответствии с требованиями, предусмотренными главой 7 Основных принципов.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Операции с производными финансовыми инструментами производятся после оценки их влияния на портфель и осуществляются в соответствии с требованиями, предусмотренными главой 8 Основных принципов. 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 По результатам управления активами и подверженности их рискам на регулярной основе и по запросу руководства Национального Банка подготавливается и представляется управленческая отчетность. Управленческая отчетность содержит достоверную, полную, объективную и сопоставимую </w:t>
      </w:r>
      <w:r w:rsidRPr="006E1402">
        <w:rPr>
          <w:sz w:val="28"/>
          <w:szCs w:val="28"/>
        </w:rPr>
        <w:lastRenderedPageBreak/>
        <w:t>информацию.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Глава 3. Требования к управлению</w:t>
      </w:r>
      <w:r w:rsidRPr="006E1402">
        <w:rPr>
          <w:sz w:val="28"/>
          <w:szCs w:val="28"/>
        </w:rPr>
        <w:t xml:space="preserve"> </w:t>
      </w:r>
      <w:r w:rsidRPr="006E1402">
        <w:rPr>
          <w:b/>
          <w:sz w:val="28"/>
          <w:szCs w:val="28"/>
        </w:rPr>
        <w:t xml:space="preserve">активами 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rPr>
          <w:sz w:val="20"/>
          <w:szCs w:val="20"/>
        </w:rPr>
      </w:pP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  <w:tab w:val="left" w:pos="1276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Правление Национального Банка определяет назначение и структуру портфелей активов, и соответствующие параметры кредитного риска портфеля. В зависимости от назначения и вида управления портфелями активов определяется эталонный портфель и параметры инвестиционной стратегии по управлению активами для соответствующего портфеля.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Выбор эталонного портфеля отражает стратегические интересы Национального Банка, как инвестора. Доходность эталонного портфеля служит мерой при оценке доходности управления активами. В качестве эталонного портфеля используются индексы, разработанные и отслеживаемые ведущими мировыми финансовыми организациями либо Национальным Банком.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Виды управления портфелем относительно устанавливаемого эталонного портфеля: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1) пассивный вид управления – это управление, при котором значение изменчивости отклонения доходности портфеля (tracking error) не превышает </w:t>
      </w:r>
      <w:r w:rsidR="00296CAF">
        <w:rPr>
          <w:sz w:val="28"/>
          <w:szCs w:val="28"/>
        </w:rPr>
        <w:br/>
      </w:r>
      <w:r w:rsidRPr="006E1402">
        <w:rPr>
          <w:sz w:val="28"/>
          <w:szCs w:val="28"/>
        </w:rPr>
        <w:t>0,5 (ноль целых пять десятых) процента;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2) </w:t>
      </w:r>
      <w:r w:rsidRPr="006E1402">
        <w:rPr>
          <w:rFonts w:eastAsia="Calibri"/>
          <w:sz w:val="28"/>
          <w:szCs w:val="28"/>
          <w:lang w:eastAsia="en-US"/>
        </w:rPr>
        <w:t>усовершенствованное индексное управление активами – это управление, при котором значение изменчивости отклонения доходности портфеля (tracking error) составляет от 0,5 (ноль целых пять десятых) до 2 (двух) процентов включительно</w:t>
      </w:r>
      <w:r w:rsidRPr="006E1402">
        <w:rPr>
          <w:sz w:val="28"/>
          <w:szCs w:val="28"/>
        </w:rPr>
        <w:t>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3) активный вид управления – это управление, при котором значение изменчивости отклонения доходности портфеля (tracking error) превышает </w:t>
      </w:r>
      <w:r w:rsidR="00296CAF">
        <w:rPr>
          <w:sz w:val="28"/>
          <w:szCs w:val="28"/>
        </w:rPr>
        <w:br/>
      </w:r>
      <w:r w:rsidRPr="006E1402">
        <w:rPr>
          <w:sz w:val="28"/>
          <w:szCs w:val="28"/>
        </w:rPr>
        <w:t>2 (два) процента.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Выбор </w:t>
      </w:r>
      <w:r w:rsidRPr="006E1402">
        <w:rPr>
          <w:bCs/>
          <w:sz w:val="28"/>
          <w:szCs w:val="28"/>
        </w:rPr>
        <w:t>вида управления портфелем относительно эталонного портфеля определяется Правлением Национального Банка. Виды управления портфелем определяются для каждого портфеля, за исключением композитных портфелей, где управление долями осуществляется несколькими управляющими одновременно.</w:t>
      </w:r>
      <w:r w:rsidRPr="006E1402">
        <w:rPr>
          <w:b/>
          <w:sz w:val="28"/>
          <w:szCs w:val="28"/>
        </w:rPr>
        <w:t xml:space="preserve"> 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В целях диверсификации стилей управления часть активов передается во внешнее управление</w:t>
      </w:r>
      <w:r w:rsidRPr="006E1402" w:rsidDel="005664B2">
        <w:rPr>
          <w:sz w:val="28"/>
          <w:szCs w:val="28"/>
        </w:rPr>
        <w:t xml:space="preserve"> </w:t>
      </w:r>
      <w:r w:rsidRPr="006E1402">
        <w:rPr>
          <w:sz w:val="28"/>
          <w:szCs w:val="28"/>
        </w:rPr>
        <w:t xml:space="preserve">банку-нерезиденту Республики Казахстан или организации, специализирующимся на доверительном управлении активами клиентов и осуществляющим свою деятельность на международных финансовых рынках (далее – внешние управляющие). 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Передача части активов во внешнее управление осуществляется в соответствии с постановлением Правления Национального Банка Республики Казахстан от 19 марта 2020 года № 30 «Об утверждении Правил передачи части золотовалютных активов Национального Банка Республики Казахстан во внешнее управление», </w:t>
      </w:r>
      <w:r w:rsidRPr="006E1402">
        <w:rPr>
          <w:sz w:val="28"/>
          <w:szCs w:val="20"/>
        </w:rPr>
        <w:t>где предусматриваются</w:t>
      </w:r>
      <w:r w:rsidRPr="006E1402">
        <w:rPr>
          <w:sz w:val="28"/>
          <w:szCs w:val="28"/>
        </w:rPr>
        <w:t xml:space="preserve">, не ограничиваясь, следующие </w:t>
      </w:r>
      <w:r w:rsidRPr="006E1402">
        <w:rPr>
          <w:sz w:val="28"/>
          <w:szCs w:val="28"/>
        </w:rPr>
        <w:lastRenderedPageBreak/>
        <w:t>минимальные требования:</w:t>
      </w:r>
    </w:p>
    <w:p w:rsidR="006E1402" w:rsidRPr="006E1402" w:rsidRDefault="006E1402" w:rsidP="006E1402">
      <w:pPr>
        <w:widowControl w:val="0"/>
        <w:numPr>
          <w:ilvl w:val="0"/>
          <w:numId w:val="25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минимальный объем активов под управлением одному внешнему управляющему;</w:t>
      </w:r>
    </w:p>
    <w:p w:rsidR="006E1402" w:rsidRPr="006E1402" w:rsidRDefault="006E1402" w:rsidP="006E1402">
      <w:pPr>
        <w:widowControl w:val="0"/>
        <w:numPr>
          <w:ilvl w:val="0"/>
          <w:numId w:val="25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минимальный объем активов под управлением по рассматриваемому типу мандата;</w:t>
      </w:r>
    </w:p>
    <w:p w:rsidR="006E1402" w:rsidRPr="006E1402" w:rsidRDefault="006E1402" w:rsidP="006E1402">
      <w:pPr>
        <w:widowControl w:val="0"/>
        <w:numPr>
          <w:ilvl w:val="0"/>
          <w:numId w:val="25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максимальный объем активов, передаваемых одному внешнему управляющему;</w:t>
      </w:r>
    </w:p>
    <w:p w:rsidR="006E1402" w:rsidRPr="006E1402" w:rsidRDefault="006E1402" w:rsidP="006E1402">
      <w:pPr>
        <w:widowControl w:val="0"/>
        <w:numPr>
          <w:ilvl w:val="0"/>
          <w:numId w:val="25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максимальная доля активов, которая может быть передана во внешнее управление;</w:t>
      </w:r>
    </w:p>
    <w:p w:rsidR="006E1402" w:rsidRPr="006E1402" w:rsidRDefault="006E1402" w:rsidP="006E1402">
      <w:pPr>
        <w:widowControl w:val="0"/>
        <w:numPr>
          <w:ilvl w:val="0"/>
          <w:numId w:val="25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требования к финансовой и (или) управленческой отчетности, предъявляемые к внешнему управляющему;</w:t>
      </w:r>
    </w:p>
    <w:p w:rsidR="006E1402" w:rsidRPr="006E1402" w:rsidRDefault="006E1402" w:rsidP="006E1402">
      <w:pPr>
        <w:widowControl w:val="0"/>
        <w:numPr>
          <w:ilvl w:val="0"/>
          <w:numId w:val="25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условия досрочного прекращения (частичного и полного) соглашений между Национальным Банком и внешними управляющими.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Для обеспечения доходности в долгосрочной перспективе часть активов передается акционерному обществу «Национальная инвестиционная компания Национального Банка Казахстана» во внешнее управление для инвестирования в альтернативные инструменты, отличающиеся высокой степенью риска и низким уровнем ликвидности.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Для покрытия вероятности возникновения финансовых потерь при управлении активами подразделением рисков и комплаенса в соответствии с постановлением Совета директоров Национального Банка Республики Казахстан от 29 ноября 2019 года № 88 «Об утверждении Порядка создания провизий под ожидаемые кредитные убытки по активам Национального Банка Республики Казахстан» расч</w:t>
      </w:r>
      <w:r w:rsidRPr="006E1402">
        <w:rPr>
          <w:sz w:val="28"/>
          <w:szCs w:val="28"/>
          <w:lang w:val="kk-KZ"/>
        </w:rPr>
        <w:t xml:space="preserve">итываются </w:t>
      </w:r>
      <w:r w:rsidRPr="006E1402">
        <w:rPr>
          <w:sz w:val="28"/>
          <w:szCs w:val="28"/>
        </w:rPr>
        <w:t>провизи</w:t>
      </w:r>
      <w:r w:rsidRPr="006E1402">
        <w:rPr>
          <w:sz w:val="28"/>
          <w:szCs w:val="28"/>
          <w:lang w:val="kk-KZ"/>
        </w:rPr>
        <w:t>и</w:t>
      </w:r>
      <w:r w:rsidRPr="006E1402">
        <w:rPr>
          <w:sz w:val="28"/>
          <w:szCs w:val="28"/>
        </w:rPr>
        <w:t xml:space="preserve"> под ожидаемые кредитные убытки. Положения данного пункта не влияют на процесс принятия решений при реализации инвестиционной стратегии по управлению активами.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rPr>
          <w:sz w:val="28"/>
          <w:szCs w:val="20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rPr>
          <w:sz w:val="28"/>
          <w:szCs w:val="20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 xml:space="preserve">Глава 4. Виды рисков и управление ими при проведении операций 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с активами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6E1402">
        <w:rPr>
          <w:sz w:val="28"/>
          <w:szCs w:val="28"/>
          <w:lang w:eastAsia="en-US"/>
        </w:rPr>
        <w:t>Проведение операций с активами сопряжено со следующими основными видами рисков:</w:t>
      </w:r>
    </w:p>
    <w:p w:rsidR="006E1402" w:rsidRPr="006E1402" w:rsidRDefault="006E1402" w:rsidP="00296CAF">
      <w:pPr>
        <w:widowControl w:val="0"/>
        <w:numPr>
          <w:ilvl w:val="0"/>
          <w:numId w:val="31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6E1402">
        <w:rPr>
          <w:sz w:val="28"/>
          <w:szCs w:val="28"/>
          <w:lang w:eastAsia="en-US"/>
        </w:rPr>
        <w:t>финансовые риски: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кредитный риск – риск, связанный с возможностью невыполнения контрпартнером и (или) эмитентом обязательств по сделке и (или) выплате по финансовым инструментам в назначенный срок вследствие своей неплатежеспособности или банкротства; 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рыночный риск – риск снижения стоимости активов вследствие изменения курсов, цен и ставок вознаграждения. Рыночный риск подразделяется на следующие виды рисков: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валютный риск – риск возникновения убытков, связанный с изменением курсов иностранных валют;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lastRenderedPageBreak/>
        <w:t>ценовой риск – риск возникновения убытков, связанный с изменением цен на драгоценные металлы, ценные бумаги и другие финансовые инструменты;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риск изменения ставок вознаграждения – риск возникновения убытков и потерь, связанный с изменением ставок вознаграждения на том или ином финансовом рынке;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риск потери ликвидности – риск возникновения дефицита денег для выполнения текущих краткосрочных обязательств Национального Банка; 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риск рыночной ликвидности – риск продажи финансовых инструментов со значительными отклонениями в худшую от рыночной цены сторону; </w:t>
      </w:r>
    </w:p>
    <w:p w:rsidR="006E1402" w:rsidRPr="006E1402" w:rsidRDefault="006E1402" w:rsidP="00296CAF">
      <w:pPr>
        <w:widowControl w:val="0"/>
        <w:numPr>
          <w:ilvl w:val="0"/>
          <w:numId w:val="31"/>
        </w:numPr>
        <w:tabs>
          <w:tab w:val="left" w:pos="709"/>
          <w:tab w:val="left" w:pos="993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  <w:lang w:eastAsia="en-US"/>
        </w:rPr>
        <w:t>операционный риск – риск возникновения потерь вследствие ошибок в процессе совершения сделки, процедуре расчетов по ней, технической неисправности оборудования систем связи или телекоммуникаций</w:t>
      </w:r>
      <w:r w:rsidRPr="006E1402">
        <w:rPr>
          <w:sz w:val="28"/>
          <w:szCs w:val="28"/>
        </w:rPr>
        <w:t>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</w:tabs>
        <w:ind w:left="0" w:firstLine="720"/>
        <w:contextualSpacing/>
        <w:jc w:val="both"/>
        <w:rPr>
          <w:sz w:val="28"/>
          <w:szCs w:val="28"/>
          <w:lang w:eastAsia="en-US"/>
        </w:rPr>
      </w:pPr>
      <w:r w:rsidRPr="006E1402">
        <w:rPr>
          <w:sz w:val="28"/>
          <w:szCs w:val="28"/>
          <w:lang w:eastAsia="en-US"/>
        </w:rPr>
        <w:t>Для управления рисками, возникающими при управлении активами, используются следующие виды лимитов, применяемые в зависимости от структуры активов и назначения портфелей, устанавливаемые соответствующими инвестиционными стратегиями: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1) лимит портфелей активов – лимит на размер портфелей активов, который устанавливается с целью минимизации риска потери ликвидности, обеспечения стратегического запаса золота, ограничения объема высокорискованных классов активов;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2) лимит структуры активов в портфелях – допустимые виды активов и их максимальный вес в портфелях активов. Соотношение активов определяется исходя из целей диверсификации портфелей;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3) лимит на дюрацию</w:t>
      </w:r>
      <w:r w:rsidRPr="006E1402">
        <w:rPr>
          <w:sz w:val="28"/>
          <w:szCs w:val="28"/>
          <w:lang w:eastAsia="en-US"/>
        </w:rPr>
        <w:t xml:space="preserve"> </w:t>
      </w:r>
      <w:r w:rsidRPr="006E1402">
        <w:rPr>
          <w:sz w:val="28"/>
          <w:szCs w:val="28"/>
        </w:rPr>
        <w:t xml:space="preserve">– допустимое отклонение стоимости портфеля ценных бумаг с фиксированным доходом от дюрации эталонного портфеля и определяется как максимальное отклонение дюрации портфеля от дюрации соответствующего эталонного портфеля; 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4) лимит на активное управление – максимальное отклонение портфеля от эталонного портфеля в разрезе валют, секторов, расположения на кривой доходности. Устанавливается в виде максимальной величины ожидаемой изменчивости отклонения доходности портфеля от доходности эталонного портфеля (expected tracking error);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5) лимит кредитного риска – ограничение на операции с контрпартнерами и на виды финансовых инструментов с учетом кредитного риска. Определяется на основе анализа текущей финансовой отчетности и кредитных рейтингов ведущих рейтинговых агентств; 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6) лимит на валютное распределение – эталонное распределение валют, а также максимальные отклонения в разрезе каждой валюты; 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7) лимит на внешнее управление – ограничения по передаче части активов во внешнее управление.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Глава 5. Хеджирование финансовых рисков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Хеджирование финансовых рисков представляет собой метод минимизации рисков. Хеджирование финансовых рисков осуществляется для снижения финансовых рисков портфелей активов и для компенсации возможных убытков, связанных со снижением справедливой стоимости разрешенного для инвестирования финансового инструмента.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Хеджирование финансовых рисков портфелей активов осуществляется путем приобретения или продажи различных финансовых инструментов в целях снижения финансовых рисков портфелей активов, в том числе в целях приближения параметров дюрации, валютного и долевого распределения к эталонным значениям. 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Принятие решения о хеджировании финансовых рисков осуществляется при соблюдении следующих основных условий:</w:t>
      </w:r>
    </w:p>
    <w:p w:rsidR="006E1402" w:rsidRPr="006E1402" w:rsidRDefault="006E1402" w:rsidP="006E1402">
      <w:pPr>
        <w:widowControl w:val="0"/>
        <w:numPr>
          <w:ilvl w:val="0"/>
          <w:numId w:val="26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затраты на хеджирование не превышают возможные убытки; 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2) возможные убытки от заключения сделки (сделок) хеджирования не превышают 100% (сто процентов) от стоимости хеджируемого актива;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3) на момент заключения сделки соблюдается отрицательная корреляция между ценами объекта хеджирования и самой сделкой хеджирования;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4) допускается полное либо частичное хеджирование финансовых рисков с соблюдением условий о проведении предварительного анализа планируемых сделок.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Глава 6. Требования к системе принятия решений и делегированию полномочий при управлении активами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Управление активами предусматривает следующие требования к системе принятия решений и делегированию полномочий при управлении активами, способствующие повышению эффективности принимаемых решений в соответствии с приоритетами инвестиционной политики Национального Банка:</w:t>
      </w:r>
    </w:p>
    <w:p w:rsidR="006E1402" w:rsidRPr="006E1402" w:rsidRDefault="006E1402" w:rsidP="006E1402">
      <w:pPr>
        <w:keepNext/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Правление Национального Банка: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утверждает инвестиционную стратегию по управлению активами;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утверждает порядок передачи активов во внешнее управление;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утверждает внешних управляющих;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утверждает инвестиционную стратегию по управлению портфелем альтернативных инструментов;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утверждает порядок и методику расчета максимальных лимитов кредитного риска на операции с контрпартнерами Национального Банка;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принимает решение о допустимости инвестиций в ценные бумаги и иные финансовые инструменты, номинированные в неконвертируемых валютах; </w:t>
      </w:r>
    </w:p>
    <w:p w:rsidR="006E1402" w:rsidRPr="006E1402" w:rsidRDefault="006E1402" w:rsidP="006E1402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Комитет по рискам Национального Банка вырабатывает рекомендации по управлению рисками активов, в том числе по определению показателей </w:t>
      </w:r>
      <w:r w:rsidRPr="006E1402">
        <w:rPr>
          <w:sz w:val="28"/>
          <w:szCs w:val="28"/>
        </w:rPr>
        <w:lastRenderedPageBreak/>
        <w:t>рисков и их параметров;</w:t>
      </w:r>
    </w:p>
    <w:p w:rsidR="006E1402" w:rsidRPr="006E1402" w:rsidRDefault="006E1402" w:rsidP="006E1402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Инвестиционный комитет Национального Банка вырабатывает рекомендации в части формирования и осуществления инвестиционной политики в области управления активами, в том числе по формированию тактики инвестирования активов;</w:t>
      </w:r>
    </w:p>
    <w:p w:rsidR="006E1402" w:rsidRPr="006E1402" w:rsidRDefault="006E1402" w:rsidP="006E1402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подразделение монетарных операций в рамках управления активами: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осуществляет инвестирование активов в соответствии с инвестиционными стратегиями;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осуществляет контроль за результатами управления активами;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ежегодно вносит на рассмотрение Инвестиционного комитета результаты инвестиционного управления и предложения о целесообразности изменения эталонных портфелей для портфелей в управлении Национального Банка с учетом ожиданий на финансовых рынках;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проводят мероприятия по выбору внешних управляющих и осуществляют мониторинг деятельности каждого выбранного внешнего управляющего;</w:t>
      </w:r>
    </w:p>
    <w:p w:rsidR="006E1402" w:rsidRPr="006E1402" w:rsidRDefault="006E1402" w:rsidP="006E1402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подразделение рисков и комплаенса: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разрабатывает методологию управления рисками и вырабатывает предложения по ее совершенствованию;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вносит на Комитет по рискам Национального Банка информацию о подверженности кредитному, рыночному рискам и риску ликвидности и текущих ограничениях по управлению активами; </w:t>
      </w:r>
    </w:p>
    <w:p w:rsidR="006E1402" w:rsidRPr="006E1402" w:rsidRDefault="006E1402" w:rsidP="006E1402">
      <w:pPr>
        <w:widowControl w:val="0"/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создает провизии под ожидаемые кредитные убытки;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both"/>
        <w:rPr>
          <w:rFonts w:ascii="Calibri" w:hAnsi="Calibri" w:cs="Calibri"/>
          <w:sz w:val="28"/>
          <w:szCs w:val="28"/>
          <w:lang w:eastAsia="en-US"/>
        </w:rPr>
      </w:pPr>
      <w:r w:rsidRPr="006E1402">
        <w:rPr>
          <w:sz w:val="28"/>
          <w:szCs w:val="28"/>
        </w:rPr>
        <w:t>определяет требования к кредитоспособности контрпартнеров Национального Банка и требования к финансовым инструментам.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rPr>
          <w:sz w:val="22"/>
          <w:szCs w:val="22"/>
        </w:rPr>
      </w:pP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Глава 7. Требования к оценке эффективности управления активами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Оценка эффективности управления активами и оценка эффективности деятельности внешних управляющих портфелями осуществляется </w:t>
      </w:r>
      <w:r w:rsidRPr="006E1402">
        <w:rPr>
          <w:iCs/>
          <w:sz w:val="28"/>
          <w:szCs w:val="28"/>
        </w:rPr>
        <w:t xml:space="preserve">ежегодно. Оценка эффективности управления портфелем альтернативных инструментов осуществляется за период сроком в 15 (пятнадцать) лет. Промежуточная оценка эффективности управления портфелем альтернативных инструментов проводится методом скользящей оценки (rolling window) за периоды сроками </w:t>
      </w:r>
      <w:r w:rsidR="00BA6B3D">
        <w:rPr>
          <w:iCs/>
          <w:sz w:val="28"/>
          <w:szCs w:val="28"/>
        </w:rPr>
        <w:br/>
      </w:r>
      <w:r w:rsidRPr="006E1402">
        <w:rPr>
          <w:iCs/>
          <w:sz w:val="28"/>
          <w:szCs w:val="28"/>
        </w:rPr>
        <w:t>в 5 (пять) и 10 (десять) лет.</w:t>
      </w:r>
      <w:r w:rsidRPr="006E1402">
        <w:rPr>
          <w:sz w:val="28"/>
          <w:szCs w:val="28"/>
        </w:rPr>
        <w:t xml:space="preserve"> 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Оценка эффективности управления осуществляется через показатели доходности, скорректированные на принятый риск. Для оценки эффективности управления деятельности внешних управляющих портфелями принимаются наряду с количественными и качественные показатели.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 xml:space="preserve">По результатам оценки эффективности управления активами и оценки эффективности внешних управляющих портфелями на ежегодной основе проводится сравнительный анализ, который представляется на рассмотрение </w:t>
      </w:r>
      <w:r w:rsidRPr="006E1402">
        <w:rPr>
          <w:sz w:val="28"/>
          <w:szCs w:val="28"/>
        </w:rPr>
        <w:lastRenderedPageBreak/>
        <w:t>руководству Национального Банка.</w:t>
      </w:r>
    </w:p>
    <w:p w:rsidR="006E1402" w:rsidRPr="006E1402" w:rsidRDefault="006E1402" w:rsidP="006E1402">
      <w:pPr>
        <w:keepNext/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outlineLvl w:val="3"/>
        <w:rPr>
          <w:sz w:val="28"/>
          <w:szCs w:val="28"/>
        </w:rPr>
      </w:pPr>
      <w:r w:rsidRPr="006E1402">
        <w:rPr>
          <w:sz w:val="28"/>
          <w:szCs w:val="28"/>
        </w:rPr>
        <w:t>Оценка ожидаемых кредитных убытков и формирование провизий осуществляются не реже одного раза в квартал в соответствии с международным стандартом финансовой отчетности 9 «Финансовые инструменты».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E1402">
        <w:rPr>
          <w:b/>
          <w:sz w:val="28"/>
          <w:szCs w:val="28"/>
        </w:rPr>
        <w:t>Глава 8. Требования к операциям с производными финансовыми инструментами</w:t>
      </w:r>
    </w:p>
    <w:p w:rsidR="006E1402" w:rsidRPr="006E1402" w:rsidRDefault="006E1402" w:rsidP="006E1402">
      <w:pPr>
        <w:widowControl w:val="0"/>
        <w:tabs>
          <w:tab w:val="left" w:pos="709"/>
          <w:tab w:val="left" w:pos="993"/>
        </w:tabs>
        <w:ind w:firstLine="720"/>
        <w:jc w:val="both"/>
        <w:rPr>
          <w:sz w:val="28"/>
          <w:szCs w:val="28"/>
        </w:rPr>
      </w:pP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К производным финансовым инструментам относятся:</w:t>
      </w:r>
    </w:p>
    <w:p w:rsidR="006E1402" w:rsidRPr="006E1402" w:rsidRDefault="006E1402" w:rsidP="006E1402">
      <w:pPr>
        <w:widowControl w:val="0"/>
        <w:numPr>
          <w:ilvl w:val="0"/>
          <w:numId w:val="27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фьючерсы;</w:t>
      </w:r>
    </w:p>
    <w:p w:rsidR="006E1402" w:rsidRPr="006E1402" w:rsidRDefault="006E1402" w:rsidP="006E1402">
      <w:pPr>
        <w:widowControl w:val="0"/>
        <w:numPr>
          <w:ilvl w:val="0"/>
          <w:numId w:val="27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форварды;</w:t>
      </w:r>
    </w:p>
    <w:p w:rsidR="006E1402" w:rsidRPr="006E1402" w:rsidRDefault="006E1402" w:rsidP="006E1402">
      <w:pPr>
        <w:widowControl w:val="0"/>
        <w:numPr>
          <w:ilvl w:val="0"/>
          <w:numId w:val="27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свопы;</w:t>
      </w:r>
    </w:p>
    <w:p w:rsidR="006E1402" w:rsidRPr="006E1402" w:rsidRDefault="006E1402" w:rsidP="006E1402">
      <w:pPr>
        <w:widowControl w:val="0"/>
        <w:numPr>
          <w:ilvl w:val="0"/>
          <w:numId w:val="27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опционы; </w:t>
      </w:r>
    </w:p>
    <w:p w:rsidR="006E1402" w:rsidRPr="006E1402" w:rsidRDefault="006E1402" w:rsidP="006E1402">
      <w:pPr>
        <w:widowControl w:val="0"/>
        <w:numPr>
          <w:ilvl w:val="0"/>
          <w:numId w:val="27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другие производные финансовые инструменты, отвечающие признакам производных финансовых инструментов, в том числе представляющие собой комбинацию вышеперечисленных производных финансовых инструментов.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Операции с производными финансовыми инструментами осуществляются для занятия активной позиции, хеджирования и для формирования портфеля либо части портфеля в соответствии со структурой и параметрами эталонного портфеля.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Операции с производными финансовыми инструментами осуществляются с учетом ограничений инвестиционной стратегии по управлению активами и предварительной оценки волатильности, и ликвидности рынка.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Лимиты на активные позиции с производными финансовыми инструментами определяются на объем базового актива с учетом волатильности базового актива, а также в разрезе соответствующей иерархии должностей работников подразделения монетарных операций.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contextualSpacing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Активная позиция с производными финансовыми инструментами</w:t>
      </w:r>
      <w:r w:rsidRPr="006E1402">
        <w:rPr>
          <w:b/>
          <w:sz w:val="20"/>
          <w:szCs w:val="20"/>
        </w:rPr>
        <w:t xml:space="preserve"> </w:t>
      </w:r>
      <w:r w:rsidRPr="006E1402">
        <w:rPr>
          <w:sz w:val="28"/>
          <w:szCs w:val="28"/>
        </w:rPr>
        <w:t>сопровождается оценкой ожидаемого влияния на портфель покупок и продаж финансовых инструментов, в том числе с учетом прогнозов изменения конъюнктуры рынка.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 xml:space="preserve">Открытие активной позиции по операциям с производными финансовыми инструментами осуществляется с учетом возможных убытков. Пороги убытков и требования в случае их превышения предусматриваются в постановлении Совета директоров Национального Банка Республики Казахстан от 30 марта 2023 год № 21 «Об утверждении Порядка осуществления монетарной деятельности в Национальном Банке Республики Казахстан» </w:t>
      </w:r>
      <w:r w:rsidR="00296CAF">
        <w:rPr>
          <w:sz w:val="28"/>
          <w:szCs w:val="28"/>
        </w:rPr>
        <w:br/>
      </w:r>
      <w:r w:rsidRPr="006E1402">
        <w:rPr>
          <w:sz w:val="28"/>
          <w:szCs w:val="28"/>
        </w:rPr>
        <w:t>(далее – Постановление № 21).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При открытии активной позиции с производными финансовыми инструментами</w:t>
      </w:r>
      <w:r w:rsidRPr="006E1402">
        <w:rPr>
          <w:b/>
          <w:sz w:val="20"/>
          <w:szCs w:val="20"/>
        </w:rPr>
        <w:t xml:space="preserve"> </w:t>
      </w:r>
      <w:r w:rsidRPr="006E1402">
        <w:rPr>
          <w:sz w:val="28"/>
          <w:szCs w:val="28"/>
        </w:rPr>
        <w:t>предпочтение отдается контрпартнерам с более устойчивыми финансовыми и фундаментальными показателями при прочих равных условиях.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lastRenderedPageBreak/>
        <w:t>Объем активной позиции по операциям с производными финансовыми инструментами</w:t>
      </w:r>
      <w:r w:rsidRPr="006E1402">
        <w:rPr>
          <w:sz w:val="20"/>
          <w:szCs w:val="20"/>
        </w:rPr>
        <w:t xml:space="preserve"> </w:t>
      </w:r>
      <w:r w:rsidRPr="006E1402">
        <w:rPr>
          <w:sz w:val="28"/>
          <w:szCs w:val="28"/>
        </w:rPr>
        <w:t>определяется как разница между общим объемом базового актива производного финансового инструмента и долей данного финансового инструмента в эталонном портфеле.</w:t>
      </w:r>
    </w:p>
    <w:p w:rsidR="006E1402" w:rsidRPr="006E1402" w:rsidRDefault="006E1402" w:rsidP="006E1402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6E1402">
        <w:rPr>
          <w:sz w:val="28"/>
          <w:szCs w:val="28"/>
        </w:rPr>
        <w:t>Открытие активной позиции по операциям с производными финансовыми инструментами документируется в соответствии с Постановлением № 21.</w:t>
      </w:r>
    </w:p>
    <w:p w:rsidR="006E1402" w:rsidRPr="006E1402" w:rsidRDefault="006E1402" w:rsidP="006E1402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</w:p>
    <w:p w:rsidR="006528BB" w:rsidRDefault="006528BB" w:rsidP="00707891">
      <w:pPr>
        <w:widowControl w:val="0"/>
        <w:ind w:left="993"/>
        <w:jc w:val="both"/>
        <w:rPr>
          <w:sz w:val="20"/>
        </w:rPr>
      </w:pPr>
    </w:p>
    <w:sectPr w:rsidR="006528BB" w:rsidSect="003D5023">
      <w:headerReference w:type="default" r:id="rId9"/>
      <w:foot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3F6" w:rsidRDefault="007873F6" w:rsidP="00DB29D8">
      <w:r>
        <w:separator/>
      </w:r>
    </w:p>
  </w:endnote>
  <w:endnote w:type="continuationSeparator" w:id="0">
    <w:p w:rsidR="007873F6" w:rsidRDefault="007873F6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a"/>
      <w:jc w:val="center"/>
    </w:pPr>
  </w:p>
  <w:p w:rsidR="00115969" w:rsidRDefault="0011596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3F6" w:rsidRDefault="007873F6" w:rsidP="00DB29D8">
      <w:r>
        <w:separator/>
      </w:r>
    </w:p>
  </w:footnote>
  <w:footnote w:type="continuationSeparator" w:id="0">
    <w:p w:rsidR="007873F6" w:rsidRDefault="007873F6" w:rsidP="00DB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846425"/>
      <w:docPartObj>
        <w:docPartGallery w:val="Page Numbers (Top of Page)"/>
        <w:docPartUnique/>
      </w:docPartObj>
    </w:sdtPr>
    <w:sdtEndPr/>
    <w:sdtContent>
      <w:p w:rsidR="000D5B86" w:rsidRDefault="000D5B86">
        <w:pPr>
          <w:pStyle w:val="ad"/>
          <w:jc w:val="center"/>
        </w:pPr>
        <w:r w:rsidRPr="005D7339">
          <w:rPr>
            <w:sz w:val="28"/>
          </w:rPr>
          <w:fldChar w:fldCharType="begin"/>
        </w:r>
        <w:r w:rsidRPr="005D7339">
          <w:rPr>
            <w:sz w:val="28"/>
          </w:rPr>
          <w:instrText>PAGE   \* MERGEFORMAT</w:instrText>
        </w:r>
        <w:r w:rsidRPr="005D7339">
          <w:rPr>
            <w:sz w:val="28"/>
          </w:rPr>
          <w:fldChar w:fldCharType="separate"/>
        </w:r>
        <w:r w:rsidR="00A64D37">
          <w:rPr>
            <w:noProof/>
            <w:sz w:val="28"/>
          </w:rPr>
          <w:t>3</w:t>
        </w:r>
        <w:r w:rsidRPr="005D7339">
          <w:rPr>
            <w:sz w:val="28"/>
          </w:rPr>
          <w:fldChar w:fldCharType="end"/>
        </w:r>
      </w:p>
    </w:sdtContent>
  </w:sdt>
  <w:p w:rsidR="000D5B86" w:rsidRDefault="000D5B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17600F"/>
    <w:multiLevelType w:val="hybridMultilevel"/>
    <w:tmpl w:val="CFD6EBFC"/>
    <w:lvl w:ilvl="0" w:tplc="CA825B3C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825C42"/>
    <w:multiLevelType w:val="hybridMultilevel"/>
    <w:tmpl w:val="34C01A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EC47823"/>
    <w:multiLevelType w:val="multilevel"/>
    <w:tmpl w:val="6994D454"/>
    <w:lvl w:ilvl="0">
      <w:start w:val="1"/>
      <w:numFmt w:val="decimal"/>
      <w:lvlText w:val="%1."/>
      <w:lvlJc w:val="left"/>
      <w:pPr>
        <w:ind w:left="146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9" w15:restartNumberingAfterBreak="0">
    <w:nsid w:val="20BB69FD"/>
    <w:multiLevelType w:val="hybridMultilevel"/>
    <w:tmpl w:val="D1EAA468"/>
    <w:lvl w:ilvl="0" w:tplc="D06AEBB4">
      <w:start w:val="1"/>
      <w:numFmt w:val="decimal"/>
      <w:lvlText w:val="%1."/>
      <w:lvlJc w:val="left"/>
      <w:pPr>
        <w:ind w:left="1920" w:hanging="360"/>
      </w:pPr>
      <w:rPr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0" w15:restartNumberingAfterBreak="0">
    <w:nsid w:val="26D31DCD"/>
    <w:multiLevelType w:val="hybridMultilevel"/>
    <w:tmpl w:val="E52C8860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731D5"/>
    <w:multiLevelType w:val="hybridMultilevel"/>
    <w:tmpl w:val="D2EEA8F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3DB14BD"/>
    <w:multiLevelType w:val="hybridMultilevel"/>
    <w:tmpl w:val="D630AF0E"/>
    <w:lvl w:ilvl="0" w:tplc="04190011">
      <w:start w:val="1"/>
      <w:numFmt w:val="decimal"/>
      <w:lvlText w:val="%1)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9" w15:restartNumberingAfterBreak="0">
    <w:nsid w:val="3AF47007"/>
    <w:multiLevelType w:val="hybridMultilevel"/>
    <w:tmpl w:val="2876B68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825C2"/>
    <w:multiLevelType w:val="hybridMultilevel"/>
    <w:tmpl w:val="E3A2384C"/>
    <w:lvl w:ilvl="0" w:tplc="D9E0F0D6">
      <w:start w:val="1"/>
      <w:numFmt w:val="decimal"/>
      <w:lvlText w:val="%1."/>
      <w:lvlJc w:val="left"/>
      <w:pPr>
        <w:tabs>
          <w:tab w:val="num" w:pos="1843"/>
        </w:tabs>
        <w:ind w:left="184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2" w15:restartNumberingAfterBreak="0">
    <w:nsid w:val="4E7B1C40"/>
    <w:multiLevelType w:val="hybridMultilevel"/>
    <w:tmpl w:val="175EF0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25722E2"/>
    <w:multiLevelType w:val="hybridMultilevel"/>
    <w:tmpl w:val="C6E24A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AD5743"/>
    <w:multiLevelType w:val="hybridMultilevel"/>
    <w:tmpl w:val="BD68D8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9E372F8"/>
    <w:multiLevelType w:val="hybridMultilevel"/>
    <w:tmpl w:val="C0DAF6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9"/>
  </w:num>
  <w:num w:numId="4">
    <w:abstractNumId w:val="3"/>
  </w:num>
  <w:num w:numId="5">
    <w:abstractNumId w:val="30"/>
  </w:num>
  <w:num w:numId="6">
    <w:abstractNumId w:val="1"/>
  </w:num>
  <w:num w:numId="7">
    <w:abstractNumId w:val="17"/>
  </w:num>
  <w:num w:numId="8">
    <w:abstractNumId w:val="28"/>
  </w:num>
  <w:num w:numId="9">
    <w:abstractNumId w:val="27"/>
  </w:num>
  <w:num w:numId="10">
    <w:abstractNumId w:val="11"/>
  </w:num>
  <w:num w:numId="11">
    <w:abstractNumId w:val="2"/>
  </w:num>
  <w:num w:numId="12">
    <w:abstractNumId w:val="20"/>
  </w:num>
  <w:num w:numId="13">
    <w:abstractNumId w:val="12"/>
  </w:num>
  <w:num w:numId="14">
    <w:abstractNumId w:val="16"/>
  </w:num>
  <w:num w:numId="15">
    <w:abstractNumId w:val="15"/>
  </w:num>
  <w:num w:numId="16">
    <w:abstractNumId w:val="24"/>
  </w:num>
  <w:num w:numId="17">
    <w:abstractNumId w:val="14"/>
  </w:num>
  <w:num w:numId="18">
    <w:abstractNumId w:val="7"/>
  </w:num>
  <w:num w:numId="19">
    <w:abstractNumId w:val="13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6"/>
  </w:num>
  <w:num w:numId="26">
    <w:abstractNumId w:val="22"/>
  </w:num>
  <w:num w:numId="27">
    <w:abstractNumId w:val="19"/>
  </w:num>
  <w:num w:numId="28">
    <w:abstractNumId w:val="26"/>
  </w:num>
  <w:num w:numId="29">
    <w:abstractNumId w:val="23"/>
  </w:num>
  <w:num w:numId="30">
    <w:abstractNumId w:val="1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31DB6"/>
    <w:rsid w:val="00040E4C"/>
    <w:rsid w:val="00041D91"/>
    <w:rsid w:val="00045CF3"/>
    <w:rsid w:val="00046393"/>
    <w:rsid w:val="0006214C"/>
    <w:rsid w:val="00064749"/>
    <w:rsid w:val="0006793B"/>
    <w:rsid w:val="00074838"/>
    <w:rsid w:val="00082EED"/>
    <w:rsid w:val="0008349A"/>
    <w:rsid w:val="00086A74"/>
    <w:rsid w:val="000901F5"/>
    <w:rsid w:val="00090624"/>
    <w:rsid w:val="00091070"/>
    <w:rsid w:val="000A2232"/>
    <w:rsid w:val="000B4B01"/>
    <w:rsid w:val="000C0826"/>
    <w:rsid w:val="000C2588"/>
    <w:rsid w:val="000C4341"/>
    <w:rsid w:val="000C5AA0"/>
    <w:rsid w:val="000D1A90"/>
    <w:rsid w:val="000D4345"/>
    <w:rsid w:val="000D5B86"/>
    <w:rsid w:val="000E7AEA"/>
    <w:rsid w:val="000F4CD4"/>
    <w:rsid w:val="000F65E5"/>
    <w:rsid w:val="00100E01"/>
    <w:rsid w:val="00100F54"/>
    <w:rsid w:val="00110EA4"/>
    <w:rsid w:val="0011210B"/>
    <w:rsid w:val="00115969"/>
    <w:rsid w:val="00115E7A"/>
    <w:rsid w:val="0012761D"/>
    <w:rsid w:val="00127DDE"/>
    <w:rsid w:val="00131BF3"/>
    <w:rsid w:val="00150EFD"/>
    <w:rsid w:val="001614D9"/>
    <w:rsid w:val="0016722C"/>
    <w:rsid w:val="00170351"/>
    <w:rsid w:val="0017064F"/>
    <w:rsid w:val="00171AA4"/>
    <w:rsid w:val="00181E26"/>
    <w:rsid w:val="00187F6B"/>
    <w:rsid w:val="00193584"/>
    <w:rsid w:val="001938DC"/>
    <w:rsid w:val="00194E21"/>
    <w:rsid w:val="0019707C"/>
    <w:rsid w:val="001A151F"/>
    <w:rsid w:val="001A1732"/>
    <w:rsid w:val="001A5409"/>
    <w:rsid w:val="001B7123"/>
    <w:rsid w:val="001C08DD"/>
    <w:rsid w:val="001D0CCB"/>
    <w:rsid w:val="001F7D2D"/>
    <w:rsid w:val="00200E17"/>
    <w:rsid w:val="00207E8E"/>
    <w:rsid w:val="00226931"/>
    <w:rsid w:val="00230018"/>
    <w:rsid w:val="00257E73"/>
    <w:rsid w:val="00263FC1"/>
    <w:rsid w:val="002660DF"/>
    <w:rsid w:val="00280EFF"/>
    <w:rsid w:val="002824FF"/>
    <w:rsid w:val="002828CC"/>
    <w:rsid w:val="00293138"/>
    <w:rsid w:val="00296CAF"/>
    <w:rsid w:val="00296D5E"/>
    <w:rsid w:val="002A14EC"/>
    <w:rsid w:val="002A5315"/>
    <w:rsid w:val="002B3005"/>
    <w:rsid w:val="002B4670"/>
    <w:rsid w:val="002B4E9B"/>
    <w:rsid w:val="002B52D8"/>
    <w:rsid w:val="002B53CC"/>
    <w:rsid w:val="002B6D1E"/>
    <w:rsid w:val="002C52C2"/>
    <w:rsid w:val="002E1B0F"/>
    <w:rsid w:val="002E2F72"/>
    <w:rsid w:val="002E3F8B"/>
    <w:rsid w:val="002F0753"/>
    <w:rsid w:val="002F2088"/>
    <w:rsid w:val="002F5C09"/>
    <w:rsid w:val="0030186D"/>
    <w:rsid w:val="00305F60"/>
    <w:rsid w:val="0031116A"/>
    <w:rsid w:val="003164DA"/>
    <w:rsid w:val="00325F2A"/>
    <w:rsid w:val="00326C39"/>
    <w:rsid w:val="003275CA"/>
    <w:rsid w:val="0033072E"/>
    <w:rsid w:val="003361B7"/>
    <w:rsid w:val="003534F9"/>
    <w:rsid w:val="003538E7"/>
    <w:rsid w:val="00361009"/>
    <w:rsid w:val="00381866"/>
    <w:rsid w:val="003B0515"/>
    <w:rsid w:val="003B1451"/>
    <w:rsid w:val="003B3F0F"/>
    <w:rsid w:val="003B7E84"/>
    <w:rsid w:val="003C1A64"/>
    <w:rsid w:val="003C35E9"/>
    <w:rsid w:val="003D1951"/>
    <w:rsid w:val="003D5023"/>
    <w:rsid w:val="003E18B1"/>
    <w:rsid w:val="003E555D"/>
    <w:rsid w:val="003F0429"/>
    <w:rsid w:val="003F5891"/>
    <w:rsid w:val="003F5E6A"/>
    <w:rsid w:val="003F6899"/>
    <w:rsid w:val="003F6AC3"/>
    <w:rsid w:val="004076C0"/>
    <w:rsid w:val="00412B44"/>
    <w:rsid w:val="004155FD"/>
    <w:rsid w:val="00423EB3"/>
    <w:rsid w:val="0042635B"/>
    <w:rsid w:val="0043365A"/>
    <w:rsid w:val="00437BF9"/>
    <w:rsid w:val="00437FC4"/>
    <w:rsid w:val="004415CC"/>
    <w:rsid w:val="004426F4"/>
    <w:rsid w:val="00446505"/>
    <w:rsid w:val="0045297C"/>
    <w:rsid w:val="00463940"/>
    <w:rsid w:val="0048014E"/>
    <w:rsid w:val="00481B19"/>
    <w:rsid w:val="004866D0"/>
    <w:rsid w:val="00495295"/>
    <w:rsid w:val="004A588F"/>
    <w:rsid w:val="004B2169"/>
    <w:rsid w:val="004C17F6"/>
    <w:rsid w:val="004D172B"/>
    <w:rsid w:val="004D4712"/>
    <w:rsid w:val="004E786C"/>
    <w:rsid w:val="004F53ED"/>
    <w:rsid w:val="005247BA"/>
    <w:rsid w:val="0052708E"/>
    <w:rsid w:val="005332A9"/>
    <w:rsid w:val="005342C8"/>
    <w:rsid w:val="00535C0D"/>
    <w:rsid w:val="005632CC"/>
    <w:rsid w:val="0056752F"/>
    <w:rsid w:val="00573A8C"/>
    <w:rsid w:val="005831DA"/>
    <w:rsid w:val="005B2457"/>
    <w:rsid w:val="005B4CF3"/>
    <w:rsid w:val="005C1F8A"/>
    <w:rsid w:val="005C5509"/>
    <w:rsid w:val="005D26EC"/>
    <w:rsid w:val="005D3B81"/>
    <w:rsid w:val="005D7339"/>
    <w:rsid w:val="005E3F49"/>
    <w:rsid w:val="005E3FAC"/>
    <w:rsid w:val="005E68CD"/>
    <w:rsid w:val="005F3828"/>
    <w:rsid w:val="005F3C40"/>
    <w:rsid w:val="0062029B"/>
    <w:rsid w:val="00621ECF"/>
    <w:rsid w:val="006267D7"/>
    <w:rsid w:val="00627A0A"/>
    <w:rsid w:val="00633AC9"/>
    <w:rsid w:val="0063558F"/>
    <w:rsid w:val="006451FA"/>
    <w:rsid w:val="00650096"/>
    <w:rsid w:val="006501A7"/>
    <w:rsid w:val="006510BB"/>
    <w:rsid w:val="0065125D"/>
    <w:rsid w:val="006528BB"/>
    <w:rsid w:val="006545EA"/>
    <w:rsid w:val="00655FCC"/>
    <w:rsid w:val="006602CD"/>
    <w:rsid w:val="00664FA5"/>
    <w:rsid w:val="00677C66"/>
    <w:rsid w:val="00680DD3"/>
    <w:rsid w:val="00680F67"/>
    <w:rsid w:val="006822A3"/>
    <w:rsid w:val="006829C0"/>
    <w:rsid w:val="0068329E"/>
    <w:rsid w:val="00690F48"/>
    <w:rsid w:val="00692908"/>
    <w:rsid w:val="006947E6"/>
    <w:rsid w:val="006979FD"/>
    <w:rsid w:val="006B1810"/>
    <w:rsid w:val="006C2AE4"/>
    <w:rsid w:val="006C5E2F"/>
    <w:rsid w:val="006C7933"/>
    <w:rsid w:val="006D26C4"/>
    <w:rsid w:val="006D3589"/>
    <w:rsid w:val="006D76D8"/>
    <w:rsid w:val="006E1402"/>
    <w:rsid w:val="006E3A52"/>
    <w:rsid w:val="006F1758"/>
    <w:rsid w:val="006F25F3"/>
    <w:rsid w:val="006F2C0B"/>
    <w:rsid w:val="006F2ED5"/>
    <w:rsid w:val="006F6CFA"/>
    <w:rsid w:val="00700635"/>
    <w:rsid w:val="00706A50"/>
    <w:rsid w:val="00707891"/>
    <w:rsid w:val="007124F7"/>
    <w:rsid w:val="0071467C"/>
    <w:rsid w:val="0072469C"/>
    <w:rsid w:val="0073192B"/>
    <w:rsid w:val="00733F04"/>
    <w:rsid w:val="007366D0"/>
    <w:rsid w:val="00740913"/>
    <w:rsid w:val="007633A5"/>
    <w:rsid w:val="00765BFA"/>
    <w:rsid w:val="00770AD6"/>
    <w:rsid w:val="00770B71"/>
    <w:rsid w:val="00774A14"/>
    <w:rsid w:val="00774E0A"/>
    <w:rsid w:val="00780242"/>
    <w:rsid w:val="007873F6"/>
    <w:rsid w:val="00792CE6"/>
    <w:rsid w:val="007A2600"/>
    <w:rsid w:val="007B5AB1"/>
    <w:rsid w:val="007C5F63"/>
    <w:rsid w:val="007E15C5"/>
    <w:rsid w:val="007E38ED"/>
    <w:rsid w:val="007E52E0"/>
    <w:rsid w:val="007E5B69"/>
    <w:rsid w:val="007E6CBA"/>
    <w:rsid w:val="007F19DF"/>
    <w:rsid w:val="00800398"/>
    <w:rsid w:val="00801329"/>
    <w:rsid w:val="008057C5"/>
    <w:rsid w:val="00810F2E"/>
    <w:rsid w:val="00812A05"/>
    <w:rsid w:val="00826650"/>
    <w:rsid w:val="00833AD2"/>
    <w:rsid w:val="0083754A"/>
    <w:rsid w:val="0084380E"/>
    <w:rsid w:val="00845C7A"/>
    <w:rsid w:val="00851072"/>
    <w:rsid w:val="00853977"/>
    <w:rsid w:val="00854934"/>
    <w:rsid w:val="008659F1"/>
    <w:rsid w:val="00877388"/>
    <w:rsid w:val="00883C06"/>
    <w:rsid w:val="00884A7E"/>
    <w:rsid w:val="00886798"/>
    <w:rsid w:val="008943B3"/>
    <w:rsid w:val="00895C39"/>
    <w:rsid w:val="008A6463"/>
    <w:rsid w:val="008A6C2D"/>
    <w:rsid w:val="008A6D89"/>
    <w:rsid w:val="008B3889"/>
    <w:rsid w:val="008C333A"/>
    <w:rsid w:val="008C4BD2"/>
    <w:rsid w:val="008C7CEF"/>
    <w:rsid w:val="008D11DB"/>
    <w:rsid w:val="008D43B6"/>
    <w:rsid w:val="008E08F4"/>
    <w:rsid w:val="008E6582"/>
    <w:rsid w:val="008F6C0C"/>
    <w:rsid w:val="00900236"/>
    <w:rsid w:val="00907BC9"/>
    <w:rsid w:val="009109E7"/>
    <w:rsid w:val="00926B5A"/>
    <w:rsid w:val="00927518"/>
    <w:rsid w:val="009415C2"/>
    <w:rsid w:val="009561B0"/>
    <w:rsid w:val="009721C4"/>
    <w:rsid w:val="00981C03"/>
    <w:rsid w:val="00991C0F"/>
    <w:rsid w:val="00993C95"/>
    <w:rsid w:val="00996E0B"/>
    <w:rsid w:val="009B44A6"/>
    <w:rsid w:val="009C0BC4"/>
    <w:rsid w:val="009C7353"/>
    <w:rsid w:val="009D1AAE"/>
    <w:rsid w:val="009E6366"/>
    <w:rsid w:val="009E7D30"/>
    <w:rsid w:val="009F0300"/>
    <w:rsid w:val="009F1C8C"/>
    <w:rsid w:val="009F225D"/>
    <w:rsid w:val="009F4FEB"/>
    <w:rsid w:val="009F5D20"/>
    <w:rsid w:val="00A026C2"/>
    <w:rsid w:val="00A12831"/>
    <w:rsid w:val="00A22C4C"/>
    <w:rsid w:val="00A24108"/>
    <w:rsid w:val="00A434F4"/>
    <w:rsid w:val="00A47ED7"/>
    <w:rsid w:val="00A54BD8"/>
    <w:rsid w:val="00A64D37"/>
    <w:rsid w:val="00A671FE"/>
    <w:rsid w:val="00A701AB"/>
    <w:rsid w:val="00A70749"/>
    <w:rsid w:val="00A7189D"/>
    <w:rsid w:val="00A72B20"/>
    <w:rsid w:val="00A80B01"/>
    <w:rsid w:val="00A84F0A"/>
    <w:rsid w:val="00A9082A"/>
    <w:rsid w:val="00AA173A"/>
    <w:rsid w:val="00AA6E1F"/>
    <w:rsid w:val="00AA6ED5"/>
    <w:rsid w:val="00AA7D50"/>
    <w:rsid w:val="00AB219D"/>
    <w:rsid w:val="00AB3F33"/>
    <w:rsid w:val="00AB4E16"/>
    <w:rsid w:val="00AB6246"/>
    <w:rsid w:val="00AB6BAD"/>
    <w:rsid w:val="00AC5019"/>
    <w:rsid w:val="00AC541E"/>
    <w:rsid w:val="00AD403F"/>
    <w:rsid w:val="00AE2112"/>
    <w:rsid w:val="00AE49AB"/>
    <w:rsid w:val="00AF3155"/>
    <w:rsid w:val="00AF4535"/>
    <w:rsid w:val="00AF682A"/>
    <w:rsid w:val="00B03835"/>
    <w:rsid w:val="00B03F97"/>
    <w:rsid w:val="00B059E3"/>
    <w:rsid w:val="00B11942"/>
    <w:rsid w:val="00B17953"/>
    <w:rsid w:val="00B26C4C"/>
    <w:rsid w:val="00B46EA4"/>
    <w:rsid w:val="00B52EE7"/>
    <w:rsid w:val="00B537F8"/>
    <w:rsid w:val="00B55891"/>
    <w:rsid w:val="00B626B3"/>
    <w:rsid w:val="00B64E0C"/>
    <w:rsid w:val="00B6512C"/>
    <w:rsid w:val="00B673A0"/>
    <w:rsid w:val="00B72A7F"/>
    <w:rsid w:val="00B83224"/>
    <w:rsid w:val="00B91A91"/>
    <w:rsid w:val="00B93301"/>
    <w:rsid w:val="00B95D65"/>
    <w:rsid w:val="00BA6B3D"/>
    <w:rsid w:val="00BB0789"/>
    <w:rsid w:val="00BB1AB1"/>
    <w:rsid w:val="00BB5195"/>
    <w:rsid w:val="00BB5B9D"/>
    <w:rsid w:val="00BB5DC6"/>
    <w:rsid w:val="00BD1BE1"/>
    <w:rsid w:val="00BD2E02"/>
    <w:rsid w:val="00BD4418"/>
    <w:rsid w:val="00BE3CA6"/>
    <w:rsid w:val="00BE75A8"/>
    <w:rsid w:val="00BF3EBA"/>
    <w:rsid w:val="00BF5DCF"/>
    <w:rsid w:val="00C1064E"/>
    <w:rsid w:val="00C20636"/>
    <w:rsid w:val="00C24F2F"/>
    <w:rsid w:val="00C25D8D"/>
    <w:rsid w:val="00C40567"/>
    <w:rsid w:val="00C51664"/>
    <w:rsid w:val="00C52AE0"/>
    <w:rsid w:val="00C667F8"/>
    <w:rsid w:val="00C76E26"/>
    <w:rsid w:val="00C76F8C"/>
    <w:rsid w:val="00C842D5"/>
    <w:rsid w:val="00C877C5"/>
    <w:rsid w:val="00C87A38"/>
    <w:rsid w:val="00C92F42"/>
    <w:rsid w:val="00C95841"/>
    <w:rsid w:val="00CA334A"/>
    <w:rsid w:val="00CB3AD1"/>
    <w:rsid w:val="00CC1497"/>
    <w:rsid w:val="00CD466F"/>
    <w:rsid w:val="00CD6150"/>
    <w:rsid w:val="00CD724D"/>
    <w:rsid w:val="00CE46A5"/>
    <w:rsid w:val="00CE68ED"/>
    <w:rsid w:val="00CE7FC3"/>
    <w:rsid w:val="00D01850"/>
    <w:rsid w:val="00D0394C"/>
    <w:rsid w:val="00D115B2"/>
    <w:rsid w:val="00D22037"/>
    <w:rsid w:val="00D24152"/>
    <w:rsid w:val="00D27393"/>
    <w:rsid w:val="00D31AEA"/>
    <w:rsid w:val="00D54FD8"/>
    <w:rsid w:val="00D5669A"/>
    <w:rsid w:val="00D71F4F"/>
    <w:rsid w:val="00D81FCE"/>
    <w:rsid w:val="00D84DDE"/>
    <w:rsid w:val="00D850C3"/>
    <w:rsid w:val="00D90BCB"/>
    <w:rsid w:val="00D93A76"/>
    <w:rsid w:val="00D9433F"/>
    <w:rsid w:val="00D9649F"/>
    <w:rsid w:val="00DA0C2B"/>
    <w:rsid w:val="00DB29D8"/>
    <w:rsid w:val="00DB5BC0"/>
    <w:rsid w:val="00DB68B7"/>
    <w:rsid w:val="00DB743A"/>
    <w:rsid w:val="00DB7B57"/>
    <w:rsid w:val="00DC03E7"/>
    <w:rsid w:val="00DC0B3A"/>
    <w:rsid w:val="00DC3906"/>
    <w:rsid w:val="00DD06D3"/>
    <w:rsid w:val="00DD0E40"/>
    <w:rsid w:val="00DD4A04"/>
    <w:rsid w:val="00DE5396"/>
    <w:rsid w:val="00DF2E8E"/>
    <w:rsid w:val="00E00ACB"/>
    <w:rsid w:val="00E019E7"/>
    <w:rsid w:val="00E1642B"/>
    <w:rsid w:val="00E164B3"/>
    <w:rsid w:val="00E21722"/>
    <w:rsid w:val="00E30FA5"/>
    <w:rsid w:val="00E325D0"/>
    <w:rsid w:val="00E43751"/>
    <w:rsid w:val="00E549B7"/>
    <w:rsid w:val="00E54CEA"/>
    <w:rsid w:val="00E62051"/>
    <w:rsid w:val="00E62D95"/>
    <w:rsid w:val="00E648EB"/>
    <w:rsid w:val="00E82002"/>
    <w:rsid w:val="00E8504E"/>
    <w:rsid w:val="00E9067D"/>
    <w:rsid w:val="00E97AE4"/>
    <w:rsid w:val="00EA5222"/>
    <w:rsid w:val="00EB293E"/>
    <w:rsid w:val="00ED1DB4"/>
    <w:rsid w:val="00ED5C49"/>
    <w:rsid w:val="00ED5F39"/>
    <w:rsid w:val="00EF51F8"/>
    <w:rsid w:val="00F01458"/>
    <w:rsid w:val="00F01994"/>
    <w:rsid w:val="00F03AA0"/>
    <w:rsid w:val="00F03D52"/>
    <w:rsid w:val="00F13437"/>
    <w:rsid w:val="00F15D49"/>
    <w:rsid w:val="00F2141D"/>
    <w:rsid w:val="00F21AB2"/>
    <w:rsid w:val="00F24428"/>
    <w:rsid w:val="00F3179F"/>
    <w:rsid w:val="00F67742"/>
    <w:rsid w:val="00F75374"/>
    <w:rsid w:val="00F913B7"/>
    <w:rsid w:val="00F93077"/>
    <w:rsid w:val="00F93396"/>
    <w:rsid w:val="00F95788"/>
    <w:rsid w:val="00F96F77"/>
    <w:rsid w:val="00F97A7D"/>
    <w:rsid w:val="00FA608C"/>
    <w:rsid w:val="00FC5803"/>
    <w:rsid w:val="00FC7A59"/>
    <w:rsid w:val="00FE08F7"/>
    <w:rsid w:val="00FE0F44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4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4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DB29D8"/>
    <w:rPr>
      <w:vertAlign w:val="superscript"/>
    </w:rPr>
  </w:style>
  <w:style w:type="paragraph" w:styleId="aa">
    <w:name w:val="footer"/>
    <w:basedOn w:val="a"/>
    <w:link w:val="ab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iPriority w:val="99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6E14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E14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F5E6D-6838-4355-BAE9-6C3C5DCC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3401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Гулнара Бозбаева</cp:lastModifiedBy>
  <cp:revision>2</cp:revision>
  <cp:lastPrinted>2022-11-17T03:13:00Z</cp:lastPrinted>
  <dcterms:created xsi:type="dcterms:W3CDTF">2023-08-03T05:21:00Z</dcterms:created>
  <dcterms:modified xsi:type="dcterms:W3CDTF">2023-08-03T05:21:00Z</dcterms:modified>
</cp:coreProperties>
</file>